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sz w:val="44"/>
          <w:szCs w:val="44"/>
        </w:rPr>
      </w:pPr>
    </w:p>
    <w:p>
      <w:pPr>
        <w:spacing w:line="400" w:lineRule="exact"/>
        <w:jc w:val="center"/>
        <w:rPr>
          <w:rFonts w:ascii="黑体" w:eastAsia="黑体"/>
          <w:b/>
          <w:sz w:val="44"/>
          <w:szCs w:val="44"/>
        </w:rPr>
      </w:pPr>
    </w:p>
    <w:p>
      <w:pPr>
        <w:spacing w:line="400" w:lineRule="exact"/>
        <w:jc w:val="center"/>
        <w:rPr>
          <w:rFonts w:ascii="黑体" w:eastAsia="黑体"/>
          <w:b/>
          <w:sz w:val="44"/>
          <w:szCs w:val="44"/>
        </w:rPr>
      </w:pP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r>
        <w:rPr>
          <w:rFonts w:hint="eastAsia" w:ascii="楷体_GB2312" w:eastAsia="楷体_GB2312"/>
          <w:b/>
          <w:sz w:val="44"/>
          <w:szCs w:val="44"/>
        </w:rPr>
        <w:t>施</w:t>
      </w: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r>
        <w:rPr>
          <w:rFonts w:hint="eastAsia" w:ascii="楷体_GB2312" w:eastAsia="楷体_GB2312"/>
          <w:b/>
          <w:sz w:val="44"/>
          <w:szCs w:val="44"/>
        </w:rPr>
        <w:t>工</w:t>
      </w: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r>
        <w:rPr>
          <w:rFonts w:hint="eastAsia" w:ascii="楷体_GB2312" w:eastAsia="楷体_GB2312"/>
          <w:b/>
          <w:sz w:val="44"/>
          <w:szCs w:val="44"/>
        </w:rPr>
        <w:t>组</w:t>
      </w: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r>
        <w:rPr>
          <w:rFonts w:hint="eastAsia" w:ascii="楷体_GB2312" w:eastAsia="楷体_GB2312"/>
          <w:b/>
          <w:sz w:val="44"/>
          <w:szCs w:val="44"/>
        </w:rPr>
        <w:t>织</w:t>
      </w: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r>
        <w:rPr>
          <w:rFonts w:hint="eastAsia" w:ascii="楷体_GB2312" w:eastAsia="楷体_GB2312"/>
          <w:b/>
          <w:sz w:val="44"/>
          <w:szCs w:val="44"/>
        </w:rPr>
        <w:t>设</w:t>
      </w:r>
    </w:p>
    <w:p>
      <w:pPr>
        <w:spacing w:line="400" w:lineRule="exact"/>
        <w:jc w:val="center"/>
        <w:rPr>
          <w:rFonts w:ascii="楷体_GB2312" w:eastAsia="楷体_GB2312"/>
          <w:b/>
          <w:sz w:val="44"/>
          <w:szCs w:val="44"/>
        </w:rPr>
      </w:pPr>
    </w:p>
    <w:p>
      <w:pPr>
        <w:spacing w:line="400" w:lineRule="exact"/>
        <w:jc w:val="center"/>
        <w:rPr>
          <w:rFonts w:ascii="楷体_GB2312" w:eastAsia="楷体_GB2312"/>
          <w:b/>
          <w:sz w:val="44"/>
          <w:szCs w:val="44"/>
        </w:rPr>
      </w:pPr>
      <w:r>
        <w:rPr>
          <w:rFonts w:hint="eastAsia" w:ascii="楷体_GB2312" w:eastAsia="楷体_GB2312"/>
          <w:b/>
          <w:sz w:val="44"/>
          <w:szCs w:val="44"/>
        </w:rPr>
        <w:t>计</w:t>
      </w:r>
    </w:p>
    <w:p>
      <w:pPr>
        <w:spacing w:line="400" w:lineRule="exact"/>
        <w:ind w:firstLine="1988" w:firstLineChars="450"/>
        <w:rPr>
          <w:rFonts w:ascii="楷体_GB2312" w:eastAsia="楷体_GB2312"/>
          <w:b/>
          <w:sz w:val="44"/>
          <w:szCs w:val="44"/>
        </w:rPr>
      </w:pPr>
    </w:p>
    <w:p>
      <w:pPr>
        <w:spacing w:line="400" w:lineRule="exact"/>
        <w:ind w:firstLine="1988" w:firstLineChars="450"/>
        <w:rPr>
          <w:rFonts w:ascii="楷体_GB2312" w:eastAsia="楷体_GB2312"/>
          <w:b/>
          <w:sz w:val="44"/>
          <w:szCs w:val="44"/>
        </w:rPr>
      </w:pPr>
    </w:p>
    <w:p>
      <w:pPr>
        <w:jc w:val="center"/>
        <w:rPr>
          <w:rFonts w:ascii="楷体_GB2312" w:eastAsia="楷体_GB2312"/>
          <w:b/>
          <w:sz w:val="44"/>
          <w:szCs w:val="44"/>
        </w:rPr>
      </w:pPr>
    </w:p>
    <w:p>
      <w:pPr>
        <w:jc w:val="center"/>
        <w:rPr>
          <w:rFonts w:ascii="楷体_GB2312" w:eastAsia="楷体_GB2312"/>
          <w:b/>
          <w:sz w:val="44"/>
          <w:szCs w:val="44"/>
        </w:rPr>
      </w:pPr>
    </w:p>
    <w:p>
      <w:pPr>
        <w:jc w:val="center"/>
        <w:rPr>
          <w:rFonts w:hint="eastAsia" w:ascii="黑体" w:eastAsia="黑体"/>
          <w:b/>
          <w:sz w:val="32"/>
          <w:szCs w:val="32"/>
        </w:rPr>
      </w:pPr>
      <w:r>
        <w:rPr>
          <w:sz w:val="36"/>
          <w:szCs w:val="36"/>
        </w:rPr>
        <w:br w:type="page"/>
      </w:r>
      <w:r>
        <w:rPr>
          <w:rFonts w:hint="eastAsia" w:ascii="黑体" w:eastAsia="黑体"/>
          <w:b/>
          <w:sz w:val="32"/>
          <w:szCs w:val="32"/>
        </w:rPr>
        <w:t>目   录</w:t>
      </w:r>
    </w:p>
    <w:p>
      <w:pPr>
        <w:pStyle w:val="18"/>
        <w:tabs>
          <w:tab w:val="right" w:leader="dot" w:pos="8296"/>
        </w:tabs>
        <w:spacing w:line="360" w:lineRule="auto"/>
        <w:rPr>
          <w:rFonts w:ascii="宋体" w:hAnsi="宋体" w:cstheme="minorBidi"/>
          <w:sz w:val="24"/>
        </w:rPr>
      </w:pPr>
      <w:r>
        <w:rPr>
          <w:rFonts w:ascii="宋体" w:hAnsi="宋体"/>
          <w:sz w:val="24"/>
        </w:rPr>
        <w:fldChar w:fldCharType="begin"/>
      </w:r>
      <w:r>
        <w:rPr>
          <w:rFonts w:ascii="宋体" w:hAnsi="宋体"/>
          <w:sz w:val="24"/>
        </w:rPr>
        <w:instrText xml:space="preserve"> TOC \o "1-4" \h \z \u </w:instrText>
      </w:r>
      <w:r>
        <w:rPr>
          <w:rFonts w:ascii="宋体" w:hAnsi="宋体"/>
          <w:sz w:val="24"/>
        </w:rPr>
        <w:fldChar w:fldCharType="separate"/>
      </w:r>
      <w:r>
        <w:fldChar w:fldCharType="begin"/>
      </w:r>
      <w:r>
        <w:instrText xml:space="preserve"> HYPERLINK \l "_Toc361990759" </w:instrText>
      </w:r>
      <w:r>
        <w:fldChar w:fldCharType="separate"/>
      </w:r>
      <w:r>
        <w:rPr>
          <w:rStyle w:val="26"/>
          <w:rFonts w:hint="eastAsia" w:ascii="宋体" w:hAnsi="宋体"/>
          <w:sz w:val="24"/>
        </w:rPr>
        <w:t>一、施工组织设计</w:t>
      </w:r>
      <w:r>
        <w:rPr>
          <w:rFonts w:ascii="宋体" w:hAnsi="宋体"/>
          <w:sz w:val="24"/>
        </w:rPr>
        <w:tab/>
      </w:r>
      <w:r>
        <w:rPr>
          <w:rFonts w:ascii="宋体" w:hAnsi="宋体"/>
          <w:sz w:val="24"/>
        </w:rPr>
        <w:fldChar w:fldCharType="begin"/>
      </w:r>
      <w:r>
        <w:rPr>
          <w:rFonts w:ascii="宋体" w:hAnsi="宋体"/>
          <w:sz w:val="24"/>
        </w:rPr>
        <w:instrText xml:space="preserve"> PAGEREF _Toc361990759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21"/>
        <w:spacing w:line="360" w:lineRule="auto"/>
        <w:rPr>
          <w:rFonts w:ascii="宋体" w:hAnsi="宋体" w:cstheme="minorBidi"/>
        </w:rPr>
      </w:pPr>
      <w:r>
        <w:fldChar w:fldCharType="begin"/>
      </w:r>
      <w:r>
        <w:instrText xml:space="preserve"> HYPERLINK \l "_Toc361990760" </w:instrText>
      </w:r>
      <w:r>
        <w:fldChar w:fldCharType="separate"/>
      </w:r>
      <w:r>
        <w:rPr>
          <w:rStyle w:val="26"/>
          <w:rFonts w:hint="eastAsia" w:ascii="宋体" w:hAnsi="宋体"/>
        </w:rPr>
        <w:t>（一）主要施工方法和技术组织措施</w:t>
      </w:r>
      <w:r>
        <w:rPr>
          <w:rFonts w:ascii="宋体" w:hAnsi="宋体"/>
        </w:rPr>
        <w:tab/>
      </w:r>
      <w:r>
        <w:rPr>
          <w:rFonts w:ascii="宋体" w:hAnsi="宋体"/>
        </w:rPr>
        <w:fldChar w:fldCharType="begin"/>
      </w:r>
      <w:r>
        <w:rPr>
          <w:rFonts w:ascii="宋体" w:hAnsi="宋体"/>
        </w:rPr>
        <w:instrText xml:space="preserve"> PAGEREF _Toc361990760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"_Toc361990761" </w:instrText>
      </w:r>
      <w:r>
        <w:fldChar w:fldCharType="separate"/>
      </w:r>
      <w:r>
        <w:rPr>
          <w:rStyle w:val="26"/>
          <w:rFonts w:ascii="宋体" w:hAnsi="宋体"/>
          <w:sz w:val="24"/>
        </w:rPr>
        <w:t>1</w:t>
      </w:r>
      <w:r>
        <w:rPr>
          <w:rStyle w:val="26"/>
          <w:rFonts w:hint="eastAsia" w:ascii="宋体" w:hAnsi="宋体"/>
          <w:sz w:val="24"/>
        </w:rPr>
        <w:t>、火灾自动报警系统施工方法</w:t>
      </w:r>
      <w:r>
        <w:rPr>
          <w:rFonts w:ascii="宋体" w:hAnsi="宋体"/>
          <w:sz w:val="24"/>
        </w:rPr>
        <w:tab/>
      </w:r>
      <w:r>
        <w:rPr>
          <w:rFonts w:ascii="宋体" w:hAnsi="宋体"/>
          <w:sz w:val="24"/>
        </w:rPr>
        <w:fldChar w:fldCharType="begin"/>
      </w:r>
      <w:r>
        <w:rPr>
          <w:rFonts w:ascii="宋体" w:hAnsi="宋体"/>
          <w:sz w:val="24"/>
        </w:rPr>
        <w:instrText xml:space="preserve"> PAGEREF _Toc361990761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"_Toc361990762" </w:instrText>
      </w:r>
      <w:r>
        <w:fldChar w:fldCharType="separate"/>
      </w:r>
      <w:r>
        <w:rPr>
          <w:rStyle w:val="26"/>
          <w:rFonts w:ascii="宋体" w:hAnsi="宋体"/>
          <w:sz w:val="24"/>
        </w:rPr>
        <w:t>1.1</w:t>
      </w:r>
      <w:r>
        <w:rPr>
          <w:rStyle w:val="26"/>
          <w:rFonts w:hint="eastAsia" w:ascii="宋体" w:hAnsi="宋体"/>
          <w:sz w:val="24"/>
        </w:rPr>
        <w:t>、施工准备</w:t>
      </w:r>
      <w:r>
        <w:rPr>
          <w:rFonts w:ascii="宋体" w:hAnsi="宋体"/>
          <w:sz w:val="24"/>
        </w:rPr>
        <w:tab/>
      </w:r>
      <w:r>
        <w:rPr>
          <w:rFonts w:ascii="宋体" w:hAnsi="宋体"/>
          <w:sz w:val="24"/>
        </w:rPr>
        <w:fldChar w:fldCharType="begin"/>
      </w:r>
      <w:r>
        <w:rPr>
          <w:rFonts w:ascii="宋体" w:hAnsi="宋体"/>
          <w:sz w:val="24"/>
        </w:rPr>
        <w:instrText xml:space="preserve"> PAGEREF _Toc361990762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"_Toc361990763" </w:instrText>
      </w:r>
      <w:r>
        <w:fldChar w:fldCharType="separate"/>
      </w:r>
      <w:r>
        <w:rPr>
          <w:rStyle w:val="26"/>
          <w:rFonts w:ascii="宋体" w:hAnsi="宋体"/>
          <w:sz w:val="24"/>
        </w:rPr>
        <w:t>1.4</w:t>
      </w:r>
      <w:r>
        <w:rPr>
          <w:rStyle w:val="26"/>
          <w:rFonts w:hint="eastAsia" w:ascii="宋体" w:hAnsi="宋体"/>
          <w:sz w:val="24"/>
        </w:rPr>
        <w:t>、系统调试</w:t>
      </w:r>
      <w:r>
        <w:rPr>
          <w:rFonts w:ascii="宋体" w:hAnsi="宋体"/>
          <w:sz w:val="24"/>
        </w:rPr>
        <w:tab/>
      </w:r>
      <w:r>
        <w:rPr>
          <w:rFonts w:ascii="宋体" w:hAnsi="宋体"/>
          <w:sz w:val="24"/>
        </w:rPr>
        <w:fldChar w:fldCharType="begin"/>
      </w:r>
      <w:r>
        <w:rPr>
          <w:rFonts w:ascii="宋体" w:hAnsi="宋体"/>
          <w:sz w:val="24"/>
        </w:rPr>
        <w:instrText xml:space="preserve"> PAGEREF _Toc361990763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"_Toc361990764" </w:instrText>
      </w:r>
      <w:r>
        <w:fldChar w:fldCharType="separate"/>
      </w:r>
      <w:r>
        <w:rPr>
          <w:rStyle w:val="26"/>
          <w:rFonts w:ascii="宋体" w:hAnsi="宋体"/>
          <w:sz w:val="24"/>
        </w:rPr>
        <w:t>1.5</w:t>
      </w:r>
      <w:r>
        <w:rPr>
          <w:rStyle w:val="26"/>
          <w:rFonts w:hint="eastAsia" w:ascii="宋体" w:hAnsi="宋体"/>
          <w:sz w:val="24"/>
        </w:rPr>
        <w:t>、系统验收</w:t>
      </w:r>
      <w:r>
        <w:rPr>
          <w:rFonts w:ascii="宋体" w:hAnsi="宋体"/>
          <w:sz w:val="24"/>
        </w:rPr>
        <w:tab/>
      </w:r>
      <w:r>
        <w:rPr>
          <w:rFonts w:ascii="宋体" w:hAnsi="宋体"/>
          <w:sz w:val="24"/>
        </w:rPr>
        <w:fldChar w:fldCharType="begin"/>
      </w:r>
      <w:r>
        <w:rPr>
          <w:rFonts w:ascii="宋体" w:hAnsi="宋体"/>
          <w:sz w:val="24"/>
        </w:rPr>
        <w:instrText xml:space="preserve"> PAGEREF _Toc361990764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"_Toc361990765" </w:instrText>
      </w:r>
      <w:r>
        <w:fldChar w:fldCharType="separate"/>
      </w:r>
      <w:r>
        <w:rPr>
          <w:rStyle w:val="26"/>
          <w:rFonts w:ascii="宋体" w:hAnsi="宋体"/>
          <w:sz w:val="24"/>
        </w:rPr>
        <w:t>2</w:t>
      </w:r>
      <w:r>
        <w:rPr>
          <w:rStyle w:val="26"/>
          <w:rFonts w:hint="eastAsia" w:ascii="宋体" w:hAnsi="宋体"/>
          <w:sz w:val="24"/>
        </w:rPr>
        <w:t>、消防水系统施工方法</w:t>
      </w:r>
      <w:r>
        <w:rPr>
          <w:rFonts w:ascii="宋体" w:hAnsi="宋体"/>
          <w:sz w:val="24"/>
        </w:rPr>
        <w:tab/>
      </w:r>
      <w:r>
        <w:rPr>
          <w:rFonts w:ascii="宋体" w:hAnsi="宋体"/>
          <w:sz w:val="24"/>
        </w:rPr>
        <w:fldChar w:fldCharType="begin"/>
      </w:r>
      <w:r>
        <w:rPr>
          <w:rFonts w:ascii="宋体" w:hAnsi="宋体"/>
          <w:sz w:val="24"/>
        </w:rPr>
        <w:instrText xml:space="preserve"> PAGEREF _Toc361990765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"_Toc361990766" </w:instrText>
      </w:r>
      <w:r>
        <w:fldChar w:fldCharType="separate"/>
      </w:r>
      <w:r>
        <w:rPr>
          <w:rStyle w:val="26"/>
          <w:rFonts w:ascii="宋体" w:hAnsi="宋体"/>
          <w:sz w:val="24"/>
        </w:rPr>
        <w:t>2.1</w:t>
      </w:r>
      <w:r>
        <w:rPr>
          <w:rStyle w:val="26"/>
          <w:rFonts w:hint="eastAsia" w:ascii="宋体" w:hAnsi="宋体"/>
          <w:sz w:val="24"/>
        </w:rPr>
        <w:t>、施工准备</w:t>
      </w:r>
      <w:r>
        <w:rPr>
          <w:rFonts w:ascii="宋体" w:hAnsi="宋体"/>
          <w:sz w:val="24"/>
        </w:rPr>
        <w:tab/>
      </w:r>
      <w:r>
        <w:rPr>
          <w:rFonts w:ascii="宋体" w:hAnsi="宋体"/>
          <w:sz w:val="24"/>
        </w:rPr>
        <w:fldChar w:fldCharType="begin"/>
      </w:r>
      <w:r>
        <w:rPr>
          <w:rFonts w:ascii="宋体" w:hAnsi="宋体"/>
          <w:sz w:val="24"/>
        </w:rPr>
        <w:instrText xml:space="preserve"> PAGEREF _Toc361990766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"_Toc361990767" </w:instrText>
      </w:r>
      <w:r>
        <w:fldChar w:fldCharType="separate"/>
      </w:r>
      <w:r>
        <w:rPr>
          <w:rStyle w:val="26"/>
          <w:rFonts w:ascii="宋体" w:hAnsi="宋体"/>
          <w:sz w:val="24"/>
        </w:rPr>
        <w:t>2.3</w:t>
      </w:r>
      <w:r>
        <w:rPr>
          <w:rStyle w:val="26"/>
          <w:rFonts w:hint="eastAsia" w:ascii="宋体" w:hAnsi="宋体"/>
          <w:sz w:val="24"/>
        </w:rPr>
        <w:t>、消防管道安装</w:t>
      </w:r>
      <w:r>
        <w:rPr>
          <w:rFonts w:ascii="宋体" w:hAnsi="宋体"/>
          <w:sz w:val="24"/>
        </w:rPr>
        <w:tab/>
      </w:r>
      <w:r>
        <w:rPr>
          <w:rFonts w:ascii="宋体" w:hAnsi="宋体"/>
          <w:sz w:val="24"/>
        </w:rPr>
        <w:fldChar w:fldCharType="begin"/>
      </w:r>
      <w:r>
        <w:rPr>
          <w:rFonts w:ascii="宋体" w:hAnsi="宋体"/>
          <w:sz w:val="24"/>
        </w:rPr>
        <w:instrText xml:space="preserve"> PAGEREF _Toc361990767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"_Toc361990768" </w:instrText>
      </w:r>
      <w:r>
        <w:fldChar w:fldCharType="separate"/>
      </w:r>
      <w:r>
        <w:rPr>
          <w:rStyle w:val="26"/>
          <w:rFonts w:ascii="宋体" w:hAnsi="宋体"/>
          <w:sz w:val="24"/>
        </w:rPr>
        <w:t>2.4</w:t>
      </w:r>
      <w:r>
        <w:rPr>
          <w:rStyle w:val="26"/>
          <w:rFonts w:hint="eastAsia" w:ascii="宋体" w:hAnsi="宋体"/>
          <w:sz w:val="24"/>
        </w:rPr>
        <w:t>、设备安装</w:t>
      </w:r>
      <w:r>
        <w:rPr>
          <w:rFonts w:ascii="宋体" w:hAnsi="宋体"/>
          <w:sz w:val="24"/>
        </w:rPr>
        <w:tab/>
      </w:r>
      <w:r>
        <w:rPr>
          <w:rFonts w:ascii="宋体" w:hAnsi="宋体"/>
          <w:sz w:val="24"/>
        </w:rPr>
        <w:fldChar w:fldCharType="begin"/>
      </w:r>
      <w:r>
        <w:rPr>
          <w:rFonts w:ascii="宋体" w:hAnsi="宋体"/>
          <w:sz w:val="24"/>
        </w:rPr>
        <w:instrText xml:space="preserve"> PAGEREF _Toc361990768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"_Toc361990769" </w:instrText>
      </w:r>
      <w:r>
        <w:fldChar w:fldCharType="separate"/>
      </w:r>
      <w:r>
        <w:rPr>
          <w:rStyle w:val="26"/>
          <w:rFonts w:ascii="宋体" w:hAnsi="宋体"/>
          <w:sz w:val="24"/>
        </w:rPr>
        <w:t>2.5</w:t>
      </w:r>
      <w:r>
        <w:rPr>
          <w:rStyle w:val="26"/>
          <w:rFonts w:hint="eastAsia" w:ascii="宋体" w:hAnsi="宋体"/>
          <w:sz w:val="24"/>
        </w:rPr>
        <w:t>、管道及系统组件试压</w:t>
      </w:r>
      <w:r>
        <w:rPr>
          <w:rFonts w:ascii="宋体" w:hAnsi="宋体"/>
          <w:sz w:val="24"/>
        </w:rPr>
        <w:tab/>
      </w:r>
      <w:r>
        <w:rPr>
          <w:rFonts w:ascii="宋体" w:hAnsi="宋体"/>
          <w:sz w:val="24"/>
        </w:rPr>
        <w:fldChar w:fldCharType="begin"/>
      </w:r>
      <w:r>
        <w:rPr>
          <w:rFonts w:ascii="宋体" w:hAnsi="宋体"/>
          <w:sz w:val="24"/>
        </w:rPr>
        <w:instrText xml:space="preserve"> PAGEREF _Toc361990769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"_Toc361990770" </w:instrText>
      </w:r>
      <w:r>
        <w:fldChar w:fldCharType="separate"/>
      </w:r>
      <w:r>
        <w:rPr>
          <w:rStyle w:val="26"/>
          <w:rFonts w:ascii="宋体" w:hAnsi="宋体"/>
          <w:sz w:val="24"/>
        </w:rPr>
        <w:t>2.6</w:t>
      </w:r>
      <w:r>
        <w:rPr>
          <w:rStyle w:val="26"/>
          <w:rFonts w:hint="eastAsia" w:ascii="宋体" w:hAnsi="宋体"/>
          <w:sz w:val="24"/>
        </w:rPr>
        <w:t>、管道防腐、冲洗、调试</w:t>
      </w:r>
      <w:r>
        <w:rPr>
          <w:rFonts w:ascii="宋体" w:hAnsi="宋体"/>
          <w:sz w:val="24"/>
        </w:rPr>
        <w:tab/>
      </w:r>
      <w:r>
        <w:rPr>
          <w:rFonts w:ascii="宋体" w:hAnsi="宋体"/>
          <w:sz w:val="24"/>
        </w:rPr>
        <w:fldChar w:fldCharType="begin"/>
      </w:r>
      <w:r>
        <w:rPr>
          <w:rFonts w:ascii="宋体" w:hAnsi="宋体"/>
          <w:sz w:val="24"/>
        </w:rPr>
        <w:instrText xml:space="preserve"> PAGEREF _Toc361990770 \h </w:instrText>
      </w:r>
      <w:r>
        <w:rPr>
          <w:rFonts w:ascii="宋体" w:hAnsi="宋体"/>
          <w:sz w:val="24"/>
        </w:rPr>
        <w:fldChar w:fldCharType="separate"/>
      </w:r>
      <w:r>
        <w:rPr>
          <w:rFonts w:ascii="宋体" w:hAnsi="宋体"/>
          <w:sz w:val="24"/>
        </w:rPr>
        <w:t>13</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"_Toc361990771" </w:instrText>
      </w:r>
      <w:r>
        <w:fldChar w:fldCharType="separate"/>
      </w:r>
      <w:r>
        <w:rPr>
          <w:rStyle w:val="26"/>
          <w:rFonts w:ascii="宋体" w:hAnsi="宋体"/>
          <w:sz w:val="24"/>
        </w:rPr>
        <w:t>2.7</w:t>
      </w:r>
      <w:r>
        <w:rPr>
          <w:rStyle w:val="26"/>
          <w:rFonts w:hint="eastAsia" w:ascii="宋体" w:hAnsi="宋体"/>
          <w:sz w:val="24"/>
        </w:rPr>
        <w:t>、系统调试</w:t>
      </w:r>
      <w:r>
        <w:rPr>
          <w:rFonts w:ascii="宋体" w:hAnsi="宋体"/>
          <w:sz w:val="24"/>
        </w:rPr>
        <w:tab/>
      </w:r>
      <w:r>
        <w:rPr>
          <w:rFonts w:ascii="宋体" w:hAnsi="宋体"/>
          <w:sz w:val="24"/>
        </w:rPr>
        <w:fldChar w:fldCharType="begin"/>
      </w:r>
      <w:r>
        <w:rPr>
          <w:rFonts w:ascii="宋体" w:hAnsi="宋体"/>
          <w:sz w:val="24"/>
        </w:rPr>
        <w:instrText xml:space="preserve"> PAGEREF _Toc361990771 \h </w:instrText>
      </w:r>
      <w:r>
        <w:rPr>
          <w:rFonts w:ascii="宋体" w:hAnsi="宋体"/>
          <w:sz w:val="24"/>
        </w:rPr>
        <w:fldChar w:fldCharType="separate"/>
      </w:r>
      <w:r>
        <w:rPr>
          <w:rFonts w:ascii="宋体" w:hAnsi="宋体"/>
          <w:sz w:val="24"/>
        </w:rPr>
        <w:t>14</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"_Toc361990772" </w:instrText>
      </w:r>
      <w:r>
        <w:fldChar w:fldCharType="separate"/>
      </w:r>
      <w:r>
        <w:rPr>
          <w:rStyle w:val="26"/>
          <w:rFonts w:ascii="宋体" w:hAnsi="宋体"/>
          <w:sz w:val="24"/>
        </w:rPr>
        <w:t>4</w:t>
      </w:r>
      <w:r>
        <w:rPr>
          <w:rStyle w:val="26"/>
          <w:rFonts w:hint="eastAsia" w:ascii="宋体" w:hAnsi="宋体"/>
          <w:sz w:val="24"/>
        </w:rPr>
        <w:t>、确保工程质量的技术组织措施</w:t>
      </w:r>
      <w:r>
        <w:rPr>
          <w:rFonts w:ascii="宋体" w:hAnsi="宋体"/>
          <w:sz w:val="24"/>
        </w:rPr>
        <w:tab/>
      </w:r>
      <w:r>
        <w:rPr>
          <w:rFonts w:ascii="宋体" w:hAnsi="宋体"/>
          <w:sz w:val="24"/>
        </w:rPr>
        <w:fldChar w:fldCharType="begin"/>
      </w:r>
      <w:r>
        <w:rPr>
          <w:rFonts w:ascii="宋体" w:hAnsi="宋体"/>
          <w:sz w:val="24"/>
        </w:rPr>
        <w:instrText xml:space="preserve"> PAGEREF _Toc361990772 \h </w:instrText>
      </w:r>
      <w:r>
        <w:rPr>
          <w:rFonts w:ascii="宋体" w:hAnsi="宋体"/>
          <w:sz w:val="24"/>
        </w:rPr>
        <w:fldChar w:fldCharType="separate"/>
      </w:r>
      <w:r>
        <w:rPr>
          <w:rFonts w:ascii="宋体" w:hAnsi="宋体"/>
          <w:sz w:val="24"/>
        </w:rPr>
        <w:t>15</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"_Toc361990773" </w:instrText>
      </w:r>
      <w:r>
        <w:fldChar w:fldCharType="separate"/>
      </w:r>
      <w:r>
        <w:rPr>
          <w:rStyle w:val="26"/>
          <w:rFonts w:ascii="宋体" w:hAnsi="宋体"/>
          <w:sz w:val="24"/>
        </w:rPr>
        <w:t>4.1</w:t>
      </w:r>
      <w:r>
        <w:rPr>
          <w:rStyle w:val="26"/>
          <w:rFonts w:hint="eastAsia" w:ascii="宋体" w:hAnsi="宋体"/>
          <w:sz w:val="24"/>
        </w:rPr>
        <w:t>、质量控制流程</w:t>
      </w:r>
      <w:r>
        <w:rPr>
          <w:rFonts w:ascii="宋体" w:hAnsi="宋体"/>
          <w:sz w:val="24"/>
        </w:rPr>
        <w:tab/>
      </w:r>
      <w:r>
        <w:rPr>
          <w:rFonts w:ascii="宋体" w:hAnsi="宋体"/>
          <w:sz w:val="24"/>
        </w:rPr>
        <w:fldChar w:fldCharType="begin"/>
      </w:r>
      <w:r>
        <w:rPr>
          <w:rFonts w:ascii="宋体" w:hAnsi="宋体"/>
          <w:sz w:val="24"/>
        </w:rPr>
        <w:instrText xml:space="preserve"> PAGEREF _Toc361990773 \h </w:instrText>
      </w:r>
      <w:r>
        <w:rPr>
          <w:rFonts w:ascii="宋体" w:hAnsi="宋体"/>
          <w:sz w:val="24"/>
        </w:rPr>
        <w:fldChar w:fldCharType="separate"/>
      </w:r>
      <w:r>
        <w:rPr>
          <w:rFonts w:ascii="宋体" w:hAnsi="宋体"/>
          <w:sz w:val="24"/>
        </w:rPr>
        <w:t>15</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"_Toc361990774" </w:instrText>
      </w:r>
      <w:r>
        <w:fldChar w:fldCharType="separate"/>
      </w:r>
      <w:r>
        <w:rPr>
          <w:rStyle w:val="26"/>
          <w:rFonts w:ascii="宋体" w:hAnsi="宋体"/>
          <w:sz w:val="24"/>
        </w:rPr>
        <w:t>5</w:t>
      </w:r>
      <w:r>
        <w:rPr>
          <w:rStyle w:val="26"/>
          <w:rFonts w:hint="eastAsia" w:ascii="宋体" w:hAnsi="宋体"/>
          <w:sz w:val="24"/>
        </w:rPr>
        <w:t>、确保工程工期的技术组织措施</w:t>
      </w:r>
      <w:r>
        <w:rPr>
          <w:rFonts w:ascii="宋体" w:hAnsi="宋体"/>
          <w:sz w:val="24"/>
        </w:rPr>
        <w:tab/>
      </w:r>
      <w:r>
        <w:rPr>
          <w:rFonts w:ascii="宋体" w:hAnsi="宋体"/>
          <w:sz w:val="24"/>
        </w:rPr>
        <w:fldChar w:fldCharType="begin"/>
      </w:r>
      <w:r>
        <w:rPr>
          <w:rFonts w:ascii="宋体" w:hAnsi="宋体"/>
          <w:sz w:val="24"/>
        </w:rPr>
        <w:instrText xml:space="preserve"> PAGEREF _Toc361990774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"_Toc361990775" </w:instrText>
      </w:r>
      <w:r>
        <w:fldChar w:fldCharType="separate"/>
      </w:r>
      <w:r>
        <w:rPr>
          <w:rStyle w:val="26"/>
          <w:rFonts w:ascii="宋体" w:hAnsi="宋体"/>
          <w:sz w:val="24"/>
        </w:rPr>
        <w:t>6</w:t>
      </w:r>
      <w:r>
        <w:rPr>
          <w:rStyle w:val="26"/>
          <w:rFonts w:hint="eastAsia" w:ascii="宋体" w:hAnsi="宋体"/>
          <w:sz w:val="24"/>
        </w:rPr>
        <w:t>、确保安全生产的技术组织措施</w:t>
      </w:r>
      <w:r>
        <w:rPr>
          <w:rFonts w:ascii="宋体" w:hAnsi="宋体"/>
          <w:sz w:val="24"/>
        </w:rPr>
        <w:tab/>
      </w:r>
      <w:r>
        <w:rPr>
          <w:rFonts w:ascii="宋体" w:hAnsi="宋体"/>
          <w:sz w:val="24"/>
        </w:rPr>
        <w:fldChar w:fldCharType="begin"/>
      </w:r>
      <w:r>
        <w:rPr>
          <w:rFonts w:ascii="宋体" w:hAnsi="宋体"/>
          <w:sz w:val="24"/>
        </w:rPr>
        <w:instrText xml:space="preserve"> PAGEREF _Toc361990775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"_Toc361990776" </w:instrText>
      </w:r>
      <w:r>
        <w:fldChar w:fldCharType="separate"/>
      </w:r>
      <w:r>
        <w:rPr>
          <w:rStyle w:val="26"/>
          <w:rFonts w:ascii="宋体" w:hAnsi="宋体"/>
          <w:sz w:val="24"/>
        </w:rPr>
        <w:t>6.1</w:t>
      </w:r>
      <w:r>
        <w:rPr>
          <w:rStyle w:val="26"/>
          <w:rFonts w:hint="eastAsia" w:ascii="宋体" w:hAnsi="宋体"/>
          <w:sz w:val="24"/>
        </w:rPr>
        <w:t>、安全措施纲要</w:t>
      </w:r>
      <w:r>
        <w:rPr>
          <w:rFonts w:ascii="宋体" w:hAnsi="宋体"/>
          <w:sz w:val="24"/>
        </w:rPr>
        <w:tab/>
      </w:r>
      <w:r>
        <w:rPr>
          <w:rFonts w:ascii="宋体" w:hAnsi="宋体"/>
          <w:sz w:val="24"/>
        </w:rPr>
        <w:fldChar w:fldCharType="begin"/>
      </w:r>
      <w:r>
        <w:rPr>
          <w:rFonts w:ascii="宋体" w:hAnsi="宋体"/>
          <w:sz w:val="24"/>
        </w:rPr>
        <w:instrText xml:space="preserve"> PAGEREF _Toc361990776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19"/>
        <w:spacing w:line="360" w:lineRule="auto"/>
        <w:rPr>
          <w:rFonts w:ascii="宋体" w:hAnsi="宋体" w:cstheme="minorBidi"/>
          <w:sz w:val="24"/>
        </w:rPr>
      </w:pPr>
      <w:r>
        <w:fldChar w:fldCharType="begin"/>
      </w:r>
      <w:r>
        <w:instrText xml:space="preserve"> HYPERLINK \l "_Toc361990777" </w:instrText>
      </w:r>
      <w:r>
        <w:fldChar w:fldCharType="separate"/>
      </w:r>
      <w:r>
        <w:rPr>
          <w:rStyle w:val="26"/>
          <w:rFonts w:ascii="宋体" w:hAnsi="宋体"/>
          <w:sz w:val="24"/>
        </w:rPr>
        <w:t>6.2</w:t>
      </w:r>
      <w:r>
        <w:rPr>
          <w:rStyle w:val="26"/>
          <w:rFonts w:hint="eastAsia" w:ascii="宋体" w:hAnsi="宋体"/>
          <w:sz w:val="24"/>
        </w:rPr>
        <w:t>、具体实施措施</w:t>
      </w:r>
      <w:r>
        <w:rPr>
          <w:rFonts w:ascii="宋体" w:hAnsi="宋体"/>
          <w:sz w:val="24"/>
        </w:rPr>
        <w:tab/>
      </w:r>
      <w:r>
        <w:rPr>
          <w:rFonts w:ascii="宋体" w:hAnsi="宋体"/>
          <w:sz w:val="24"/>
        </w:rPr>
        <w:fldChar w:fldCharType="begin"/>
      </w:r>
      <w:r>
        <w:rPr>
          <w:rFonts w:ascii="宋体" w:hAnsi="宋体"/>
          <w:sz w:val="24"/>
        </w:rPr>
        <w:instrText xml:space="preserve"> PAGEREF _Toc361990777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"_Toc361990778" </w:instrText>
      </w:r>
      <w:r>
        <w:fldChar w:fldCharType="separate"/>
      </w:r>
      <w:r>
        <w:rPr>
          <w:rStyle w:val="26"/>
          <w:rFonts w:ascii="宋体" w:hAnsi="宋体"/>
          <w:sz w:val="24"/>
        </w:rPr>
        <w:t>7</w:t>
      </w:r>
      <w:r>
        <w:rPr>
          <w:rStyle w:val="26"/>
          <w:rFonts w:hint="eastAsia" w:ascii="宋体" w:hAnsi="宋体"/>
          <w:sz w:val="24"/>
        </w:rPr>
        <w:t>、确保文明施工的技术组织措施</w:t>
      </w:r>
      <w:r>
        <w:rPr>
          <w:rFonts w:ascii="宋体" w:hAnsi="宋体"/>
          <w:sz w:val="24"/>
        </w:rPr>
        <w:tab/>
      </w:r>
      <w:r>
        <w:rPr>
          <w:rFonts w:ascii="宋体" w:hAnsi="宋体"/>
          <w:sz w:val="24"/>
        </w:rPr>
        <w:fldChar w:fldCharType="begin"/>
      </w:r>
      <w:r>
        <w:rPr>
          <w:rFonts w:ascii="宋体" w:hAnsi="宋体"/>
          <w:sz w:val="24"/>
        </w:rPr>
        <w:instrText xml:space="preserve"> PAGEREF _Toc361990778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"_Toc361990779" </w:instrText>
      </w:r>
      <w:r>
        <w:fldChar w:fldCharType="separate"/>
      </w:r>
      <w:r>
        <w:rPr>
          <w:rStyle w:val="26"/>
          <w:rFonts w:ascii="宋体" w:hAnsi="宋体"/>
          <w:sz w:val="24"/>
        </w:rPr>
        <w:t>8</w:t>
      </w:r>
      <w:r>
        <w:rPr>
          <w:rStyle w:val="26"/>
          <w:rFonts w:hint="eastAsia" w:ascii="宋体" w:hAnsi="宋体"/>
          <w:sz w:val="24"/>
        </w:rPr>
        <w:t>、确保工程进度的技术组织措施</w:t>
      </w:r>
      <w:r>
        <w:rPr>
          <w:rFonts w:ascii="宋体" w:hAnsi="宋体"/>
          <w:sz w:val="24"/>
        </w:rPr>
        <w:tab/>
      </w:r>
      <w:r>
        <w:rPr>
          <w:rFonts w:ascii="宋体" w:hAnsi="宋体"/>
          <w:sz w:val="24"/>
        </w:rPr>
        <w:fldChar w:fldCharType="begin"/>
      </w:r>
      <w:r>
        <w:rPr>
          <w:rFonts w:ascii="宋体" w:hAnsi="宋体"/>
          <w:sz w:val="24"/>
        </w:rPr>
        <w:instrText xml:space="preserve"> PAGEREF _Toc361990779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"_Toc361990780" </w:instrText>
      </w:r>
      <w:r>
        <w:fldChar w:fldCharType="separate"/>
      </w:r>
      <w:r>
        <w:rPr>
          <w:rStyle w:val="26"/>
          <w:rFonts w:ascii="宋体" w:hAnsi="宋体"/>
          <w:sz w:val="24"/>
        </w:rPr>
        <w:t>9</w:t>
      </w:r>
      <w:r>
        <w:rPr>
          <w:rStyle w:val="26"/>
          <w:rFonts w:hint="eastAsia" w:ascii="宋体" w:hAnsi="宋体"/>
          <w:sz w:val="24"/>
        </w:rPr>
        <w:t>、减少扰民噪音、降低环境污染技术措施</w:t>
      </w:r>
      <w:r>
        <w:rPr>
          <w:rFonts w:ascii="宋体" w:hAnsi="宋体"/>
          <w:sz w:val="24"/>
        </w:rPr>
        <w:tab/>
      </w:r>
      <w:r>
        <w:rPr>
          <w:rFonts w:ascii="宋体" w:hAnsi="宋体"/>
          <w:sz w:val="24"/>
        </w:rPr>
        <w:fldChar w:fldCharType="begin"/>
      </w:r>
      <w:r>
        <w:rPr>
          <w:rFonts w:ascii="宋体" w:hAnsi="宋体"/>
          <w:sz w:val="24"/>
        </w:rPr>
        <w:instrText xml:space="preserve"> PAGEREF _Toc361990780 \h </w:instrText>
      </w:r>
      <w:r>
        <w:rPr>
          <w:rFonts w:ascii="宋体" w:hAnsi="宋体"/>
          <w:sz w:val="24"/>
        </w:rPr>
        <w:fldChar w:fldCharType="separate"/>
      </w:r>
      <w:r>
        <w:rPr>
          <w:rFonts w:ascii="宋体" w:hAnsi="宋体"/>
          <w:sz w:val="24"/>
        </w:rPr>
        <w:t>22</w:t>
      </w:r>
      <w:r>
        <w:rPr>
          <w:rFonts w:ascii="宋体" w:hAnsi="宋体"/>
          <w:sz w:val="24"/>
        </w:rPr>
        <w:fldChar w:fldCharType="end"/>
      </w:r>
      <w:r>
        <w:rPr>
          <w:rFonts w:ascii="宋体" w:hAnsi="宋体"/>
          <w:sz w:val="24"/>
        </w:rPr>
        <w:fldChar w:fldCharType="end"/>
      </w:r>
    </w:p>
    <w:p>
      <w:pPr>
        <w:pStyle w:val="18"/>
        <w:tabs>
          <w:tab w:val="right" w:leader="dot" w:pos="8296"/>
        </w:tabs>
        <w:spacing w:line="360" w:lineRule="auto"/>
        <w:rPr>
          <w:rFonts w:ascii="宋体" w:hAnsi="宋体" w:cstheme="minorBidi"/>
          <w:sz w:val="24"/>
        </w:rPr>
      </w:pPr>
      <w:r>
        <w:fldChar w:fldCharType="begin"/>
      </w:r>
      <w:r>
        <w:instrText xml:space="preserve"> HYPERLINK \l "_Toc361990781" </w:instrText>
      </w:r>
      <w:r>
        <w:fldChar w:fldCharType="separate"/>
      </w:r>
      <w:r>
        <w:rPr>
          <w:rStyle w:val="26"/>
          <w:rFonts w:hint="eastAsia" w:ascii="宋体" w:hAnsi="宋体"/>
          <w:sz w:val="24"/>
        </w:rPr>
        <w:t>二、附表</w:t>
      </w:r>
      <w:r>
        <w:rPr>
          <w:rFonts w:ascii="宋体" w:hAnsi="宋体"/>
          <w:sz w:val="24"/>
        </w:rPr>
        <w:tab/>
      </w:r>
      <w:r>
        <w:rPr>
          <w:rFonts w:ascii="宋体" w:hAnsi="宋体"/>
          <w:sz w:val="24"/>
        </w:rPr>
        <w:fldChar w:fldCharType="begin"/>
      </w:r>
      <w:r>
        <w:rPr>
          <w:rFonts w:ascii="宋体" w:hAnsi="宋体"/>
          <w:sz w:val="24"/>
        </w:rPr>
        <w:instrText xml:space="preserve"> PAGEREF _Toc361990781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21"/>
        <w:spacing w:line="360" w:lineRule="auto"/>
        <w:rPr>
          <w:rFonts w:ascii="宋体" w:hAnsi="宋体" w:cstheme="minorBidi"/>
        </w:rPr>
      </w:pPr>
      <w:r>
        <w:fldChar w:fldCharType="begin"/>
      </w:r>
      <w:r>
        <w:instrText xml:space="preserve"> HYPERLINK \l "_Toc361990782" </w:instrText>
      </w:r>
      <w:r>
        <w:fldChar w:fldCharType="separate"/>
      </w:r>
      <w:r>
        <w:rPr>
          <w:rStyle w:val="26"/>
          <w:rFonts w:hint="eastAsia" w:ascii="宋体" w:hAnsi="宋体"/>
        </w:rPr>
        <w:t>（一）</w:t>
      </w:r>
      <w:r>
        <w:rPr>
          <w:rStyle w:val="26"/>
          <w:rFonts w:ascii="宋体" w:hAnsi="宋体"/>
        </w:rPr>
        <w:t xml:space="preserve"> </w:t>
      </w:r>
      <w:r>
        <w:rPr>
          <w:rStyle w:val="26"/>
          <w:rFonts w:hint="eastAsia" w:ascii="宋体" w:hAnsi="宋体"/>
        </w:rPr>
        <w:t>劳动力进场计划表</w:t>
      </w:r>
      <w:r>
        <w:rPr>
          <w:rFonts w:ascii="宋体" w:hAnsi="宋体"/>
        </w:rPr>
        <w:tab/>
      </w:r>
      <w:r>
        <w:rPr>
          <w:rFonts w:ascii="宋体" w:hAnsi="宋体"/>
        </w:rPr>
        <w:fldChar w:fldCharType="begin"/>
      </w:r>
      <w:r>
        <w:rPr>
          <w:rFonts w:ascii="宋体" w:hAnsi="宋体"/>
        </w:rPr>
        <w:instrText xml:space="preserve"> PAGEREF _Toc361990782 \h </w:instrText>
      </w:r>
      <w:r>
        <w:rPr>
          <w:rFonts w:ascii="宋体" w:hAnsi="宋体"/>
        </w:rPr>
        <w:fldChar w:fldCharType="separate"/>
      </w:r>
      <w:r>
        <w:rPr>
          <w:rFonts w:ascii="宋体" w:hAnsi="宋体"/>
        </w:rPr>
        <w:t>23</w:t>
      </w:r>
      <w:r>
        <w:rPr>
          <w:rFonts w:ascii="宋体" w:hAnsi="宋体"/>
        </w:rPr>
        <w:fldChar w:fldCharType="end"/>
      </w:r>
      <w:r>
        <w:rPr>
          <w:rFonts w:ascii="宋体" w:hAnsi="宋体"/>
        </w:rPr>
        <w:fldChar w:fldCharType="end"/>
      </w:r>
    </w:p>
    <w:p>
      <w:pPr>
        <w:pStyle w:val="21"/>
        <w:spacing w:line="360" w:lineRule="auto"/>
        <w:rPr>
          <w:rFonts w:ascii="宋体" w:hAnsi="宋体" w:cstheme="minorBidi"/>
        </w:rPr>
      </w:pPr>
      <w:r>
        <w:fldChar w:fldCharType="begin"/>
      </w:r>
      <w:r>
        <w:instrText xml:space="preserve"> HYPERLINK \l "_Toc361990783" </w:instrText>
      </w:r>
      <w:r>
        <w:fldChar w:fldCharType="separate"/>
      </w:r>
      <w:r>
        <w:rPr>
          <w:rStyle w:val="26"/>
          <w:rFonts w:hint="eastAsia" w:ascii="宋体" w:hAnsi="宋体"/>
        </w:rPr>
        <w:t>（二）</w:t>
      </w:r>
      <w:r>
        <w:rPr>
          <w:rStyle w:val="26"/>
          <w:rFonts w:ascii="宋体" w:hAnsi="宋体"/>
        </w:rPr>
        <w:t xml:space="preserve"> </w:t>
      </w:r>
      <w:r>
        <w:rPr>
          <w:rStyle w:val="26"/>
          <w:rFonts w:hint="eastAsia" w:ascii="宋体" w:hAnsi="宋体"/>
        </w:rPr>
        <w:t>工程施工进度网络图</w:t>
      </w:r>
      <w:r>
        <w:rPr>
          <w:rFonts w:ascii="宋体" w:hAnsi="宋体"/>
        </w:rPr>
        <w:tab/>
      </w:r>
      <w:r>
        <w:rPr>
          <w:rFonts w:ascii="宋体" w:hAnsi="宋体"/>
        </w:rPr>
        <w:fldChar w:fldCharType="begin"/>
      </w:r>
      <w:r>
        <w:rPr>
          <w:rFonts w:ascii="宋体" w:hAnsi="宋体"/>
        </w:rPr>
        <w:instrText xml:space="preserve"> PAGEREF _Toc361990783 \h </w:instrText>
      </w:r>
      <w:r>
        <w:rPr>
          <w:rFonts w:ascii="宋体" w:hAnsi="宋体"/>
        </w:rPr>
        <w:fldChar w:fldCharType="separate"/>
      </w:r>
      <w:r>
        <w:rPr>
          <w:rFonts w:ascii="宋体" w:hAnsi="宋体"/>
        </w:rPr>
        <w:t>24</w:t>
      </w:r>
      <w:r>
        <w:rPr>
          <w:rFonts w:ascii="宋体" w:hAnsi="宋体"/>
        </w:rPr>
        <w:fldChar w:fldCharType="end"/>
      </w:r>
      <w:r>
        <w:rPr>
          <w:rFonts w:ascii="宋体" w:hAnsi="宋体"/>
        </w:rPr>
        <w:fldChar w:fldCharType="end"/>
      </w:r>
    </w:p>
    <w:p>
      <w:pPr>
        <w:pStyle w:val="21"/>
        <w:spacing w:line="360" w:lineRule="auto"/>
        <w:rPr>
          <w:rFonts w:ascii="宋体" w:hAnsi="宋体" w:cstheme="minorBidi"/>
        </w:rPr>
      </w:pPr>
      <w:r>
        <w:fldChar w:fldCharType="begin"/>
      </w:r>
      <w:r>
        <w:instrText xml:space="preserve"> HYPERLINK \l "_Toc361990784" </w:instrText>
      </w:r>
      <w:r>
        <w:fldChar w:fldCharType="separate"/>
      </w:r>
      <w:r>
        <w:rPr>
          <w:rStyle w:val="26"/>
          <w:rFonts w:hint="eastAsia" w:ascii="宋体" w:hAnsi="宋体"/>
        </w:rPr>
        <w:t>（三）</w:t>
      </w:r>
      <w:r>
        <w:rPr>
          <w:rStyle w:val="26"/>
          <w:rFonts w:ascii="宋体" w:hAnsi="宋体"/>
        </w:rPr>
        <w:t xml:space="preserve"> </w:t>
      </w:r>
      <w:r>
        <w:rPr>
          <w:rStyle w:val="26"/>
          <w:rFonts w:hint="eastAsia" w:ascii="宋体" w:hAnsi="宋体"/>
        </w:rPr>
        <w:t>主要施工机械设备进场计划表</w:t>
      </w:r>
      <w:r>
        <w:rPr>
          <w:rFonts w:ascii="宋体" w:hAnsi="宋体"/>
        </w:rPr>
        <w:tab/>
      </w:r>
      <w:r>
        <w:rPr>
          <w:rFonts w:ascii="宋体" w:hAnsi="宋体"/>
        </w:rPr>
        <w:fldChar w:fldCharType="begin"/>
      </w:r>
      <w:r>
        <w:rPr>
          <w:rFonts w:ascii="宋体" w:hAnsi="宋体"/>
        </w:rPr>
        <w:instrText xml:space="preserve"> PAGEREF _Toc361990784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pStyle w:val="21"/>
        <w:spacing w:line="360" w:lineRule="auto"/>
        <w:rPr>
          <w:rFonts w:ascii="宋体" w:hAnsi="宋体" w:cstheme="minorBidi"/>
        </w:rPr>
      </w:pPr>
      <w:r>
        <w:fldChar w:fldCharType="begin"/>
      </w:r>
      <w:r>
        <w:instrText xml:space="preserve"> HYPERLINK \l "_Toc361990785" </w:instrText>
      </w:r>
      <w:r>
        <w:fldChar w:fldCharType="separate"/>
      </w:r>
      <w:r>
        <w:rPr>
          <w:rStyle w:val="26"/>
          <w:rFonts w:hint="eastAsia" w:ascii="宋体" w:hAnsi="宋体"/>
        </w:rPr>
        <w:t>（四）</w:t>
      </w:r>
      <w:r>
        <w:rPr>
          <w:rStyle w:val="26"/>
          <w:rFonts w:ascii="宋体" w:hAnsi="宋体"/>
        </w:rPr>
        <w:t xml:space="preserve"> </w:t>
      </w:r>
      <w:r>
        <w:rPr>
          <w:rStyle w:val="26"/>
          <w:rFonts w:hint="eastAsia" w:ascii="宋体" w:hAnsi="宋体"/>
        </w:rPr>
        <w:t>主要材料、半成品进场计划表</w:t>
      </w:r>
      <w:r>
        <w:rPr>
          <w:rFonts w:ascii="宋体" w:hAnsi="宋体"/>
        </w:rPr>
        <w:tab/>
      </w:r>
      <w:r>
        <w:rPr>
          <w:rFonts w:ascii="宋体" w:hAnsi="宋体"/>
        </w:rPr>
        <w:fldChar w:fldCharType="begin"/>
      </w:r>
      <w:r>
        <w:rPr>
          <w:rFonts w:ascii="宋体" w:hAnsi="宋体"/>
        </w:rPr>
        <w:instrText xml:space="preserve"> PAGEREF _Toc361990785 \h </w:instrText>
      </w:r>
      <w:r>
        <w:rPr>
          <w:rFonts w:ascii="宋体" w:hAnsi="宋体"/>
        </w:rPr>
        <w:fldChar w:fldCharType="separate"/>
      </w:r>
      <w:r>
        <w:rPr>
          <w:rFonts w:ascii="宋体" w:hAnsi="宋体"/>
        </w:rPr>
        <w:t>26</w:t>
      </w:r>
      <w:r>
        <w:rPr>
          <w:rFonts w:ascii="宋体" w:hAnsi="宋体"/>
        </w:rPr>
        <w:fldChar w:fldCharType="end"/>
      </w:r>
      <w:r>
        <w:rPr>
          <w:rFonts w:ascii="宋体" w:hAnsi="宋体"/>
        </w:rPr>
        <w:fldChar w:fldCharType="end"/>
      </w:r>
    </w:p>
    <w:p>
      <w:pPr>
        <w:pStyle w:val="21"/>
        <w:spacing w:line="360" w:lineRule="auto"/>
        <w:rPr>
          <w:rFonts w:hint="eastAsia"/>
        </w:rPr>
      </w:pPr>
      <w:r>
        <w:fldChar w:fldCharType="begin"/>
      </w:r>
      <w:r>
        <w:instrText xml:space="preserve"> HYPERLINK \l "_Toc361990786" </w:instrText>
      </w:r>
      <w:r>
        <w:fldChar w:fldCharType="separate"/>
      </w:r>
      <w:r>
        <w:rPr>
          <w:rStyle w:val="26"/>
          <w:rFonts w:hint="eastAsia" w:ascii="宋体" w:hAnsi="宋体"/>
        </w:rPr>
        <w:t>（五）</w:t>
      </w:r>
      <w:r>
        <w:rPr>
          <w:rStyle w:val="26"/>
          <w:rFonts w:ascii="宋体" w:hAnsi="宋体"/>
        </w:rPr>
        <w:t xml:space="preserve"> </w:t>
      </w:r>
      <w:r>
        <w:rPr>
          <w:rStyle w:val="26"/>
          <w:rFonts w:hint="eastAsia" w:ascii="宋体" w:hAnsi="宋体"/>
        </w:rPr>
        <w:t>项目管理班子配备情况表</w:t>
      </w:r>
      <w:r>
        <w:rPr>
          <w:rFonts w:ascii="宋体" w:hAnsi="宋体"/>
        </w:rPr>
        <w:tab/>
      </w:r>
      <w:r>
        <w:rPr>
          <w:rFonts w:ascii="宋体" w:hAnsi="宋体"/>
        </w:rPr>
        <w:fldChar w:fldCharType="begin"/>
      </w:r>
      <w:r>
        <w:rPr>
          <w:rFonts w:ascii="宋体" w:hAnsi="宋体"/>
        </w:rPr>
        <w:instrText xml:space="preserve"> PAGEREF _Toc361990786 \h </w:instrText>
      </w:r>
      <w:r>
        <w:rPr>
          <w:rFonts w:ascii="宋体" w:hAnsi="宋体"/>
        </w:rPr>
        <w:fldChar w:fldCharType="separate"/>
      </w:r>
      <w:r>
        <w:rPr>
          <w:rFonts w:ascii="宋体" w:hAnsi="宋体"/>
        </w:rPr>
        <w:t>26</w:t>
      </w:r>
      <w:r>
        <w:rPr>
          <w:rFonts w:ascii="宋体" w:hAnsi="宋体"/>
        </w:rPr>
        <w:fldChar w:fldCharType="end"/>
      </w:r>
      <w:r>
        <w:rPr>
          <w:rFonts w:ascii="宋体" w:hAnsi="宋体"/>
        </w:rPr>
        <w:fldChar w:fldCharType="end"/>
      </w:r>
      <w:r>
        <w:rPr>
          <w:rFonts w:ascii="宋体" w:hAnsi="宋体"/>
        </w:rPr>
        <w:fldChar w:fldCharType="end"/>
      </w:r>
    </w:p>
    <w:p>
      <w:pPr>
        <w:spacing w:line="460" w:lineRule="exact"/>
        <w:rPr>
          <w:rFonts w:ascii="黑体" w:hAnsi="宋体" w:eastAsia="黑体"/>
          <w:bCs/>
          <w:szCs w:val="21"/>
        </w:rPr>
        <w:sectPr>
          <w:head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spacing w:line="460" w:lineRule="exact"/>
        <w:rPr>
          <w:rFonts w:hint="eastAsia" w:ascii="黑体" w:hAnsi="宋体" w:eastAsia="黑体"/>
          <w:bCs/>
          <w:szCs w:val="21"/>
        </w:rPr>
      </w:pPr>
    </w:p>
    <w:p>
      <w:pPr>
        <w:pStyle w:val="2"/>
        <w:spacing w:line="400" w:lineRule="exact"/>
        <w:rPr>
          <w:rFonts w:hint="eastAsia" w:ascii="黑体" w:eastAsia="黑体"/>
          <w:b w:val="0"/>
          <w:sz w:val="32"/>
          <w:szCs w:val="32"/>
        </w:rPr>
      </w:pPr>
      <w:bookmarkStart w:id="0" w:name="_Toc361990759"/>
      <w:r>
        <w:rPr>
          <w:rFonts w:hint="eastAsia" w:ascii="黑体" w:eastAsia="黑体"/>
          <w:sz w:val="32"/>
          <w:szCs w:val="32"/>
        </w:rPr>
        <w:t>一、施工组织设计</w:t>
      </w:r>
      <w:bookmarkEnd w:id="0"/>
    </w:p>
    <w:p>
      <w:pPr>
        <w:pStyle w:val="13"/>
        <w:spacing w:line="520" w:lineRule="exact"/>
        <w:ind w:leftChars="0"/>
        <w:jc w:val="left"/>
        <w:rPr>
          <w:rFonts w:hint="eastAsia" w:ascii="黑体" w:hAnsi="宋体" w:eastAsia="黑体"/>
          <w:bCs/>
          <w:sz w:val="28"/>
          <w:szCs w:val="28"/>
        </w:rPr>
      </w:pPr>
      <w:r>
        <w:rPr>
          <w:rFonts w:hint="eastAsia" w:ascii="黑体" w:hAnsi="宋体" w:eastAsia="黑体"/>
          <w:bCs/>
          <w:sz w:val="28"/>
          <w:szCs w:val="28"/>
        </w:rPr>
        <w:t>1、工程概况</w:t>
      </w:r>
    </w:p>
    <w:p>
      <w:pPr>
        <w:rPr>
          <w:rFonts w:hint="eastAsia"/>
        </w:rPr>
      </w:pPr>
      <w:r>
        <w:rPr>
          <w:rFonts w:hint="eastAsia"/>
        </w:rPr>
        <w:t>本工程为吴</w:t>
      </w:r>
      <w:r>
        <w:rPr>
          <w:rFonts w:hint="eastAsia" w:ascii="宋体" w:hAnsi="宋体" w:cs="宋体"/>
          <w:sz w:val="28"/>
          <w:szCs w:val="28"/>
        </w:rPr>
        <w:t>xxxx</w:t>
      </w:r>
      <w:r>
        <w:rPr>
          <w:rFonts w:hint="eastAsia"/>
        </w:rPr>
        <w:t>，。扩建工程利用原消防水池、水箱、及消防控制室、配电室等附属用房。</w:t>
      </w:r>
    </w:p>
    <w:p>
      <w:pPr>
        <w:spacing w:line="540" w:lineRule="exact"/>
        <w:rPr>
          <w:rFonts w:hint="eastAsia" w:ascii="黑体" w:hAnsi="宋体" w:eastAsia="黑体"/>
          <w:sz w:val="28"/>
          <w:szCs w:val="28"/>
        </w:rPr>
      </w:pPr>
      <w:r>
        <w:rPr>
          <w:rFonts w:hint="eastAsia" w:ascii="黑体" w:hAnsi="宋体" w:eastAsia="黑体"/>
          <w:bCs/>
          <w:sz w:val="28"/>
          <w:szCs w:val="28"/>
        </w:rPr>
        <w:t>.2、编制说明</w:t>
      </w:r>
    </w:p>
    <w:p>
      <w:pPr>
        <w:spacing w:line="540" w:lineRule="exact"/>
        <w:ind w:firstLine="420" w:firstLineChars="200"/>
        <w:rPr>
          <w:rFonts w:hint="eastAsia" w:ascii="宋体" w:hAnsi="宋体"/>
          <w:szCs w:val="21"/>
        </w:rPr>
      </w:pPr>
      <w:r>
        <w:rPr>
          <w:rFonts w:hint="eastAsia" w:ascii="宋体" w:hAnsi="宋体"/>
          <w:szCs w:val="21"/>
        </w:rPr>
        <w:t>本施工组织设计方案的编制，依据设计院提供的施工图纸并进行现场勘查和综合各设备厂家产品说明及相关工程国家最新有关消防系统施工验收规范而编制。</w:t>
      </w:r>
    </w:p>
    <w:p>
      <w:pPr>
        <w:spacing w:line="540" w:lineRule="exact"/>
        <w:rPr>
          <w:rFonts w:hint="eastAsia" w:ascii="黑体" w:hAnsi="宋体" w:eastAsia="黑体"/>
          <w:sz w:val="28"/>
          <w:szCs w:val="28"/>
        </w:rPr>
      </w:pPr>
      <w:r>
        <w:rPr>
          <w:rFonts w:hint="eastAsia" w:ascii="黑体" w:hAnsi="宋体" w:eastAsia="黑体"/>
          <w:bCs/>
          <w:sz w:val="28"/>
          <w:szCs w:val="28"/>
        </w:rPr>
        <w:t xml:space="preserve"> 3、编制依据</w:t>
      </w:r>
    </w:p>
    <w:p>
      <w:pPr>
        <w:spacing w:line="540" w:lineRule="exact"/>
        <w:ind w:firstLine="525" w:firstLineChars="250"/>
        <w:rPr>
          <w:rFonts w:hint="eastAsia" w:ascii="宋体" w:hAnsi="宋体"/>
          <w:szCs w:val="21"/>
        </w:rPr>
      </w:pPr>
      <w:r>
        <w:rPr>
          <w:rFonts w:hint="eastAsia" w:ascii="宋体" w:hAnsi="宋体"/>
          <w:szCs w:val="21"/>
        </w:rPr>
        <w:t>本施工组织设计按照以下消防技术规范、标准编制：</w:t>
      </w:r>
    </w:p>
    <w:p>
      <w:pPr>
        <w:snapToGrid w:val="0"/>
        <w:spacing w:line="560" w:lineRule="exact"/>
        <w:ind w:firstLine="210" w:firstLineChars="100"/>
        <w:rPr>
          <w:szCs w:val="21"/>
        </w:rPr>
      </w:pPr>
      <w:r>
        <w:rPr>
          <w:rFonts w:hint="eastAsia" w:ascii="宋体" w:hAnsi="宋体" w:cs="宋体"/>
          <w:szCs w:val="21"/>
        </w:rPr>
        <w:t>《火灾自动报警系统设计规范》（GB50116-98）</w:t>
      </w:r>
    </w:p>
    <w:p>
      <w:pPr>
        <w:snapToGrid w:val="0"/>
        <w:spacing w:line="560" w:lineRule="exact"/>
        <w:ind w:firstLine="210" w:firstLineChars="100"/>
        <w:rPr>
          <w:rFonts w:ascii="宋体"/>
          <w:szCs w:val="21"/>
        </w:rPr>
      </w:pPr>
      <w:r>
        <w:rPr>
          <w:rFonts w:hint="eastAsia" w:ascii="宋体" w:hAnsi="宋体" w:cs="宋体"/>
          <w:szCs w:val="21"/>
        </w:rPr>
        <w:t>《火灾自动报警系统施工及验收规范》（GB50166-92）</w:t>
      </w:r>
    </w:p>
    <w:p>
      <w:pPr>
        <w:snapToGrid w:val="0"/>
        <w:spacing w:line="560" w:lineRule="exact"/>
        <w:ind w:firstLine="210" w:firstLineChars="100"/>
        <w:rPr>
          <w:rFonts w:hint="eastAsia" w:ascii="宋体"/>
          <w:szCs w:val="21"/>
        </w:rPr>
      </w:pPr>
      <w:r>
        <w:rPr>
          <w:rFonts w:hint="eastAsia" w:ascii="宋体" w:hAnsi="宋体" w:cs="宋体"/>
          <w:szCs w:val="21"/>
        </w:rPr>
        <w:t>《高层民用建筑设计防火规范》（GB50045-95）2005年版</w:t>
      </w:r>
    </w:p>
    <w:p>
      <w:pPr>
        <w:snapToGrid w:val="0"/>
        <w:spacing w:line="560" w:lineRule="exact"/>
        <w:ind w:firstLine="210" w:firstLineChars="100"/>
        <w:rPr>
          <w:rFonts w:hint="eastAsia" w:ascii="宋体"/>
          <w:szCs w:val="21"/>
        </w:rPr>
      </w:pPr>
      <w:r>
        <w:rPr>
          <w:rFonts w:hint="eastAsia" w:ascii="宋体" w:hAnsi="宋体" w:cs="宋体"/>
          <w:szCs w:val="21"/>
        </w:rPr>
        <w:t>《汽车库、停车场设计防火规范》（GB50067-97）</w:t>
      </w:r>
    </w:p>
    <w:p>
      <w:pPr>
        <w:snapToGrid w:val="0"/>
        <w:spacing w:line="560" w:lineRule="exact"/>
        <w:ind w:firstLine="210" w:firstLineChars="100"/>
        <w:rPr>
          <w:rFonts w:hint="eastAsia" w:ascii="宋体"/>
          <w:szCs w:val="21"/>
        </w:rPr>
      </w:pPr>
      <w:r>
        <w:rPr>
          <w:rFonts w:hint="eastAsia" w:ascii="宋体" w:hAnsi="宋体" w:cs="宋体"/>
          <w:szCs w:val="21"/>
        </w:rPr>
        <w:t>《消防安全疏散标志设置标准》（DBJ01-611-2002）</w:t>
      </w:r>
    </w:p>
    <w:p>
      <w:pPr>
        <w:snapToGrid w:val="0"/>
        <w:spacing w:line="560" w:lineRule="exact"/>
        <w:ind w:firstLine="210" w:firstLineChars="100"/>
        <w:rPr>
          <w:rFonts w:hint="eastAsia" w:ascii="宋体"/>
          <w:szCs w:val="21"/>
        </w:rPr>
      </w:pPr>
      <w:r>
        <w:rPr>
          <w:rFonts w:hint="eastAsia" w:ascii="宋体" w:hAnsi="宋体" w:cs="宋体"/>
          <w:szCs w:val="21"/>
        </w:rPr>
        <w:t>《气体灭火系统施工及验收规范》（ GB 50263-97）</w:t>
      </w:r>
    </w:p>
    <w:p>
      <w:pPr>
        <w:snapToGrid w:val="0"/>
        <w:spacing w:line="560" w:lineRule="exact"/>
        <w:ind w:firstLine="210" w:firstLineChars="100"/>
        <w:rPr>
          <w:rFonts w:hint="eastAsia" w:ascii="宋体"/>
          <w:szCs w:val="21"/>
        </w:rPr>
      </w:pPr>
      <w:r>
        <w:rPr>
          <w:rFonts w:hint="eastAsia" w:ascii="宋体" w:hAnsi="宋体" w:cs="宋体"/>
          <w:szCs w:val="21"/>
        </w:rPr>
        <w:t>《气体灭火系统设计规范》（GB 50370-2005）</w:t>
      </w:r>
    </w:p>
    <w:p>
      <w:pPr>
        <w:snapToGrid w:val="0"/>
        <w:spacing w:line="560" w:lineRule="exact"/>
        <w:ind w:firstLine="210" w:firstLineChars="100"/>
        <w:rPr>
          <w:rFonts w:hint="eastAsia" w:ascii="宋体"/>
          <w:szCs w:val="21"/>
        </w:rPr>
      </w:pPr>
      <w:r>
        <w:rPr>
          <w:rFonts w:hint="eastAsia" w:ascii="宋体" w:hAnsi="宋体" w:cs="宋体"/>
          <w:szCs w:val="21"/>
        </w:rPr>
        <w:t>《建筑内部装修设计防火规范》（GB 50222-95）</w:t>
      </w:r>
    </w:p>
    <w:p>
      <w:pPr>
        <w:snapToGrid w:val="0"/>
        <w:spacing w:line="560" w:lineRule="exact"/>
        <w:ind w:firstLine="210" w:firstLineChars="100"/>
        <w:rPr>
          <w:rFonts w:hint="eastAsia" w:ascii="宋体"/>
          <w:szCs w:val="21"/>
        </w:rPr>
      </w:pPr>
      <w:r>
        <w:rPr>
          <w:rFonts w:hint="eastAsia" w:ascii="宋体" w:hAnsi="宋体" w:cs="宋体"/>
          <w:szCs w:val="21"/>
        </w:rPr>
        <w:t>《建筑安装工程资料管理规程》（DBJ01-51-2000）</w:t>
      </w:r>
    </w:p>
    <w:p>
      <w:pPr>
        <w:snapToGrid w:val="0"/>
        <w:spacing w:line="560" w:lineRule="exact"/>
        <w:ind w:firstLine="210" w:firstLineChars="100"/>
        <w:rPr>
          <w:rFonts w:hint="eastAsia" w:ascii="宋体"/>
          <w:szCs w:val="21"/>
        </w:rPr>
      </w:pPr>
      <w:r>
        <w:rPr>
          <w:rFonts w:hint="eastAsia" w:ascii="宋体" w:hAnsi="宋体" w:cs="宋体"/>
          <w:szCs w:val="21"/>
        </w:rPr>
        <w:t>《通风与空调工程施工质量验收规范》(GB50243-2002)</w:t>
      </w:r>
    </w:p>
    <w:p>
      <w:pPr>
        <w:snapToGrid w:val="0"/>
        <w:spacing w:line="560" w:lineRule="exact"/>
        <w:ind w:firstLine="210" w:firstLineChars="100"/>
        <w:rPr>
          <w:rFonts w:hint="eastAsia" w:ascii="宋体"/>
          <w:szCs w:val="21"/>
        </w:rPr>
      </w:pPr>
      <w:r>
        <w:rPr>
          <w:rFonts w:hint="eastAsia" w:ascii="宋体" w:hAnsi="宋体" w:cs="宋体"/>
          <w:szCs w:val="21"/>
        </w:rPr>
        <w:t>《人民防空工程设计防火规范》(GB50098-98)</w:t>
      </w:r>
    </w:p>
    <w:p>
      <w:pPr>
        <w:rPr>
          <w:rFonts w:hint="eastAsia" w:ascii="黑体" w:eastAsia="黑体"/>
          <w:szCs w:val="21"/>
        </w:rPr>
      </w:pPr>
    </w:p>
    <w:p>
      <w:pPr>
        <w:pStyle w:val="3"/>
        <w:rPr>
          <w:rFonts w:hint="eastAsia"/>
          <w:b w:val="0"/>
          <w:sz w:val="28"/>
          <w:szCs w:val="28"/>
        </w:rPr>
      </w:pPr>
      <w:bookmarkStart w:id="1" w:name="_Toc242860561"/>
      <w:bookmarkStart w:id="2" w:name="_Toc361990760"/>
      <w:r>
        <w:rPr>
          <w:rFonts w:hint="eastAsia"/>
          <w:b w:val="0"/>
          <w:sz w:val="28"/>
          <w:szCs w:val="28"/>
        </w:rPr>
        <w:t>（一）主要施工方法和技术组织措施</w:t>
      </w:r>
      <w:bookmarkEnd w:id="1"/>
      <w:bookmarkEnd w:id="2"/>
    </w:p>
    <w:p>
      <w:pPr>
        <w:pStyle w:val="4"/>
        <w:rPr>
          <w:rFonts w:hint="eastAsia" w:ascii="黑体" w:eastAsia="黑体"/>
          <w:b w:val="0"/>
          <w:sz w:val="28"/>
          <w:szCs w:val="28"/>
        </w:rPr>
      </w:pPr>
      <w:bookmarkStart w:id="3" w:name="_Toc91062481"/>
      <w:bookmarkStart w:id="4" w:name="_Toc93118947"/>
      <w:bookmarkStart w:id="5" w:name="_Toc122259357"/>
      <w:bookmarkStart w:id="6" w:name="_Toc361990761"/>
      <w:bookmarkStart w:id="7" w:name="_Toc242860562"/>
      <w:r>
        <w:rPr>
          <w:rFonts w:hint="eastAsia" w:ascii="黑体" w:eastAsia="黑体"/>
          <w:b w:val="0"/>
          <w:sz w:val="28"/>
          <w:szCs w:val="28"/>
        </w:rPr>
        <w:t>1、火灾自动报警系统施工</w:t>
      </w:r>
      <w:bookmarkEnd w:id="3"/>
      <w:bookmarkEnd w:id="4"/>
      <w:bookmarkEnd w:id="5"/>
      <w:r>
        <w:rPr>
          <w:rFonts w:hint="eastAsia" w:ascii="黑体" w:eastAsia="黑体"/>
          <w:b w:val="0"/>
          <w:sz w:val="28"/>
          <w:szCs w:val="28"/>
        </w:rPr>
        <w:t>方法</w:t>
      </w:r>
      <w:bookmarkEnd w:id="6"/>
      <w:bookmarkEnd w:id="7"/>
    </w:p>
    <w:p>
      <w:pPr>
        <w:pStyle w:val="5"/>
        <w:jc w:val="both"/>
        <w:rPr>
          <w:rFonts w:hint="eastAsia" w:ascii="黑体" w:hAnsi="黑体"/>
          <w:b w:val="0"/>
          <w:bCs w:val="0"/>
          <w:sz w:val="24"/>
          <w:szCs w:val="24"/>
        </w:rPr>
      </w:pPr>
      <w:bookmarkStart w:id="8" w:name="_Toc242860563"/>
      <w:bookmarkStart w:id="9" w:name="_Toc361990762"/>
      <w:r>
        <w:rPr>
          <w:rFonts w:hint="eastAsia" w:ascii="黑体"/>
          <w:b w:val="0"/>
          <w:sz w:val="24"/>
          <w:szCs w:val="24"/>
        </w:rPr>
        <w:t>1.1</w:t>
      </w:r>
      <w:r>
        <w:rPr>
          <w:rFonts w:hint="eastAsia"/>
          <w:b w:val="0"/>
          <w:sz w:val="24"/>
          <w:szCs w:val="24"/>
        </w:rPr>
        <w:t>、施工准备</w:t>
      </w:r>
      <w:bookmarkEnd w:id="8"/>
      <w:bookmarkEnd w:id="9"/>
    </w:p>
    <w:p>
      <w:pPr>
        <w:spacing w:after="120" w:line="560" w:lineRule="exact"/>
        <w:ind w:firstLine="359" w:firstLineChars="171"/>
        <w:rPr>
          <w:rFonts w:hint="eastAsia" w:ascii="宋体" w:hAnsi="宋体" w:cs="Courier New"/>
          <w:szCs w:val="21"/>
        </w:rPr>
      </w:pPr>
      <w:r>
        <w:rPr>
          <w:rFonts w:hint="eastAsia" w:ascii="黑体" w:hAnsi="宋体" w:eastAsia="黑体" w:cs="Courier New"/>
          <w:szCs w:val="21"/>
        </w:rPr>
        <w:t>1.1 .1</w:t>
      </w:r>
      <w:r>
        <w:rPr>
          <w:rFonts w:hint="eastAsia" w:ascii="宋体" w:hAnsi="宋体" w:cs="Courier New"/>
          <w:szCs w:val="21"/>
        </w:rPr>
        <w:t>接到施工任务后，首先应对图纸进行会审，同时熟悉结构图、建筑图、装修图及其它专业的有关图纸，找到影响施工的设计问题组织设计交底，解决设计施工方面存在的问题，办理好技术变更洽商，确定施工方法和配备相应的劳动力、设备、材料、机具等。同时配备配套的生活、生产临时设施。</w:t>
      </w:r>
    </w:p>
    <w:p>
      <w:pPr>
        <w:spacing w:after="120" w:line="560" w:lineRule="exact"/>
        <w:ind w:firstLine="359" w:firstLineChars="171"/>
        <w:rPr>
          <w:rFonts w:hint="eastAsia" w:ascii="宋体" w:hAnsi="宋体" w:cs="Courier New"/>
          <w:szCs w:val="21"/>
        </w:rPr>
      </w:pPr>
      <w:r>
        <w:rPr>
          <w:rFonts w:hint="eastAsia" w:ascii="黑体" w:hAnsi="宋体" w:eastAsia="黑体" w:cs="Courier New"/>
          <w:szCs w:val="21"/>
        </w:rPr>
        <w:t>1.1.2</w:t>
      </w:r>
      <w:r>
        <w:rPr>
          <w:rFonts w:hint="eastAsia" w:ascii="宋体" w:hAnsi="宋体" w:cs="Courier New"/>
          <w:szCs w:val="21"/>
        </w:rPr>
        <w:t xml:space="preserve"> 一般火灾自动报警系统的主要设备材料选用应符合6-1“消防工程安装的通用要求”的有关内容。</w:t>
      </w:r>
    </w:p>
    <w:p>
      <w:pPr>
        <w:spacing w:after="120" w:line="560" w:lineRule="exact"/>
        <w:ind w:firstLine="359" w:firstLineChars="171"/>
        <w:rPr>
          <w:rFonts w:hint="eastAsia" w:ascii="宋体" w:hAnsi="宋体" w:cs="Courier New"/>
          <w:szCs w:val="21"/>
        </w:rPr>
      </w:pPr>
      <w:r>
        <w:rPr>
          <w:rFonts w:hint="eastAsia" w:ascii="黑体" w:hAnsi="宋体" w:eastAsia="黑体" w:cs="Courier New"/>
          <w:szCs w:val="21"/>
        </w:rPr>
        <w:t>1.1.3</w:t>
      </w:r>
      <w:r>
        <w:rPr>
          <w:rFonts w:hint="eastAsia" w:ascii="宋体" w:hAnsi="宋体" w:cs="Courier New"/>
          <w:szCs w:val="21"/>
        </w:rPr>
        <w:t>主要设备：区域火灾报警控制器；集中报警控制设备；火灾探测器（感烟、感温、燃气等）；手动火灾报警按钮；声光显示报警器；各类模块（中继器）；各种联动控制及信号反馈设备；</w:t>
      </w:r>
    </w:p>
    <w:p>
      <w:pPr>
        <w:spacing w:after="120" w:line="560" w:lineRule="exact"/>
        <w:ind w:firstLine="359" w:firstLineChars="171"/>
        <w:rPr>
          <w:rFonts w:hint="eastAsia" w:ascii="宋体" w:hAnsi="宋体" w:cs="Courier New"/>
          <w:szCs w:val="21"/>
        </w:rPr>
      </w:pPr>
      <w:r>
        <w:rPr>
          <w:rFonts w:hint="eastAsia" w:ascii="黑体" w:hAnsi="宋体" w:eastAsia="黑体" w:cs="Courier New"/>
          <w:szCs w:val="21"/>
        </w:rPr>
        <w:t>1.1.4</w:t>
      </w:r>
      <w:r>
        <w:rPr>
          <w:rFonts w:hint="eastAsia" w:ascii="宋体" w:hAnsi="宋体" w:cs="Courier New"/>
          <w:szCs w:val="21"/>
        </w:rPr>
        <w:t xml:space="preserve"> 一般常用的材料：</w:t>
      </w:r>
    </w:p>
    <w:p>
      <w:pPr>
        <w:spacing w:after="120" w:line="560" w:lineRule="exact"/>
        <w:ind w:firstLine="359" w:firstLineChars="171"/>
        <w:rPr>
          <w:rFonts w:hint="eastAsia" w:ascii="宋体" w:hAnsi="宋体" w:cs="Courier New"/>
          <w:szCs w:val="21"/>
        </w:rPr>
      </w:pPr>
      <w:r>
        <w:rPr>
          <w:rFonts w:hint="eastAsia" w:ascii="宋体" w:hAnsi="宋体" w:cs="Courier New"/>
          <w:szCs w:val="21"/>
        </w:rPr>
        <w:t>管材、型钢、线槽、电线、电缆、金属软管、防火涂料、异型塑料管、阴燃塑料管、接线盒、管箍、根母、护口、管卡子、焊条、氧气、乙炔、钢丝、铅丝、防锈漆、膨胀螺栓、胀塞、成套螺丝、焊油、焊锡、电池、机油、锯条、记号笔、绑带等。</w:t>
      </w:r>
    </w:p>
    <w:p>
      <w:pPr>
        <w:spacing w:after="120" w:line="560" w:lineRule="exact"/>
        <w:ind w:firstLine="359" w:firstLineChars="171"/>
        <w:rPr>
          <w:rFonts w:hint="eastAsia" w:ascii="宋体" w:hAnsi="宋体" w:cs="Courier New"/>
          <w:szCs w:val="21"/>
        </w:rPr>
      </w:pPr>
      <w:r>
        <w:rPr>
          <w:rFonts w:hint="eastAsia" w:ascii="宋体" w:hAnsi="宋体" w:cs="Courier New"/>
          <w:szCs w:val="21"/>
        </w:rPr>
        <w:t>1.1.5 主要机具：</w:t>
      </w:r>
    </w:p>
    <w:p>
      <w:pPr>
        <w:spacing w:after="120" w:line="560" w:lineRule="exact"/>
        <w:ind w:firstLine="359" w:firstLineChars="171"/>
        <w:rPr>
          <w:rFonts w:hint="eastAsia" w:ascii="宋体" w:hAnsi="宋体" w:cs="Courier New"/>
          <w:szCs w:val="21"/>
        </w:rPr>
      </w:pPr>
      <w:r>
        <w:rPr>
          <w:rFonts w:hint="eastAsia" w:ascii="宋体" w:hAnsi="宋体" w:cs="Courier New"/>
          <w:szCs w:val="21"/>
        </w:rPr>
        <w:t>套丝机、套丝板、液压煨弯器、手动煨弯器、电焊机、气焊工具、台钻、手电钻、砂轮锯、电锤、开孔器、压线钳子、射钉枪、钢锯、手锤、活扳手、水平尺、直尺、角尺、钢卷尺、线坠、电烙铁、电炉子、锡锅、扁锉、圆锉、压力案子、压力钳子、电工工具、工具箱、万能表、兆欧表、试铃、对讲电话、步话机、试烟器、手提电吹风机等机具。</w:t>
      </w:r>
    </w:p>
    <w:p>
      <w:pPr>
        <w:spacing w:line="560" w:lineRule="exact"/>
        <w:rPr>
          <w:rFonts w:hint="eastAsia"/>
          <w:szCs w:val="21"/>
        </w:rPr>
      </w:pPr>
      <w:bookmarkStart w:id="10" w:name="_Toc91062482"/>
      <w:bookmarkStart w:id="11" w:name="_Toc93118948"/>
      <w:bookmarkStart w:id="12" w:name="_Toc122259358"/>
      <w:bookmarkStart w:id="13" w:name="_Toc242860564"/>
      <w:r>
        <w:rPr>
          <w:rFonts w:hint="eastAsia" w:ascii="黑体"/>
          <w:b/>
          <w:sz w:val="24"/>
        </w:rPr>
        <w:t>1.2、施工流程</w:t>
      </w:r>
      <w:bookmarkEnd w:id="10"/>
      <w:bookmarkEnd w:id="11"/>
      <w:bookmarkEnd w:id="12"/>
      <w:bookmarkEnd w:id="13"/>
    </w:p>
    <w:p>
      <w:pPr>
        <w:rPr>
          <w:szCs w:val="21"/>
        </w:rPr>
      </w:pPr>
    </w:p>
    <w:p>
      <w:pPr>
        <w:rPr>
          <w:rFonts w:hint="eastAsia"/>
          <w:szCs w:val="21"/>
        </w:rPr>
      </w:pPr>
      <w:bookmarkStart w:id="14" w:name="_Toc91061953"/>
      <w:bookmarkStart w:id="15" w:name="_Toc91062483"/>
      <w:bookmarkStart w:id="16" w:name="_Toc93118366"/>
      <w:bookmarkStart w:id="17" w:name="_Toc93118949"/>
      <w:bookmarkStart w:id="18" w:name="_Toc122259359"/>
      <w:r>
        <w:rPr>
          <w:szCs w:val="21"/>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3886200" cy="5829300"/>
                <wp:effectExtent l="4445" t="4445" r="14605" b="14605"/>
                <wp:wrapNone/>
                <wp:docPr id="44" name="组合 2"/>
                <wp:cNvGraphicFramePr/>
                <a:graphic xmlns:a="http://schemas.openxmlformats.org/drawingml/2006/main">
                  <a:graphicData uri="http://schemas.microsoft.com/office/word/2010/wordprocessingGroup">
                    <wpg:wgp>
                      <wpg:cNvGrpSpPr/>
                      <wpg:grpSpPr>
                        <a:xfrm>
                          <a:off x="0" y="0"/>
                          <a:ext cx="3886200" cy="5829300"/>
                          <a:chOff x="3012" y="3820"/>
                          <a:chExt cx="6300" cy="10710"/>
                        </a:xfrm>
                      </wpg:grpSpPr>
                      <wps:wsp>
                        <wps:cNvPr id="1" name="直线 3"/>
                        <wps:cNvSpPr/>
                        <wps:spPr>
                          <a:xfrm>
                            <a:off x="5712" y="4330"/>
                            <a:ext cx="0" cy="496"/>
                          </a:xfrm>
                          <a:prstGeom prst="line">
                            <a:avLst/>
                          </a:prstGeom>
                          <a:ln w="9525" cap="flat" cmpd="sng">
                            <a:solidFill>
                              <a:srgbClr val="000000"/>
                            </a:solidFill>
                            <a:prstDash val="solid"/>
                            <a:headEnd type="none" w="med" len="med"/>
                            <a:tailEnd type="triangle" w="med" len="med"/>
                          </a:ln>
                        </wps:spPr>
                        <wps:bodyPr upright="1"/>
                      </wps:wsp>
                      <wps:wsp>
                        <wps:cNvPr id="2" name="直线 4"/>
                        <wps:cNvSpPr/>
                        <wps:spPr>
                          <a:xfrm>
                            <a:off x="5712" y="5350"/>
                            <a:ext cx="0" cy="468"/>
                          </a:xfrm>
                          <a:prstGeom prst="line">
                            <a:avLst/>
                          </a:prstGeom>
                          <a:ln w="9525" cap="flat" cmpd="sng">
                            <a:solidFill>
                              <a:srgbClr val="000000"/>
                            </a:solidFill>
                            <a:prstDash val="solid"/>
                            <a:headEnd type="none" w="med" len="med"/>
                            <a:tailEnd type="triangle" w="med" len="med"/>
                          </a:ln>
                        </wps:spPr>
                        <wps:bodyPr upright="1"/>
                      </wps:wsp>
                      <wps:wsp>
                        <wps:cNvPr id="3" name="直线 5"/>
                        <wps:cNvSpPr/>
                        <wps:spPr>
                          <a:xfrm>
                            <a:off x="5712" y="6370"/>
                            <a:ext cx="0" cy="468"/>
                          </a:xfrm>
                          <a:prstGeom prst="line">
                            <a:avLst/>
                          </a:prstGeom>
                          <a:ln w="9525" cap="flat" cmpd="sng">
                            <a:solidFill>
                              <a:srgbClr val="000000"/>
                            </a:solidFill>
                            <a:prstDash val="solid"/>
                            <a:headEnd type="none" w="med" len="med"/>
                            <a:tailEnd type="triangle" w="med" len="med"/>
                          </a:ln>
                        </wps:spPr>
                        <wps:bodyPr upright="1"/>
                      </wps:wsp>
                      <wps:wsp>
                        <wps:cNvPr id="4" name="直线 6"/>
                        <wps:cNvSpPr/>
                        <wps:spPr>
                          <a:xfrm>
                            <a:off x="5712" y="7390"/>
                            <a:ext cx="0" cy="468"/>
                          </a:xfrm>
                          <a:prstGeom prst="line">
                            <a:avLst/>
                          </a:prstGeom>
                          <a:ln w="9525" cap="flat" cmpd="sng">
                            <a:solidFill>
                              <a:srgbClr val="000000"/>
                            </a:solidFill>
                            <a:prstDash val="solid"/>
                            <a:headEnd type="none" w="med" len="med"/>
                            <a:tailEnd type="triangle" w="med" len="med"/>
                          </a:ln>
                        </wps:spPr>
                        <wps:bodyPr upright="1"/>
                      </wps:wsp>
                      <wps:wsp>
                        <wps:cNvPr id="5" name="直线 7"/>
                        <wps:cNvSpPr/>
                        <wps:spPr>
                          <a:xfrm>
                            <a:off x="5712" y="8410"/>
                            <a:ext cx="0" cy="468"/>
                          </a:xfrm>
                          <a:prstGeom prst="line">
                            <a:avLst/>
                          </a:prstGeom>
                          <a:ln w="9525" cap="flat" cmpd="sng">
                            <a:solidFill>
                              <a:srgbClr val="000000"/>
                            </a:solidFill>
                            <a:prstDash val="solid"/>
                            <a:headEnd type="none" w="med" len="med"/>
                            <a:tailEnd type="triangle" w="med" len="med"/>
                          </a:ln>
                        </wps:spPr>
                        <wps:bodyPr upright="1"/>
                      </wps:wsp>
                      <wps:wsp>
                        <wps:cNvPr id="6" name="直线 8"/>
                        <wps:cNvSpPr/>
                        <wps:spPr>
                          <a:xfrm>
                            <a:off x="5712" y="9430"/>
                            <a:ext cx="0" cy="468"/>
                          </a:xfrm>
                          <a:prstGeom prst="line">
                            <a:avLst/>
                          </a:prstGeom>
                          <a:ln w="9525" cap="flat" cmpd="sng">
                            <a:solidFill>
                              <a:srgbClr val="000000"/>
                            </a:solidFill>
                            <a:prstDash val="solid"/>
                            <a:headEnd type="none" w="med" len="med"/>
                            <a:tailEnd type="triangle" w="med" len="med"/>
                          </a:ln>
                        </wps:spPr>
                        <wps:bodyPr upright="1"/>
                      </wps:wsp>
                      <wps:wsp>
                        <wps:cNvPr id="7" name="直线 9"/>
                        <wps:cNvSpPr/>
                        <wps:spPr>
                          <a:xfrm>
                            <a:off x="5712" y="10450"/>
                            <a:ext cx="0" cy="468"/>
                          </a:xfrm>
                          <a:prstGeom prst="line">
                            <a:avLst/>
                          </a:prstGeom>
                          <a:ln w="9525" cap="flat" cmpd="sng">
                            <a:solidFill>
                              <a:srgbClr val="000000"/>
                            </a:solidFill>
                            <a:prstDash val="solid"/>
                            <a:headEnd type="none" w="med" len="med"/>
                            <a:tailEnd type="triangle" w="med" len="med"/>
                          </a:ln>
                        </wps:spPr>
                        <wps:bodyPr upright="1"/>
                      </wps:wsp>
                      <wps:wsp>
                        <wps:cNvPr id="8" name="直线 10"/>
                        <wps:cNvSpPr/>
                        <wps:spPr>
                          <a:xfrm>
                            <a:off x="5712" y="11470"/>
                            <a:ext cx="0" cy="468"/>
                          </a:xfrm>
                          <a:prstGeom prst="line">
                            <a:avLst/>
                          </a:prstGeom>
                          <a:ln w="9525" cap="flat" cmpd="sng">
                            <a:solidFill>
                              <a:srgbClr val="000000"/>
                            </a:solidFill>
                            <a:prstDash val="solid"/>
                            <a:headEnd type="none" w="med" len="med"/>
                            <a:tailEnd type="triangle" w="med" len="med"/>
                          </a:ln>
                        </wps:spPr>
                        <wps:bodyPr upright="1"/>
                      </wps:wsp>
                      <wps:wsp>
                        <wps:cNvPr id="9" name="直线 11"/>
                        <wps:cNvSpPr/>
                        <wps:spPr>
                          <a:xfrm>
                            <a:off x="5712" y="12490"/>
                            <a:ext cx="0" cy="468"/>
                          </a:xfrm>
                          <a:prstGeom prst="line">
                            <a:avLst/>
                          </a:prstGeom>
                          <a:ln w="9525" cap="flat" cmpd="sng">
                            <a:solidFill>
                              <a:srgbClr val="000000"/>
                            </a:solidFill>
                            <a:prstDash val="solid"/>
                            <a:headEnd type="none" w="med" len="med"/>
                            <a:tailEnd type="triangle" w="med" len="med"/>
                          </a:ln>
                        </wps:spPr>
                        <wps:bodyPr upright="1"/>
                      </wps:wsp>
                      <wps:wsp>
                        <wps:cNvPr id="10" name="直线 12"/>
                        <wps:cNvSpPr/>
                        <wps:spPr>
                          <a:xfrm>
                            <a:off x="5712" y="13510"/>
                            <a:ext cx="0" cy="468"/>
                          </a:xfrm>
                          <a:prstGeom prst="line">
                            <a:avLst/>
                          </a:prstGeom>
                          <a:ln w="9525" cap="flat" cmpd="sng">
                            <a:solidFill>
                              <a:srgbClr val="000000"/>
                            </a:solidFill>
                            <a:prstDash val="solid"/>
                            <a:headEnd type="none" w="med" len="med"/>
                            <a:tailEnd type="triangle" w="med" len="med"/>
                          </a:ln>
                        </wps:spPr>
                        <wps:bodyPr upright="1"/>
                      </wps:wsp>
                      <wps:wsp>
                        <wps:cNvPr id="11" name="直线 13"/>
                        <wps:cNvSpPr/>
                        <wps:spPr>
                          <a:xfrm>
                            <a:off x="6612" y="12150"/>
                            <a:ext cx="360" cy="0"/>
                          </a:xfrm>
                          <a:prstGeom prst="line">
                            <a:avLst/>
                          </a:prstGeom>
                          <a:ln w="9525" cap="flat" cmpd="sng">
                            <a:solidFill>
                              <a:srgbClr val="000000"/>
                            </a:solidFill>
                            <a:prstDash val="solid"/>
                            <a:headEnd type="none" w="med" len="med"/>
                            <a:tailEnd type="triangle" w="med" len="med"/>
                          </a:ln>
                        </wps:spPr>
                        <wps:bodyPr upright="1"/>
                      </wps:wsp>
                      <wps:wsp>
                        <wps:cNvPr id="12" name="直线 14"/>
                        <wps:cNvSpPr/>
                        <wps:spPr>
                          <a:xfrm>
                            <a:off x="6432" y="10110"/>
                            <a:ext cx="540" cy="0"/>
                          </a:xfrm>
                          <a:prstGeom prst="line">
                            <a:avLst/>
                          </a:prstGeom>
                          <a:ln w="9525" cap="flat" cmpd="sng">
                            <a:solidFill>
                              <a:srgbClr val="000000"/>
                            </a:solidFill>
                            <a:prstDash val="solid"/>
                            <a:headEnd type="none" w="med" len="med"/>
                            <a:tailEnd type="triangle" w="med" len="med"/>
                          </a:ln>
                        </wps:spPr>
                        <wps:bodyPr upright="1"/>
                      </wps:wsp>
                      <wps:wsp>
                        <wps:cNvPr id="13" name="直线 15"/>
                        <wps:cNvSpPr/>
                        <wps:spPr>
                          <a:xfrm>
                            <a:off x="6252" y="9090"/>
                            <a:ext cx="360" cy="0"/>
                          </a:xfrm>
                          <a:prstGeom prst="line">
                            <a:avLst/>
                          </a:prstGeom>
                          <a:ln w="9525" cap="flat" cmpd="sng">
                            <a:solidFill>
                              <a:srgbClr val="000000"/>
                            </a:solidFill>
                            <a:prstDash val="solid"/>
                            <a:headEnd type="none" w="med" len="med"/>
                            <a:tailEnd type="triangle" w="med" len="med"/>
                          </a:ln>
                        </wps:spPr>
                        <wps:bodyPr upright="1"/>
                      </wps:wsp>
                      <wps:wsp>
                        <wps:cNvPr id="14" name="直线 16"/>
                        <wps:cNvSpPr/>
                        <wps:spPr>
                          <a:xfrm>
                            <a:off x="8052" y="9090"/>
                            <a:ext cx="360" cy="0"/>
                          </a:xfrm>
                          <a:prstGeom prst="line">
                            <a:avLst/>
                          </a:prstGeom>
                          <a:ln w="9525" cap="flat" cmpd="sng">
                            <a:solidFill>
                              <a:srgbClr val="000000"/>
                            </a:solidFill>
                            <a:prstDash val="solid"/>
                            <a:headEnd type="none" w="med" len="med"/>
                            <a:tailEnd type="triangle" w="med" len="med"/>
                          </a:ln>
                        </wps:spPr>
                        <wps:bodyPr upright="1"/>
                      </wps:wsp>
                      <wps:wsp>
                        <wps:cNvPr id="15" name="直线 17"/>
                        <wps:cNvSpPr/>
                        <wps:spPr>
                          <a:xfrm flipH="1">
                            <a:off x="4812" y="9090"/>
                            <a:ext cx="540" cy="0"/>
                          </a:xfrm>
                          <a:prstGeom prst="line">
                            <a:avLst/>
                          </a:prstGeom>
                          <a:ln w="9525" cap="flat" cmpd="sng">
                            <a:solidFill>
                              <a:srgbClr val="000000"/>
                            </a:solidFill>
                            <a:prstDash val="solid"/>
                            <a:headEnd type="none" w="med" len="med"/>
                            <a:tailEnd type="triangle" w="med" len="med"/>
                          </a:ln>
                        </wps:spPr>
                        <wps:bodyPr upright="1"/>
                      </wps:wsp>
                      <wps:wsp>
                        <wps:cNvPr id="16" name="直线 18"/>
                        <wps:cNvSpPr/>
                        <wps:spPr>
                          <a:xfrm flipH="1">
                            <a:off x="4452" y="7036"/>
                            <a:ext cx="540" cy="0"/>
                          </a:xfrm>
                          <a:prstGeom prst="line">
                            <a:avLst/>
                          </a:prstGeom>
                          <a:ln w="9525" cap="flat" cmpd="sng">
                            <a:solidFill>
                              <a:srgbClr val="000000"/>
                            </a:solidFill>
                            <a:prstDash val="solid"/>
                            <a:headEnd type="none" w="med" len="med"/>
                            <a:tailEnd type="triangle" w="med" len="med"/>
                          </a:ln>
                        </wps:spPr>
                        <wps:bodyPr upright="1"/>
                      </wps:wsp>
                      <wps:wsp>
                        <wps:cNvPr id="17" name="直线 19"/>
                        <wps:cNvSpPr/>
                        <wps:spPr>
                          <a:xfrm>
                            <a:off x="6612" y="5010"/>
                            <a:ext cx="540" cy="0"/>
                          </a:xfrm>
                          <a:prstGeom prst="line">
                            <a:avLst/>
                          </a:prstGeom>
                          <a:ln w="9525" cap="flat" cmpd="sng">
                            <a:solidFill>
                              <a:srgbClr val="000000"/>
                            </a:solidFill>
                            <a:prstDash val="solid"/>
                            <a:headEnd type="none" w="med" len="med"/>
                            <a:tailEnd type="triangle" w="med" len="med"/>
                          </a:ln>
                        </wps:spPr>
                        <wps:bodyPr upright="1"/>
                      </wps:wsp>
                      <wps:wsp>
                        <wps:cNvPr id="18" name="直线 20"/>
                        <wps:cNvSpPr/>
                        <wps:spPr>
                          <a:xfrm>
                            <a:off x="6612" y="4500"/>
                            <a:ext cx="0" cy="0"/>
                          </a:xfrm>
                          <a:prstGeom prst="line">
                            <a:avLst/>
                          </a:prstGeom>
                          <a:ln w="9525" cap="flat" cmpd="sng">
                            <a:solidFill>
                              <a:srgbClr val="000000"/>
                            </a:solidFill>
                            <a:prstDash val="solid"/>
                            <a:headEnd type="none" w="med" len="med"/>
                            <a:tailEnd type="none" w="med" len="med"/>
                          </a:ln>
                        </wps:spPr>
                        <wps:bodyPr upright="1"/>
                      </wps:wsp>
                      <wps:wsp>
                        <wps:cNvPr id="19" name="直线 21"/>
                        <wps:cNvSpPr/>
                        <wps:spPr>
                          <a:xfrm>
                            <a:off x="6612" y="3990"/>
                            <a:ext cx="540" cy="0"/>
                          </a:xfrm>
                          <a:prstGeom prst="line">
                            <a:avLst/>
                          </a:prstGeom>
                          <a:ln w="9525" cap="flat" cmpd="sng">
                            <a:solidFill>
                              <a:srgbClr val="000000"/>
                            </a:solidFill>
                            <a:prstDash val="solid"/>
                            <a:headEnd type="none" w="med" len="med"/>
                            <a:tailEnd type="triangle" w="med" len="med"/>
                          </a:ln>
                        </wps:spPr>
                        <wps:bodyPr upright="1"/>
                      </wps:wsp>
                      <wps:wsp>
                        <wps:cNvPr id="20" name="直线 22"/>
                        <wps:cNvSpPr/>
                        <wps:spPr>
                          <a:xfrm>
                            <a:off x="7692" y="5350"/>
                            <a:ext cx="0" cy="680"/>
                          </a:xfrm>
                          <a:prstGeom prst="line">
                            <a:avLst/>
                          </a:prstGeom>
                          <a:ln w="9525" cap="flat" cmpd="sng">
                            <a:solidFill>
                              <a:srgbClr val="000000"/>
                            </a:solidFill>
                            <a:prstDash val="solid"/>
                            <a:headEnd type="none" w="med" len="med"/>
                            <a:tailEnd type="none" w="med" len="med"/>
                          </a:ln>
                        </wps:spPr>
                        <wps:bodyPr upright="1"/>
                      </wps:wsp>
                      <wps:wsp>
                        <wps:cNvPr id="21" name="直线 23"/>
                        <wps:cNvSpPr/>
                        <wps:spPr>
                          <a:xfrm flipH="1">
                            <a:off x="6432" y="6016"/>
                            <a:ext cx="1260" cy="14"/>
                          </a:xfrm>
                          <a:prstGeom prst="line">
                            <a:avLst/>
                          </a:prstGeom>
                          <a:ln w="9525" cap="flat" cmpd="sng">
                            <a:solidFill>
                              <a:srgbClr val="000000"/>
                            </a:solidFill>
                            <a:prstDash val="solid"/>
                            <a:headEnd type="none" w="med" len="med"/>
                            <a:tailEnd type="triangle" w="med" len="med"/>
                          </a:ln>
                        </wps:spPr>
                        <wps:bodyPr upright="1"/>
                      </wps:wsp>
                      <wps:wsp>
                        <wps:cNvPr id="22" name="直线 24"/>
                        <wps:cNvSpPr/>
                        <wps:spPr>
                          <a:xfrm>
                            <a:off x="9132" y="4160"/>
                            <a:ext cx="0" cy="2890"/>
                          </a:xfrm>
                          <a:prstGeom prst="line">
                            <a:avLst/>
                          </a:prstGeom>
                          <a:ln w="9525" cap="flat" cmpd="sng">
                            <a:solidFill>
                              <a:srgbClr val="000000"/>
                            </a:solidFill>
                            <a:prstDash val="solid"/>
                            <a:headEnd type="none" w="med" len="med"/>
                            <a:tailEnd type="none" w="med" len="med"/>
                          </a:ln>
                        </wps:spPr>
                        <wps:bodyPr upright="1"/>
                      </wps:wsp>
                      <wps:wsp>
                        <wps:cNvPr id="23" name="直线 25"/>
                        <wps:cNvSpPr/>
                        <wps:spPr>
                          <a:xfrm flipH="1">
                            <a:off x="6432" y="7050"/>
                            <a:ext cx="2700" cy="0"/>
                          </a:xfrm>
                          <a:prstGeom prst="line">
                            <a:avLst/>
                          </a:prstGeom>
                          <a:ln w="9525" cap="flat" cmpd="sng">
                            <a:solidFill>
                              <a:srgbClr val="000000"/>
                            </a:solidFill>
                            <a:prstDash val="solid"/>
                            <a:headEnd type="none" w="med" len="med"/>
                            <a:tailEnd type="triangle" w="med" len="med"/>
                          </a:ln>
                        </wps:spPr>
                        <wps:bodyPr upright="1"/>
                      </wps:wsp>
                      <wps:wsp>
                        <wps:cNvPr id="24" name="文本框 26"/>
                        <wps:cNvSpPr txBox="1"/>
                        <wps:spPr>
                          <a:xfrm>
                            <a:off x="4632" y="3820"/>
                            <a:ext cx="198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机械/材料进场</w:t>
                              </w:r>
                            </w:p>
                          </w:txbxContent>
                        </wps:txbx>
                        <wps:bodyPr upright="1"/>
                      </wps:wsp>
                      <wps:wsp>
                        <wps:cNvPr id="25" name="文本框 27"/>
                        <wps:cNvSpPr txBox="1"/>
                        <wps:spPr>
                          <a:xfrm>
                            <a:off x="7152" y="3820"/>
                            <a:ext cx="162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检查、入库</w:t>
                              </w:r>
                            </w:p>
                          </w:txbxContent>
                        </wps:txbx>
                        <wps:bodyPr upright="1"/>
                      </wps:wsp>
                      <wps:wsp>
                        <wps:cNvPr id="26" name="文本框 28"/>
                        <wps:cNvSpPr txBox="1"/>
                        <wps:spPr>
                          <a:xfrm>
                            <a:off x="3912" y="4840"/>
                            <a:ext cx="27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现场勘测/预埋件检查</w:t>
                              </w:r>
                            </w:p>
                          </w:txbxContent>
                        </wps:txbx>
                        <wps:bodyPr upright="1"/>
                      </wps:wsp>
                      <wps:wsp>
                        <wps:cNvPr id="27" name="文本框 29"/>
                        <wps:cNvSpPr txBox="1"/>
                        <wps:spPr>
                          <a:xfrm>
                            <a:off x="7152" y="484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测量放线</w:t>
                              </w:r>
                            </w:p>
                          </w:txbxContent>
                        </wps:txbx>
                        <wps:bodyPr upright="1"/>
                      </wps:wsp>
                      <wps:wsp>
                        <wps:cNvPr id="28" name="文本框 30"/>
                        <wps:cNvSpPr txBox="1"/>
                        <wps:spPr>
                          <a:xfrm>
                            <a:off x="4992" y="586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定位找平</w:t>
                              </w:r>
                            </w:p>
                          </w:txbxContent>
                        </wps:txbx>
                        <wps:bodyPr upright="1"/>
                      </wps:wsp>
                      <wps:wsp>
                        <wps:cNvPr id="29" name="文本框 31"/>
                        <wps:cNvSpPr txBox="1"/>
                        <wps:spPr>
                          <a:xfrm>
                            <a:off x="3012" y="688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箱、盒安装</w:t>
                              </w:r>
                            </w:p>
                          </w:txbxContent>
                        </wps:txbx>
                        <wps:bodyPr upright="1"/>
                      </wps:wsp>
                      <wps:wsp>
                        <wps:cNvPr id="30" name="文本框 32"/>
                        <wps:cNvSpPr txBox="1"/>
                        <wps:spPr>
                          <a:xfrm>
                            <a:off x="4992" y="688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桥架安装</w:t>
                              </w:r>
                            </w:p>
                          </w:txbxContent>
                        </wps:txbx>
                        <wps:bodyPr upright="1"/>
                      </wps:wsp>
                      <wps:wsp>
                        <wps:cNvPr id="31" name="文本框 33"/>
                        <wps:cNvSpPr txBox="1"/>
                        <wps:spPr>
                          <a:xfrm>
                            <a:off x="4992" y="790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箱、盒保护</w:t>
                              </w:r>
                            </w:p>
                          </w:txbxContent>
                        </wps:txbx>
                        <wps:bodyPr upright="1"/>
                      </wps:wsp>
                      <wps:wsp>
                        <wps:cNvPr id="32" name="文本框 34"/>
                        <wps:cNvSpPr txBox="1"/>
                        <wps:spPr>
                          <a:xfrm>
                            <a:off x="3372" y="892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电线敷设</w:t>
                              </w:r>
                            </w:p>
                          </w:txbxContent>
                        </wps:txbx>
                        <wps:bodyPr upright="1"/>
                      </wps:wsp>
                      <wps:wsp>
                        <wps:cNvPr id="33" name="文本框 35"/>
                        <wps:cNvSpPr txBox="1"/>
                        <wps:spPr>
                          <a:xfrm>
                            <a:off x="5352" y="8920"/>
                            <a:ext cx="9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穿线</w:t>
                              </w:r>
                            </w:p>
                          </w:txbxContent>
                        </wps:txbx>
                        <wps:bodyPr upright="1"/>
                      </wps:wsp>
                      <wps:wsp>
                        <wps:cNvPr id="34" name="文本框 36"/>
                        <wps:cNvSpPr txBox="1"/>
                        <wps:spPr>
                          <a:xfrm>
                            <a:off x="6612" y="892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软管敷设</w:t>
                              </w:r>
                            </w:p>
                          </w:txbxContent>
                        </wps:txbx>
                        <wps:bodyPr upright="1"/>
                      </wps:wsp>
                      <wps:wsp>
                        <wps:cNvPr id="35" name="文本框 37"/>
                        <wps:cNvSpPr txBox="1"/>
                        <wps:spPr>
                          <a:xfrm>
                            <a:off x="8412" y="8920"/>
                            <a:ext cx="9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固定</w:t>
                              </w:r>
                            </w:p>
                          </w:txbxContent>
                        </wps:txbx>
                        <wps:bodyPr upright="1"/>
                      </wps:wsp>
                      <wps:wsp>
                        <wps:cNvPr id="36" name="文本框 38"/>
                        <wps:cNvSpPr txBox="1"/>
                        <wps:spPr>
                          <a:xfrm>
                            <a:off x="4992" y="994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线头焊接</w:t>
                              </w:r>
                            </w:p>
                          </w:txbxContent>
                        </wps:txbx>
                        <wps:bodyPr upright="1"/>
                      </wps:wsp>
                      <wps:wsp>
                        <wps:cNvPr id="37" name="文本框 39"/>
                        <wps:cNvSpPr txBox="1"/>
                        <wps:spPr>
                          <a:xfrm>
                            <a:off x="6972" y="994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电线测试</w:t>
                              </w:r>
                            </w:p>
                          </w:txbxContent>
                        </wps:txbx>
                        <wps:bodyPr upright="1"/>
                      </wps:wsp>
                      <wps:wsp>
                        <wps:cNvPr id="38" name="文本框 40"/>
                        <wps:cNvSpPr txBox="1"/>
                        <wps:spPr>
                          <a:xfrm>
                            <a:off x="4992" y="1096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设备安装</w:t>
                              </w:r>
                            </w:p>
                          </w:txbxContent>
                        </wps:txbx>
                        <wps:bodyPr upright="1"/>
                      </wps:wsp>
                      <wps:wsp>
                        <wps:cNvPr id="39" name="文本框 41"/>
                        <wps:cNvSpPr txBox="1"/>
                        <wps:spPr>
                          <a:xfrm>
                            <a:off x="4812" y="11980"/>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hAnsi="宋体"/>
                                  <w:sz w:val="24"/>
                                </w:rPr>
                                <w:t>电气绝缘测试</w:t>
                              </w:r>
                            </w:p>
                          </w:txbxContent>
                        </wps:txbx>
                        <wps:bodyPr upright="1"/>
                      </wps:wsp>
                      <wps:wsp>
                        <wps:cNvPr id="40" name="文本框 42"/>
                        <wps:cNvSpPr txBox="1"/>
                        <wps:spPr>
                          <a:xfrm>
                            <a:off x="6972" y="11980"/>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系统调试</w:t>
                              </w:r>
                            </w:p>
                          </w:txbxContent>
                        </wps:txbx>
                        <wps:bodyPr upright="1"/>
                      </wps:wsp>
                      <wps:wsp>
                        <wps:cNvPr id="41" name="文本框 43"/>
                        <wps:cNvSpPr txBox="1"/>
                        <wps:spPr>
                          <a:xfrm>
                            <a:off x="5172" y="13000"/>
                            <a:ext cx="108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试运行</w:t>
                              </w:r>
                            </w:p>
                          </w:txbxContent>
                        </wps:txbx>
                        <wps:bodyPr upright="1"/>
                      </wps:wsp>
                      <wps:wsp>
                        <wps:cNvPr id="42" name="文本框 44"/>
                        <wps:cNvSpPr txBox="1"/>
                        <wps:spPr>
                          <a:xfrm>
                            <a:off x="5172" y="14020"/>
                            <a:ext cx="108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hAnsi="宋体"/>
                                  <w:sz w:val="24"/>
                                </w:rPr>
                                <w:t>竣工</w:t>
                              </w:r>
                            </w:p>
                          </w:txbxContent>
                        </wps:txbx>
                        <wps:bodyPr upright="1"/>
                      </wps:wsp>
                      <wps:wsp>
                        <wps:cNvPr id="43" name="直线 45"/>
                        <wps:cNvSpPr/>
                        <wps:spPr>
                          <a:xfrm flipH="1">
                            <a:off x="8772" y="4160"/>
                            <a:ext cx="36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45pt;margin-top:0pt;height:459pt;width:306pt;z-index:251659264;mso-width-relative:page;mso-height-relative:page;" coordorigin="3012,3820" coordsize="6300,10710" o:gfxdata="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">
                <o:lock v:ext="edit" aspectratio="f"/>
                <v:line id="直线 3" o:spid="_x0000_s1026" o:spt="20" style="position:absolute;left:5712;top:4330;height:496;width:0;"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线 4" o:spid="_x0000_s1026" o:spt="20" style="position:absolute;left:5712;top:5350;height:468;width:0;"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 o:spid="_x0000_s1026" o:spt="20" style="position:absolute;left:5712;top:6370;height:468;width:0;"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6" o:spid="_x0000_s1026" o:spt="20" style="position:absolute;left:5712;top:7390;height:468;width: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7" o:spid="_x0000_s1026" o:spt="20" style="position:absolute;left:5712;top:8410;height:468;width:0;"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8" o:spid="_x0000_s1026" o:spt="20" style="position:absolute;left:5712;top:9430;height:468;width:0;"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9" o:spid="_x0000_s1026" o:spt="20" style="position:absolute;left:5712;top:10450;height:468;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0" o:spid="_x0000_s1026" o:spt="20" style="position:absolute;left:5712;top:11470;height:468;width: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线 11" o:spid="_x0000_s1026" o:spt="20" style="position:absolute;left:5712;top:12490;height:468;width:0;"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2" o:spid="_x0000_s1026" o:spt="20" style="position:absolute;left:5712;top:13510;height:468;width: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3" o:spid="_x0000_s1026" o:spt="20" style="position:absolute;left:6612;top:12150;height:0;width:36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4" o:spid="_x0000_s1026" o:spt="20" style="position:absolute;left:6432;top:10110;height:0;width:540;"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15" o:spid="_x0000_s1026" o:spt="20" style="position:absolute;left:6252;top:9090;height:0;width:360;"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6" o:spid="_x0000_s1026" o:spt="20" style="position:absolute;left:8052;top:9090;height:0;width:360;" filled="f" stroked="t"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7" o:spid="_x0000_s1026" o:spt="20" style="position:absolute;left:4812;top:9090;flip:x;height:0;width:540;" filled="f" stroked="t" coordsize="21600,21600" o:gfxdata="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Fe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8" o:spid="_x0000_s1026" o:spt="20" style="position:absolute;left:4452;top:7036;flip:x;height:0;width:540;"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9" o:spid="_x0000_s1026" o:spt="20" style="position:absolute;left:6612;top:5010;height:0;width:540;" filled="f" stroked="t" coordsize="21600,21600" o:gfxdata="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ZN+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20" o:spid="_x0000_s1026" o:spt="20" style="position:absolute;left:6612;top:4500;height:0;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1" o:spid="_x0000_s1026" o:spt="20" style="position:absolute;left:6612;top:3990;height:0;width:540;"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22" o:spid="_x0000_s1026" o:spt="20" style="position:absolute;left:7692;top:5350;height:680;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3" o:spid="_x0000_s1026" o:spt="20" style="position:absolute;left:6432;top:6016;flip:x;height:14;width:1260;"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4" o:spid="_x0000_s1026" o:spt="20" style="position:absolute;left:9132;top:4160;height:2890;width: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5" o:spid="_x0000_s1026" o:spt="20" style="position:absolute;left:6432;top:7050;flip:x;height:0;width:2700;" filled="f" stroked="t" coordsize="21600,21600" o:gfxdata="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Mjr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26" o:spid="_x0000_s1026" o:spt="202" type="#_x0000_t202" style="position:absolute;left:4632;top:3820;height:510;width:1980;"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hAnsi="宋体"/>
                            <w:sz w:val="24"/>
                          </w:rPr>
                          <w:t>机械/材料进场</w:t>
                        </w:r>
                      </w:p>
                    </w:txbxContent>
                  </v:textbox>
                </v:shape>
                <v:shape id="文本框 27" o:spid="_x0000_s1026" o:spt="202" type="#_x0000_t202" style="position:absolute;left:7152;top:3820;height:510;width:1620;"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hAnsi="宋体"/>
                            <w:sz w:val="24"/>
                          </w:rPr>
                          <w:t>检查、入库</w:t>
                        </w:r>
                      </w:p>
                    </w:txbxContent>
                  </v:textbox>
                </v:shape>
                <v:shape id="文本框 28" o:spid="_x0000_s1026" o:spt="202" type="#_x0000_t202" style="position:absolute;left:3912;top:4840;height:510;width:2700;"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hAnsi="宋体"/>
                            <w:sz w:val="24"/>
                          </w:rPr>
                          <w:t>现场勘测/预埋件检查</w:t>
                        </w:r>
                      </w:p>
                    </w:txbxContent>
                  </v:textbox>
                </v:shape>
                <v:shape id="文本框 29" o:spid="_x0000_s1026" o:spt="202" type="#_x0000_t202" style="position:absolute;left:7152;top:4840;height:510;width:1440;"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hAnsi="宋体"/>
                            <w:sz w:val="24"/>
                          </w:rPr>
                          <w:t>测量放线</w:t>
                        </w:r>
                      </w:p>
                    </w:txbxContent>
                  </v:textbox>
                </v:shape>
                <v:shape id="文本框 30" o:spid="_x0000_s1026" o:spt="202" type="#_x0000_t202" style="position:absolute;left:4992;top:5860;height:510;width:1440;"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hAnsi="宋体"/>
                            <w:sz w:val="24"/>
                          </w:rPr>
                          <w:t>定位找平</w:t>
                        </w:r>
                      </w:p>
                    </w:txbxContent>
                  </v:textbox>
                </v:shape>
                <v:shape id="文本框 31" o:spid="_x0000_s1026" o:spt="202" type="#_x0000_t202" style="position:absolute;left:3012;top:6880;height:510;width:1440;"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hAnsi="宋体"/>
                            <w:sz w:val="24"/>
                          </w:rPr>
                          <w:t>箱、盒安装</w:t>
                        </w:r>
                      </w:p>
                    </w:txbxContent>
                  </v:textbox>
                </v:shape>
                <v:shape id="文本框 32" o:spid="_x0000_s1026" o:spt="202" type="#_x0000_t202" style="position:absolute;left:4992;top:6880;height:510;width:1440;"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hAnsi="宋体"/>
                            <w:sz w:val="24"/>
                          </w:rPr>
                          <w:t>桥架安装</w:t>
                        </w:r>
                      </w:p>
                    </w:txbxContent>
                  </v:textbox>
                </v:shape>
                <v:shape id="文本框 33" o:spid="_x0000_s1026" o:spt="202" type="#_x0000_t202" style="position:absolute;left:4992;top:7900;height:510;width:1440;"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hAnsi="宋体"/>
                            <w:sz w:val="24"/>
                          </w:rPr>
                          <w:t>箱、盒保护</w:t>
                        </w:r>
                      </w:p>
                    </w:txbxContent>
                  </v:textbox>
                </v:shape>
                <v:shape id="文本框 34" o:spid="_x0000_s1026" o:spt="202" type="#_x0000_t202" style="position:absolute;left:3372;top:8920;height:510;width:1440;"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hAnsi="宋体"/>
                            <w:sz w:val="24"/>
                          </w:rPr>
                          <w:t>电线敷设</w:t>
                        </w:r>
                      </w:p>
                    </w:txbxContent>
                  </v:textbox>
                </v:shape>
                <v:shape id="文本框 35" o:spid="_x0000_s1026" o:spt="202" type="#_x0000_t202" style="position:absolute;left:5352;top:8920;height:510;width:900;"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hAnsi="宋体"/>
                            <w:sz w:val="24"/>
                          </w:rPr>
                          <w:t>穿线</w:t>
                        </w:r>
                      </w:p>
                    </w:txbxContent>
                  </v:textbox>
                </v:shape>
                <v:shape id="文本框 36" o:spid="_x0000_s1026" o:spt="202" type="#_x0000_t202" style="position:absolute;left:6612;top:8920;height:510;width:1440;"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hAnsi="宋体"/>
                            <w:sz w:val="24"/>
                          </w:rPr>
                          <w:t>软管敷设</w:t>
                        </w:r>
                      </w:p>
                    </w:txbxContent>
                  </v:textbox>
                </v:shape>
                <v:shape id="文本框 37" o:spid="_x0000_s1026" o:spt="202" type="#_x0000_t202" style="position:absolute;left:8412;top:8920;height:510;width:900;"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hAnsi="宋体"/>
                            <w:sz w:val="24"/>
                          </w:rPr>
                          <w:t>固定</w:t>
                        </w:r>
                      </w:p>
                    </w:txbxContent>
                  </v:textbox>
                </v:shape>
                <v:shape id="文本框 38" o:spid="_x0000_s1026" o:spt="202" type="#_x0000_t202" style="position:absolute;left:4992;top:9940;height:510;width:1440;"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hAnsi="宋体"/>
                            <w:sz w:val="24"/>
                          </w:rPr>
                          <w:t>线头焊接</w:t>
                        </w:r>
                      </w:p>
                    </w:txbxContent>
                  </v:textbox>
                </v:shape>
                <v:shape id="文本框 39" o:spid="_x0000_s1026" o:spt="202" type="#_x0000_t202" style="position:absolute;left:6972;top:9940;height:510;width:1440;"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hAnsi="宋体"/>
                            <w:sz w:val="24"/>
                          </w:rPr>
                          <w:t>电线测试</w:t>
                        </w:r>
                      </w:p>
                    </w:txbxContent>
                  </v:textbox>
                </v:shape>
                <v:shape id="文本框 40" o:spid="_x0000_s1026" o:spt="202" type="#_x0000_t202" style="position:absolute;left:4992;top:10960;height:510;width:1440;"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hAnsi="宋体"/>
                            <w:sz w:val="24"/>
                          </w:rPr>
                          <w:t>设备安装</w:t>
                        </w:r>
                      </w:p>
                    </w:txbxContent>
                  </v:textbox>
                </v:shape>
                <v:shape id="文本框 41" o:spid="_x0000_s1026" o:spt="202" type="#_x0000_t202" style="position:absolute;left:4812;top:11980;height:510;width:1800;"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hAnsi="宋体"/>
                            <w:sz w:val="24"/>
                          </w:rPr>
                          <w:t>电气绝缘测试</w:t>
                        </w:r>
                      </w:p>
                    </w:txbxContent>
                  </v:textbox>
                </v:shape>
                <v:shape id="文本框 42" o:spid="_x0000_s1026" o:spt="202" type="#_x0000_t202" style="position:absolute;left:6972;top:11980;height:510;width:1440;"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hAnsi="宋体"/>
                            <w:sz w:val="24"/>
                          </w:rPr>
                          <w:t>系统调试</w:t>
                        </w:r>
                      </w:p>
                    </w:txbxContent>
                  </v:textbox>
                </v:shape>
                <v:shape id="文本框 43" o:spid="_x0000_s1026" o:spt="202" type="#_x0000_t202" style="position:absolute;left:5172;top:13000;height:510;width:1080;"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hAnsi="宋体"/>
                            <w:sz w:val="24"/>
                          </w:rPr>
                          <w:t>试运行</w:t>
                        </w:r>
                      </w:p>
                    </w:txbxContent>
                  </v:textbox>
                </v:shape>
                <v:shape id="文本框 44" o:spid="_x0000_s1026" o:spt="202" type="#_x0000_t202" style="position:absolute;left:5172;top:14020;height:510;width:1080;"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hAnsi="宋体"/>
                            <w:sz w:val="24"/>
                          </w:rPr>
                          <w:t>竣工</w:t>
                        </w:r>
                      </w:p>
                    </w:txbxContent>
                  </v:textbox>
                </v:shape>
                <v:line id="直线 45" o:spid="_x0000_s1026" o:spt="20" style="position:absolute;left:8772;top:4160;flip:x;height:0;width:36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szCs w:val="21"/>
        </w:rPr>
        <w:br w:type="page"/>
      </w:r>
      <w:bookmarkStart w:id="19" w:name="_Toc91062484"/>
      <w:bookmarkStart w:id="20" w:name="_Toc93118950"/>
      <w:bookmarkStart w:id="21" w:name="_Toc122259360"/>
      <w:bookmarkStart w:id="22" w:name="_Toc242860565"/>
      <w:r>
        <w:rPr>
          <w:rFonts w:hint="eastAsia" w:ascii="黑体" w:hAnsi="黑体" w:cs="Arial"/>
          <w:b/>
          <w:bCs/>
          <w:sz w:val="24"/>
        </w:rPr>
        <w:t>1.3</w:t>
      </w:r>
      <w:r>
        <w:rPr>
          <w:rFonts w:hint="eastAsia" w:ascii="黑体" w:hAnsi="黑体"/>
          <w:b/>
          <w:bCs/>
          <w:sz w:val="24"/>
        </w:rPr>
        <w:t>、主要施工工序</w:t>
      </w:r>
      <w:bookmarkEnd w:id="14"/>
      <w:bookmarkEnd w:id="15"/>
      <w:bookmarkEnd w:id="16"/>
      <w:bookmarkEnd w:id="17"/>
      <w:bookmarkEnd w:id="18"/>
      <w:bookmarkEnd w:id="19"/>
      <w:bookmarkEnd w:id="20"/>
      <w:bookmarkEnd w:id="21"/>
      <w:bookmarkEnd w:id="22"/>
    </w:p>
    <w:p>
      <w:pPr>
        <w:spacing w:line="360" w:lineRule="auto"/>
        <w:ind w:firstLine="420" w:firstLineChars="200"/>
        <w:rPr>
          <w:rFonts w:hint="eastAsia" w:ascii="Arial" w:hAnsi="Arial" w:cs="Arial"/>
          <w:szCs w:val="21"/>
        </w:rPr>
      </w:pPr>
      <w:r>
        <w:rPr>
          <w:rFonts w:hint="eastAsia" w:ascii="Arial" w:hAnsi="Arial" w:cs="Arial"/>
          <w:szCs w:val="21"/>
        </w:rPr>
        <w:t>火灾自动报警控制系统工程主要施工工序：线管预埋、配管检查、线槽安装、布线连接及设备安装、调试、试运行。</w:t>
      </w:r>
    </w:p>
    <w:p>
      <w:pPr>
        <w:spacing w:line="360" w:lineRule="auto"/>
        <w:rPr>
          <w:rFonts w:hint="eastAsia" w:ascii="Arial" w:hAnsi="Arial" w:cs="Arial"/>
          <w:szCs w:val="21"/>
        </w:rPr>
      </w:pPr>
      <w:r>
        <w:rPr>
          <w:rFonts w:hint="eastAsia" w:ascii="黑体" w:hAnsi="Arial" w:eastAsia="黑体" w:cs="Arial"/>
          <w:szCs w:val="21"/>
        </w:rPr>
        <w:t>1、</w:t>
      </w:r>
      <w:r>
        <w:rPr>
          <w:rFonts w:hint="eastAsia" w:ascii="Arial" w:hAnsi="Arial" w:cs="Arial"/>
          <w:szCs w:val="21"/>
        </w:rPr>
        <w:t xml:space="preserve"> 配管检查</w:t>
      </w:r>
    </w:p>
    <w:p>
      <w:pPr>
        <w:spacing w:line="360" w:lineRule="auto"/>
        <w:ind w:firstLine="420" w:firstLineChars="200"/>
        <w:rPr>
          <w:rFonts w:hint="eastAsia" w:ascii="Arial" w:hAnsi="Arial" w:cs="Arial"/>
          <w:szCs w:val="21"/>
        </w:rPr>
      </w:pPr>
      <w:r>
        <w:rPr>
          <w:rFonts w:hint="eastAsia" w:ascii="Arial" w:hAnsi="Arial" w:cs="Arial"/>
          <w:szCs w:val="21"/>
        </w:rPr>
        <w:t xml:space="preserve">施工方法要点如下： </w:t>
      </w:r>
    </w:p>
    <w:p>
      <w:pPr>
        <w:pStyle w:val="21"/>
        <w:ind w:firstLine="210" w:firstLineChars="100"/>
        <w:rPr>
          <w:rFonts w:hint="eastAsia"/>
          <w:sz w:val="21"/>
          <w:szCs w:val="21"/>
        </w:rPr>
      </w:pPr>
      <w:r>
        <w:rPr>
          <w:rFonts w:hint="eastAsia" w:ascii="宋体" w:hAnsi="宋体"/>
          <w:sz w:val="21"/>
          <w:szCs w:val="21"/>
        </w:rPr>
        <w:t>①</w:t>
      </w:r>
      <w:r>
        <w:rPr>
          <w:rFonts w:hint="eastAsia"/>
          <w:sz w:val="21"/>
          <w:szCs w:val="21"/>
        </w:rPr>
        <w:t>检查预埋管路是否符合图纸设计要求，有无遗漏、是否畅通，</w:t>
      </w:r>
    </w:p>
    <w:p>
      <w:pPr>
        <w:spacing w:line="360" w:lineRule="auto"/>
        <w:ind w:firstLine="210" w:firstLineChars="100"/>
        <w:rPr>
          <w:rFonts w:hint="eastAsia" w:ascii="Arial" w:hAnsi="Arial" w:cs="Arial"/>
          <w:szCs w:val="21"/>
        </w:rPr>
      </w:pPr>
      <w:r>
        <w:rPr>
          <w:rFonts w:hint="eastAsia" w:ascii="宋体" w:hAnsi="宋体" w:cs="Arial"/>
          <w:szCs w:val="21"/>
        </w:rPr>
        <w:t>②</w:t>
      </w:r>
      <w:r>
        <w:rPr>
          <w:rFonts w:hint="eastAsia" w:ascii="Arial" w:hAnsi="Arial" w:cs="Arial"/>
          <w:szCs w:val="21"/>
        </w:rPr>
        <w:t>检查无误后穿入钢丝，保护好管口。</w:t>
      </w:r>
    </w:p>
    <w:p>
      <w:pPr>
        <w:spacing w:line="360" w:lineRule="auto"/>
        <w:ind w:firstLine="210" w:firstLineChars="100"/>
        <w:rPr>
          <w:rFonts w:hint="eastAsia" w:ascii="Arial" w:hAnsi="Arial" w:cs="Arial"/>
          <w:szCs w:val="21"/>
        </w:rPr>
      </w:pPr>
      <w:r>
        <w:rPr>
          <w:rFonts w:hint="eastAsia" w:ascii="宋体" w:hAnsi="宋体" w:cs="Arial"/>
          <w:szCs w:val="21"/>
        </w:rPr>
        <w:t>③</w:t>
      </w:r>
      <w:r>
        <w:rPr>
          <w:rFonts w:hint="eastAsia" w:ascii="Arial" w:hAnsi="Arial" w:cs="Arial"/>
          <w:szCs w:val="21"/>
        </w:rPr>
        <w:t>检查预埋线盒是否到位，有无遗漏，墙体中线盒预留位置高度是否符合规范要求。</w:t>
      </w:r>
    </w:p>
    <w:p>
      <w:pPr>
        <w:spacing w:line="360" w:lineRule="auto"/>
        <w:ind w:firstLine="210" w:firstLineChars="100"/>
        <w:rPr>
          <w:rFonts w:hint="eastAsia" w:ascii="Arial" w:hAnsi="Arial" w:cs="Arial"/>
          <w:szCs w:val="21"/>
        </w:rPr>
      </w:pPr>
      <w:r>
        <w:rPr>
          <w:rFonts w:hint="eastAsia" w:ascii="宋体" w:hAnsi="宋体" w:cs="Arial"/>
          <w:szCs w:val="21"/>
        </w:rPr>
        <w:t>④</w:t>
      </w:r>
      <w:r>
        <w:rPr>
          <w:rFonts w:hint="eastAsia" w:ascii="Arial" w:hAnsi="Arial" w:cs="Arial"/>
          <w:szCs w:val="21"/>
        </w:rPr>
        <w:t>盒箱稳注要求灰浆饱满、平整固定、坐标正确。箱盒安装要求见规范：</w:t>
      </w:r>
    </w:p>
    <w:p>
      <w:pPr>
        <w:spacing w:line="360" w:lineRule="auto"/>
        <w:ind w:firstLine="210" w:firstLineChars="100"/>
        <w:rPr>
          <w:rFonts w:hint="eastAsia" w:ascii="Arial" w:hAnsi="Arial" w:cs="Arial"/>
          <w:szCs w:val="21"/>
        </w:rPr>
      </w:pPr>
      <w:r>
        <w:rPr>
          <w:rFonts w:hint="eastAsia" w:ascii="宋体" w:hAnsi="宋体" w:cs="Arial"/>
          <w:szCs w:val="21"/>
        </w:rPr>
        <w:t>⑤</w:t>
      </w:r>
      <w:r>
        <w:rPr>
          <w:rFonts w:hint="eastAsia" w:ascii="Arial" w:hAnsi="Arial" w:cs="Arial"/>
          <w:szCs w:val="21"/>
        </w:rPr>
        <w:t>管路应做整体接地连接，采用跨接方法连接。</w:t>
      </w:r>
    </w:p>
    <w:p>
      <w:pPr>
        <w:spacing w:line="360" w:lineRule="auto"/>
        <w:ind w:firstLine="420" w:firstLineChars="200"/>
        <w:rPr>
          <w:rFonts w:hint="eastAsia" w:ascii="Arial" w:hAnsi="Arial" w:cs="Arial"/>
          <w:szCs w:val="21"/>
        </w:rPr>
      </w:pPr>
      <w:r>
        <w:rPr>
          <w:rFonts w:hint="eastAsia" w:ascii="Arial" w:hAnsi="Arial" w:cs="Arial"/>
          <w:szCs w:val="21"/>
        </w:rPr>
        <w:t>以上各项检查无误后应在管口处安装好护口，为穿线做好准备。</w:t>
      </w:r>
    </w:p>
    <w:p>
      <w:pPr>
        <w:spacing w:line="360" w:lineRule="auto"/>
        <w:rPr>
          <w:rFonts w:hint="eastAsia" w:ascii="Arial" w:hAnsi="Arial" w:cs="Arial"/>
          <w:szCs w:val="21"/>
        </w:rPr>
      </w:pPr>
      <w:r>
        <w:rPr>
          <w:rFonts w:hint="eastAsia" w:ascii="黑体" w:hAnsi="Arial" w:eastAsia="黑体" w:cs="Arial"/>
          <w:szCs w:val="21"/>
        </w:rPr>
        <w:t>2、</w:t>
      </w:r>
      <w:r>
        <w:rPr>
          <w:rFonts w:hint="eastAsia" w:ascii="Arial" w:hAnsi="Arial" w:cs="Arial"/>
          <w:szCs w:val="21"/>
        </w:rPr>
        <w:t>线槽、桥架安装</w:t>
      </w:r>
    </w:p>
    <w:p>
      <w:pPr>
        <w:spacing w:line="360" w:lineRule="auto"/>
        <w:rPr>
          <w:rFonts w:hint="eastAsia" w:ascii="Arial" w:hAnsi="Arial" w:cs="Arial"/>
          <w:szCs w:val="21"/>
        </w:rPr>
      </w:pPr>
      <w:r>
        <w:rPr>
          <w:rFonts w:hint="eastAsia" w:ascii="黑体" w:hAnsi="Arial" w:eastAsia="黑体" w:cs="Arial"/>
          <w:szCs w:val="21"/>
        </w:rPr>
        <w:t>2.1</w:t>
      </w:r>
      <w:r>
        <w:rPr>
          <w:rFonts w:hint="eastAsia" w:ascii="Arial" w:hAnsi="Arial" w:cs="Arial"/>
          <w:szCs w:val="21"/>
        </w:rPr>
        <w:t>、弹线定位：</w:t>
      </w:r>
    </w:p>
    <w:p>
      <w:pPr>
        <w:spacing w:line="360" w:lineRule="auto"/>
        <w:ind w:left="479" w:leftChars="228"/>
        <w:rPr>
          <w:rFonts w:hint="eastAsia" w:ascii="Arial" w:hAnsi="Arial" w:cs="Arial"/>
          <w:szCs w:val="21"/>
        </w:rPr>
      </w:pPr>
      <w:r>
        <w:rPr>
          <w:rFonts w:hint="eastAsia" w:ascii="Arial" w:hAnsi="Arial" w:cs="Arial"/>
          <w:szCs w:val="21"/>
        </w:rPr>
        <w:t>根据设计图确定出安装位置，从始端到终端（先干线后支线）找好水平或垂直线，用墨线沿墙壁、柱、梁等处在线路中心进行弹线；</w:t>
      </w:r>
    </w:p>
    <w:p>
      <w:pPr>
        <w:spacing w:line="360" w:lineRule="auto"/>
        <w:rPr>
          <w:rFonts w:hint="eastAsia" w:ascii="Arial" w:hAnsi="Arial" w:cs="Arial"/>
          <w:szCs w:val="21"/>
        </w:rPr>
      </w:pPr>
      <w:r>
        <w:rPr>
          <w:rFonts w:hint="eastAsia" w:ascii="黑体" w:hAnsi="Arial" w:eastAsia="黑体" w:cs="Arial"/>
          <w:szCs w:val="21"/>
        </w:rPr>
        <w:t>2.2</w:t>
      </w:r>
      <w:r>
        <w:rPr>
          <w:rFonts w:hint="eastAsia" w:ascii="Arial" w:hAnsi="Arial" w:cs="Arial"/>
          <w:szCs w:val="21"/>
        </w:rPr>
        <w:t>、支吊架安装：</w:t>
      </w:r>
    </w:p>
    <w:p>
      <w:pPr>
        <w:spacing w:line="360" w:lineRule="auto"/>
        <w:ind w:left="479" w:leftChars="228"/>
        <w:rPr>
          <w:rFonts w:hint="eastAsia" w:ascii="Arial" w:hAnsi="Arial" w:cs="Arial"/>
          <w:szCs w:val="21"/>
        </w:rPr>
      </w:pPr>
      <w:r>
        <w:rPr>
          <w:rFonts w:hint="eastAsia" w:ascii="Arial" w:hAnsi="Arial" w:cs="Arial"/>
          <w:szCs w:val="21"/>
        </w:rPr>
        <w:t>支、吊架安装要求所用钢材应平直，无显著扭曲。下料后长短偏差应在5mm内，切口处应无卷边、毛刺；支、吊架应安装牢固，保证横平竖直；固定支点间距一般不应大于1.5-2.0m，在进出接线箱、盒、柜、转弯、转角及丁字接头的三端50</w:t>
      </w:r>
      <w:r>
        <w:rPr>
          <w:rFonts w:ascii="Arial" w:hAnsi="Arial" w:cs="Arial"/>
          <w:szCs w:val="21"/>
        </w:rPr>
        <w:t>cm</w:t>
      </w:r>
      <w:r>
        <w:rPr>
          <w:rFonts w:hint="eastAsia" w:ascii="Arial" w:hAnsi="Arial" w:cs="Arial"/>
          <w:szCs w:val="21"/>
        </w:rPr>
        <w:t>以内应设固定支持点，支、吊架的规格一般不应小于扁铁30mm*3mm，扁钢25mm*25mm*3mm</w:t>
      </w:r>
    </w:p>
    <w:p>
      <w:pPr>
        <w:spacing w:line="360" w:lineRule="auto"/>
        <w:rPr>
          <w:rFonts w:hint="eastAsia" w:ascii="Arial" w:hAnsi="Arial" w:cs="Arial"/>
          <w:szCs w:val="21"/>
        </w:rPr>
      </w:pPr>
      <w:r>
        <w:rPr>
          <w:rFonts w:hint="eastAsia" w:ascii="黑体" w:hAnsi="Arial" w:eastAsia="黑体" w:cs="Arial"/>
          <w:szCs w:val="21"/>
        </w:rPr>
        <w:t>2.3、</w:t>
      </w:r>
      <w:r>
        <w:rPr>
          <w:rFonts w:hint="eastAsia" w:ascii="Arial" w:hAnsi="Arial" w:cs="Arial"/>
          <w:szCs w:val="21"/>
        </w:rPr>
        <w:t>线槽、桥架安装要求：</w:t>
      </w:r>
    </w:p>
    <w:p>
      <w:pPr>
        <w:spacing w:line="360" w:lineRule="auto"/>
        <w:ind w:left="479" w:leftChars="228"/>
        <w:rPr>
          <w:rFonts w:hint="eastAsia" w:ascii="Arial" w:hAnsi="Arial" w:cs="Arial"/>
          <w:szCs w:val="21"/>
        </w:rPr>
      </w:pPr>
      <w:r>
        <w:rPr>
          <w:rFonts w:hint="eastAsia" w:ascii="Arial" w:hAnsi="Arial" w:cs="Arial"/>
          <w:szCs w:val="21"/>
        </w:rPr>
        <w:t>线槽、桥架应平整，无扭曲变形，内壁无毛刺，各种附件齐全；线槽、桥架接口应平整，接缝处紧密平直，槽盖装上后应平整、无翘脚，出线口的位置准确；线槽、桥架的所有非导电部份的铁件均应相互连接和跨接，使之成为一连续导体，并做好整体接地；线槽、桥架安装应符合《高层民用建筑设计防火规范》（GB50045-95）的有关部门规定。</w:t>
      </w:r>
    </w:p>
    <w:p>
      <w:pPr>
        <w:spacing w:line="360" w:lineRule="auto"/>
        <w:rPr>
          <w:rFonts w:hint="eastAsia" w:ascii="Arial" w:hAnsi="Arial" w:cs="Arial"/>
          <w:szCs w:val="21"/>
        </w:rPr>
      </w:pPr>
      <w:r>
        <w:rPr>
          <w:rFonts w:hint="eastAsia" w:ascii="黑体" w:hAnsi="Arial" w:eastAsia="黑体" w:cs="Arial"/>
          <w:szCs w:val="21"/>
        </w:rPr>
        <w:t>3</w:t>
      </w:r>
      <w:r>
        <w:rPr>
          <w:rFonts w:hint="eastAsia" w:ascii="Arial" w:hAnsi="Arial" w:cs="Arial"/>
          <w:szCs w:val="21"/>
        </w:rPr>
        <w:t>、布线</w:t>
      </w:r>
    </w:p>
    <w:p>
      <w:pPr>
        <w:spacing w:line="360" w:lineRule="auto"/>
        <w:ind w:left="869" w:leftChars="114" w:hanging="630" w:hangingChars="300"/>
        <w:rPr>
          <w:rFonts w:hint="eastAsia" w:ascii="Arial" w:hAnsi="Arial" w:cs="Arial"/>
          <w:szCs w:val="21"/>
        </w:rPr>
      </w:pPr>
      <w:r>
        <w:rPr>
          <w:rFonts w:hint="eastAsia" w:ascii="黑体" w:hAnsi="Arial" w:eastAsia="黑体" w:cs="Arial"/>
          <w:szCs w:val="21"/>
        </w:rPr>
        <w:t>3.1</w:t>
      </w:r>
      <w:r>
        <w:rPr>
          <w:rFonts w:hint="eastAsia" w:ascii="Arial" w:hAnsi="Arial" w:cs="Arial"/>
          <w:szCs w:val="21"/>
        </w:rPr>
        <w:t>、火灾自动报警系统的布线施工应符合《电气装置安装工程施工及验收规范》(GBJ232)的有关规定。</w:t>
      </w:r>
    </w:p>
    <w:p>
      <w:pPr>
        <w:spacing w:line="360" w:lineRule="auto"/>
        <w:ind w:left="762" w:leftChars="113" w:hanging="525" w:hangingChars="250"/>
        <w:rPr>
          <w:rFonts w:hint="eastAsia" w:ascii="Arial" w:hAnsi="Arial" w:cs="Arial"/>
          <w:szCs w:val="21"/>
        </w:rPr>
      </w:pPr>
      <w:r>
        <w:rPr>
          <w:rFonts w:hint="eastAsia" w:ascii="黑体" w:hAnsi="Arial" w:eastAsia="黑体" w:cs="Arial"/>
          <w:szCs w:val="21"/>
        </w:rPr>
        <w:t>3.2</w:t>
      </w:r>
      <w:r>
        <w:rPr>
          <w:rFonts w:hint="eastAsia" w:ascii="Arial" w:hAnsi="Arial" w:cs="Arial"/>
          <w:szCs w:val="21"/>
        </w:rPr>
        <w:t>、火灾自动报警系统的线路导线应采用铜芯绝缘导线或铜芯电缆。额定工作电压不超过50V时，导线的电压等级不应低于交流250V。额定工作电压超过50V时，导线的电等级不应低于交流500V。</w:t>
      </w:r>
    </w:p>
    <w:p>
      <w:pPr>
        <w:spacing w:line="360" w:lineRule="auto"/>
        <w:ind w:firstLine="210" w:firstLineChars="100"/>
        <w:rPr>
          <w:rFonts w:hint="eastAsia" w:ascii="Arial" w:hAnsi="Arial" w:cs="Arial"/>
          <w:szCs w:val="21"/>
        </w:rPr>
      </w:pPr>
      <w:r>
        <w:rPr>
          <w:rFonts w:hint="eastAsia" w:ascii="黑体" w:hAnsi="Arial" w:eastAsia="黑体" w:cs="Arial"/>
          <w:szCs w:val="21"/>
        </w:rPr>
        <w:t>3.3</w:t>
      </w:r>
      <w:r>
        <w:rPr>
          <w:rFonts w:hint="eastAsia" w:ascii="Arial" w:hAnsi="Arial" w:cs="Arial"/>
          <w:szCs w:val="21"/>
        </w:rPr>
        <w:t>、导线在管内或槽内不得有接头和扭结。其接头在接线盒内有焊接或端子连接。</w:t>
      </w:r>
    </w:p>
    <w:p>
      <w:pPr>
        <w:spacing w:line="360" w:lineRule="auto"/>
        <w:ind w:left="762" w:leftChars="113" w:hanging="525" w:hangingChars="250"/>
        <w:rPr>
          <w:rFonts w:hint="eastAsia" w:ascii="Arial" w:hAnsi="Arial" w:cs="Arial"/>
          <w:szCs w:val="21"/>
        </w:rPr>
      </w:pPr>
      <w:r>
        <w:rPr>
          <w:rFonts w:hint="eastAsia" w:ascii="黑体" w:hAnsi="Arial" w:eastAsia="黑体" w:cs="Arial"/>
          <w:szCs w:val="21"/>
        </w:rPr>
        <w:t>3.4、</w:t>
      </w:r>
      <w:r>
        <w:rPr>
          <w:rFonts w:hint="eastAsia" w:ascii="Arial" w:hAnsi="Arial" w:cs="Arial"/>
          <w:szCs w:val="21"/>
        </w:rPr>
        <w:t>火灾自动报警系统导线敷设完毕后，应用500V的兆欧表测量绝缘电阻，每回路对地绝缘电阻值应大于20MΩ。</w:t>
      </w:r>
    </w:p>
    <w:p>
      <w:pPr>
        <w:spacing w:line="360" w:lineRule="auto"/>
        <w:ind w:firstLine="210" w:firstLineChars="100"/>
        <w:rPr>
          <w:rFonts w:hint="eastAsia" w:ascii="Arial" w:hAnsi="Arial" w:cs="Arial"/>
          <w:szCs w:val="21"/>
        </w:rPr>
      </w:pPr>
      <w:r>
        <w:rPr>
          <w:rFonts w:hint="eastAsia" w:ascii="黑体" w:hAnsi="Arial" w:eastAsia="黑体" w:cs="Arial"/>
          <w:szCs w:val="21"/>
        </w:rPr>
        <w:t>3.5</w:t>
      </w:r>
      <w:r>
        <w:rPr>
          <w:rFonts w:hint="eastAsia" w:ascii="Arial" w:hAnsi="Arial" w:cs="Arial"/>
          <w:szCs w:val="21"/>
        </w:rPr>
        <w:t>、线槽内配线要求</w:t>
      </w:r>
    </w:p>
    <w:p>
      <w:pPr>
        <w:spacing w:line="360" w:lineRule="auto"/>
        <w:ind w:firstLine="420" w:firstLineChars="200"/>
        <w:rPr>
          <w:rFonts w:hint="eastAsia" w:ascii="Arial" w:hAnsi="Arial" w:cs="Arial"/>
          <w:szCs w:val="21"/>
        </w:rPr>
      </w:pPr>
      <w:r>
        <w:rPr>
          <w:rFonts w:hint="eastAsia" w:ascii="宋体" w:hAnsi="宋体" w:cs="Arial"/>
          <w:szCs w:val="21"/>
        </w:rPr>
        <w:t>①</w:t>
      </w:r>
      <w:r>
        <w:rPr>
          <w:rFonts w:hint="eastAsia" w:ascii="Arial" w:hAnsi="Arial" w:cs="Arial"/>
          <w:szCs w:val="21"/>
        </w:rPr>
        <w:t>线槽配线前应消除槽内的污物和积水；</w:t>
      </w:r>
    </w:p>
    <w:p>
      <w:pPr>
        <w:spacing w:line="360" w:lineRule="auto"/>
        <w:ind w:firstLine="420" w:firstLineChars="200"/>
        <w:rPr>
          <w:rFonts w:hint="eastAsia" w:ascii="Arial" w:hAnsi="Arial" w:cs="Arial"/>
          <w:szCs w:val="21"/>
        </w:rPr>
      </w:pPr>
      <w:r>
        <w:rPr>
          <w:rFonts w:hint="eastAsia" w:ascii="宋体" w:hAnsi="宋体" w:cs="Arial"/>
          <w:szCs w:val="21"/>
        </w:rPr>
        <w:t>②</w:t>
      </w:r>
      <w:r>
        <w:rPr>
          <w:rFonts w:hint="eastAsia" w:ascii="Arial" w:hAnsi="Arial" w:cs="Arial"/>
          <w:szCs w:val="21"/>
        </w:rPr>
        <w:t>线缆布放前应核对型号规格、程式、路由及位置与设计规定相符。</w:t>
      </w:r>
    </w:p>
    <w:p>
      <w:pPr>
        <w:spacing w:line="360" w:lineRule="auto"/>
        <w:ind w:firstLine="420" w:firstLineChars="200"/>
        <w:rPr>
          <w:rFonts w:hint="eastAsia" w:ascii="Arial" w:hAnsi="Arial" w:cs="Arial"/>
          <w:szCs w:val="21"/>
        </w:rPr>
      </w:pPr>
      <w:r>
        <w:rPr>
          <w:rFonts w:hint="eastAsia" w:ascii="宋体" w:hAnsi="宋体" w:cs="Arial"/>
          <w:szCs w:val="21"/>
        </w:rPr>
        <w:t>③</w:t>
      </w:r>
      <w:r>
        <w:rPr>
          <w:rFonts w:hint="eastAsia" w:ascii="Arial" w:hAnsi="Arial" w:cs="Arial"/>
          <w:szCs w:val="21"/>
        </w:rPr>
        <w:t>在同一线槽内包括绝缘在内的导线截面积总和应该不超过内部截面积的40%；</w:t>
      </w:r>
    </w:p>
    <w:p>
      <w:pPr>
        <w:spacing w:line="360" w:lineRule="auto"/>
        <w:ind w:firstLine="420" w:firstLineChars="200"/>
        <w:rPr>
          <w:rFonts w:hint="eastAsia" w:ascii="Arial" w:hAnsi="Arial" w:cs="Arial"/>
          <w:szCs w:val="21"/>
        </w:rPr>
      </w:pPr>
      <w:r>
        <w:rPr>
          <w:rFonts w:hint="eastAsia" w:ascii="宋体" w:hAnsi="宋体" w:cs="Arial"/>
          <w:szCs w:val="21"/>
        </w:rPr>
        <w:t>④</w:t>
      </w:r>
      <w:r>
        <w:rPr>
          <w:rFonts w:hint="eastAsia" w:ascii="Arial" w:hAnsi="Arial" w:cs="Arial"/>
          <w:szCs w:val="21"/>
        </w:rPr>
        <w:t>线缆的布放应平直、不得产生扭绞，打圈等现象，不应受到外力的挤压和损伤；</w:t>
      </w:r>
    </w:p>
    <w:p>
      <w:pPr>
        <w:spacing w:line="360" w:lineRule="auto"/>
        <w:ind w:left="689" w:leftChars="228" w:hanging="210" w:hangingChars="100"/>
        <w:rPr>
          <w:rFonts w:hint="eastAsia" w:ascii="Arial" w:hAnsi="Arial" w:cs="Arial"/>
          <w:szCs w:val="21"/>
        </w:rPr>
      </w:pPr>
      <w:r>
        <w:rPr>
          <w:rFonts w:hint="eastAsia" w:ascii="宋体" w:hAnsi="宋体" w:cs="Arial"/>
          <w:szCs w:val="21"/>
        </w:rPr>
        <w:t>⑤</w:t>
      </w:r>
      <w:r>
        <w:rPr>
          <w:rFonts w:hint="eastAsia" w:ascii="Arial" w:hAnsi="Arial" w:cs="Arial"/>
          <w:szCs w:val="21"/>
        </w:rPr>
        <w:t>线缆在布放前两端应贴有标签，以表明起始和终端位置，标签书写应清晰，端正和正确；</w:t>
      </w:r>
    </w:p>
    <w:p>
      <w:pPr>
        <w:spacing w:line="360" w:lineRule="auto"/>
        <w:ind w:left="689" w:leftChars="228" w:hanging="210" w:hangingChars="100"/>
        <w:rPr>
          <w:rFonts w:hint="eastAsia" w:ascii="Arial" w:hAnsi="Arial" w:cs="Arial"/>
          <w:szCs w:val="21"/>
        </w:rPr>
      </w:pPr>
      <w:r>
        <w:rPr>
          <w:rFonts w:hint="eastAsia" w:ascii="宋体" w:hAnsi="宋体" w:cs="Arial"/>
          <w:szCs w:val="21"/>
        </w:rPr>
        <w:t>⑥</w:t>
      </w:r>
      <w:r>
        <w:rPr>
          <w:rFonts w:hint="eastAsia" w:ascii="Arial" w:hAnsi="Arial" w:cs="Arial"/>
          <w:szCs w:val="21"/>
        </w:rPr>
        <w:t>电源线、信号电缆、对绞电缆、及建筑物内其他弱电系统的缆线应分离布放。各缆线间的最小净距应符合设计要求；</w:t>
      </w:r>
    </w:p>
    <w:p>
      <w:pPr>
        <w:spacing w:line="360" w:lineRule="auto"/>
        <w:ind w:left="689" w:leftChars="228" w:hanging="210" w:hangingChars="100"/>
        <w:rPr>
          <w:rFonts w:hint="eastAsia" w:ascii="Arial" w:hAnsi="Arial" w:cs="Arial"/>
          <w:szCs w:val="21"/>
        </w:rPr>
      </w:pPr>
      <w:r>
        <w:rPr>
          <w:rFonts w:hint="eastAsia" w:ascii="宋体" w:hAnsi="宋体" w:cs="Arial"/>
          <w:szCs w:val="21"/>
        </w:rPr>
        <w:t>⑦</w:t>
      </w:r>
      <w:r>
        <w:rPr>
          <w:rFonts w:hint="eastAsia" w:ascii="Arial" w:hAnsi="Arial" w:cs="Arial"/>
          <w:szCs w:val="21"/>
        </w:rPr>
        <w:t>线缆布放，在牵引过程中，吊挂缆线的支点相隔间距不应大于1.5m；</w:t>
      </w:r>
    </w:p>
    <w:p>
      <w:pPr>
        <w:spacing w:line="360" w:lineRule="auto"/>
        <w:ind w:left="689" w:leftChars="228" w:hanging="210" w:hangingChars="100"/>
        <w:rPr>
          <w:rFonts w:hint="eastAsia" w:ascii="Arial" w:hAnsi="Arial" w:cs="Arial"/>
          <w:szCs w:val="21"/>
        </w:rPr>
      </w:pPr>
      <w:r>
        <w:rPr>
          <w:rFonts w:hint="eastAsia" w:ascii="宋体" w:hAnsi="宋体" w:cs="Arial"/>
          <w:szCs w:val="21"/>
        </w:rPr>
        <w:t>⑧</w:t>
      </w:r>
      <w:r>
        <w:rPr>
          <w:rFonts w:hint="eastAsia" w:ascii="Arial" w:hAnsi="Arial" w:cs="Arial"/>
          <w:szCs w:val="21"/>
        </w:rPr>
        <w:t>电缆桥架内缆线垂直敷设时，在缆线的上端和每间隔1.5m处，应固定在桥架的支架上，水平敷设时，直接部份间隔距离3-5m处设固定点。在缆线的距离首端、尾端、转弯中心点处300-500mm处设置固定点；</w:t>
      </w:r>
    </w:p>
    <w:p>
      <w:pPr>
        <w:spacing w:line="360" w:lineRule="auto"/>
        <w:ind w:left="689" w:leftChars="228" w:hanging="210" w:hangingChars="100"/>
        <w:rPr>
          <w:rFonts w:hint="eastAsia" w:ascii="Arial" w:hAnsi="Arial" w:cs="Arial"/>
          <w:szCs w:val="21"/>
        </w:rPr>
      </w:pPr>
      <w:r>
        <w:rPr>
          <w:rFonts w:hint="eastAsia" w:ascii="宋体" w:hAnsi="宋体" w:cs="Arial"/>
          <w:szCs w:val="21"/>
        </w:rPr>
        <w:t>⑨</w:t>
      </w:r>
      <w:r>
        <w:rPr>
          <w:rFonts w:hint="eastAsia" w:ascii="Arial" w:hAnsi="Arial" w:cs="Arial"/>
          <w:szCs w:val="21"/>
        </w:rPr>
        <w:t xml:space="preserve">槽内线缆应顺直，尽量不交叉、缆线不应溢出线槽、在缆线进出线槽部位，转弯处应绑扎固定。垂直线槽布放缆线应每间隔1.5m处固定在缆线支架上，以防线缆下坠； </w:t>
      </w:r>
    </w:p>
    <w:p>
      <w:pPr>
        <w:spacing w:line="360" w:lineRule="auto"/>
        <w:ind w:left="689" w:leftChars="228" w:hanging="210" w:hangingChars="100"/>
        <w:rPr>
          <w:rFonts w:hint="eastAsia" w:ascii="Arial" w:hAnsi="Arial" w:cs="Arial"/>
          <w:szCs w:val="21"/>
        </w:rPr>
      </w:pPr>
      <w:r>
        <w:rPr>
          <w:rFonts w:hint="eastAsia" w:ascii="宋体" w:hAnsi="宋体" w:cs="Arial"/>
          <w:szCs w:val="21"/>
        </w:rPr>
        <w:t>⑩</w:t>
      </w:r>
      <w:r>
        <w:rPr>
          <w:rFonts w:hint="eastAsia" w:ascii="Arial" w:hAnsi="Arial" w:cs="Arial"/>
          <w:szCs w:val="21"/>
        </w:rPr>
        <w:t>在水平、垂直桥架和垂直线槽中敷设缆线时，应对缆线进行绑扎。对绞线缆以24根为束，绑扎间距不宜大于1.5m，扣间距应均匀、松紧适应；在竖井内采用明配、桥架、金属线槽等方式敷设缆线，并应符合以上有关条款要求。</w:t>
      </w:r>
    </w:p>
    <w:p>
      <w:pPr>
        <w:spacing w:line="360" w:lineRule="auto"/>
        <w:rPr>
          <w:rFonts w:hint="eastAsia" w:ascii="Arial" w:hAnsi="Arial" w:cs="Arial"/>
          <w:szCs w:val="21"/>
        </w:rPr>
      </w:pPr>
      <w:r>
        <w:rPr>
          <w:rFonts w:hint="eastAsia" w:ascii="黑体" w:hAnsi="Arial" w:eastAsia="黑体" w:cs="Arial"/>
          <w:szCs w:val="21"/>
        </w:rPr>
        <w:t>4</w:t>
      </w:r>
      <w:r>
        <w:rPr>
          <w:rFonts w:hint="eastAsia" w:ascii="Arial" w:hAnsi="Arial" w:cs="Arial"/>
          <w:szCs w:val="21"/>
        </w:rPr>
        <w:t>、火灾报警系统设备安装</w:t>
      </w:r>
    </w:p>
    <w:p>
      <w:pPr>
        <w:spacing w:line="360" w:lineRule="auto"/>
        <w:rPr>
          <w:rFonts w:hint="eastAsia" w:ascii="Arial" w:hAnsi="Arial" w:cs="Arial"/>
          <w:szCs w:val="21"/>
        </w:rPr>
      </w:pPr>
      <w:r>
        <w:rPr>
          <w:rFonts w:hint="eastAsia" w:ascii="黑体" w:hAnsi="Arial" w:eastAsia="黑体" w:cs="Arial"/>
          <w:szCs w:val="21"/>
        </w:rPr>
        <w:t>4.1</w:t>
      </w:r>
      <w:r>
        <w:rPr>
          <w:rFonts w:hint="eastAsia" w:ascii="Arial" w:hAnsi="Arial" w:cs="Arial"/>
          <w:szCs w:val="21"/>
        </w:rPr>
        <w:t>、探测器安装：</w:t>
      </w:r>
    </w:p>
    <w:p>
      <w:pPr>
        <w:spacing w:line="360" w:lineRule="auto"/>
        <w:rPr>
          <w:rFonts w:hint="eastAsia" w:ascii="Arial" w:hAnsi="Arial" w:cs="Arial"/>
          <w:szCs w:val="21"/>
        </w:rPr>
      </w:pPr>
      <w:r>
        <w:rPr>
          <w:rFonts w:hint="eastAsia" w:ascii="Arial" w:hAnsi="Arial" w:cs="Arial"/>
          <w:szCs w:val="21"/>
        </w:rPr>
        <w:t>　　①探测器至墙壁，梁边的水平距离，不少于0.5m。</w:t>
      </w:r>
    </w:p>
    <w:p>
      <w:pPr>
        <w:spacing w:line="360" w:lineRule="auto"/>
        <w:ind w:firstLine="420" w:firstLineChars="200"/>
        <w:rPr>
          <w:rFonts w:hint="eastAsia" w:ascii="Arial" w:hAnsi="Arial" w:cs="Arial"/>
          <w:szCs w:val="21"/>
        </w:rPr>
      </w:pPr>
      <w:r>
        <w:rPr>
          <w:rFonts w:hint="eastAsia" w:ascii="Arial" w:hAnsi="Arial" w:cs="Arial"/>
          <w:szCs w:val="21"/>
        </w:rPr>
        <w:t>②探测器周围0.5m内，不应有遮挡物。</w:t>
      </w:r>
    </w:p>
    <w:p>
      <w:pPr>
        <w:spacing w:line="360" w:lineRule="auto"/>
        <w:ind w:firstLine="420" w:firstLineChars="200"/>
        <w:rPr>
          <w:rFonts w:hint="eastAsia" w:ascii="Arial" w:hAnsi="Arial" w:cs="Arial"/>
          <w:szCs w:val="21"/>
        </w:rPr>
      </w:pPr>
      <w:r>
        <w:rPr>
          <w:rFonts w:hint="eastAsia" w:ascii="Arial" w:hAnsi="Arial" w:cs="Arial"/>
          <w:szCs w:val="21"/>
        </w:rPr>
        <w:t>③探测器至空调送风口的水平距离，不少于1.5m。</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④</w:t>
      </w:r>
      <w:r>
        <w:rPr>
          <w:rFonts w:hint="eastAsia" w:ascii="Arial" w:hAnsi="Arial" w:cs="Arial"/>
          <w:szCs w:val="21"/>
        </w:rPr>
        <w:t>探测器至多孔送风顶棚孔口的水平距离不应小于0.5m。</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⑤</w:t>
      </w:r>
      <w:r>
        <w:rPr>
          <w:rFonts w:hint="eastAsia" w:ascii="Arial" w:hAnsi="Arial" w:cs="Arial"/>
          <w:szCs w:val="21"/>
        </w:rPr>
        <w:t>探测器底座安装时，密切与土建，装饰及安装其它专业配合施工。</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⑥</w:t>
      </w:r>
      <w:r>
        <w:rPr>
          <w:rFonts w:hint="eastAsia" w:ascii="Arial" w:hAnsi="Arial" w:cs="Arial"/>
          <w:szCs w:val="21"/>
        </w:rPr>
        <w:t>探测器的线用黄色双绞线，其余线根据不同用途采用共它颜色区分，同一工程中相同用途的导线颜色要一致，探测器底座外接导线，应留有不小于15cm的余量，安装时注意安装位置与探测器底座编码相对应.</w:t>
      </w:r>
    </w:p>
    <w:p>
      <w:pPr>
        <w:spacing w:line="360" w:lineRule="auto"/>
        <w:rPr>
          <w:rFonts w:hint="eastAsia" w:ascii="Arial" w:hAnsi="Arial" w:cs="Arial"/>
          <w:szCs w:val="21"/>
        </w:rPr>
      </w:pPr>
      <w:r>
        <w:rPr>
          <w:rFonts w:hint="eastAsia" w:ascii="黑体" w:hAnsi="Arial" w:eastAsia="黑体" w:cs="Arial"/>
          <w:szCs w:val="21"/>
        </w:rPr>
        <w:t>4.2</w:t>
      </w:r>
      <w:r>
        <w:rPr>
          <w:rFonts w:hint="eastAsia" w:ascii="Arial" w:hAnsi="Arial" w:cs="Arial"/>
          <w:szCs w:val="21"/>
        </w:rPr>
        <w:t xml:space="preserve">、区域火灾报警控制器安装： </w:t>
      </w:r>
    </w:p>
    <w:p>
      <w:pPr>
        <w:spacing w:line="360" w:lineRule="auto"/>
        <w:ind w:left="689" w:leftChars="228" w:hanging="210" w:hangingChars="100"/>
        <w:rPr>
          <w:rFonts w:hint="eastAsia" w:ascii="Arial" w:hAnsi="Arial" w:cs="Arial"/>
          <w:szCs w:val="21"/>
        </w:rPr>
      </w:pPr>
      <w:r>
        <w:rPr>
          <w:rFonts w:hint="eastAsia" w:ascii="宋体" w:hAnsi="宋体" w:cs="Arial"/>
          <w:szCs w:val="21"/>
        </w:rPr>
        <w:t>①</w:t>
      </w:r>
      <w:r>
        <w:rPr>
          <w:rFonts w:hint="eastAsia" w:ascii="Arial" w:hAnsi="Arial" w:cs="Arial"/>
          <w:szCs w:val="21"/>
        </w:rPr>
        <w:t>区域火灾报警控制器安装距地1.5m，消防电话、手动报警按钮距地1.4m，控制器安装要牢固，手动报警按钮应设置在明显和便于操作的位置上，并有明显的标志。</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引入控制器的电缆和导线配线齐整，避免交叉，并固定牢固，导线绑扎成束，电缆和导线，留有一定的余量。</w:t>
      </w:r>
    </w:p>
    <w:p>
      <w:pPr>
        <w:spacing w:line="360" w:lineRule="auto"/>
        <w:rPr>
          <w:rFonts w:hint="eastAsia" w:ascii="Arial" w:hAnsi="Arial" w:cs="Arial"/>
          <w:szCs w:val="21"/>
        </w:rPr>
      </w:pPr>
      <w:r>
        <w:rPr>
          <w:rFonts w:hint="eastAsia" w:ascii="黑体" w:hAnsi="Arial" w:eastAsia="黑体" w:cs="Arial"/>
          <w:szCs w:val="21"/>
        </w:rPr>
        <w:t>4.3</w:t>
      </w:r>
      <w:r>
        <w:rPr>
          <w:rFonts w:hint="eastAsia" w:ascii="Arial" w:hAnsi="Arial" w:cs="Arial"/>
          <w:szCs w:val="21"/>
        </w:rPr>
        <w:t>、火灾报警主机、联动控制柜，均安装在一楼消防中心。</w:t>
      </w:r>
    </w:p>
    <w:p>
      <w:pPr>
        <w:spacing w:line="360" w:lineRule="auto"/>
        <w:rPr>
          <w:rFonts w:hint="eastAsia" w:ascii="Arial" w:hAnsi="Arial" w:cs="Arial"/>
          <w:szCs w:val="21"/>
        </w:rPr>
      </w:pPr>
      <w:r>
        <w:rPr>
          <w:rFonts w:hint="eastAsia" w:ascii="黑体" w:hAnsi="Arial" w:eastAsia="黑体" w:cs="Arial"/>
          <w:szCs w:val="21"/>
        </w:rPr>
        <w:t>4.4</w:t>
      </w:r>
      <w:r>
        <w:rPr>
          <w:rFonts w:hint="eastAsia" w:ascii="Arial" w:hAnsi="Arial" w:cs="Arial"/>
          <w:szCs w:val="21"/>
        </w:rPr>
        <w:t xml:space="preserve">、消防广播系统安装： </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本工程消防广播除地下室安装在走廊墙上外，其余均安装在走廊吊顶上，嵌入式安装，安装时应与灯具、喷淋头、探头中心在同一直线上或按总平面布置图所定位置安装。</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各导线要连接正确，可靠牢固，端子箱内电缆电线排列整齐，编号齐全。</w:t>
      </w:r>
    </w:p>
    <w:p>
      <w:pPr>
        <w:spacing w:line="360" w:lineRule="auto"/>
        <w:rPr>
          <w:rFonts w:hint="eastAsia" w:ascii="Arial" w:hAnsi="Arial" w:cs="Arial"/>
          <w:szCs w:val="21"/>
        </w:rPr>
      </w:pPr>
      <w:r>
        <w:rPr>
          <w:rFonts w:hint="eastAsia" w:ascii="黑体" w:hAnsi="Arial" w:eastAsia="黑体" w:cs="Arial"/>
          <w:szCs w:val="21"/>
        </w:rPr>
        <w:t>4.5</w:t>
      </w:r>
      <w:r>
        <w:rPr>
          <w:rFonts w:hint="eastAsia" w:ascii="Arial" w:hAnsi="Arial" w:cs="Arial"/>
          <w:szCs w:val="21"/>
        </w:rPr>
        <w:t>、消防电话系统安装：</w:t>
      </w:r>
    </w:p>
    <w:p>
      <w:pPr>
        <w:spacing w:line="360" w:lineRule="auto"/>
        <w:ind w:firstLine="420" w:firstLineChars="200"/>
        <w:rPr>
          <w:rFonts w:hint="eastAsia" w:ascii="Arial" w:hAnsi="Arial" w:cs="Arial"/>
          <w:szCs w:val="21"/>
        </w:rPr>
      </w:pPr>
      <w:r>
        <w:rPr>
          <w:rFonts w:hint="eastAsia" w:ascii="宋体" w:hAnsi="宋体" w:cs="Arial"/>
          <w:szCs w:val="21"/>
        </w:rPr>
        <w:t>①</w:t>
      </w:r>
      <w:r>
        <w:rPr>
          <w:rFonts w:hint="eastAsia" w:ascii="Arial" w:hAnsi="Arial" w:cs="Arial"/>
          <w:szCs w:val="21"/>
        </w:rPr>
        <w:t>消防电话插孔或手柄距地1.5ｍ，底座安装要牢固。</w:t>
      </w:r>
    </w:p>
    <w:p>
      <w:pPr>
        <w:spacing w:line="360" w:lineRule="auto"/>
        <w:ind w:firstLine="420" w:firstLineChars="200"/>
        <w:rPr>
          <w:rFonts w:hint="eastAsia" w:ascii="Arial" w:hAnsi="Arial" w:cs="Arial"/>
          <w:szCs w:val="21"/>
        </w:rPr>
      </w:pPr>
      <w:r>
        <w:rPr>
          <w:rFonts w:hint="eastAsia" w:ascii="宋体" w:hAnsi="宋体" w:cs="Arial"/>
          <w:szCs w:val="21"/>
        </w:rPr>
        <w:t>②</w:t>
      </w:r>
      <w:r>
        <w:rPr>
          <w:rFonts w:hint="eastAsia" w:ascii="Arial" w:hAnsi="Arial" w:cs="Arial"/>
          <w:szCs w:val="21"/>
        </w:rPr>
        <w:t>通讯线连接要正确、牢固。</w:t>
      </w:r>
    </w:p>
    <w:p>
      <w:pPr>
        <w:spacing w:line="360" w:lineRule="auto"/>
        <w:rPr>
          <w:rFonts w:hint="eastAsia" w:ascii="Arial" w:hAnsi="Arial" w:cs="Arial"/>
          <w:szCs w:val="21"/>
        </w:rPr>
      </w:pPr>
      <w:r>
        <w:rPr>
          <w:rFonts w:hint="eastAsia" w:ascii="黑体" w:hAnsi="Arial" w:eastAsia="黑体" w:cs="Arial"/>
          <w:szCs w:val="21"/>
        </w:rPr>
        <w:t>4.6</w:t>
      </w:r>
      <w:r>
        <w:rPr>
          <w:rFonts w:hint="eastAsia" w:ascii="Arial" w:hAnsi="Arial" w:cs="Arial"/>
          <w:szCs w:val="21"/>
        </w:rPr>
        <w:t>、消防联动系统：</w:t>
      </w:r>
    </w:p>
    <w:p>
      <w:pPr>
        <w:spacing w:line="360" w:lineRule="auto"/>
        <w:ind w:left="689" w:leftChars="228" w:hanging="210" w:hangingChars="100"/>
        <w:rPr>
          <w:rFonts w:hint="eastAsia" w:ascii="Arial" w:hAnsi="Arial" w:cs="Arial"/>
          <w:szCs w:val="21"/>
        </w:rPr>
      </w:pPr>
      <w:r>
        <w:rPr>
          <w:rFonts w:hint="eastAsia" w:ascii="宋体" w:hAnsi="宋体" w:cs="Arial"/>
          <w:szCs w:val="21"/>
        </w:rPr>
        <w:t>①</w:t>
      </w:r>
      <w:r>
        <w:rPr>
          <w:rFonts w:hint="eastAsia" w:ascii="Arial" w:hAnsi="Arial" w:cs="Arial"/>
          <w:szCs w:val="21"/>
        </w:rPr>
        <w:t>火灾报警系统与消防控制设备联动部分包括防火阀、送风阀、排烟阀、水流指示器、电磁阀、消防泵、喷淋泵、排烟机、送风机、切断电源装置，电梯迫降、通讯、应急广播等。</w:t>
      </w:r>
    </w:p>
    <w:p>
      <w:pPr>
        <w:spacing w:line="360" w:lineRule="auto"/>
        <w:ind w:left="689" w:leftChars="228" w:hanging="210" w:hangingChars="100"/>
        <w:rPr>
          <w:rFonts w:ascii="Arial" w:hAnsi="Arial" w:cs="Arial"/>
          <w:szCs w:val="21"/>
        </w:rPr>
      </w:pPr>
      <w:r>
        <w:rPr>
          <w:rFonts w:hint="eastAsia" w:ascii="宋体" w:hAnsi="宋体" w:cs="Arial"/>
          <w:szCs w:val="21"/>
        </w:rPr>
        <w:t>②</w:t>
      </w:r>
      <w:r>
        <w:rPr>
          <w:rFonts w:hint="eastAsia" w:ascii="Arial" w:hAnsi="Arial" w:cs="Arial"/>
          <w:szCs w:val="21"/>
        </w:rPr>
        <w:t>本工程联动部分除通过报警总线联动外，还设有直接启动联动控制柜。由于控制线较多施工中应仔细分清所有控制对象，做好线标，分清线色，避免遗漏。</w:t>
      </w:r>
    </w:p>
    <w:p>
      <w:pPr>
        <w:spacing w:line="360" w:lineRule="auto"/>
        <w:rPr>
          <w:rFonts w:hint="eastAsia" w:ascii="Arial" w:hAnsi="Arial" w:cs="Arial"/>
          <w:szCs w:val="21"/>
        </w:rPr>
      </w:pPr>
      <w:r>
        <w:rPr>
          <w:rFonts w:hint="eastAsia" w:ascii="黑体" w:hAnsi="Arial" w:eastAsia="黑体" w:cs="Arial"/>
          <w:szCs w:val="21"/>
        </w:rPr>
        <w:t>4.7</w:t>
      </w:r>
      <w:r>
        <w:rPr>
          <w:rFonts w:hint="eastAsia" w:ascii="Arial" w:hAnsi="Arial" w:cs="Arial"/>
          <w:szCs w:val="21"/>
        </w:rPr>
        <w:t>、系统接地装置安装</w:t>
      </w:r>
    </w:p>
    <w:p>
      <w:pPr>
        <w:spacing w:line="360" w:lineRule="auto"/>
        <w:ind w:firstLine="367" w:firstLineChars="175"/>
        <w:rPr>
          <w:rFonts w:hint="eastAsia" w:ascii="Arial" w:hAnsi="Arial" w:cs="Arial"/>
          <w:szCs w:val="21"/>
        </w:rPr>
      </w:pPr>
      <w:r>
        <w:rPr>
          <w:rFonts w:hint="eastAsia" w:ascii="宋体" w:hAnsi="宋体" w:cs="Arial"/>
          <w:szCs w:val="21"/>
        </w:rPr>
        <w:t>①</w:t>
      </w:r>
      <w:r>
        <w:rPr>
          <w:rFonts w:hint="eastAsia" w:ascii="Arial" w:hAnsi="Arial" w:cs="Arial"/>
          <w:szCs w:val="21"/>
        </w:rPr>
        <w:t>.工作接地与保护接地应严格分开，不得利用金属软管作为接地导体。</w:t>
      </w:r>
    </w:p>
    <w:p>
      <w:pPr>
        <w:spacing w:line="360" w:lineRule="auto"/>
        <w:ind w:firstLine="367" w:firstLineChars="175"/>
        <w:rPr>
          <w:rFonts w:hint="eastAsia" w:ascii="Arial" w:hAnsi="Arial" w:cs="Arial"/>
          <w:szCs w:val="21"/>
        </w:rPr>
      </w:pPr>
      <w:r>
        <w:rPr>
          <w:rFonts w:hint="eastAsia" w:ascii="宋体" w:hAnsi="宋体" w:cs="Arial"/>
          <w:szCs w:val="21"/>
        </w:rPr>
        <w:t>②</w:t>
      </w:r>
      <w:r>
        <w:rPr>
          <w:rFonts w:hint="eastAsia" w:ascii="Arial" w:hAnsi="Arial" w:cs="Arial"/>
          <w:szCs w:val="21"/>
        </w:rPr>
        <w:t>接地线上不应连接保险丝等。</w:t>
      </w:r>
    </w:p>
    <w:p>
      <w:pPr>
        <w:spacing w:line="360" w:lineRule="auto"/>
        <w:ind w:left="630" w:leftChars="200" w:hanging="210" w:hangingChars="100"/>
        <w:rPr>
          <w:rFonts w:hint="eastAsia" w:ascii="Arial" w:hAnsi="Arial" w:cs="Arial"/>
          <w:szCs w:val="21"/>
        </w:rPr>
      </w:pPr>
      <w:r>
        <w:rPr>
          <w:rFonts w:hint="eastAsia" w:ascii="宋体" w:hAnsi="宋体" w:cs="Arial"/>
          <w:szCs w:val="21"/>
        </w:rPr>
        <w:t>③</w:t>
      </w:r>
      <w:r>
        <w:rPr>
          <w:rFonts w:hint="eastAsia" w:ascii="Arial" w:hAnsi="Arial" w:cs="Arial"/>
          <w:szCs w:val="21"/>
        </w:rPr>
        <w:t>接地导体施工完后应作隐蔽工程验收，并用测量接地是电阻仪器作接地电阻值的测量，接地电阻的数值应满足下列要求：</w:t>
      </w:r>
    </w:p>
    <w:p>
      <w:pPr>
        <w:spacing w:line="360" w:lineRule="auto"/>
        <w:ind w:firstLine="1050" w:firstLineChars="500"/>
        <w:rPr>
          <w:rFonts w:hint="eastAsia" w:ascii="黑体" w:hAnsi="Arial" w:eastAsia="黑体" w:cs="Arial"/>
          <w:szCs w:val="21"/>
        </w:rPr>
      </w:pPr>
      <w:r>
        <w:rPr>
          <w:rFonts w:hint="eastAsia" w:ascii="黑体" w:hAnsi="Arial" w:eastAsia="黑体" w:cs="Arial"/>
          <w:szCs w:val="21"/>
        </w:rPr>
        <w:t>工作接地电阻值不应大于4Ω；</w:t>
      </w:r>
    </w:p>
    <w:p>
      <w:pPr>
        <w:spacing w:line="360" w:lineRule="auto"/>
        <w:ind w:firstLine="1050" w:firstLineChars="500"/>
        <w:rPr>
          <w:rFonts w:hint="eastAsia" w:ascii="黑体" w:hAnsi="Arial" w:eastAsia="黑体" w:cs="Arial"/>
          <w:szCs w:val="21"/>
        </w:rPr>
      </w:pPr>
      <w:r>
        <w:rPr>
          <w:rFonts w:hint="eastAsia" w:ascii="黑体" w:hAnsi="Arial" w:eastAsia="黑体" w:cs="Arial"/>
          <w:szCs w:val="21"/>
        </w:rPr>
        <w:t>采有联合接地时，接地电阻值应小于1Ω。</w:t>
      </w:r>
    </w:p>
    <w:p>
      <w:pPr>
        <w:pStyle w:val="5"/>
        <w:jc w:val="both"/>
        <w:rPr>
          <w:rFonts w:hint="eastAsia" w:ascii="黑体" w:hAnsi="黑体"/>
          <w:b w:val="0"/>
          <w:bCs w:val="0"/>
          <w:sz w:val="24"/>
          <w:szCs w:val="24"/>
        </w:rPr>
      </w:pPr>
      <w:bookmarkStart w:id="23" w:name="_Toc91062485"/>
      <w:bookmarkStart w:id="24" w:name="_Toc93118951"/>
      <w:bookmarkStart w:id="25" w:name="_Toc122259361"/>
      <w:bookmarkStart w:id="26" w:name="_Toc242860566"/>
      <w:bookmarkStart w:id="27" w:name="_Toc361990763"/>
      <w:r>
        <w:rPr>
          <w:rFonts w:hint="eastAsia" w:ascii="黑体" w:hAnsi="黑体"/>
          <w:b w:val="0"/>
          <w:bCs w:val="0"/>
          <w:sz w:val="24"/>
          <w:szCs w:val="24"/>
        </w:rPr>
        <w:t>1.4、系统调试</w:t>
      </w:r>
      <w:bookmarkEnd w:id="23"/>
      <w:bookmarkEnd w:id="24"/>
      <w:bookmarkEnd w:id="25"/>
      <w:bookmarkEnd w:id="26"/>
      <w:bookmarkEnd w:id="27"/>
    </w:p>
    <w:p>
      <w:pPr>
        <w:spacing w:line="360" w:lineRule="auto"/>
        <w:rPr>
          <w:rFonts w:hint="eastAsia" w:ascii="Arial" w:hAnsi="Arial" w:cs="Arial"/>
          <w:szCs w:val="21"/>
        </w:rPr>
      </w:pPr>
      <w:r>
        <w:rPr>
          <w:rFonts w:hint="eastAsia" w:ascii="黑体" w:hAnsi="Arial" w:eastAsia="黑体" w:cs="Arial"/>
          <w:szCs w:val="21"/>
        </w:rPr>
        <w:t>1</w:t>
      </w:r>
      <w:r>
        <w:rPr>
          <w:rFonts w:hint="eastAsia" w:ascii="Arial" w:hAnsi="Arial" w:cs="Arial"/>
          <w:szCs w:val="21"/>
        </w:rPr>
        <w:t>、系统开通调试</w:t>
      </w:r>
    </w:p>
    <w:p>
      <w:pPr>
        <w:spacing w:line="360" w:lineRule="auto"/>
        <w:rPr>
          <w:rFonts w:hint="eastAsia" w:ascii="Arial" w:hAnsi="Arial" w:cs="Arial"/>
          <w:szCs w:val="21"/>
        </w:rPr>
      </w:pPr>
      <w:r>
        <w:rPr>
          <w:rFonts w:hint="eastAsia" w:ascii="Arial" w:hAnsi="Arial" w:cs="Arial"/>
          <w:szCs w:val="21"/>
        </w:rPr>
        <w:t xml:space="preserve">  根据 《火灾自动报警系统施工验收规范》的规定，火灾自动报警系统的调试开通应遵循下列要求：</w:t>
      </w:r>
    </w:p>
    <w:p>
      <w:pPr>
        <w:spacing w:line="360" w:lineRule="auto"/>
        <w:rPr>
          <w:rFonts w:hint="eastAsia" w:ascii="Arial" w:hAnsi="Arial" w:cs="Arial"/>
          <w:szCs w:val="21"/>
        </w:rPr>
      </w:pPr>
      <w:r>
        <w:rPr>
          <w:rFonts w:hint="eastAsia" w:ascii="黑体" w:hAnsi="Arial" w:eastAsia="黑体" w:cs="Arial"/>
          <w:szCs w:val="21"/>
        </w:rPr>
        <w:t>1.1</w:t>
      </w:r>
      <w:r>
        <w:rPr>
          <w:rFonts w:hint="eastAsia" w:ascii="Arial" w:hAnsi="Arial" w:cs="Arial"/>
          <w:szCs w:val="21"/>
        </w:rPr>
        <w:t>、系统调试开通的基本要求</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火灾自动报警系统的调试开通工作应在建筑内部装修和系统安装结束，并得到竣工报告单后才能进行。</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在火灾自动报警系统调试开通前，必须具备下列文件：</w:t>
      </w:r>
    </w:p>
    <w:p>
      <w:pPr>
        <w:spacing w:line="360" w:lineRule="auto"/>
        <w:ind w:firstLine="840" w:firstLineChars="400"/>
        <w:rPr>
          <w:rFonts w:hint="eastAsia" w:ascii="Arial" w:hAnsi="Arial" w:cs="Arial"/>
          <w:szCs w:val="21"/>
        </w:rPr>
      </w:pPr>
      <w:r>
        <w:rPr>
          <w:rFonts w:hint="eastAsia" w:ascii="Arial" w:hAnsi="Arial" w:cs="Arial"/>
          <w:szCs w:val="21"/>
        </w:rPr>
        <w:t xml:space="preserve">火灾自动报警系统方框图； </w:t>
      </w:r>
    </w:p>
    <w:p>
      <w:pPr>
        <w:spacing w:line="360" w:lineRule="auto"/>
        <w:ind w:firstLine="840" w:firstLineChars="400"/>
        <w:rPr>
          <w:rFonts w:hint="eastAsia" w:ascii="Arial" w:hAnsi="Arial" w:cs="Arial"/>
          <w:szCs w:val="21"/>
        </w:rPr>
      </w:pPr>
      <w:r>
        <w:rPr>
          <w:rFonts w:hint="eastAsia" w:ascii="Arial" w:hAnsi="Arial" w:cs="Arial"/>
          <w:szCs w:val="21"/>
        </w:rPr>
        <w:t>火灾自动报警的建筑平面图；</w:t>
      </w:r>
    </w:p>
    <w:p>
      <w:pPr>
        <w:spacing w:line="360" w:lineRule="auto"/>
        <w:ind w:firstLine="840" w:firstLineChars="400"/>
        <w:rPr>
          <w:rFonts w:hint="eastAsia" w:ascii="Arial" w:hAnsi="Arial" w:cs="Arial"/>
          <w:szCs w:val="21"/>
        </w:rPr>
      </w:pPr>
      <w:r>
        <w:rPr>
          <w:rFonts w:hint="eastAsia" w:ascii="Arial" w:hAnsi="Arial" w:cs="Arial"/>
          <w:szCs w:val="21"/>
        </w:rPr>
        <w:t xml:space="preserve">设备安装技术文件安装尺寸图（包括控制设备、联动设备的安装图、  </w:t>
      </w:r>
    </w:p>
    <w:p>
      <w:pPr>
        <w:spacing w:line="360" w:lineRule="auto"/>
        <w:ind w:firstLine="840" w:firstLineChars="400"/>
        <w:rPr>
          <w:rFonts w:hint="eastAsia" w:ascii="Arial" w:hAnsi="Arial" w:cs="Arial"/>
          <w:szCs w:val="21"/>
        </w:rPr>
      </w:pPr>
      <w:r>
        <w:rPr>
          <w:rFonts w:hint="eastAsia" w:ascii="Arial" w:hAnsi="Arial" w:cs="Arial"/>
          <w:szCs w:val="21"/>
        </w:rPr>
        <w:t>探测器预埋件、端子箱安装尺寸等）；</w:t>
      </w:r>
    </w:p>
    <w:p>
      <w:pPr>
        <w:spacing w:line="360" w:lineRule="auto"/>
        <w:ind w:firstLine="840" w:firstLineChars="400"/>
        <w:rPr>
          <w:rFonts w:hint="eastAsia" w:ascii="Arial" w:hAnsi="Arial" w:cs="Arial"/>
          <w:szCs w:val="21"/>
        </w:rPr>
      </w:pPr>
      <w:r>
        <w:rPr>
          <w:rFonts w:hint="eastAsia" w:ascii="Arial" w:hAnsi="Arial" w:cs="Arial"/>
          <w:szCs w:val="21"/>
        </w:rPr>
        <w:t>变更设计部分的实际施工图；</w:t>
      </w:r>
    </w:p>
    <w:p>
      <w:pPr>
        <w:spacing w:line="360" w:lineRule="auto"/>
        <w:ind w:firstLine="840" w:firstLineChars="400"/>
        <w:rPr>
          <w:rFonts w:hint="eastAsia" w:ascii="Arial" w:hAnsi="Arial" w:cs="Arial"/>
          <w:szCs w:val="21"/>
        </w:rPr>
      </w:pPr>
      <w:r>
        <w:rPr>
          <w:rFonts w:hint="eastAsia" w:ascii="Arial" w:hAnsi="Arial" w:cs="Arial"/>
          <w:szCs w:val="21"/>
        </w:rPr>
        <w:t>变更设计的证明文件；</w:t>
      </w:r>
    </w:p>
    <w:p>
      <w:pPr>
        <w:spacing w:line="360" w:lineRule="auto"/>
        <w:ind w:firstLine="840" w:firstLineChars="400"/>
        <w:rPr>
          <w:rFonts w:hint="eastAsia" w:ascii="Arial" w:hAnsi="Arial" w:cs="Arial"/>
          <w:szCs w:val="21"/>
        </w:rPr>
      </w:pPr>
      <w:r>
        <w:rPr>
          <w:rFonts w:hint="eastAsia" w:ascii="Arial" w:hAnsi="Arial" w:cs="Arial"/>
          <w:szCs w:val="21"/>
        </w:rPr>
        <w:t>安装验收单；</w:t>
      </w:r>
    </w:p>
    <w:p>
      <w:pPr>
        <w:spacing w:line="360" w:lineRule="auto"/>
        <w:ind w:firstLine="840" w:firstLineChars="400"/>
        <w:rPr>
          <w:rFonts w:hint="eastAsia" w:ascii="Arial" w:hAnsi="Arial" w:cs="Arial"/>
          <w:szCs w:val="21"/>
        </w:rPr>
      </w:pPr>
      <w:r>
        <w:rPr>
          <w:rFonts w:hint="eastAsia" w:ascii="Arial" w:hAnsi="Arial" w:cs="Arial"/>
          <w:szCs w:val="21"/>
        </w:rPr>
        <w:t>安装技术记录（包括隐蔽工程检测记录）。</w:t>
      </w:r>
    </w:p>
    <w:p>
      <w:pPr>
        <w:spacing w:line="360" w:lineRule="auto"/>
        <w:ind w:firstLine="840" w:firstLineChars="400"/>
        <w:rPr>
          <w:rFonts w:hint="eastAsia" w:ascii="Arial" w:hAnsi="Arial" w:cs="Arial"/>
          <w:szCs w:val="21"/>
        </w:rPr>
      </w:pPr>
      <w:r>
        <w:rPr>
          <w:rFonts w:hint="eastAsia" w:ascii="Arial" w:hAnsi="Arial" w:cs="Arial"/>
          <w:szCs w:val="21"/>
        </w:rPr>
        <w:t>安装检验记录（包括绝缘电阻接地测试记录）</w:t>
      </w:r>
    </w:p>
    <w:p>
      <w:pPr>
        <w:spacing w:line="360" w:lineRule="auto"/>
        <w:ind w:firstLine="840" w:firstLineChars="400"/>
        <w:rPr>
          <w:rFonts w:hint="eastAsia" w:ascii="Arial" w:hAnsi="Arial" w:cs="Arial"/>
          <w:szCs w:val="21"/>
        </w:rPr>
      </w:pPr>
      <w:r>
        <w:rPr>
          <w:rFonts w:hint="eastAsia" w:ascii="Arial" w:hAnsi="Arial" w:cs="Arial"/>
          <w:szCs w:val="21"/>
        </w:rPr>
        <w:t>设备的使用说明书（包括电路图及备用电源的充放电说明）；</w:t>
      </w:r>
    </w:p>
    <w:p>
      <w:pPr>
        <w:spacing w:line="360" w:lineRule="auto"/>
        <w:rPr>
          <w:rFonts w:hint="eastAsia" w:ascii="Arial" w:hAnsi="Arial" w:cs="Arial"/>
          <w:szCs w:val="21"/>
        </w:rPr>
      </w:pPr>
      <w:r>
        <w:rPr>
          <w:rFonts w:hint="eastAsia" w:ascii="黑体" w:hAnsi="Arial" w:eastAsia="黑体" w:cs="Arial"/>
          <w:szCs w:val="21"/>
        </w:rPr>
        <w:t>1.2</w:t>
      </w:r>
      <w:r>
        <w:rPr>
          <w:rFonts w:hint="eastAsia" w:ascii="Arial" w:hAnsi="Arial" w:cs="Arial"/>
          <w:szCs w:val="21"/>
        </w:rPr>
        <w:t>、调试前的准备</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调试开通前应认真检查集中报警控制器、区域报警控制器、探测器、手动报警按钮等报警设备规格、型号和数量是否符合设计要求，备品备件和技术资料是否齐全。</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检查火灾自动报警系统的安装是否符合《火灾自动报警系统安装使用规范》有关规定的要求。</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③</w:t>
      </w:r>
      <w:r>
        <w:rPr>
          <w:rFonts w:hint="eastAsia" w:ascii="Arial" w:hAnsi="Arial" w:cs="Arial"/>
          <w:szCs w:val="21"/>
        </w:rPr>
        <w:t>检查系统线路是否正确无误。在查线过程中一定要按生产厂家的说明，使用合适的工具检查线路，避免底座上元器件的损坏。对于检查出的错线、开路、虚焊和短路等应一一加以排除。</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④</w:t>
      </w:r>
      <w:r>
        <w:rPr>
          <w:rFonts w:hint="eastAsia" w:ascii="Arial" w:hAnsi="Arial" w:cs="Arial"/>
          <w:szCs w:val="21"/>
        </w:rPr>
        <w:t>在调试开通前的检查中，如发现设计安装问题及影响调试开通的其他问题，应会同有关部门协调解决，并有文字记载。</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⑤</w:t>
      </w:r>
      <w:r>
        <w:rPr>
          <w:rFonts w:hint="eastAsia" w:ascii="Arial" w:hAnsi="Arial" w:cs="Arial"/>
          <w:szCs w:val="21"/>
        </w:rPr>
        <w:t>在正式进行系统调试时，首先，应分别对集中报警控制器、区域报警控制器、火灾报警装置和消防控制设备按生产厂家产品说明书的要求进行单机通电检查试验，正常后才能接入系统进行调试。</w:t>
      </w:r>
    </w:p>
    <w:p>
      <w:pPr>
        <w:spacing w:line="360" w:lineRule="auto"/>
        <w:rPr>
          <w:rFonts w:hint="eastAsia" w:ascii="Arial" w:hAnsi="Arial" w:cs="Arial"/>
          <w:szCs w:val="21"/>
        </w:rPr>
      </w:pPr>
      <w:r>
        <w:rPr>
          <w:rFonts w:hint="eastAsia" w:ascii="黑体" w:hAnsi="Arial" w:eastAsia="黑体" w:cs="Arial"/>
          <w:szCs w:val="21"/>
        </w:rPr>
        <w:t>1.3</w:t>
      </w:r>
      <w:r>
        <w:rPr>
          <w:rFonts w:hint="eastAsia" w:ascii="Arial" w:hAnsi="Arial" w:cs="Arial"/>
          <w:szCs w:val="21"/>
        </w:rPr>
        <w:t>、系统调试</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在调试开通过程中，单机接入系统通电后，应对报警控制器做火灾报警自检功能、消音、复位功能、故障报警功能、火警优先功能、报警记忆功能、电源自动转换和备用电源的自动充电功能、备用电源的欠压和过压报警功能等功能检查。在通电检查中，上述所有功能都必须符合GB4717《火灾报警控制器通用技术条件》的要求，对于产品说明书规定的其他功能，如脉冲复位、区域交叉和报警级别等在调试开通时也应逐一检查。</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按设计文件和设计要求，分别用主电源和备用电源供电检查火灾自动报警系统的各种控制功能和联动功能，其控制功能和联动功能应正常。</w:t>
      </w:r>
    </w:p>
    <w:p>
      <w:pPr>
        <w:spacing w:line="360" w:lineRule="auto"/>
        <w:ind w:left="420" w:hanging="420" w:hangingChars="2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③</w:t>
      </w:r>
      <w:r>
        <w:rPr>
          <w:rFonts w:hint="eastAsia" w:ascii="Arial" w:hAnsi="Arial" w:cs="Arial"/>
          <w:szCs w:val="21"/>
        </w:rPr>
        <w:t>检查主电源和备用电源的容量，其容量应符合《火灾报警控制器通用技术条件》（GB4717）的规定。</w:t>
      </w:r>
    </w:p>
    <w:p>
      <w:pPr>
        <w:spacing w:line="360" w:lineRule="auto"/>
        <w:ind w:left="455" w:leftChars="150" w:hanging="140" w:hangingChars="67"/>
        <w:rPr>
          <w:rFonts w:hint="eastAsia" w:ascii="Arial" w:hAnsi="Arial" w:cs="Arial"/>
          <w:szCs w:val="21"/>
        </w:rPr>
      </w:pPr>
      <w:r>
        <w:rPr>
          <w:rFonts w:hint="eastAsia" w:ascii="宋体" w:hAnsi="宋体" w:cs="Arial"/>
          <w:szCs w:val="21"/>
        </w:rPr>
        <w:t>④</w:t>
      </w:r>
      <w:r>
        <w:rPr>
          <w:rFonts w:hint="eastAsia" w:ascii="Arial" w:hAnsi="Arial" w:cs="Arial"/>
          <w:szCs w:val="21"/>
        </w:rPr>
        <w:t>应进行主电源和备用的自动转换试验，主、备电源应能自动转换，并符合《火灾自动报警控制器通用技术条件》（GB4717）的要求。</w:t>
      </w:r>
    </w:p>
    <w:p>
      <w:pPr>
        <w:spacing w:line="360" w:lineRule="auto"/>
        <w:ind w:firstLine="275" w:firstLineChars="131"/>
        <w:rPr>
          <w:rFonts w:hint="eastAsia" w:ascii="Arial" w:hAnsi="Arial" w:cs="Arial"/>
          <w:szCs w:val="21"/>
        </w:rPr>
      </w:pPr>
      <w:r>
        <w:rPr>
          <w:rFonts w:hint="eastAsia" w:ascii="宋体" w:hAnsi="宋体" w:cs="Arial"/>
          <w:szCs w:val="21"/>
        </w:rPr>
        <w:t>⑤</w:t>
      </w:r>
      <w:r>
        <w:rPr>
          <w:rFonts w:hint="eastAsia" w:ascii="Arial" w:hAnsi="Arial" w:cs="Arial"/>
          <w:szCs w:val="21"/>
        </w:rPr>
        <w:t>给备用电源连续进行3次充电，其功能应正常。</w:t>
      </w:r>
    </w:p>
    <w:p>
      <w:pPr>
        <w:spacing w:line="360" w:lineRule="auto"/>
        <w:ind w:firstLine="275" w:firstLineChars="131"/>
        <w:rPr>
          <w:rFonts w:hint="eastAsia" w:ascii="Arial" w:hAnsi="Arial" w:cs="Arial"/>
          <w:szCs w:val="21"/>
        </w:rPr>
      </w:pPr>
      <w:r>
        <w:rPr>
          <w:rFonts w:hint="eastAsia" w:ascii="宋体" w:hAnsi="宋体" w:cs="Arial"/>
          <w:szCs w:val="21"/>
        </w:rPr>
        <w:t>⑥</w:t>
      </w:r>
      <w:r>
        <w:rPr>
          <w:rFonts w:hint="eastAsia" w:ascii="Arial" w:hAnsi="Arial" w:cs="Arial"/>
          <w:szCs w:val="21"/>
        </w:rPr>
        <w:t>系统功能调试正常后，应使用专用加烟和加温等试验器对安装的每只探测器进行</w:t>
      </w:r>
    </w:p>
    <w:p>
      <w:pPr>
        <w:spacing w:line="360" w:lineRule="auto"/>
        <w:ind w:firstLine="482" w:firstLineChars="230"/>
        <w:rPr>
          <w:rFonts w:hint="eastAsia" w:ascii="Arial" w:hAnsi="Arial" w:cs="Arial"/>
          <w:szCs w:val="21"/>
        </w:rPr>
      </w:pPr>
      <w:r>
        <w:rPr>
          <w:rFonts w:hint="eastAsia" w:ascii="Arial" w:hAnsi="Arial" w:cs="Arial"/>
          <w:szCs w:val="21"/>
        </w:rPr>
        <w:t>加烟（或加温）试验，动作无误后方可投入运行。</w:t>
      </w:r>
    </w:p>
    <w:p>
      <w:pPr>
        <w:spacing w:line="360" w:lineRule="auto"/>
        <w:ind w:left="928" w:leftChars="342" w:hanging="210" w:hangingChars="100"/>
        <w:rPr>
          <w:rFonts w:hint="eastAsia" w:ascii="Arial" w:hAnsi="Arial" w:cs="Arial"/>
          <w:szCs w:val="21"/>
        </w:rPr>
      </w:pPr>
      <w:r>
        <w:rPr>
          <w:rFonts w:hint="eastAsia" w:ascii="宋体" w:hAnsi="宋体" w:cs="Arial"/>
          <w:szCs w:val="21"/>
        </w:rPr>
        <w:t>⑦</w:t>
      </w:r>
      <w:r>
        <w:rPr>
          <w:rFonts w:hint="eastAsia" w:ascii="Arial" w:hAnsi="Arial" w:cs="Arial"/>
          <w:szCs w:val="21"/>
        </w:rPr>
        <w:t>按系统调试程序进行系统功能的自检，系统调试完全正常后，应连续无故障运行120小时，按要求填写调试开通报告，然后才能进行验收工作。</w:t>
      </w:r>
    </w:p>
    <w:p>
      <w:pPr>
        <w:pStyle w:val="5"/>
        <w:jc w:val="both"/>
        <w:rPr>
          <w:rFonts w:hint="eastAsia" w:ascii="黑体" w:hAnsi="黑体"/>
          <w:b w:val="0"/>
          <w:bCs w:val="0"/>
          <w:sz w:val="24"/>
          <w:szCs w:val="24"/>
        </w:rPr>
      </w:pPr>
      <w:bookmarkStart w:id="28" w:name="_Toc91062486"/>
      <w:bookmarkStart w:id="29" w:name="_Toc93118952"/>
      <w:bookmarkStart w:id="30" w:name="_Toc122259362"/>
      <w:bookmarkStart w:id="31" w:name="_Toc242860567"/>
      <w:bookmarkStart w:id="32" w:name="_Toc361990764"/>
      <w:r>
        <w:rPr>
          <w:rFonts w:hint="eastAsia" w:ascii="黑体" w:hAnsi="黑体"/>
          <w:b w:val="0"/>
          <w:bCs w:val="0"/>
          <w:sz w:val="24"/>
          <w:szCs w:val="24"/>
        </w:rPr>
        <w:t>1.5、系统验收</w:t>
      </w:r>
      <w:bookmarkEnd w:id="28"/>
      <w:bookmarkEnd w:id="29"/>
      <w:bookmarkEnd w:id="30"/>
      <w:bookmarkEnd w:id="31"/>
      <w:bookmarkEnd w:id="32"/>
    </w:p>
    <w:p>
      <w:pPr>
        <w:spacing w:line="360" w:lineRule="auto"/>
        <w:rPr>
          <w:rFonts w:hint="eastAsia" w:ascii="Arial" w:hAnsi="Arial" w:cs="Arial"/>
          <w:szCs w:val="21"/>
        </w:rPr>
      </w:pPr>
      <w:r>
        <w:rPr>
          <w:rFonts w:hint="eastAsia" w:ascii="Arial" w:hAnsi="Arial" w:cs="Arial"/>
          <w:szCs w:val="21"/>
        </w:rPr>
        <w:t>1、整理好竣工资料配合甲方填写竣工验收表格并上报安阳市消防支队以确定验收日期。</w:t>
      </w:r>
    </w:p>
    <w:p>
      <w:pPr>
        <w:spacing w:line="360" w:lineRule="auto"/>
        <w:rPr>
          <w:rFonts w:hint="eastAsia" w:ascii="Arial" w:hAnsi="Arial" w:cs="Arial"/>
          <w:szCs w:val="21"/>
        </w:rPr>
      </w:pPr>
      <w:r>
        <w:rPr>
          <w:rFonts w:hint="eastAsia" w:ascii="Arial" w:hAnsi="Arial" w:cs="Arial"/>
          <w:szCs w:val="21"/>
        </w:rPr>
        <w:t>2、正式验收前对整个系统进行全面调试，发现问题及时整改。</w:t>
      </w:r>
    </w:p>
    <w:p>
      <w:pPr>
        <w:spacing w:line="360" w:lineRule="auto"/>
        <w:rPr>
          <w:rFonts w:ascii="Arial" w:hAnsi="Arial" w:cs="Arial"/>
          <w:szCs w:val="21"/>
        </w:rPr>
      </w:pPr>
      <w:r>
        <w:rPr>
          <w:rFonts w:hint="eastAsia" w:ascii="Arial" w:hAnsi="Arial" w:cs="Arial"/>
          <w:szCs w:val="21"/>
        </w:rPr>
        <w:t>3、配合甲方做好验收人员组织工作，岗位责任到人，确保验收顺利。</w:t>
      </w:r>
    </w:p>
    <w:p>
      <w:pPr>
        <w:pStyle w:val="4"/>
        <w:rPr>
          <w:rFonts w:hint="eastAsia" w:ascii="黑体" w:hAnsi="黑体" w:eastAsia="黑体"/>
          <w:b w:val="0"/>
          <w:bCs w:val="0"/>
          <w:sz w:val="28"/>
          <w:szCs w:val="28"/>
        </w:rPr>
      </w:pPr>
      <w:bookmarkStart w:id="33" w:name="_Toc91062487"/>
      <w:bookmarkStart w:id="34" w:name="_Toc93118953"/>
      <w:bookmarkStart w:id="35" w:name="_Toc122259363"/>
      <w:bookmarkStart w:id="36" w:name="_Toc242860568"/>
      <w:bookmarkStart w:id="37" w:name="_Toc361990765"/>
      <w:r>
        <w:rPr>
          <w:rFonts w:hint="eastAsia" w:ascii="黑体" w:hAnsi="黑体" w:eastAsia="黑体"/>
          <w:b w:val="0"/>
          <w:bCs w:val="0"/>
          <w:sz w:val="28"/>
          <w:szCs w:val="28"/>
        </w:rPr>
        <w:t>2、消防水系统施工</w:t>
      </w:r>
      <w:bookmarkEnd w:id="33"/>
      <w:bookmarkEnd w:id="34"/>
      <w:bookmarkEnd w:id="35"/>
      <w:r>
        <w:rPr>
          <w:rFonts w:hint="eastAsia" w:ascii="黑体" w:hAnsi="黑体" w:eastAsia="黑体"/>
          <w:b w:val="0"/>
          <w:bCs w:val="0"/>
          <w:sz w:val="28"/>
          <w:szCs w:val="28"/>
        </w:rPr>
        <w:t>方法</w:t>
      </w:r>
      <w:bookmarkEnd w:id="36"/>
      <w:bookmarkEnd w:id="37"/>
    </w:p>
    <w:p>
      <w:pPr>
        <w:spacing w:line="360" w:lineRule="auto"/>
        <w:ind w:firstLine="420" w:firstLineChars="200"/>
        <w:rPr>
          <w:rFonts w:hint="eastAsia" w:ascii="Arial" w:hAnsi="Arial" w:cs="Arial"/>
          <w:szCs w:val="21"/>
        </w:rPr>
      </w:pPr>
      <w:r>
        <w:rPr>
          <w:rFonts w:hint="eastAsia" w:ascii="Arial" w:hAnsi="Arial" w:cs="Arial"/>
          <w:szCs w:val="21"/>
        </w:rPr>
        <w:t xml:space="preserve">消防水系统施工中，我公司准备采用符合设计要求及消防规范方法施工，消火栓系统及喷淋系统管道管径小于DN100的采用丝接，大于等于DN100的管道采用沟槽连接。 </w:t>
      </w:r>
    </w:p>
    <w:p>
      <w:pPr>
        <w:pStyle w:val="5"/>
        <w:jc w:val="both"/>
        <w:rPr>
          <w:rFonts w:hint="eastAsia" w:ascii="黑体" w:hAnsi="黑体"/>
          <w:b w:val="0"/>
          <w:bCs w:val="0"/>
          <w:sz w:val="24"/>
          <w:szCs w:val="24"/>
        </w:rPr>
      </w:pPr>
      <w:bookmarkStart w:id="38" w:name="_Toc361990766"/>
      <w:bookmarkStart w:id="39" w:name="_Toc242860569"/>
      <w:bookmarkStart w:id="40" w:name="_Toc122259364"/>
      <w:bookmarkStart w:id="41" w:name="_Toc93118954"/>
      <w:bookmarkStart w:id="42" w:name="_Toc91062488"/>
      <w:r>
        <w:rPr>
          <w:rFonts w:hint="eastAsia" w:ascii="黑体" w:hAnsi="黑体"/>
          <w:b w:val="0"/>
          <w:bCs w:val="0"/>
          <w:sz w:val="24"/>
          <w:szCs w:val="24"/>
        </w:rPr>
        <w:t>2.1、施工准备</w:t>
      </w:r>
      <w:bookmarkEnd w:id="38"/>
      <w:bookmarkEnd w:id="39"/>
      <w:bookmarkEnd w:id="40"/>
      <w:bookmarkEnd w:id="41"/>
      <w:bookmarkEnd w:id="42"/>
    </w:p>
    <w:p>
      <w:pPr>
        <w:spacing w:line="360" w:lineRule="auto"/>
        <w:rPr>
          <w:rFonts w:hint="eastAsia" w:ascii="Arial" w:hAnsi="Arial" w:cs="Arial"/>
          <w:szCs w:val="21"/>
        </w:rPr>
      </w:pPr>
      <w:r>
        <w:rPr>
          <w:rFonts w:hint="eastAsia" w:ascii="Arial" w:hAnsi="Arial" w:cs="Arial"/>
          <w:szCs w:val="21"/>
        </w:rPr>
        <w:t>2.1.1、图纸会审及人员组织</w:t>
      </w:r>
    </w:p>
    <w:p>
      <w:pPr>
        <w:spacing w:line="360" w:lineRule="auto"/>
        <w:rPr>
          <w:rFonts w:hint="eastAsia" w:ascii="Arial" w:hAnsi="Arial" w:cs="Arial"/>
          <w:szCs w:val="21"/>
        </w:rPr>
      </w:pPr>
      <w:r>
        <w:rPr>
          <w:rFonts w:hint="eastAsia" w:ascii="Arial" w:hAnsi="Arial" w:cs="Arial"/>
          <w:szCs w:val="21"/>
        </w:rPr>
        <w:t xml:space="preserve">    会审人员应认真熟悉图纸，领会设计意图，提出图纸中存在的问题及不明确的地方，做好图纸会审工作。</w:t>
      </w:r>
    </w:p>
    <w:p>
      <w:pPr>
        <w:spacing w:line="360" w:lineRule="auto"/>
        <w:rPr>
          <w:rFonts w:hint="eastAsia" w:ascii="Arial" w:hAnsi="Arial" w:cs="Arial"/>
          <w:szCs w:val="21"/>
        </w:rPr>
      </w:pPr>
      <w:r>
        <w:rPr>
          <w:rFonts w:hint="eastAsia" w:ascii="Arial" w:hAnsi="Arial" w:cs="Arial"/>
          <w:szCs w:val="21"/>
        </w:rPr>
        <w:t>施工队伍的组织：现场管理人员应是经过消防专业培训，并承担过大中型消防工程管理的熟练人员；施工人员应是熟练的管道工和焊工，并具有专业证书。</w:t>
      </w:r>
    </w:p>
    <w:p>
      <w:pPr>
        <w:spacing w:line="360" w:lineRule="auto"/>
        <w:rPr>
          <w:rFonts w:hint="eastAsia" w:ascii="Arial" w:hAnsi="Arial" w:cs="Arial"/>
          <w:szCs w:val="21"/>
        </w:rPr>
      </w:pPr>
      <w:r>
        <w:rPr>
          <w:rFonts w:hint="eastAsia" w:ascii="Arial" w:hAnsi="Arial" w:cs="Arial"/>
          <w:szCs w:val="21"/>
        </w:rPr>
        <w:t>2.2、材料进场及检查</w:t>
      </w:r>
    </w:p>
    <w:p>
      <w:pPr>
        <w:spacing w:line="360" w:lineRule="auto"/>
        <w:rPr>
          <w:rFonts w:hint="eastAsia" w:ascii="Arial" w:hAnsi="Arial" w:cs="Arial"/>
          <w:szCs w:val="21"/>
        </w:rPr>
      </w:pPr>
      <w:r>
        <w:rPr>
          <w:rFonts w:hint="eastAsia" w:ascii="Arial" w:hAnsi="Arial" w:cs="Arial"/>
          <w:szCs w:val="21"/>
        </w:rPr>
        <w:t xml:space="preserve">    在全面熟悉图纸的基础上，提出材料计划，根据施工进度及安装施工要求，材料分批进场，进场材料按规格码放整齐，并有防雨措施，严禁不合格产品进场。</w:t>
      </w:r>
    </w:p>
    <w:p>
      <w:pPr>
        <w:spacing w:line="360" w:lineRule="auto"/>
        <w:rPr>
          <w:rFonts w:hint="eastAsia" w:ascii="Arial" w:hAnsi="Arial" w:cs="Arial"/>
          <w:szCs w:val="21"/>
        </w:rPr>
      </w:pPr>
      <w:r>
        <w:rPr>
          <w:rFonts w:hint="eastAsia" w:ascii="Arial" w:hAnsi="Arial" w:cs="Arial"/>
          <w:szCs w:val="21"/>
        </w:rPr>
        <w:t>施工前应对采用的系统组件、管件及其它设备、材料进行现场检查，且应符合下列要求：</w:t>
      </w:r>
    </w:p>
    <w:p>
      <w:pPr>
        <w:spacing w:line="360" w:lineRule="auto"/>
        <w:rPr>
          <w:rFonts w:hint="eastAsia" w:ascii="Arial" w:hAnsi="Arial" w:cs="Arial"/>
          <w:szCs w:val="21"/>
        </w:rPr>
      </w:pPr>
      <w:r>
        <w:rPr>
          <w:rFonts w:hint="eastAsia" w:ascii="Arial" w:hAnsi="Arial" w:cs="Arial"/>
          <w:szCs w:val="21"/>
        </w:rPr>
        <w:t>2.2 .1、设备组件检查</w:t>
      </w:r>
    </w:p>
    <w:p>
      <w:pPr>
        <w:numPr>
          <w:ilvl w:val="0"/>
          <w:numId w:val="1"/>
        </w:numPr>
        <w:tabs>
          <w:tab w:val="left" w:pos="735"/>
          <w:tab w:val="clear" w:pos="839"/>
        </w:tabs>
        <w:spacing w:line="360" w:lineRule="auto"/>
        <w:rPr>
          <w:rFonts w:hint="eastAsia" w:ascii="Arial" w:hAnsi="Arial" w:cs="Arial"/>
          <w:szCs w:val="21"/>
        </w:rPr>
      </w:pPr>
      <w:r>
        <w:rPr>
          <w:rFonts w:hint="eastAsia" w:ascii="Arial" w:hAnsi="Arial" w:cs="Arial"/>
          <w:szCs w:val="21"/>
        </w:rPr>
        <w:t>系统组件、管件及其它设备、材料，应符合设计要求和国家现行有关标准的规定并应具有出厂合格证；</w:t>
      </w:r>
    </w:p>
    <w:p>
      <w:pPr>
        <w:spacing w:line="360" w:lineRule="auto"/>
        <w:ind w:left="899" w:leftChars="228" w:hanging="420" w:hangingChars="200"/>
        <w:rPr>
          <w:rFonts w:hint="eastAsia" w:ascii="Arial" w:hAnsi="Arial" w:cs="Arial"/>
          <w:szCs w:val="21"/>
        </w:rPr>
      </w:pPr>
      <w:r>
        <w:rPr>
          <w:rFonts w:hint="eastAsia" w:ascii="Arial" w:hAnsi="Arial" w:cs="Arial"/>
          <w:szCs w:val="21"/>
        </w:rPr>
        <w:t>②喷头、报警阀、压力开关、水流指示器、消火栓等主要系统组件应采用国家消防产品质量监督检验中心检测合格的产品。</w:t>
      </w:r>
    </w:p>
    <w:p>
      <w:pPr>
        <w:spacing w:line="360" w:lineRule="auto"/>
        <w:rPr>
          <w:rFonts w:hint="eastAsia" w:ascii="Arial" w:hAnsi="Arial" w:cs="Arial"/>
          <w:szCs w:val="21"/>
        </w:rPr>
      </w:pPr>
      <w:r>
        <w:rPr>
          <w:rFonts w:hint="eastAsia" w:ascii="Arial" w:hAnsi="Arial" w:cs="Arial"/>
          <w:szCs w:val="21"/>
        </w:rPr>
        <w:t>2.2.2、管材、管件应进行现场外现检查</w:t>
      </w:r>
    </w:p>
    <w:p>
      <w:pPr>
        <w:spacing w:line="360" w:lineRule="auto"/>
        <w:ind w:firstLine="420" w:firstLineChars="200"/>
        <w:rPr>
          <w:rFonts w:hint="eastAsia" w:ascii="Arial" w:hAnsi="Arial" w:cs="Arial"/>
          <w:szCs w:val="21"/>
        </w:rPr>
      </w:pPr>
      <w:r>
        <w:rPr>
          <w:rFonts w:hint="eastAsia" w:ascii="Arial" w:hAnsi="Arial" w:cs="Arial"/>
          <w:szCs w:val="21"/>
        </w:rPr>
        <w:t>①表面应无裂纹缩孔、夹渣、</w:t>
      </w:r>
      <w:r>
        <w:rPr>
          <w:rFonts w:hint="eastAsia" w:ascii="Arial" w:hAnsi="Arial" w:cs="Arial"/>
          <w:szCs w:val="21"/>
        </w:rPr>
        <w:softHyphen/>
      </w:r>
      <w:r>
        <w:rPr>
          <w:rFonts w:hint="eastAsia" w:ascii="Arial" w:hAnsi="Arial" w:cs="Arial"/>
          <w:szCs w:val="21"/>
        </w:rPr>
        <w:t xml:space="preserve"> 拆迭和重皮；</w:t>
      </w:r>
    </w:p>
    <w:p>
      <w:pPr>
        <w:spacing w:line="360" w:lineRule="auto"/>
        <w:ind w:firstLine="420" w:firstLineChars="200"/>
        <w:rPr>
          <w:rFonts w:hint="eastAsia" w:ascii="Arial" w:hAnsi="Arial" w:cs="Arial"/>
          <w:szCs w:val="21"/>
        </w:rPr>
      </w:pPr>
      <w:r>
        <w:rPr>
          <w:rFonts w:hint="eastAsia" w:ascii="Arial" w:hAnsi="Arial" w:cs="Arial"/>
          <w:szCs w:val="21"/>
        </w:rPr>
        <w:t>②螺纹密封面应完整、无损伤、无毛刺；</w:t>
      </w:r>
    </w:p>
    <w:p>
      <w:pPr>
        <w:spacing w:line="360" w:lineRule="auto"/>
        <w:ind w:firstLine="420" w:firstLineChars="200"/>
        <w:rPr>
          <w:rFonts w:hint="eastAsia" w:ascii="Arial" w:hAnsi="Arial" w:cs="Arial"/>
          <w:szCs w:val="21"/>
        </w:rPr>
      </w:pPr>
      <w:r>
        <w:rPr>
          <w:rFonts w:hint="eastAsia" w:ascii="Arial" w:hAnsi="Arial" w:cs="Arial"/>
          <w:szCs w:val="21"/>
        </w:rPr>
        <w:t>③镀锌钢管内外表面的镀锌层不得有脱落、锈蚀等现象；</w:t>
      </w:r>
    </w:p>
    <w:p>
      <w:pPr>
        <w:spacing w:line="360" w:lineRule="auto"/>
        <w:ind w:left="899" w:leftChars="228" w:hanging="420" w:hangingChars="200"/>
        <w:rPr>
          <w:rFonts w:hint="eastAsia" w:ascii="Arial" w:hAnsi="Arial" w:cs="Arial"/>
          <w:szCs w:val="21"/>
        </w:rPr>
      </w:pPr>
      <w:r>
        <w:rPr>
          <w:rFonts w:hint="eastAsia" w:ascii="Arial" w:hAnsi="Arial" w:cs="Arial"/>
          <w:szCs w:val="21"/>
        </w:rPr>
        <w:t>④法兰密封面应完整光洁，不得有毛刺及径向沟槽；螺纹卡箍的螺纹应完整、无损伤。</w:t>
      </w:r>
    </w:p>
    <w:p>
      <w:pPr>
        <w:spacing w:line="360" w:lineRule="auto"/>
        <w:rPr>
          <w:rFonts w:hint="eastAsia" w:ascii="Arial" w:hAnsi="Arial" w:cs="Arial"/>
          <w:szCs w:val="21"/>
        </w:rPr>
      </w:pPr>
      <w:r>
        <w:rPr>
          <w:rFonts w:hint="eastAsia" w:ascii="Arial" w:hAnsi="Arial" w:cs="Arial"/>
          <w:szCs w:val="21"/>
        </w:rPr>
        <w:t>2.2.3、阀门及其附件的现场检查</w:t>
      </w:r>
    </w:p>
    <w:p>
      <w:pPr>
        <w:spacing w:line="360" w:lineRule="auto"/>
        <w:ind w:firstLine="420" w:firstLineChars="200"/>
        <w:rPr>
          <w:rFonts w:hint="eastAsia" w:ascii="Arial" w:hAnsi="Arial" w:cs="Arial"/>
          <w:szCs w:val="21"/>
        </w:rPr>
      </w:pPr>
      <w:r>
        <w:rPr>
          <w:rFonts w:hint="eastAsia" w:ascii="Arial" w:hAnsi="Arial" w:cs="Arial"/>
          <w:szCs w:val="21"/>
        </w:rPr>
        <w:t>①阀门及其附件应配备齐全，不得有加工缺陷和机械损伤；</w:t>
      </w:r>
    </w:p>
    <w:p>
      <w:pPr>
        <w:spacing w:line="360" w:lineRule="auto"/>
        <w:ind w:firstLine="420" w:firstLineChars="200"/>
        <w:rPr>
          <w:rFonts w:hint="eastAsia" w:ascii="Arial" w:hAnsi="Arial" w:cs="Arial"/>
          <w:szCs w:val="21"/>
        </w:rPr>
      </w:pPr>
      <w:r>
        <w:rPr>
          <w:rFonts w:hint="eastAsia" w:ascii="Arial" w:hAnsi="Arial" w:cs="Arial"/>
          <w:szCs w:val="21"/>
        </w:rPr>
        <w:t>②阀门的型号、规格应符合设计要求；</w:t>
      </w:r>
    </w:p>
    <w:p>
      <w:pPr>
        <w:spacing w:line="360" w:lineRule="auto"/>
        <w:ind w:firstLine="420" w:firstLineChars="200"/>
        <w:rPr>
          <w:rFonts w:hint="eastAsia" w:ascii="Arial" w:hAnsi="Arial" w:cs="Arial"/>
          <w:szCs w:val="21"/>
        </w:rPr>
      </w:pPr>
      <w:r>
        <w:rPr>
          <w:rFonts w:hint="eastAsia" w:ascii="Arial" w:hAnsi="Arial" w:cs="Arial"/>
          <w:szCs w:val="21"/>
        </w:rPr>
        <w:t>③报警阀附应有商标、型号、规格等标志外，还应有水流方向的永久性标志；</w:t>
      </w:r>
    </w:p>
    <w:p>
      <w:pPr>
        <w:spacing w:line="360" w:lineRule="auto"/>
        <w:ind w:left="689" w:leftChars="228" w:hanging="210" w:hangingChars="100"/>
        <w:rPr>
          <w:rFonts w:hint="eastAsia" w:ascii="Arial" w:hAnsi="Arial" w:cs="Arial"/>
          <w:szCs w:val="21"/>
        </w:rPr>
      </w:pPr>
      <w:r>
        <w:rPr>
          <w:rFonts w:hint="eastAsia" w:ascii="Arial" w:hAnsi="Arial" w:cs="Arial"/>
          <w:szCs w:val="21"/>
        </w:rPr>
        <w:t>④报警阀和控制阀的阀瓣及操作机构应动作灵活，无卡涩现象；阀体内应清洁、无异物堵塞。</w:t>
      </w:r>
    </w:p>
    <w:p>
      <w:pPr>
        <w:pStyle w:val="5"/>
        <w:jc w:val="both"/>
        <w:rPr>
          <w:rFonts w:hint="eastAsia" w:ascii="黑体" w:hAnsi="黑体"/>
          <w:b w:val="0"/>
          <w:bCs w:val="0"/>
          <w:sz w:val="24"/>
          <w:szCs w:val="24"/>
        </w:rPr>
      </w:pPr>
      <w:bookmarkStart w:id="43" w:name="_Toc361990767"/>
      <w:bookmarkStart w:id="44" w:name="_Toc242860570"/>
      <w:bookmarkStart w:id="45" w:name="_Toc122259365"/>
      <w:bookmarkStart w:id="46" w:name="_Toc93118955"/>
      <w:bookmarkStart w:id="47" w:name="_Toc91062489"/>
      <w:r>
        <w:rPr>
          <w:rFonts w:hint="eastAsia" w:ascii="黑体" w:hAnsi="黑体"/>
          <w:b w:val="0"/>
          <w:bCs w:val="0"/>
          <w:sz w:val="24"/>
          <w:szCs w:val="24"/>
        </w:rPr>
        <w:t>2.3、消防管道安装</w:t>
      </w:r>
      <w:bookmarkEnd w:id="43"/>
      <w:bookmarkEnd w:id="44"/>
      <w:bookmarkEnd w:id="45"/>
      <w:bookmarkEnd w:id="46"/>
      <w:bookmarkEnd w:id="47"/>
    </w:p>
    <w:p>
      <w:pPr>
        <w:spacing w:line="360" w:lineRule="auto"/>
        <w:rPr>
          <w:rFonts w:hint="eastAsia" w:ascii="Arial" w:hAnsi="Arial" w:cs="Arial"/>
          <w:szCs w:val="21"/>
        </w:rPr>
      </w:pPr>
      <w:r>
        <w:rPr>
          <w:rFonts w:hint="eastAsia" w:ascii="Arial" w:hAnsi="Arial" w:cs="Arial"/>
          <w:szCs w:val="21"/>
        </w:rPr>
        <w:t>2.3.1、管道支架安装制作</w:t>
      </w:r>
    </w:p>
    <w:p>
      <w:pPr>
        <w:spacing w:line="360" w:lineRule="auto"/>
        <w:rPr>
          <w:rFonts w:hint="eastAsia" w:ascii="Arial" w:hAnsi="Arial" w:cs="Arial"/>
          <w:szCs w:val="21"/>
        </w:rPr>
      </w:pPr>
      <w:r>
        <w:rPr>
          <w:rFonts w:hint="eastAsia" w:ascii="Arial" w:hAnsi="Arial" w:cs="Arial"/>
          <w:szCs w:val="21"/>
        </w:rPr>
        <w:t xml:space="preserve">    安装前各专业进行内部会审：根据管道分布的空间位置和规范要求，设计管道支吊架的形式和位置，支架的制作选用图集Ｓ161，对同一支架，悬臂同斜撑或包箍规格应相对应。制作时下料、钻孔均不得气割、气烧。电焊条全部采用T420-T425号。支架制作完后要进行除锈，并刷防锈漆。</w:t>
      </w:r>
    </w:p>
    <w:p>
      <w:pPr>
        <w:spacing w:line="360" w:lineRule="auto"/>
        <w:ind w:firstLine="420" w:firstLineChars="200"/>
        <w:rPr>
          <w:rFonts w:hint="eastAsia" w:ascii="Arial" w:hAnsi="Arial" w:cs="Arial"/>
          <w:szCs w:val="21"/>
        </w:rPr>
      </w:pPr>
      <w:r>
        <w:rPr>
          <w:rFonts w:hint="eastAsia" w:ascii="Arial" w:hAnsi="Arial" w:cs="Arial"/>
          <w:szCs w:val="21"/>
        </w:rPr>
        <w:t xml:space="preserve">管道支架、吊架、防晃支架的形式、材质、加工尺寸及连接质量等应符合设计要求和国家现行有关标准的规定。 </w:t>
      </w:r>
    </w:p>
    <w:p>
      <w:pPr>
        <w:spacing w:line="360" w:lineRule="auto"/>
        <w:rPr>
          <w:rFonts w:hint="eastAsia" w:ascii="Arial" w:hAnsi="Arial" w:cs="Arial"/>
          <w:szCs w:val="21"/>
        </w:rPr>
      </w:pPr>
      <w:r>
        <w:rPr>
          <w:rFonts w:hint="eastAsia" w:ascii="Arial" w:hAnsi="Arial" w:cs="Arial"/>
          <w:szCs w:val="21"/>
        </w:rPr>
        <w:t>2.3.2、钢管管道支架的最大间距</w:t>
      </w:r>
    </w:p>
    <w:tbl>
      <w:tblPr>
        <w:tblStyle w:val="22"/>
        <w:tblW w:w="0" w:type="auto"/>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180"/>
        <w:gridCol w:w="540"/>
        <w:gridCol w:w="648"/>
        <w:gridCol w:w="792"/>
        <w:gridCol w:w="720"/>
        <w:gridCol w:w="540"/>
        <w:gridCol w:w="684"/>
        <w:gridCol w:w="756"/>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1188" w:type="dxa"/>
            <w:gridSpan w:val="3"/>
            <w:vAlign w:val="center"/>
          </w:tcPr>
          <w:p>
            <w:pPr>
              <w:spacing w:line="360" w:lineRule="auto"/>
              <w:rPr>
                <w:rFonts w:hint="eastAsia" w:ascii="Arial" w:hAnsi="Arial" w:cs="Arial"/>
                <w:szCs w:val="21"/>
              </w:rPr>
            </w:pPr>
            <w:r>
              <w:rPr>
                <w:rFonts w:hint="eastAsia" w:ascii="Arial" w:hAnsi="Arial" w:cs="Arial"/>
                <w:szCs w:val="21"/>
              </w:rPr>
              <w:t>公称直径</w:t>
            </w:r>
          </w:p>
        </w:tc>
        <w:tc>
          <w:tcPr>
            <w:tcW w:w="540" w:type="dxa"/>
            <w:vAlign w:val="center"/>
          </w:tcPr>
          <w:p>
            <w:pPr>
              <w:spacing w:line="360" w:lineRule="auto"/>
              <w:rPr>
                <w:rFonts w:hint="eastAsia" w:ascii="Arial" w:hAnsi="Arial" w:cs="Arial"/>
                <w:szCs w:val="21"/>
              </w:rPr>
            </w:pPr>
            <w:r>
              <w:rPr>
                <w:rFonts w:hint="eastAsia" w:ascii="Arial" w:hAnsi="Arial" w:cs="Arial"/>
                <w:szCs w:val="21"/>
              </w:rPr>
              <w:t>25</w:t>
            </w:r>
          </w:p>
        </w:tc>
        <w:tc>
          <w:tcPr>
            <w:tcW w:w="648" w:type="dxa"/>
            <w:vAlign w:val="center"/>
          </w:tcPr>
          <w:p>
            <w:pPr>
              <w:spacing w:line="360" w:lineRule="auto"/>
              <w:rPr>
                <w:rFonts w:hint="eastAsia" w:ascii="Arial" w:hAnsi="Arial" w:cs="Arial"/>
                <w:szCs w:val="21"/>
              </w:rPr>
            </w:pPr>
            <w:r>
              <w:rPr>
                <w:rFonts w:hint="eastAsia" w:ascii="Arial" w:hAnsi="Arial" w:cs="Arial"/>
                <w:szCs w:val="21"/>
              </w:rPr>
              <w:t>32</w:t>
            </w:r>
          </w:p>
        </w:tc>
        <w:tc>
          <w:tcPr>
            <w:tcW w:w="792" w:type="dxa"/>
            <w:vAlign w:val="center"/>
          </w:tcPr>
          <w:p>
            <w:pPr>
              <w:spacing w:line="360" w:lineRule="auto"/>
              <w:rPr>
                <w:rFonts w:hint="eastAsia" w:ascii="Arial" w:hAnsi="Arial" w:cs="Arial"/>
                <w:szCs w:val="21"/>
              </w:rPr>
            </w:pPr>
            <w:r>
              <w:rPr>
                <w:rFonts w:hint="eastAsia" w:ascii="Arial" w:hAnsi="Arial" w:cs="Arial"/>
                <w:szCs w:val="21"/>
              </w:rPr>
              <w:t>40</w:t>
            </w:r>
          </w:p>
        </w:tc>
        <w:tc>
          <w:tcPr>
            <w:tcW w:w="720" w:type="dxa"/>
            <w:vAlign w:val="center"/>
          </w:tcPr>
          <w:p>
            <w:pPr>
              <w:spacing w:line="360" w:lineRule="auto"/>
              <w:rPr>
                <w:rFonts w:hint="eastAsia" w:ascii="Arial" w:hAnsi="Arial" w:cs="Arial"/>
                <w:szCs w:val="21"/>
              </w:rPr>
            </w:pPr>
            <w:r>
              <w:rPr>
                <w:rFonts w:hint="eastAsia" w:ascii="Arial" w:hAnsi="Arial" w:cs="Arial"/>
                <w:szCs w:val="21"/>
              </w:rPr>
              <w:t>50</w:t>
            </w:r>
          </w:p>
        </w:tc>
        <w:tc>
          <w:tcPr>
            <w:tcW w:w="540" w:type="dxa"/>
            <w:vAlign w:val="center"/>
          </w:tcPr>
          <w:p>
            <w:pPr>
              <w:spacing w:line="360" w:lineRule="auto"/>
              <w:rPr>
                <w:rFonts w:hint="eastAsia" w:ascii="Arial" w:hAnsi="Arial" w:cs="Arial"/>
                <w:szCs w:val="21"/>
              </w:rPr>
            </w:pPr>
            <w:r>
              <w:rPr>
                <w:rFonts w:hint="eastAsia" w:ascii="Arial" w:hAnsi="Arial" w:cs="Arial"/>
                <w:szCs w:val="21"/>
              </w:rPr>
              <w:t>70</w:t>
            </w:r>
          </w:p>
        </w:tc>
        <w:tc>
          <w:tcPr>
            <w:tcW w:w="684" w:type="dxa"/>
            <w:vAlign w:val="center"/>
          </w:tcPr>
          <w:p>
            <w:pPr>
              <w:spacing w:line="360" w:lineRule="auto"/>
              <w:rPr>
                <w:rFonts w:hint="eastAsia" w:ascii="Arial" w:hAnsi="Arial" w:cs="Arial"/>
                <w:szCs w:val="21"/>
              </w:rPr>
            </w:pPr>
            <w:r>
              <w:rPr>
                <w:rFonts w:hint="eastAsia" w:ascii="Arial" w:hAnsi="Arial" w:cs="Arial"/>
                <w:szCs w:val="21"/>
              </w:rPr>
              <w:t>80</w:t>
            </w:r>
          </w:p>
        </w:tc>
        <w:tc>
          <w:tcPr>
            <w:tcW w:w="756" w:type="dxa"/>
            <w:vAlign w:val="center"/>
          </w:tcPr>
          <w:p>
            <w:pPr>
              <w:spacing w:line="360" w:lineRule="auto"/>
              <w:rPr>
                <w:rFonts w:hint="eastAsia" w:ascii="Arial" w:hAnsi="Arial" w:cs="Arial"/>
                <w:szCs w:val="21"/>
              </w:rPr>
            </w:pPr>
            <w:r>
              <w:rPr>
                <w:rFonts w:hint="eastAsia" w:ascii="Arial" w:hAnsi="Arial" w:cs="Arial"/>
                <w:szCs w:val="21"/>
              </w:rPr>
              <w:t>100</w:t>
            </w:r>
          </w:p>
        </w:tc>
        <w:tc>
          <w:tcPr>
            <w:tcW w:w="720" w:type="dxa"/>
            <w:vAlign w:val="center"/>
          </w:tcPr>
          <w:p>
            <w:pPr>
              <w:spacing w:line="360" w:lineRule="auto"/>
              <w:rPr>
                <w:rFonts w:hint="eastAsia" w:ascii="Arial" w:hAnsi="Arial" w:cs="Arial"/>
                <w:szCs w:val="21"/>
              </w:rPr>
            </w:pPr>
            <w:r>
              <w:rPr>
                <w:rFonts w:hint="eastAsia" w:ascii="Arial" w:hAnsi="Arial" w:cs="Arial"/>
                <w:szCs w:val="21"/>
              </w:rPr>
              <w:t>125</w:t>
            </w:r>
          </w:p>
        </w:tc>
        <w:tc>
          <w:tcPr>
            <w:tcW w:w="720" w:type="dxa"/>
            <w:vAlign w:val="center"/>
          </w:tcPr>
          <w:p>
            <w:pPr>
              <w:spacing w:line="360" w:lineRule="auto"/>
              <w:rPr>
                <w:rFonts w:hint="eastAsia" w:ascii="Arial" w:hAnsi="Arial" w:cs="Arial"/>
                <w:szCs w:val="21"/>
              </w:rPr>
            </w:pPr>
            <w:r>
              <w:rPr>
                <w:rFonts w:hint="eastAsia" w:ascii="Arial" w:hAnsi="Arial" w:cs="Arial"/>
                <w:szCs w:val="21"/>
              </w:rPr>
              <w:t>150</w:t>
            </w:r>
          </w:p>
        </w:tc>
        <w:tc>
          <w:tcPr>
            <w:tcW w:w="720" w:type="dxa"/>
            <w:vAlign w:val="center"/>
          </w:tcPr>
          <w:p>
            <w:pPr>
              <w:spacing w:line="360" w:lineRule="auto"/>
              <w:rPr>
                <w:rFonts w:hint="eastAsia" w:ascii="Arial" w:hAnsi="Arial" w:cs="Arial"/>
                <w:szCs w:val="21"/>
              </w:rPr>
            </w:pPr>
            <w:r>
              <w:rPr>
                <w:rFonts w:hint="eastAsia" w:ascii="Arial" w:hAnsi="Arial" w:cs="Arial"/>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028" w:type="dxa"/>
            <w:gridSpan w:val="13"/>
            <w:vAlign w:val="center"/>
          </w:tcPr>
          <w:p>
            <w:pPr>
              <w:spacing w:line="360" w:lineRule="auto"/>
              <w:rPr>
                <w:rFonts w:hint="eastAsia" w:ascii="Arial" w:hAnsi="Arial" w:cs="Arial"/>
                <w:szCs w:val="21"/>
              </w:rPr>
            </w:pPr>
            <w:r>
              <w:rPr>
                <w:rFonts w:hint="eastAsia" w:ascii="Arial" w:hAnsi="Arial" w:cs="Arial"/>
                <w:szCs w:val="21"/>
              </w:rPr>
              <w:t>支架的最大间距（米）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68" w:type="dxa"/>
            <w:vAlign w:val="center"/>
          </w:tcPr>
          <w:p>
            <w:pPr>
              <w:spacing w:line="360" w:lineRule="auto"/>
              <w:rPr>
                <w:rFonts w:hint="eastAsia" w:ascii="Arial" w:hAnsi="Arial" w:cs="Arial"/>
                <w:szCs w:val="21"/>
              </w:rPr>
            </w:pPr>
          </w:p>
        </w:tc>
        <w:tc>
          <w:tcPr>
            <w:tcW w:w="540" w:type="dxa"/>
            <w:vAlign w:val="center"/>
          </w:tcPr>
          <w:p>
            <w:pPr>
              <w:spacing w:line="360" w:lineRule="auto"/>
              <w:rPr>
                <w:rFonts w:hint="eastAsia" w:ascii="Arial" w:hAnsi="Arial" w:cs="Arial"/>
                <w:szCs w:val="21"/>
              </w:rPr>
            </w:pPr>
          </w:p>
        </w:tc>
        <w:tc>
          <w:tcPr>
            <w:tcW w:w="720" w:type="dxa"/>
            <w:gridSpan w:val="2"/>
            <w:vAlign w:val="center"/>
          </w:tcPr>
          <w:p>
            <w:pPr>
              <w:spacing w:line="360" w:lineRule="auto"/>
              <w:rPr>
                <w:rFonts w:hint="eastAsia" w:ascii="Arial" w:hAnsi="Arial" w:cs="Arial"/>
                <w:szCs w:val="21"/>
              </w:rPr>
            </w:pPr>
            <w:r>
              <w:rPr>
                <w:rFonts w:hint="eastAsia" w:ascii="Arial" w:hAnsi="Arial" w:cs="Arial"/>
                <w:szCs w:val="21"/>
              </w:rPr>
              <w:t>3.5</w:t>
            </w:r>
          </w:p>
        </w:tc>
        <w:tc>
          <w:tcPr>
            <w:tcW w:w="648" w:type="dxa"/>
            <w:vAlign w:val="center"/>
          </w:tcPr>
          <w:p>
            <w:pPr>
              <w:spacing w:line="360" w:lineRule="auto"/>
              <w:rPr>
                <w:rFonts w:hint="eastAsia" w:ascii="Arial" w:hAnsi="Arial" w:cs="Arial"/>
                <w:szCs w:val="21"/>
              </w:rPr>
            </w:pPr>
            <w:r>
              <w:rPr>
                <w:rFonts w:hint="eastAsia" w:ascii="Arial" w:hAnsi="Arial" w:cs="Arial"/>
                <w:szCs w:val="21"/>
              </w:rPr>
              <w:t>4</w:t>
            </w:r>
          </w:p>
        </w:tc>
        <w:tc>
          <w:tcPr>
            <w:tcW w:w="792" w:type="dxa"/>
            <w:vAlign w:val="center"/>
          </w:tcPr>
          <w:p>
            <w:pPr>
              <w:spacing w:line="360" w:lineRule="auto"/>
              <w:rPr>
                <w:rFonts w:hint="eastAsia" w:ascii="Arial" w:hAnsi="Arial" w:cs="Arial"/>
                <w:szCs w:val="21"/>
              </w:rPr>
            </w:pPr>
            <w:r>
              <w:rPr>
                <w:rFonts w:hint="eastAsia" w:ascii="Arial" w:hAnsi="Arial" w:cs="Arial"/>
                <w:szCs w:val="21"/>
              </w:rPr>
              <w:t>4.5</w:t>
            </w:r>
          </w:p>
        </w:tc>
        <w:tc>
          <w:tcPr>
            <w:tcW w:w="720" w:type="dxa"/>
            <w:vAlign w:val="center"/>
          </w:tcPr>
          <w:p>
            <w:pPr>
              <w:spacing w:line="360" w:lineRule="auto"/>
              <w:rPr>
                <w:rFonts w:hint="eastAsia" w:ascii="Arial" w:hAnsi="Arial" w:cs="Arial"/>
                <w:szCs w:val="21"/>
              </w:rPr>
            </w:pPr>
            <w:r>
              <w:rPr>
                <w:rFonts w:hint="eastAsia" w:ascii="Arial" w:hAnsi="Arial" w:cs="Arial"/>
                <w:szCs w:val="21"/>
              </w:rPr>
              <w:t>5</w:t>
            </w:r>
          </w:p>
        </w:tc>
        <w:tc>
          <w:tcPr>
            <w:tcW w:w="540" w:type="dxa"/>
            <w:vAlign w:val="center"/>
          </w:tcPr>
          <w:p>
            <w:pPr>
              <w:spacing w:line="360" w:lineRule="auto"/>
              <w:rPr>
                <w:rFonts w:hint="eastAsia" w:ascii="Arial" w:hAnsi="Arial" w:cs="Arial"/>
                <w:szCs w:val="21"/>
              </w:rPr>
            </w:pPr>
            <w:r>
              <w:rPr>
                <w:rFonts w:hint="eastAsia" w:ascii="Arial" w:hAnsi="Arial" w:cs="Arial"/>
                <w:szCs w:val="21"/>
              </w:rPr>
              <w:t>6</w:t>
            </w:r>
          </w:p>
        </w:tc>
        <w:tc>
          <w:tcPr>
            <w:tcW w:w="684" w:type="dxa"/>
            <w:vAlign w:val="center"/>
          </w:tcPr>
          <w:p>
            <w:pPr>
              <w:spacing w:line="360" w:lineRule="auto"/>
              <w:rPr>
                <w:rFonts w:hint="eastAsia" w:ascii="Arial" w:hAnsi="Arial" w:cs="Arial"/>
                <w:szCs w:val="21"/>
              </w:rPr>
            </w:pPr>
            <w:r>
              <w:rPr>
                <w:rFonts w:hint="eastAsia" w:ascii="Arial" w:hAnsi="Arial" w:cs="Arial"/>
                <w:szCs w:val="21"/>
              </w:rPr>
              <w:t>6</w:t>
            </w:r>
          </w:p>
        </w:tc>
        <w:tc>
          <w:tcPr>
            <w:tcW w:w="756" w:type="dxa"/>
            <w:vAlign w:val="center"/>
          </w:tcPr>
          <w:p>
            <w:pPr>
              <w:spacing w:line="360" w:lineRule="auto"/>
              <w:rPr>
                <w:rFonts w:hint="eastAsia" w:ascii="Arial" w:hAnsi="Arial" w:cs="Arial"/>
                <w:szCs w:val="21"/>
              </w:rPr>
            </w:pPr>
            <w:r>
              <w:rPr>
                <w:rFonts w:hint="eastAsia" w:ascii="Arial" w:hAnsi="Arial" w:cs="Arial"/>
                <w:szCs w:val="21"/>
              </w:rPr>
              <w:t>6.5</w:t>
            </w:r>
          </w:p>
        </w:tc>
        <w:tc>
          <w:tcPr>
            <w:tcW w:w="720" w:type="dxa"/>
            <w:vAlign w:val="center"/>
          </w:tcPr>
          <w:p>
            <w:pPr>
              <w:spacing w:line="360" w:lineRule="auto"/>
              <w:jc w:val="center"/>
              <w:rPr>
                <w:rFonts w:hint="eastAsia" w:ascii="Arial" w:hAnsi="Arial" w:cs="Arial"/>
                <w:szCs w:val="21"/>
              </w:rPr>
            </w:pPr>
            <w:r>
              <w:rPr>
                <w:rFonts w:hint="eastAsia" w:ascii="Arial" w:hAnsi="Arial" w:cs="Arial"/>
                <w:szCs w:val="21"/>
              </w:rPr>
              <w:t>7</w:t>
            </w:r>
          </w:p>
        </w:tc>
        <w:tc>
          <w:tcPr>
            <w:tcW w:w="720" w:type="dxa"/>
            <w:vAlign w:val="center"/>
          </w:tcPr>
          <w:p>
            <w:pPr>
              <w:spacing w:line="360" w:lineRule="auto"/>
              <w:rPr>
                <w:rFonts w:hint="eastAsia" w:ascii="Arial" w:hAnsi="Arial" w:cs="Arial"/>
                <w:szCs w:val="21"/>
              </w:rPr>
            </w:pPr>
            <w:r>
              <w:rPr>
                <w:rFonts w:hint="eastAsia" w:ascii="Arial" w:hAnsi="Arial" w:cs="Arial"/>
                <w:szCs w:val="21"/>
              </w:rPr>
              <w:t>8</w:t>
            </w:r>
          </w:p>
        </w:tc>
        <w:tc>
          <w:tcPr>
            <w:tcW w:w="720" w:type="dxa"/>
            <w:vAlign w:val="center"/>
          </w:tcPr>
          <w:p>
            <w:pPr>
              <w:spacing w:line="360" w:lineRule="auto"/>
              <w:rPr>
                <w:rFonts w:hint="eastAsia" w:ascii="Arial" w:hAnsi="Arial" w:cs="Arial"/>
                <w:szCs w:val="21"/>
              </w:rPr>
            </w:pPr>
            <w:r>
              <w:rPr>
                <w:rFonts w:hint="eastAsia" w:ascii="Arial" w:hAnsi="Arial" w:cs="Arial"/>
                <w:szCs w:val="21"/>
              </w:rPr>
              <w:t>9.5</w:t>
            </w:r>
          </w:p>
        </w:tc>
      </w:tr>
    </w:tbl>
    <w:p>
      <w:pPr>
        <w:spacing w:line="360" w:lineRule="auto"/>
        <w:rPr>
          <w:rFonts w:hint="eastAsia" w:ascii="Arial" w:hAnsi="Arial" w:cs="Arial"/>
          <w:szCs w:val="21"/>
        </w:rPr>
      </w:pPr>
      <w:r>
        <w:rPr>
          <w:rFonts w:hint="eastAsia" w:ascii="Arial" w:hAnsi="Arial" w:cs="Arial"/>
          <w:szCs w:val="21"/>
        </w:rPr>
        <w:t>2.3.3、管道丝扣联接</w:t>
      </w:r>
    </w:p>
    <w:p>
      <w:pPr>
        <w:spacing w:line="360" w:lineRule="auto"/>
        <w:ind w:left="869" w:leftChars="114" w:hanging="630" w:hangingChars="300"/>
        <w:rPr>
          <w:rFonts w:hint="eastAsia" w:ascii="Arial" w:hAnsi="Arial" w:cs="Arial"/>
          <w:szCs w:val="21"/>
        </w:rPr>
      </w:pPr>
      <w:r>
        <w:rPr>
          <w:rFonts w:hint="eastAsia" w:ascii="Arial" w:hAnsi="Arial" w:cs="Arial"/>
          <w:szCs w:val="21"/>
        </w:rPr>
        <w:t>断管：根据现场测绘草图，在选好的管材上画线，按线断管断管后要将断口飞刺、铁屑等清除干净。</w:t>
      </w:r>
    </w:p>
    <w:p>
      <w:pPr>
        <w:spacing w:line="360" w:lineRule="auto"/>
        <w:ind w:left="869" w:leftChars="114" w:hanging="630" w:hangingChars="300"/>
        <w:rPr>
          <w:rFonts w:hint="eastAsia" w:ascii="Arial" w:hAnsi="Arial" w:cs="Arial"/>
          <w:szCs w:val="21"/>
        </w:rPr>
      </w:pPr>
      <w:r>
        <w:rPr>
          <w:rFonts w:hint="eastAsia" w:ascii="Arial" w:hAnsi="Arial" w:cs="Arial"/>
          <w:szCs w:val="21"/>
        </w:rPr>
        <w:t>套丝：将断好的管材，按管径尺寸分次套制丝扣，一般以管径15-32mm者套2次，40-50套3次，70以上套3-4次为宜。</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用套丝机套丝，将管材夹在套丝机卡盘上，留出适当长度将卡盘夹紧，对准板套号码，上好板牙，按管径对好刻度的适当位置，紧住固定板机，将润滑剂管对准丝头，开机推板，待丝扣套到适当长度，轻轻松开板机。</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用手工套丝板套丝，先松开固定板机，把套丝板板盘退到零度，按顺序号上好板牙，把板盘对准所需刻度，拧紧固定板机，将管材放在压力案压力钳内，留出适当长度卡紧，将套丝板轻轻套入管材，使其松紧适度，而后两手推套丝板，带上2－3扣，再站到侧面扳转套丝板，用力要均匀，待丝扣即将套成时，轻轻松开板机，开机退板，保持丝扣应有锥度，套丝过程中，应在板牙上浇少量机油，以润滑降温，且套丝板只准正转，不得反转。</w:t>
      </w:r>
    </w:p>
    <w:p>
      <w:pPr>
        <w:spacing w:line="360" w:lineRule="auto"/>
        <w:rPr>
          <w:rFonts w:hint="eastAsia" w:ascii="Arial" w:hAnsi="Arial" w:cs="Arial"/>
          <w:szCs w:val="21"/>
        </w:rPr>
      </w:pPr>
      <w:r>
        <w:rPr>
          <w:rFonts w:hint="eastAsia" w:ascii="Arial" w:hAnsi="Arial" w:cs="Arial"/>
          <w:szCs w:val="21"/>
        </w:rPr>
        <w:t>2.3.4、 配装管件</w:t>
      </w:r>
    </w:p>
    <w:p>
      <w:pPr>
        <w:spacing w:line="360" w:lineRule="auto"/>
        <w:ind w:firstLine="210" w:firstLineChars="100"/>
        <w:rPr>
          <w:rFonts w:hint="eastAsia" w:ascii="Arial" w:hAnsi="Arial" w:cs="Arial"/>
          <w:szCs w:val="21"/>
        </w:rPr>
      </w:pPr>
      <w:r>
        <w:rPr>
          <w:rFonts w:hint="eastAsia" w:ascii="Arial" w:hAnsi="Arial" w:cs="Arial"/>
          <w:szCs w:val="21"/>
        </w:rPr>
        <w:t>根据现场测绘草图，将已套好丝扣的管材，配装管件。</w:t>
      </w:r>
    </w:p>
    <w:p>
      <w:pPr>
        <w:spacing w:line="360" w:lineRule="auto"/>
        <w:ind w:left="239" w:leftChars="114"/>
        <w:rPr>
          <w:rFonts w:hint="eastAsia" w:ascii="Arial" w:hAnsi="Arial" w:cs="Arial"/>
          <w:szCs w:val="21"/>
        </w:rPr>
      </w:pPr>
      <w:r>
        <w:rPr>
          <w:rFonts w:hint="eastAsia" w:ascii="Arial" w:hAnsi="Arial" w:cs="Arial"/>
          <w:szCs w:val="21"/>
        </w:rPr>
        <w:t>装管件时，应将管件带入管丝扣，试试松紧度（一般用手带入三扣为宜），在丝扣处涂铅油、缠麻后带入管件，然后用管钳将管件拧紧，使丝扣外露2-3扣，去掉麻头，擦净铅油，编号放到适当位置等待调直。</w:t>
      </w:r>
    </w:p>
    <w:p>
      <w:pPr>
        <w:spacing w:line="360" w:lineRule="auto"/>
        <w:rPr>
          <w:rFonts w:hint="eastAsia" w:ascii="Arial" w:hAnsi="Arial" w:cs="Arial"/>
          <w:szCs w:val="21"/>
        </w:rPr>
      </w:pPr>
      <w:r>
        <w:rPr>
          <w:rFonts w:hint="eastAsia" w:ascii="Arial" w:hAnsi="Arial" w:cs="Arial"/>
          <w:szCs w:val="21"/>
        </w:rPr>
        <w:t>2.3.5、管段调直</w:t>
      </w:r>
    </w:p>
    <w:p>
      <w:pPr>
        <w:spacing w:line="360" w:lineRule="auto"/>
        <w:ind w:left="239" w:leftChars="114"/>
        <w:rPr>
          <w:rFonts w:hint="eastAsia" w:ascii="Arial" w:hAnsi="Arial" w:cs="Arial"/>
          <w:szCs w:val="21"/>
        </w:rPr>
      </w:pPr>
      <w:r>
        <w:rPr>
          <w:rFonts w:hint="eastAsia" w:ascii="Arial" w:hAnsi="Arial" w:cs="Arial"/>
          <w:szCs w:val="21"/>
        </w:rPr>
        <w:t>将已装好管件的管段在安装前进行调直。在装好管件的管段丝扣处涂铅油，联接两段或数段，联接时不能只顾预留口方向而要照顾到管材的弯曲度，相互找正后再将预留口方向转到合适部位并保持正直。管段联接后，调直前必须按设计图纸核对其管径，预留口方向、变径部件是否正确。</w:t>
      </w:r>
    </w:p>
    <w:p>
      <w:pPr>
        <w:spacing w:line="360" w:lineRule="auto"/>
        <w:rPr>
          <w:rFonts w:hint="eastAsia" w:ascii="Arial" w:hAnsi="Arial" w:cs="Arial"/>
          <w:szCs w:val="21"/>
        </w:rPr>
      </w:pPr>
      <w:r>
        <w:rPr>
          <w:rFonts w:hint="eastAsia" w:ascii="Arial" w:hAnsi="Arial" w:cs="Arial"/>
          <w:szCs w:val="21"/>
        </w:rPr>
        <w:t xml:space="preserve">  法兰垫片选用：给水管采用σ＝3ｍｍ橡胶垫</w:t>
      </w:r>
    </w:p>
    <w:p>
      <w:pPr>
        <w:spacing w:line="360" w:lineRule="auto"/>
        <w:rPr>
          <w:rFonts w:hint="eastAsia" w:ascii="Arial" w:hAnsi="Arial" w:cs="Arial"/>
          <w:szCs w:val="21"/>
        </w:rPr>
      </w:pPr>
      <w:r>
        <w:rPr>
          <w:rFonts w:hint="eastAsia" w:ascii="Arial" w:hAnsi="Arial" w:cs="Arial"/>
          <w:szCs w:val="21"/>
        </w:rPr>
        <w:t>2.3.6、管道及管道连接件安装</w:t>
      </w:r>
    </w:p>
    <w:p>
      <w:pPr>
        <w:spacing w:line="360" w:lineRule="auto"/>
        <w:ind w:firstLine="210" w:firstLineChars="100"/>
        <w:rPr>
          <w:rFonts w:hint="eastAsia" w:ascii="Arial" w:hAnsi="Arial" w:cs="Arial"/>
          <w:szCs w:val="21"/>
        </w:rPr>
      </w:pPr>
      <w:r>
        <w:rPr>
          <w:rFonts w:hint="eastAsia" w:ascii="宋体" w:hAnsi="宋体" w:cs="Arial"/>
          <w:szCs w:val="21"/>
        </w:rPr>
        <w:t>①</w:t>
      </w:r>
      <w:r>
        <w:rPr>
          <w:rFonts w:hint="eastAsia" w:ascii="Arial" w:hAnsi="Arial" w:cs="Arial"/>
          <w:szCs w:val="21"/>
        </w:rPr>
        <w:t>坚固卡箍、法兰时，紧固螺栓应先紧最不利点，然后依次对称紧固。法兰接口应装在易拆装位置。</w:t>
      </w:r>
    </w:p>
    <w:p>
      <w:pPr>
        <w:spacing w:line="360" w:lineRule="auto"/>
        <w:ind w:firstLine="210" w:firstLineChars="100"/>
        <w:rPr>
          <w:rFonts w:hint="eastAsia" w:ascii="Arial" w:hAnsi="Arial" w:cs="Arial"/>
          <w:szCs w:val="21"/>
        </w:rPr>
      </w:pPr>
      <w:r>
        <w:rPr>
          <w:rFonts w:hint="eastAsia" w:ascii="宋体" w:hAnsi="宋体" w:cs="Arial"/>
          <w:szCs w:val="21"/>
        </w:rPr>
        <w:t>②</w:t>
      </w:r>
      <w:r>
        <w:rPr>
          <w:rFonts w:hint="eastAsia" w:ascii="Arial" w:hAnsi="Arial" w:cs="Arial"/>
          <w:szCs w:val="21"/>
        </w:rPr>
        <w:t>管道连接前应消除接口处的浮锈，污垢及油脂。</w:t>
      </w:r>
    </w:p>
    <w:p>
      <w:pPr>
        <w:spacing w:line="360" w:lineRule="auto"/>
        <w:ind w:firstLine="210" w:firstLineChars="100"/>
        <w:rPr>
          <w:rFonts w:hint="eastAsia" w:ascii="Arial" w:hAnsi="Arial" w:cs="Arial"/>
          <w:szCs w:val="21"/>
        </w:rPr>
      </w:pPr>
      <w:r>
        <w:rPr>
          <w:rFonts w:hint="eastAsia" w:ascii="宋体" w:hAnsi="宋体" w:cs="Arial"/>
          <w:szCs w:val="21"/>
        </w:rPr>
        <w:t>③</w:t>
      </w:r>
      <w:r>
        <w:rPr>
          <w:rFonts w:hint="eastAsia" w:ascii="Arial" w:hAnsi="Arial" w:cs="Arial"/>
          <w:szCs w:val="21"/>
        </w:rPr>
        <w:t>管道穿墙处不得有接口管道穿过，伸缩缝处应有防冻措施。</w:t>
      </w:r>
    </w:p>
    <w:p>
      <w:pPr>
        <w:spacing w:line="360" w:lineRule="auto"/>
        <w:ind w:firstLine="210" w:firstLineChars="100"/>
        <w:rPr>
          <w:rFonts w:hint="eastAsia" w:ascii="Arial" w:hAnsi="Arial" w:cs="Arial"/>
          <w:szCs w:val="21"/>
        </w:rPr>
      </w:pPr>
      <w:r>
        <w:rPr>
          <w:rFonts w:hint="eastAsia" w:ascii="宋体" w:hAnsi="宋体" w:cs="Arial"/>
          <w:szCs w:val="21"/>
        </w:rPr>
        <w:t>④</w:t>
      </w:r>
      <w:r>
        <w:rPr>
          <w:rFonts w:hint="eastAsia" w:ascii="Arial" w:hAnsi="Arial" w:cs="Arial"/>
          <w:szCs w:val="21"/>
        </w:rPr>
        <w:t>消防喷洒和消火栓立管的安装</w:t>
      </w:r>
    </w:p>
    <w:p>
      <w:pPr>
        <w:spacing w:line="360" w:lineRule="auto"/>
        <w:ind w:left="420" w:hanging="420" w:hangingChars="200"/>
        <w:rPr>
          <w:rFonts w:hint="eastAsia" w:ascii="Arial" w:hAnsi="Arial" w:cs="Arial"/>
          <w:szCs w:val="21"/>
        </w:rPr>
      </w:pPr>
      <w:r>
        <w:rPr>
          <w:rFonts w:hint="eastAsia" w:ascii="Arial" w:hAnsi="Arial" w:cs="Arial"/>
          <w:szCs w:val="21"/>
        </w:rPr>
        <w:t xml:space="preserve">    立管暗装在竖井内时，在管井内预埋铁件上安装卡件固定，立管底部的支吊架要牢固，防止立管下坠。立管明装时，每层楼板要予留孔洞，立管可随结构穿入以减少立管接口。</w:t>
      </w:r>
    </w:p>
    <w:p>
      <w:pPr>
        <w:spacing w:line="360" w:lineRule="auto"/>
        <w:ind w:firstLine="210" w:firstLineChars="100"/>
        <w:rPr>
          <w:rFonts w:hint="eastAsia" w:ascii="Arial" w:hAnsi="Arial" w:cs="Arial"/>
          <w:szCs w:val="21"/>
        </w:rPr>
      </w:pPr>
      <w:r>
        <w:rPr>
          <w:rFonts w:hint="eastAsia" w:ascii="宋体" w:hAnsi="宋体" w:cs="Arial"/>
          <w:szCs w:val="21"/>
        </w:rPr>
        <w:t>⑤</w:t>
      </w:r>
      <w:r>
        <w:rPr>
          <w:rFonts w:hint="eastAsia" w:ascii="Arial" w:hAnsi="Arial" w:cs="Arial"/>
          <w:szCs w:val="21"/>
        </w:rPr>
        <w:t>消防喷洒分层，干支管安装</w:t>
      </w:r>
    </w:p>
    <w:p>
      <w:pPr>
        <w:spacing w:line="360" w:lineRule="auto"/>
        <w:ind w:left="718" w:leftChars="342"/>
        <w:rPr>
          <w:rFonts w:hint="eastAsia" w:ascii="Arial" w:hAnsi="Arial" w:cs="Arial"/>
          <w:szCs w:val="21"/>
        </w:rPr>
      </w:pPr>
      <w:r>
        <w:rPr>
          <w:rFonts w:hint="eastAsia" w:ascii="Arial" w:hAnsi="Arial" w:cs="Arial"/>
          <w:szCs w:val="21"/>
        </w:rPr>
        <w:t>管道分支予留口在吊装前应先予制好，连接可在干管上开口，卡箍调直后吊装。所有予留口均加好临时堵。</w:t>
      </w:r>
    </w:p>
    <w:p>
      <w:pPr>
        <w:spacing w:line="360" w:lineRule="auto"/>
        <w:ind w:left="332" w:leftChars="158"/>
        <w:rPr>
          <w:rFonts w:hint="eastAsia" w:ascii="Arial" w:hAnsi="Arial" w:cs="Arial"/>
          <w:szCs w:val="21"/>
        </w:rPr>
      </w:pPr>
      <w:r>
        <w:rPr>
          <w:rFonts w:hint="eastAsia" w:ascii="宋体" w:hAnsi="宋体" w:cs="Arial"/>
          <w:szCs w:val="21"/>
        </w:rPr>
        <w:t>⑥</w:t>
      </w:r>
      <w:r>
        <w:rPr>
          <w:rFonts w:hint="eastAsia" w:ascii="Arial" w:hAnsi="Arial" w:cs="Arial"/>
          <w:szCs w:val="21"/>
        </w:rPr>
        <w:t>喷洒头支管安装：喷洒头支管要与吊顶龙骨安装同步进行，根据吊顶材料厚度定出喷洒头的预留口标高，按吊顶装修图确定喷洒头坐标。支管管径一律为DN25，末端用25×15mm异径管箍。</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⑦</w:t>
      </w:r>
      <w:r>
        <w:rPr>
          <w:rFonts w:hint="eastAsia" w:ascii="Arial" w:hAnsi="Arial" w:cs="Arial"/>
          <w:szCs w:val="21"/>
        </w:rPr>
        <w:t>支管末端头处100mm以内应加卡件固定。预留口用丝堵拧紧试压完后接喷洒头。</w:t>
      </w:r>
    </w:p>
    <w:p>
      <w:pPr>
        <w:pStyle w:val="5"/>
        <w:jc w:val="both"/>
        <w:rPr>
          <w:rFonts w:hint="eastAsia" w:ascii="黑体" w:hAnsi="黑体"/>
          <w:b w:val="0"/>
          <w:bCs w:val="0"/>
          <w:sz w:val="24"/>
          <w:szCs w:val="24"/>
        </w:rPr>
      </w:pPr>
      <w:bookmarkStart w:id="48" w:name="_Toc91062490"/>
      <w:bookmarkStart w:id="49" w:name="_Toc93118956"/>
      <w:bookmarkStart w:id="50" w:name="_Toc361990768"/>
      <w:bookmarkStart w:id="51" w:name="_Toc122259366"/>
      <w:bookmarkStart w:id="52" w:name="_Toc242860571"/>
      <w:r>
        <w:rPr>
          <w:rFonts w:hint="eastAsia" w:ascii="黑体" w:hAnsi="黑体"/>
          <w:b w:val="0"/>
          <w:bCs w:val="0"/>
          <w:sz w:val="24"/>
          <w:szCs w:val="24"/>
        </w:rPr>
        <w:t>2.4、设备安装</w:t>
      </w:r>
      <w:bookmarkEnd w:id="48"/>
      <w:bookmarkEnd w:id="49"/>
      <w:bookmarkEnd w:id="50"/>
      <w:bookmarkEnd w:id="51"/>
      <w:bookmarkEnd w:id="52"/>
    </w:p>
    <w:p>
      <w:pPr>
        <w:spacing w:line="360" w:lineRule="auto"/>
        <w:rPr>
          <w:rFonts w:hint="eastAsia" w:ascii="Arial" w:hAnsi="Arial" w:cs="Arial"/>
          <w:szCs w:val="21"/>
        </w:rPr>
      </w:pPr>
      <w:r>
        <w:rPr>
          <w:rFonts w:hint="eastAsia" w:ascii="Arial" w:hAnsi="Arial" w:cs="Arial"/>
          <w:szCs w:val="21"/>
        </w:rPr>
        <w:t>1、消火栓的安装</w:t>
      </w:r>
    </w:p>
    <w:p>
      <w:pPr>
        <w:spacing w:line="360" w:lineRule="auto"/>
        <w:ind w:firstLine="420" w:firstLineChars="200"/>
        <w:rPr>
          <w:rFonts w:hint="eastAsia" w:ascii="Arial" w:hAnsi="Arial" w:cs="Arial"/>
          <w:szCs w:val="21"/>
        </w:rPr>
      </w:pPr>
      <w:r>
        <w:rPr>
          <w:rFonts w:hint="eastAsia" w:ascii="Arial" w:hAnsi="Arial" w:cs="Arial"/>
          <w:szCs w:val="21"/>
        </w:rPr>
        <w:t>消火栓与墙体的固定采用M8栽埋螺栓或M８膨胀螺栓，消火栓安装应端正牢固，栓口距地面高度为1.1Ｍ，允诉偏差20mm 。阀门距箱侧面为140mm，距箱后内表面100mm，允许偏差５mm，消火栓安在轻质隔墙上时应有加固措施。</w:t>
      </w:r>
    </w:p>
    <w:p>
      <w:pPr>
        <w:spacing w:line="360" w:lineRule="auto"/>
        <w:rPr>
          <w:rFonts w:hint="eastAsia" w:ascii="Arial" w:hAnsi="Arial" w:cs="Arial"/>
          <w:szCs w:val="21"/>
        </w:rPr>
      </w:pPr>
      <w:r>
        <w:rPr>
          <w:rFonts w:hint="eastAsia" w:ascii="Arial" w:hAnsi="Arial" w:cs="Arial"/>
          <w:szCs w:val="21"/>
        </w:rPr>
        <w:t>2、水流指示器安装：</w:t>
      </w:r>
    </w:p>
    <w:p>
      <w:pPr>
        <w:spacing w:line="360" w:lineRule="auto"/>
        <w:ind w:firstLine="420" w:firstLineChars="200"/>
        <w:rPr>
          <w:rFonts w:hint="eastAsia" w:ascii="Arial" w:hAnsi="Arial" w:cs="Arial"/>
          <w:szCs w:val="21"/>
        </w:rPr>
      </w:pPr>
      <w:r>
        <w:rPr>
          <w:rFonts w:hint="eastAsia" w:ascii="Arial" w:hAnsi="Arial" w:cs="Arial"/>
          <w:szCs w:val="21"/>
        </w:rPr>
        <w:t>应采用法兰式水平立装，保证叶片活动灵敏，前后保持５倍管径长度的直管段，水流方向应与指示器的箭头方向一致。</w:t>
      </w:r>
    </w:p>
    <w:p>
      <w:pPr>
        <w:spacing w:line="360" w:lineRule="auto"/>
        <w:rPr>
          <w:rFonts w:hint="eastAsia" w:ascii="Arial" w:hAnsi="Arial" w:cs="Arial"/>
          <w:szCs w:val="21"/>
        </w:rPr>
      </w:pPr>
      <w:r>
        <w:rPr>
          <w:rFonts w:hint="eastAsia" w:ascii="Arial" w:hAnsi="Arial" w:cs="Arial"/>
          <w:szCs w:val="21"/>
        </w:rPr>
        <w:t>3、湿式报警阀安装：</w:t>
      </w:r>
    </w:p>
    <w:p>
      <w:pPr>
        <w:spacing w:line="360" w:lineRule="auto"/>
        <w:ind w:firstLine="420" w:firstLineChars="200"/>
        <w:rPr>
          <w:rFonts w:hint="eastAsia" w:ascii="Arial" w:hAnsi="Arial" w:cs="Arial"/>
          <w:szCs w:val="21"/>
        </w:rPr>
      </w:pPr>
      <w:r>
        <w:rPr>
          <w:rFonts w:hint="eastAsia" w:ascii="Arial" w:hAnsi="Arial" w:cs="Arial"/>
          <w:szCs w:val="21"/>
        </w:rPr>
        <w:t>应设于明显易操作位置，距地高度为１.2m，地面应有排水措施，环境温度不低于5℃，组装时应按产品说明书和设计要求，控制阀门应有启闭指示装置，并使阀门工作处于常开状态。</w:t>
      </w:r>
    </w:p>
    <w:p>
      <w:pPr>
        <w:spacing w:line="360" w:lineRule="auto"/>
        <w:rPr>
          <w:rFonts w:hint="eastAsia" w:ascii="Arial" w:hAnsi="Arial" w:cs="Arial"/>
          <w:szCs w:val="21"/>
        </w:rPr>
      </w:pPr>
      <w:r>
        <w:rPr>
          <w:rFonts w:hint="eastAsia" w:ascii="Arial" w:hAnsi="Arial" w:cs="Arial"/>
          <w:szCs w:val="21"/>
        </w:rPr>
        <w:t>4、水泵结合器安装：</w:t>
      </w:r>
    </w:p>
    <w:p>
      <w:pPr>
        <w:spacing w:line="360" w:lineRule="auto"/>
        <w:ind w:firstLine="420" w:firstLineChars="200"/>
        <w:rPr>
          <w:rFonts w:hint="eastAsia" w:ascii="Arial" w:hAnsi="Arial" w:cs="Arial"/>
          <w:szCs w:val="21"/>
        </w:rPr>
      </w:pPr>
      <w:r>
        <w:rPr>
          <w:rFonts w:hint="eastAsia" w:ascii="Arial" w:hAnsi="Arial" w:cs="Arial"/>
          <w:szCs w:val="21"/>
        </w:rPr>
        <w:t>地上式水泵结合器安装位置应有明显标志，阀门便于操作，附近无障碍，安全阀按系统工作压力定压，防止消防水车加压过高破坏室内管网及部件。结合器应装泄水阀。</w:t>
      </w:r>
    </w:p>
    <w:p>
      <w:pPr>
        <w:spacing w:line="360" w:lineRule="auto"/>
        <w:rPr>
          <w:rFonts w:hint="eastAsia" w:ascii="Arial" w:hAnsi="Arial" w:cs="Arial"/>
          <w:szCs w:val="21"/>
        </w:rPr>
      </w:pPr>
      <w:r>
        <w:rPr>
          <w:rFonts w:hint="eastAsia" w:ascii="Arial" w:hAnsi="Arial" w:cs="Arial"/>
          <w:szCs w:val="21"/>
        </w:rPr>
        <w:t>5、喷洒头安装</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喷洒头的两翼方向应成排统一安装，装饰蝶要贴紧吊顶，走廊单排的喷头两翼应横向安装。填料宜采用四氟乙烯带，防止损坏和污染吊顶。</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喷洒管道固定支架安装应符合设计要求，一般吊架距喷头应大于300mm，干管、立管应加防晃固定支架，可设于直管段中间距立管及末端不宜超过12m，单杆吊架长度小于150mm，可不加防晃固定支架。立管要设两个方向防晃固定支架。</w:t>
      </w:r>
    </w:p>
    <w:p>
      <w:pPr>
        <w:pStyle w:val="5"/>
        <w:jc w:val="both"/>
        <w:rPr>
          <w:rFonts w:hint="eastAsia" w:ascii="黑体" w:hAnsi="黑体"/>
          <w:b w:val="0"/>
          <w:bCs w:val="0"/>
          <w:sz w:val="24"/>
          <w:szCs w:val="24"/>
        </w:rPr>
      </w:pPr>
      <w:bookmarkStart w:id="53" w:name="_Toc93118957"/>
      <w:bookmarkStart w:id="54" w:name="_Toc91062491"/>
      <w:bookmarkStart w:id="55" w:name="_Toc242860572"/>
      <w:bookmarkStart w:id="56" w:name="_Toc122259367"/>
      <w:bookmarkStart w:id="57" w:name="_Toc361990769"/>
      <w:r>
        <w:rPr>
          <w:rFonts w:hint="eastAsia" w:ascii="黑体" w:hAnsi="黑体"/>
          <w:b w:val="0"/>
          <w:bCs w:val="0"/>
          <w:sz w:val="24"/>
          <w:szCs w:val="24"/>
        </w:rPr>
        <w:t>2.5、管道及系统组件试压</w:t>
      </w:r>
      <w:bookmarkEnd w:id="53"/>
      <w:bookmarkEnd w:id="54"/>
      <w:bookmarkEnd w:id="55"/>
      <w:bookmarkEnd w:id="56"/>
      <w:bookmarkEnd w:id="57"/>
    </w:p>
    <w:p>
      <w:pPr>
        <w:spacing w:line="360" w:lineRule="auto"/>
        <w:rPr>
          <w:rFonts w:hint="eastAsia" w:ascii="Arial" w:hAnsi="Arial" w:cs="Arial"/>
          <w:szCs w:val="21"/>
        </w:rPr>
      </w:pPr>
      <w:r>
        <w:rPr>
          <w:rFonts w:hint="eastAsia" w:ascii="Arial" w:hAnsi="Arial" w:cs="Arial"/>
          <w:szCs w:val="21"/>
        </w:rPr>
        <w:t>1、试验压力：按照设计中明确要求的试压标准进行试压。</w:t>
      </w:r>
    </w:p>
    <w:p>
      <w:pPr>
        <w:spacing w:line="360" w:lineRule="auto"/>
        <w:ind w:left="368" w:hanging="367" w:hangingChars="175"/>
        <w:rPr>
          <w:rFonts w:hint="eastAsia" w:ascii="Arial" w:hAnsi="Arial" w:cs="Arial"/>
          <w:szCs w:val="21"/>
        </w:rPr>
      </w:pPr>
      <w:r>
        <w:rPr>
          <w:rFonts w:hint="eastAsia" w:ascii="Arial" w:hAnsi="Arial" w:cs="Arial"/>
          <w:szCs w:val="21"/>
        </w:rPr>
        <w:t>2、管道试压一般分单项试压和系统试压两种，单项试压是在干管敷设完后或隐蔽部位的管道安装完毕按设计和规范要求进行水压试验。系统试压是在全部干、立、支管安装完毕，按设计或规范要求进行水压试验。</w:t>
      </w:r>
    </w:p>
    <w:p>
      <w:pPr>
        <w:spacing w:line="360" w:lineRule="auto"/>
        <w:rPr>
          <w:rFonts w:hint="eastAsia" w:ascii="Arial" w:hAnsi="Arial" w:cs="Arial"/>
          <w:szCs w:val="21"/>
        </w:rPr>
      </w:pPr>
      <w:r>
        <w:rPr>
          <w:rFonts w:hint="eastAsia" w:ascii="Arial" w:hAnsi="Arial" w:cs="Arial"/>
          <w:szCs w:val="21"/>
        </w:rPr>
        <w:t>3、系统试压条件及注意事项：</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试压用的压力表不少于2只；精度不应低于1.5级，量程应为试验压力值的1.5-2 倍；</w:t>
      </w:r>
    </w:p>
    <w:p>
      <w:pPr>
        <w:spacing w:line="360" w:lineRule="auto"/>
        <w:ind w:left="449" w:leftChars="114" w:hanging="210" w:hangingChars="1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 xml:space="preserve">试压冲洗方案已经批准； </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③</w:t>
      </w:r>
      <w:r>
        <w:rPr>
          <w:rFonts w:hint="eastAsia" w:ascii="Arial" w:hAnsi="Arial" w:cs="Arial"/>
          <w:szCs w:val="21"/>
        </w:rPr>
        <w:t>对不能参与试压的设备、仪表、阀门及附件应以隔离或拆除；加设的临时盲板应具有突出于法兰的边耳，且应做明显标志，并记录临时盲板的数量。</w:t>
      </w:r>
    </w:p>
    <w:p>
      <w:pPr>
        <w:spacing w:line="360" w:lineRule="auto"/>
        <w:ind w:left="542" w:leftChars="-42"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④</w:t>
      </w:r>
      <w:r>
        <w:rPr>
          <w:rFonts w:hint="eastAsia" w:ascii="Arial" w:hAnsi="Arial" w:cs="Arial"/>
          <w:szCs w:val="21"/>
        </w:rPr>
        <w:t>系统试压过程中，当出现泄漏时，应停止试压，并应放空管网中的试验介质，消除缺陷后，重新再试。</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⑤</w:t>
      </w:r>
      <w:r>
        <w:rPr>
          <w:rFonts w:hint="eastAsia" w:ascii="Arial" w:hAnsi="Arial" w:cs="Arial"/>
          <w:szCs w:val="21"/>
        </w:rPr>
        <w:t>系统试压完成后，应及时拆除所有临时盲板及试验用的管道，并应与记录核对无误，且应按本规范附录Ａ的格式填写记录。</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⑥</w:t>
      </w:r>
      <w:r>
        <w:rPr>
          <w:rFonts w:hint="eastAsia" w:ascii="Arial" w:hAnsi="Arial" w:cs="Arial"/>
          <w:szCs w:val="21"/>
        </w:rPr>
        <w:t>管网冲洗应在试压合格后分段进行。冲洗顺序应先室外后室内；先地下，后地上；室内部分的冲洗应按配水干管、配水管、配水支管的顺序进行。</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⑦</w:t>
      </w:r>
      <w:r>
        <w:rPr>
          <w:rFonts w:hint="eastAsia" w:ascii="Arial" w:hAnsi="Arial" w:cs="Arial"/>
          <w:szCs w:val="21"/>
        </w:rPr>
        <w:t>管网冲洗宜用水进行。冲洗前，应对系统的仪表采取保护措施。止回阀和报警阀等应拆除，冲洗工作结束后应及时复位。</w:t>
      </w:r>
    </w:p>
    <w:p>
      <w:pPr>
        <w:spacing w:line="360" w:lineRule="auto"/>
        <w:ind w:firstLine="210" w:firstLineChars="1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⑧</w:t>
      </w:r>
      <w:r>
        <w:rPr>
          <w:rFonts w:hint="eastAsia" w:ascii="Arial" w:hAnsi="Arial" w:cs="Arial"/>
          <w:szCs w:val="21"/>
        </w:rPr>
        <w:t>冲洗前，应对管道支架、吊架进行检查，必要时应采取加固措施。</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⑨</w:t>
      </w:r>
      <w:r>
        <w:rPr>
          <w:rFonts w:hint="eastAsia" w:ascii="Arial" w:hAnsi="Arial" w:cs="Arial"/>
          <w:szCs w:val="21"/>
        </w:rPr>
        <w:t>对不能经受冲洗的设备和冲洗后可能存留脏物、杂物的管段、应进行清理。</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⑩</w:t>
      </w:r>
      <w:r>
        <w:rPr>
          <w:rFonts w:hint="eastAsia" w:ascii="Arial" w:hAnsi="Arial" w:cs="Arial"/>
          <w:szCs w:val="21"/>
        </w:rPr>
        <w:t>冲洗直径大于100mm的管道时，应对其连接缝、死角和底部进行敲打，但不得损伤管道。管网冲洗合格后，应按规范附录Ｂ的格式填写记录。</w:t>
      </w:r>
    </w:p>
    <w:p>
      <w:pPr>
        <w:spacing w:line="360" w:lineRule="auto"/>
        <w:rPr>
          <w:rFonts w:hint="eastAsia" w:ascii="Arial" w:hAnsi="Arial" w:cs="Arial"/>
          <w:szCs w:val="21"/>
        </w:rPr>
      </w:pPr>
      <w:r>
        <w:rPr>
          <w:rFonts w:hint="eastAsia" w:ascii="Arial" w:hAnsi="Arial" w:cs="Arial"/>
          <w:szCs w:val="21"/>
        </w:rPr>
        <w:t>4、 水压试验和水冲洗宜采用生活用水进行，不得使用海水或有腐蚀性化学物质的水。</w:t>
      </w:r>
    </w:p>
    <w:p>
      <w:pPr>
        <w:spacing w:line="360" w:lineRule="auto"/>
        <w:ind w:firstLine="420" w:firstLineChars="200"/>
        <w:rPr>
          <w:rFonts w:hint="eastAsia" w:ascii="Arial" w:hAnsi="Arial" w:cs="Arial"/>
          <w:szCs w:val="21"/>
        </w:rPr>
      </w:pPr>
      <w:r>
        <w:rPr>
          <w:rFonts w:hint="eastAsia" w:ascii="Arial" w:hAnsi="Arial" w:cs="Arial"/>
          <w:szCs w:val="21"/>
        </w:rPr>
        <w:t>打开水源阀门，往系统内充分，满水后放净空气并将阀门关闭。</w:t>
      </w:r>
    </w:p>
    <w:p>
      <w:pPr>
        <w:spacing w:line="360" w:lineRule="auto"/>
        <w:ind w:left="479" w:leftChars="228"/>
        <w:rPr>
          <w:rFonts w:hint="eastAsia" w:ascii="Arial" w:hAnsi="Arial" w:cs="Arial"/>
          <w:szCs w:val="21"/>
        </w:rPr>
      </w:pPr>
      <w:r>
        <w:rPr>
          <w:rFonts w:hint="eastAsia" w:ascii="Arial" w:hAnsi="Arial" w:cs="Arial"/>
          <w:szCs w:val="21"/>
        </w:rPr>
        <w:t>检查全部系统，如有漏水处应做好标志，并进行修理，修理后，再充满水进行试压，而后复查，如管道不渗漏，并持续到规定时间，压力降在允许范围内， 通知有关单位验收并办理验收记录。拆除试压水泵和水源，把管道系统内水泄净。</w:t>
      </w:r>
    </w:p>
    <w:p>
      <w:pPr>
        <w:spacing w:line="360" w:lineRule="auto"/>
        <w:rPr>
          <w:rFonts w:hint="eastAsia" w:ascii="Arial" w:hAnsi="Arial" w:cs="Arial"/>
          <w:szCs w:val="21"/>
        </w:rPr>
      </w:pPr>
      <w:r>
        <w:rPr>
          <w:rFonts w:hint="eastAsia" w:ascii="Arial" w:hAnsi="Arial" w:cs="Arial"/>
          <w:szCs w:val="21"/>
        </w:rPr>
        <w:t>5、水压试验</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水压试验时环境温度不宜低于5℃，当低于5℃时，水压试验应采取防冻措施。</w:t>
      </w:r>
    </w:p>
    <w:p>
      <w:pPr>
        <w:spacing w:line="360" w:lineRule="auto"/>
        <w:ind w:left="550" w:hanging="550" w:hangingChars="262"/>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当系统设计工作压力等于或小于1.0Mpa，水压强度试验压力应为设计工作压力的</w:t>
      </w:r>
      <w:r>
        <w:rPr>
          <w:rFonts w:hint="eastAsia" w:ascii="Arial" w:hAnsi="Arial" w:eastAsia="黑体" w:cs="Arial"/>
          <w:szCs w:val="21"/>
        </w:rPr>
        <w:t>1.5</w:t>
      </w:r>
      <w:r>
        <w:rPr>
          <w:rFonts w:hint="eastAsia" w:ascii="Arial" w:hAnsi="Arial" w:cs="Arial"/>
          <w:szCs w:val="21"/>
        </w:rPr>
        <w:t>倍，并不应低于1.4Mpa;水压强度试验压力应为该工作压力加0.4Mpa。</w:t>
      </w:r>
    </w:p>
    <w:p>
      <w:pPr>
        <w:spacing w:line="360" w:lineRule="auto"/>
        <w:ind w:left="588" w:leftChars="149" w:hanging="275" w:hangingChars="131"/>
        <w:rPr>
          <w:rFonts w:hint="eastAsia" w:ascii="Arial" w:hAnsi="Arial" w:cs="Arial"/>
          <w:szCs w:val="21"/>
        </w:rPr>
      </w:pPr>
      <w:r>
        <w:rPr>
          <w:rFonts w:hint="eastAsia" w:ascii="宋体" w:hAnsi="宋体" w:cs="Arial"/>
          <w:szCs w:val="21"/>
        </w:rPr>
        <w:t>③</w:t>
      </w:r>
      <w:r>
        <w:rPr>
          <w:rFonts w:hint="eastAsia" w:ascii="Arial" w:hAnsi="Arial" w:cs="Arial"/>
          <w:szCs w:val="21"/>
        </w:rPr>
        <w:t>水压强度试验的测试点应设在系统管网的最低点。对管网注水时，应将管网内的空气排净，并应缓慢升压，达到试验压力后，稳压30Min，目测管网应无泄漏和无变形，且压力降不应大于0.05Mpa。</w:t>
      </w:r>
    </w:p>
    <w:p>
      <w:pPr>
        <w:pStyle w:val="5"/>
        <w:jc w:val="both"/>
        <w:rPr>
          <w:rFonts w:hint="eastAsia" w:ascii="黑体" w:hAnsi="黑体"/>
          <w:b w:val="0"/>
          <w:bCs w:val="0"/>
          <w:sz w:val="24"/>
          <w:szCs w:val="24"/>
        </w:rPr>
      </w:pPr>
      <w:bookmarkStart w:id="58" w:name="_Toc91062492"/>
      <w:bookmarkStart w:id="59" w:name="_Toc93118958"/>
      <w:bookmarkStart w:id="60" w:name="_Toc122259368"/>
      <w:bookmarkStart w:id="61" w:name="_Toc242860573"/>
      <w:bookmarkStart w:id="62" w:name="_Toc361990770"/>
      <w:r>
        <w:rPr>
          <w:rFonts w:hint="eastAsia" w:ascii="黑体" w:hAnsi="黑体"/>
          <w:b w:val="0"/>
          <w:bCs w:val="0"/>
          <w:sz w:val="24"/>
          <w:szCs w:val="24"/>
        </w:rPr>
        <w:t>2.6、管道防腐、冲洗、调试</w:t>
      </w:r>
      <w:bookmarkEnd w:id="58"/>
      <w:bookmarkEnd w:id="59"/>
      <w:bookmarkEnd w:id="60"/>
      <w:bookmarkEnd w:id="61"/>
      <w:bookmarkEnd w:id="62"/>
    </w:p>
    <w:p>
      <w:pPr>
        <w:spacing w:line="360" w:lineRule="auto"/>
        <w:rPr>
          <w:rFonts w:hint="eastAsia" w:ascii="Arial" w:hAnsi="Arial" w:cs="Arial"/>
          <w:szCs w:val="21"/>
        </w:rPr>
      </w:pPr>
      <w:r>
        <w:rPr>
          <w:rFonts w:hint="eastAsia" w:ascii="Arial" w:hAnsi="Arial" w:cs="Arial"/>
          <w:szCs w:val="21"/>
        </w:rPr>
        <w:t xml:space="preserve">  1、防腐： </w:t>
      </w:r>
    </w:p>
    <w:p>
      <w:pPr>
        <w:spacing w:line="360" w:lineRule="auto"/>
        <w:ind w:left="630" w:hanging="630" w:hangingChars="300"/>
        <w:rPr>
          <w:rFonts w:hint="eastAsia" w:ascii="Arial" w:hAnsi="Arial" w:cs="Arial"/>
          <w:szCs w:val="21"/>
        </w:rPr>
      </w:pPr>
      <w:r>
        <w:rPr>
          <w:rFonts w:hint="eastAsia" w:ascii="Arial" w:hAnsi="Arial" w:cs="Arial"/>
          <w:szCs w:val="21"/>
        </w:rPr>
        <w:t xml:space="preserve">    各类管道在防腐刷漆前，必须清除表面的灰尘、铁锈、污垢、焊渣、毛刺和内部的</w:t>
      </w:r>
    </w:p>
    <w:p>
      <w:pPr>
        <w:spacing w:line="360" w:lineRule="auto"/>
        <w:ind w:left="630" w:hanging="630" w:hangingChars="300"/>
        <w:rPr>
          <w:rFonts w:hint="eastAsia" w:ascii="Arial" w:hAnsi="Arial" w:cs="Arial"/>
          <w:szCs w:val="21"/>
        </w:rPr>
      </w:pPr>
      <w:r>
        <w:rPr>
          <w:rFonts w:hint="eastAsia" w:ascii="Arial" w:hAnsi="Arial" w:cs="Arial"/>
          <w:szCs w:val="21"/>
        </w:rPr>
        <w:t>砂粒杂物等。</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明装管道镀锌钢管刷银粉两道或调和漆两道，明装非镀锌钢管刷铁红防锈漆二道，银粉或调和漆两道。</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埋地及暗装钢管刷沥青漆两道。</w:t>
      </w:r>
    </w:p>
    <w:p>
      <w:pPr>
        <w:spacing w:line="360" w:lineRule="auto"/>
        <w:rPr>
          <w:rFonts w:hint="eastAsia" w:ascii="Arial" w:hAnsi="Arial" w:cs="Arial"/>
          <w:szCs w:val="21"/>
        </w:rPr>
      </w:pPr>
      <w:r>
        <w:rPr>
          <w:rFonts w:hint="eastAsia" w:ascii="Arial" w:hAnsi="Arial" w:cs="Arial"/>
          <w:szCs w:val="21"/>
        </w:rPr>
        <w:t>2、冲洗</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①</w:t>
      </w:r>
      <w:r>
        <w:rPr>
          <w:rFonts w:hint="eastAsia" w:ascii="Arial" w:hAnsi="Arial" w:cs="Arial"/>
          <w:szCs w:val="21"/>
        </w:rPr>
        <w:t>管网冲洗所采用的排水管道、应与排水系统可靠连接，其排放应畅通和安全。排水管道的截面面积不得小于被冲洗管面面积的60%。</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②</w:t>
      </w:r>
      <w:r>
        <w:rPr>
          <w:rFonts w:hint="eastAsia" w:ascii="Arial" w:hAnsi="Arial" w:cs="Arial"/>
          <w:szCs w:val="21"/>
        </w:rPr>
        <w:t>管网冲洗的水流速度不宜小于3m/s；其流量不宜小于消防施工规范中规定的流量值。当施工现场冲洗流量不能满足要求时，应按系统的设计流量进行冲洗，或采用水压气动冲洗法进行冲洗。</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③</w:t>
      </w:r>
      <w:r>
        <w:rPr>
          <w:rFonts w:hint="eastAsia" w:ascii="Arial" w:hAnsi="Arial" w:cs="Arial"/>
          <w:szCs w:val="21"/>
        </w:rPr>
        <w:t>管网的地上管道与地下管道连接前，应在配水干管底设堵头后，对地下管道进行冲洗。</w:t>
      </w:r>
    </w:p>
    <w:p>
      <w:pPr>
        <w:spacing w:line="360" w:lineRule="auto"/>
        <w:ind w:left="630" w:hanging="630" w:hangingChars="300"/>
        <w:rPr>
          <w:rFonts w:hint="eastAsia" w:ascii="Arial" w:hAnsi="Arial" w:cs="Arial"/>
          <w:szCs w:val="21"/>
        </w:rPr>
      </w:pPr>
      <w:r>
        <w:rPr>
          <w:rFonts w:hint="eastAsia" w:ascii="Arial" w:hAnsi="Arial" w:cs="Arial"/>
          <w:szCs w:val="21"/>
        </w:rPr>
        <w:t xml:space="preserve">    </w:t>
      </w:r>
      <w:r>
        <w:rPr>
          <w:rFonts w:hint="eastAsia" w:ascii="宋体" w:hAnsi="宋体" w:cs="Arial"/>
          <w:szCs w:val="21"/>
        </w:rPr>
        <w:t>④</w:t>
      </w:r>
      <w:r>
        <w:rPr>
          <w:rFonts w:hint="eastAsia" w:ascii="Arial" w:hAnsi="Arial" w:cs="Arial"/>
          <w:szCs w:val="21"/>
        </w:rPr>
        <w:t>管网冲洗应连续进行，当出口处水的颜色、透明度与入口处水的颜色基本一致时，冲洗方可结束。</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⑤</w:t>
      </w:r>
      <w:r>
        <w:rPr>
          <w:rFonts w:hint="eastAsia" w:ascii="Arial" w:hAnsi="Arial" w:cs="Arial"/>
          <w:szCs w:val="21"/>
        </w:rPr>
        <w:t>管网冲洗的水流方向应与灭火时管网的水流方向一致。</w:t>
      </w:r>
    </w:p>
    <w:p>
      <w:pPr>
        <w:spacing w:line="360" w:lineRule="auto"/>
        <w:rPr>
          <w:rFonts w:hint="eastAsia" w:ascii="Arial" w:hAnsi="Arial" w:cs="Arial"/>
          <w:szCs w:val="21"/>
        </w:rPr>
      </w:pPr>
      <w:r>
        <w:rPr>
          <w:rFonts w:hint="eastAsia" w:ascii="Arial" w:hAnsi="Arial" w:cs="Arial"/>
          <w:szCs w:val="21"/>
        </w:rPr>
        <w:t xml:space="preserve">    </w:t>
      </w:r>
      <w:r>
        <w:rPr>
          <w:rFonts w:hint="eastAsia" w:ascii="宋体" w:hAnsi="宋体" w:cs="Arial"/>
          <w:szCs w:val="21"/>
        </w:rPr>
        <w:t>⑥</w:t>
      </w:r>
      <w:r>
        <w:rPr>
          <w:rFonts w:hint="eastAsia" w:ascii="Arial" w:hAnsi="Arial" w:cs="Arial"/>
          <w:szCs w:val="21"/>
        </w:rPr>
        <w:t>管网冲洗结束后，应将管网内的水排放干净，必要时用压缩空气吹干。</w:t>
      </w:r>
    </w:p>
    <w:p>
      <w:pPr>
        <w:pStyle w:val="5"/>
        <w:jc w:val="both"/>
        <w:rPr>
          <w:rFonts w:hint="eastAsia" w:ascii="黑体" w:hAnsi="黑体"/>
          <w:b w:val="0"/>
          <w:bCs w:val="0"/>
          <w:sz w:val="24"/>
          <w:szCs w:val="24"/>
        </w:rPr>
      </w:pPr>
      <w:bookmarkStart w:id="63" w:name="_Toc93118959"/>
      <w:bookmarkStart w:id="64" w:name="_Toc122259369"/>
      <w:bookmarkStart w:id="65" w:name="_Toc242860574"/>
      <w:bookmarkStart w:id="66" w:name="_Toc361990771"/>
      <w:bookmarkStart w:id="67" w:name="_Toc91062493"/>
      <w:r>
        <w:rPr>
          <w:rFonts w:hint="eastAsia" w:ascii="黑体" w:hAnsi="黑体"/>
          <w:b w:val="0"/>
          <w:bCs w:val="0"/>
          <w:sz w:val="24"/>
          <w:szCs w:val="24"/>
        </w:rPr>
        <w:t>2.7、系统调试</w:t>
      </w:r>
      <w:bookmarkEnd w:id="63"/>
      <w:bookmarkEnd w:id="64"/>
      <w:bookmarkEnd w:id="65"/>
      <w:bookmarkEnd w:id="66"/>
      <w:bookmarkEnd w:id="67"/>
    </w:p>
    <w:p>
      <w:pPr>
        <w:spacing w:line="360" w:lineRule="auto"/>
        <w:rPr>
          <w:rFonts w:hint="eastAsia" w:ascii="Arial" w:hAnsi="Arial" w:cs="Arial"/>
          <w:szCs w:val="21"/>
        </w:rPr>
      </w:pPr>
      <w:r>
        <w:rPr>
          <w:rFonts w:hint="eastAsia" w:ascii="Arial" w:hAnsi="Arial" w:cs="Arial"/>
          <w:szCs w:val="21"/>
        </w:rPr>
        <w:t>1、一般规定：系统调试应在系统施工完成后进行。</w:t>
      </w:r>
    </w:p>
    <w:p>
      <w:pPr>
        <w:spacing w:line="360" w:lineRule="auto"/>
        <w:rPr>
          <w:rFonts w:hint="eastAsia" w:ascii="Arial" w:hAnsi="Arial" w:cs="Arial"/>
          <w:szCs w:val="21"/>
        </w:rPr>
      </w:pPr>
      <w:r>
        <w:rPr>
          <w:rFonts w:hint="eastAsia" w:ascii="Arial" w:hAnsi="Arial" w:cs="Arial"/>
          <w:szCs w:val="21"/>
        </w:rPr>
        <w:t>2、系统调试应具备下列条件：</w:t>
      </w:r>
    </w:p>
    <w:p>
      <w:pPr>
        <w:pStyle w:val="21"/>
        <w:ind w:firstLine="315" w:firstLineChars="150"/>
        <w:rPr>
          <w:rFonts w:hint="eastAsia"/>
          <w:sz w:val="21"/>
          <w:szCs w:val="21"/>
        </w:rPr>
      </w:pPr>
      <w:r>
        <w:rPr>
          <w:rFonts w:hint="eastAsia" w:ascii="宋体" w:hAnsi="宋体"/>
          <w:sz w:val="21"/>
          <w:szCs w:val="21"/>
        </w:rPr>
        <w:t>①</w:t>
      </w:r>
      <w:r>
        <w:rPr>
          <w:rFonts w:hint="eastAsia"/>
          <w:sz w:val="21"/>
          <w:szCs w:val="21"/>
        </w:rPr>
        <w:t>消防水池、消防水箱已储备设计要求的水量；</w:t>
      </w:r>
    </w:p>
    <w:p>
      <w:pPr>
        <w:numPr>
          <w:ilvl w:val="0"/>
          <w:numId w:val="1"/>
        </w:numPr>
        <w:spacing w:line="360" w:lineRule="auto"/>
        <w:rPr>
          <w:rFonts w:hint="eastAsia" w:ascii="Arial" w:hAnsi="Arial" w:cs="Arial"/>
          <w:szCs w:val="21"/>
        </w:rPr>
      </w:pPr>
      <w:r>
        <w:rPr>
          <w:rFonts w:hint="eastAsia" w:ascii="Arial" w:hAnsi="Arial" w:cs="Arial"/>
          <w:szCs w:val="21"/>
        </w:rPr>
        <w:t>系统供电正常</w:t>
      </w:r>
    </w:p>
    <w:p>
      <w:pPr>
        <w:numPr>
          <w:ilvl w:val="0"/>
          <w:numId w:val="1"/>
        </w:numPr>
        <w:spacing w:line="360" w:lineRule="auto"/>
        <w:rPr>
          <w:rFonts w:hint="eastAsia" w:ascii="Arial" w:hAnsi="Arial" w:cs="Arial"/>
          <w:szCs w:val="21"/>
        </w:rPr>
      </w:pPr>
      <w:r>
        <w:rPr>
          <w:rStyle w:val="25"/>
        </w:rPr>
        <w:t xml:space="preserve"> </w:t>
      </w:r>
      <w:r>
        <w:rPr>
          <w:rFonts w:hint="eastAsia" w:ascii="Arial" w:hAnsi="Arial" w:cs="Arial"/>
          <w:szCs w:val="21"/>
        </w:rPr>
        <w:t>式喷水灭火系统管网内已充满水，阀门均无泄漏；</w:t>
      </w:r>
    </w:p>
    <w:p>
      <w:pPr>
        <w:spacing w:line="360" w:lineRule="auto"/>
        <w:ind w:firstLine="420" w:firstLineChars="200"/>
        <w:rPr>
          <w:rFonts w:hint="eastAsia" w:ascii="Arial" w:hAnsi="Arial" w:cs="Arial"/>
          <w:szCs w:val="21"/>
        </w:rPr>
      </w:pPr>
      <w:r>
        <w:rPr>
          <w:rFonts w:hint="eastAsia" w:ascii="宋体" w:hAnsi="宋体" w:cs="Arial"/>
          <w:szCs w:val="21"/>
        </w:rPr>
        <w:t>④</w:t>
      </w:r>
      <w:r>
        <w:rPr>
          <w:rFonts w:hint="eastAsia" w:ascii="Arial" w:hAnsi="Arial" w:cs="Arial"/>
          <w:szCs w:val="21"/>
        </w:rPr>
        <w:t>与系统配套的火灾自动报警系统处于工作状态</w:t>
      </w:r>
    </w:p>
    <w:p>
      <w:pPr>
        <w:spacing w:line="360" w:lineRule="auto"/>
        <w:rPr>
          <w:rFonts w:hint="eastAsia" w:ascii="Arial" w:hAnsi="Arial" w:cs="Arial"/>
          <w:szCs w:val="21"/>
        </w:rPr>
      </w:pPr>
      <w:r>
        <w:rPr>
          <w:rFonts w:hint="eastAsia" w:ascii="Arial" w:hAnsi="Arial" w:cs="Arial"/>
          <w:szCs w:val="21"/>
        </w:rPr>
        <w:t>3、调试内容和要求：系统调试应包括下列内容：</w:t>
      </w:r>
    </w:p>
    <w:p>
      <w:pPr>
        <w:spacing w:line="360" w:lineRule="auto"/>
        <w:ind w:firstLine="420" w:firstLineChars="200"/>
        <w:rPr>
          <w:rFonts w:hint="eastAsia" w:ascii="Arial" w:hAnsi="Arial" w:cs="Arial"/>
          <w:szCs w:val="21"/>
        </w:rPr>
      </w:pPr>
      <w:r>
        <w:rPr>
          <w:rFonts w:hint="eastAsia" w:ascii="宋体" w:hAnsi="宋体" w:cs="Arial"/>
          <w:szCs w:val="21"/>
        </w:rPr>
        <w:t>①</w:t>
      </w:r>
      <w:r>
        <w:rPr>
          <w:rFonts w:hint="eastAsia" w:ascii="Arial" w:hAnsi="Arial" w:cs="Arial"/>
          <w:szCs w:val="21"/>
        </w:rPr>
        <w:t>水源测试；</w:t>
      </w:r>
    </w:p>
    <w:p>
      <w:pPr>
        <w:spacing w:line="360" w:lineRule="auto"/>
        <w:ind w:firstLine="420" w:firstLineChars="200"/>
        <w:rPr>
          <w:rFonts w:hint="eastAsia" w:ascii="Arial" w:hAnsi="Arial" w:cs="Arial"/>
          <w:szCs w:val="21"/>
        </w:rPr>
      </w:pPr>
      <w:r>
        <w:rPr>
          <w:rFonts w:hint="eastAsia" w:ascii="宋体" w:hAnsi="宋体" w:cs="Arial"/>
          <w:szCs w:val="21"/>
        </w:rPr>
        <w:t>②</w:t>
      </w:r>
      <w:r>
        <w:rPr>
          <w:rFonts w:hint="eastAsia" w:ascii="Arial" w:hAnsi="Arial" w:cs="Arial"/>
          <w:szCs w:val="21"/>
        </w:rPr>
        <w:t>消防水泵调试；</w:t>
      </w:r>
    </w:p>
    <w:p>
      <w:pPr>
        <w:spacing w:line="360" w:lineRule="auto"/>
        <w:ind w:firstLine="420" w:firstLineChars="200"/>
        <w:rPr>
          <w:rFonts w:hint="eastAsia" w:ascii="Arial" w:hAnsi="Arial" w:cs="Arial"/>
          <w:szCs w:val="21"/>
        </w:rPr>
      </w:pPr>
      <w:r>
        <w:rPr>
          <w:rFonts w:hint="eastAsia" w:ascii="宋体" w:hAnsi="宋体" w:cs="Arial"/>
          <w:szCs w:val="21"/>
        </w:rPr>
        <w:t>③</w:t>
      </w:r>
      <w:r>
        <w:rPr>
          <w:rFonts w:hint="eastAsia" w:ascii="Arial" w:hAnsi="Arial" w:cs="Arial"/>
          <w:szCs w:val="21"/>
        </w:rPr>
        <w:t>稳压泵调试；</w:t>
      </w:r>
    </w:p>
    <w:p>
      <w:pPr>
        <w:spacing w:line="360" w:lineRule="auto"/>
        <w:ind w:firstLine="420" w:firstLineChars="200"/>
        <w:rPr>
          <w:rFonts w:hint="eastAsia" w:ascii="Arial" w:hAnsi="Arial" w:cs="Arial"/>
          <w:szCs w:val="21"/>
        </w:rPr>
      </w:pPr>
      <w:r>
        <w:rPr>
          <w:rFonts w:hint="eastAsia" w:ascii="宋体" w:hAnsi="宋体" w:cs="Arial"/>
          <w:szCs w:val="21"/>
        </w:rPr>
        <w:t>④</w:t>
      </w:r>
      <w:r>
        <w:rPr>
          <w:rFonts w:hint="eastAsia" w:ascii="Arial" w:hAnsi="Arial" w:cs="Arial"/>
          <w:szCs w:val="21"/>
        </w:rPr>
        <w:t>报警阀调试；</w:t>
      </w:r>
    </w:p>
    <w:p>
      <w:pPr>
        <w:spacing w:line="360" w:lineRule="auto"/>
        <w:ind w:firstLine="420" w:firstLineChars="200"/>
        <w:rPr>
          <w:rFonts w:hint="eastAsia" w:ascii="Arial" w:hAnsi="Arial" w:cs="Arial"/>
          <w:szCs w:val="21"/>
        </w:rPr>
      </w:pPr>
      <w:r>
        <w:rPr>
          <w:rFonts w:hint="eastAsia" w:ascii="宋体" w:hAnsi="宋体" w:cs="Arial"/>
          <w:szCs w:val="21"/>
        </w:rPr>
        <w:t>⑤</w:t>
      </w:r>
      <w:r>
        <w:rPr>
          <w:rFonts w:hint="eastAsia" w:ascii="Arial" w:hAnsi="Arial" w:cs="Arial"/>
          <w:szCs w:val="21"/>
        </w:rPr>
        <w:t>排水装置调试；</w:t>
      </w:r>
    </w:p>
    <w:p>
      <w:pPr>
        <w:spacing w:line="360" w:lineRule="auto"/>
        <w:ind w:firstLine="420" w:firstLineChars="200"/>
        <w:rPr>
          <w:rFonts w:hint="eastAsia" w:ascii="Arial" w:hAnsi="Arial" w:cs="Arial"/>
          <w:szCs w:val="21"/>
        </w:rPr>
      </w:pPr>
      <w:r>
        <w:rPr>
          <w:rFonts w:hint="eastAsia" w:ascii="宋体" w:hAnsi="宋体" w:cs="Arial"/>
          <w:szCs w:val="21"/>
        </w:rPr>
        <w:t>⑥</w:t>
      </w:r>
      <w:r>
        <w:rPr>
          <w:rFonts w:hint="eastAsia" w:ascii="Arial" w:hAnsi="Arial" w:cs="Arial"/>
          <w:szCs w:val="21"/>
        </w:rPr>
        <w:t>联动试验</w:t>
      </w:r>
    </w:p>
    <w:p>
      <w:pPr>
        <w:spacing w:line="360" w:lineRule="auto"/>
        <w:rPr>
          <w:rFonts w:hint="eastAsia" w:ascii="Arial" w:hAnsi="Arial" w:cs="Arial"/>
          <w:szCs w:val="21"/>
        </w:rPr>
      </w:pPr>
      <w:r>
        <w:rPr>
          <w:rFonts w:hint="eastAsia" w:ascii="Arial" w:hAnsi="Arial" w:cs="Arial"/>
          <w:szCs w:val="21"/>
        </w:rPr>
        <w:t>4、水源测试应符合下列要求:</w:t>
      </w:r>
    </w:p>
    <w:p>
      <w:pPr>
        <w:spacing w:line="360" w:lineRule="auto"/>
        <w:rPr>
          <w:rFonts w:hint="eastAsia" w:ascii="Arial" w:hAnsi="Arial" w:cs="Arial"/>
          <w:szCs w:val="21"/>
        </w:rPr>
      </w:pPr>
      <w:r>
        <w:rPr>
          <w:rFonts w:hint="eastAsia" w:ascii="Arial" w:hAnsi="Arial" w:cs="Arial"/>
          <w:szCs w:val="21"/>
        </w:rPr>
        <w:t>　  ①按设计要求核实消防水箱的容积、设置高度及消防储水不作它用的技术措施；</w:t>
      </w:r>
    </w:p>
    <w:p>
      <w:pPr>
        <w:spacing w:line="360" w:lineRule="auto"/>
        <w:ind w:left="449" w:leftChars="214"/>
        <w:rPr>
          <w:rFonts w:hint="eastAsia" w:ascii="Arial" w:hAnsi="Arial" w:cs="Arial"/>
          <w:szCs w:val="21"/>
        </w:rPr>
      </w:pPr>
      <w:r>
        <w:rPr>
          <w:rFonts w:hint="eastAsia" w:ascii="Arial" w:hAnsi="Arial" w:cs="Arial"/>
          <w:szCs w:val="21"/>
        </w:rPr>
        <w:t>②按设计要求核实消防水泵接合器的数量和供水能力，并通过移动式水泵做供水试验进行验证。</w:t>
      </w:r>
    </w:p>
    <w:p>
      <w:pPr>
        <w:pStyle w:val="4"/>
        <w:rPr>
          <w:rFonts w:ascii="黑体" w:hAnsi="黑体" w:eastAsia="黑体"/>
          <w:b w:val="0"/>
          <w:bCs w:val="0"/>
          <w:sz w:val="24"/>
          <w:szCs w:val="24"/>
        </w:rPr>
      </w:pPr>
      <w:bookmarkStart w:id="68" w:name="_Toc242860590"/>
      <w:bookmarkStart w:id="69" w:name="_Toc361990772"/>
      <w:r>
        <w:rPr>
          <w:rFonts w:hint="eastAsia" w:ascii="黑体" w:hAnsi="黑体" w:eastAsia="黑体"/>
          <w:b w:val="0"/>
          <w:bCs w:val="0"/>
          <w:sz w:val="24"/>
          <w:szCs w:val="24"/>
        </w:rPr>
        <w:t>4、确保工程质量的技术组织措施</w:t>
      </w:r>
      <w:bookmarkEnd w:id="68"/>
      <w:bookmarkEnd w:id="69"/>
    </w:p>
    <w:p>
      <w:pPr>
        <w:pStyle w:val="5"/>
        <w:jc w:val="both"/>
        <w:rPr>
          <w:rFonts w:hint="eastAsia" w:ascii="黑体" w:hAnsi="黑体"/>
          <w:b w:val="0"/>
          <w:bCs w:val="0"/>
          <w:sz w:val="21"/>
          <w:szCs w:val="21"/>
        </w:rPr>
      </w:pPr>
      <w:bookmarkStart w:id="70" w:name="_Toc93118967"/>
      <w:bookmarkStart w:id="71" w:name="_Toc122259373"/>
      <w:bookmarkStart w:id="72" w:name="_Toc242860591"/>
      <w:bookmarkStart w:id="73" w:name="_Toc361990773"/>
      <w:r>
        <w:rPr>
          <w:rFonts w:hint="eastAsia" w:ascii="黑体" w:hAnsi="黑体"/>
          <w:b w:val="0"/>
          <w:bCs w:val="0"/>
          <w:sz w:val="21"/>
          <w:szCs w:val="21"/>
        </w:rPr>
        <w:t>4.1、质量控制流程</w:t>
      </w:r>
      <w:bookmarkEnd w:id="70"/>
      <w:bookmarkEnd w:id="71"/>
      <w:bookmarkEnd w:id="72"/>
      <w:bookmarkEnd w:id="73"/>
    </w:p>
    <w:p>
      <w:pPr>
        <w:spacing w:line="360" w:lineRule="auto"/>
        <w:ind w:firstLine="420" w:firstLineChars="200"/>
        <w:rPr>
          <w:rFonts w:hint="eastAsia"/>
          <w:szCs w:val="21"/>
        </w:rPr>
      </w:pPr>
      <w:r>
        <w:rPr>
          <w:szCs w:val="21"/>
        </w:rPr>
        <mc:AlternateContent>
          <mc:Choice Requires="wps">
            <w:drawing>
              <wp:anchor distT="0" distB="0" distL="114300" distR="114300" simplePos="0" relativeHeight="251666432" behindDoc="0" locked="0" layoutInCell="1" allowOverlap="1">
                <wp:simplePos x="0" y="0"/>
                <wp:positionH relativeFrom="column">
                  <wp:posOffset>4905375</wp:posOffset>
                </wp:positionH>
                <wp:positionV relativeFrom="paragraph">
                  <wp:posOffset>1026795</wp:posOffset>
                </wp:positionV>
                <wp:extent cx="266700" cy="0"/>
                <wp:effectExtent l="0" t="38100" r="0" b="38100"/>
                <wp:wrapNone/>
                <wp:docPr id="51" name="直线 89"/>
                <wp:cNvGraphicFramePr/>
                <a:graphic xmlns:a="http://schemas.openxmlformats.org/drawingml/2006/main">
                  <a:graphicData uri="http://schemas.microsoft.com/office/word/2010/wordprocessingShape">
                    <wps:wsp>
                      <wps:cNvSp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9" o:spid="_x0000_s1026" o:spt="20" style="position:absolute;left:0pt;margin-left:386.25pt;margin-top:80.85pt;height:0pt;width:21pt;z-index:251666432;mso-width-relative:page;mso-height-relative:page;" filled="f" stroked="t" coordsize="21600,21600" o:gfxdata="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IFG2QAAAAsBAAAPAAAAAAAAAAEAIAAAACIAAABkcnMvZG93bnJldi54bWxQSwECFAAU&#10;AAAACACHTuJASagIlPABAADgAwAADgAAAAAAAAABACAAAAAoAQAAZHJzL2Uyb0RvYy54bWxQSwUG&#10;AAAAAAYABgBZAQAAig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1026795</wp:posOffset>
                </wp:positionV>
                <wp:extent cx="200025" cy="0"/>
                <wp:effectExtent l="0" t="38100" r="9525" b="38100"/>
                <wp:wrapNone/>
                <wp:docPr id="48" name="直线 53"/>
                <wp:cNvGraphicFramePr/>
                <a:graphic xmlns:a="http://schemas.openxmlformats.org/drawingml/2006/main">
                  <a:graphicData uri="http://schemas.microsoft.com/office/word/2010/wordprocessingShape">
                    <wps:wsp>
                      <wps:cNvSp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 o:spid="_x0000_s1026" o:spt="20" style="position:absolute;left:0pt;margin-left:234pt;margin-top:80.85pt;height:0pt;width:15.75pt;z-index:251663360;mso-width-relative:page;mso-height-relative:page;" filled="f" stroked="t" coordsize="21600,21600" o:gfxdata="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1CMq9oAAAALAQAADwAAAAAAAAABACAAAAAiAAAAZHJzL2Rvd25yZXYueG1sUEsBAhQAFAAA&#10;AAgAh07iQIVWzgDtAQAA4AMAAA4AAAAAAAAAAQAgAAAAKQEAAGRycy9lMm9Eb2MueG1sUEsFBgAA&#10;AAAGAAYAWQEAAIg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1026795</wp:posOffset>
                </wp:positionV>
                <wp:extent cx="266700" cy="0"/>
                <wp:effectExtent l="0" t="38100" r="0" b="38100"/>
                <wp:wrapNone/>
                <wp:docPr id="45" name="直线 50"/>
                <wp:cNvGraphicFramePr/>
                <a:graphic xmlns:a="http://schemas.openxmlformats.org/drawingml/2006/main">
                  <a:graphicData uri="http://schemas.microsoft.com/office/word/2010/wordprocessingShape">
                    <wps:wsp>
                      <wps:cNvSp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 o:spid="_x0000_s1026" o:spt="20" style="position:absolute;left:0pt;margin-left:81pt;margin-top:80.85pt;height:0pt;width:21pt;z-index:251660288;mso-width-relative:page;mso-height-relative:page;" filled="f" stroked="t" coordsize="21600,21600" o:gfxdata="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ZwbuTXAAAACwEAAA8AAAAAAAAAAQAgAAAAIgAAAGRycy9kb3ducmV2LnhtbFBLAQIUABQAAAAI&#10;AIdO4kDX0ae17gEAAOADAAAOAAAAAAAAAAEAIAAAACYBAABkcnMvZTJvRG9jLnhtbFBLBQYAAAAA&#10;BgAGAFkBAACG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1026795</wp:posOffset>
                </wp:positionV>
                <wp:extent cx="200025" cy="0"/>
                <wp:effectExtent l="0" t="38100" r="9525" b="38100"/>
                <wp:wrapNone/>
                <wp:docPr id="46" name="直线 51"/>
                <wp:cNvGraphicFramePr/>
                <a:graphic xmlns:a="http://schemas.openxmlformats.org/drawingml/2006/main">
                  <a:graphicData uri="http://schemas.microsoft.com/office/word/2010/wordprocessingShape">
                    <wps:wsp>
                      <wps:cNvSp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margin-left:306pt;margin-top:80.85pt;height:0pt;width:15.75pt;z-index:251661312;mso-width-relative:page;mso-height-relative:page;" filled="f" stroked="t" coordsize="21600,21600" o:gfxdata="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RgJcdoAAAALAQAADwAAAAAAAAABACAAAAAiAAAAZHJzL2Rvd25yZXYueG1sUEsBAhQAFAAA&#10;AAgAh07iQGJokEjtAQAA4AMAAA4AAAAAAAAAAQAgAAAAKQEAAGRycy9lMm9Eb2MueG1sUEsFBgAA&#10;AAAGAAYAWQEAAIg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729615</wp:posOffset>
                </wp:positionV>
                <wp:extent cx="200025" cy="0"/>
                <wp:effectExtent l="0" t="38100" r="9525" b="38100"/>
                <wp:wrapNone/>
                <wp:docPr id="50" name="直线 88"/>
                <wp:cNvGraphicFramePr/>
                <a:graphic xmlns:a="http://schemas.openxmlformats.org/drawingml/2006/main">
                  <a:graphicData uri="http://schemas.microsoft.com/office/word/2010/wordprocessingShape">
                    <wps:wsp>
                      <wps:cNvSp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8" o:spid="_x0000_s1026" o:spt="20" style="position:absolute;left:0pt;margin-left:18pt;margin-top:57.45pt;height:0pt;width:15.75pt;z-index:251665408;mso-width-relative:page;mso-height-relative:page;" filled="f" stroked="t" coordsize="21600,21600" o:gfxdata="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0PNoTZAAAACQEAAA8AAAAAAAAAAQAgAAAAIgAAAGRycy9kb3ducmV2LnhtbFBLAQIUABQAAAAI&#10;AIdO4kC3Yv037AEAAOADAAAOAAAAAAAAAAEAIAAAACgBAABkcnMvZTJvRG9jLnhtbFBLBQYAAAAA&#10;BgAGAFkBAACG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432435</wp:posOffset>
                </wp:positionV>
                <wp:extent cx="200025" cy="0"/>
                <wp:effectExtent l="0" t="38100" r="9525" b="38100"/>
                <wp:wrapNone/>
                <wp:docPr id="49" name="直线 87"/>
                <wp:cNvGraphicFramePr/>
                <a:graphic xmlns:a="http://schemas.openxmlformats.org/drawingml/2006/main">
                  <a:graphicData uri="http://schemas.microsoft.com/office/word/2010/wordprocessingShape">
                    <wps:wsp>
                      <wps:cNvSp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7" o:spid="_x0000_s1026" o:spt="20" style="position:absolute;left:0pt;margin-left:297pt;margin-top:34.05pt;height:0pt;width:15.75pt;z-index:251664384;mso-width-relative:page;mso-height-relative:page;" filled="f" stroked="t" coordsize="21600,21600" o:gfxdata="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TkcdnaAAAACQEAAA8AAAAAAAAAAQAgAAAAIgAAAGRycy9kb3ducmV2LnhtbFBLAQIUABQA&#10;AAAIAIdO4kDkL2UQ7gEAAOADAAAOAAAAAAAAAAEAIAAAACkBAABkcnMvZTJvRG9jLnhtbFBLBQYA&#10;AAAABgAGAFkBAACJ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432435</wp:posOffset>
                </wp:positionV>
                <wp:extent cx="199390" cy="0"/>
                <wp:effectExtent l="0" t="38100" r="10160" b="38100"/>
                <wp:wrapNone/>
                <wp:docPr id="47" name="直线 52"/>
                <wp:cNvGraphicFramePr/>
                <a:graphic xmlns:a="http://schemas.openxmlformats.org/drawingml/2006/main">
                  <a:graphicData uri="http://schemas.microsoft.com/office/word/2010/wordprocessingShape">
                    <wps:wsp>
                      <wps:cNvSpPr/>
                      <wps:spPr>
                        <a:xfrm>
                          <a:off x="0" y="0"/>
                          <a:ext cx="1993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margin-left:216pt;margin-top:34.05pt;height:0pt;width:15.7pt;z-index:251662336;mso-width-relative:page;mso-height-relative:page;" filled="f" stroked="t" coordsize="21600,21600" o:gfxdata="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UQ8PNoAAAAJAQAADwAAAAAAAAABACAAAAAiAAAAZHJzL2Rvd25yZXYueG1sUEsBAhQA&#10;FAAAAAgAh07iQPr1IaTwAQAA4AMAAA4AAAAAAAAAAQAgAAAAKQEAAGRycy9lMm9Eb2MueG1sUEsF&#10;BgAAAAAGAAYAWQEAAIsFAAAAAA==&#10;">
                <v:fill on="f" focussize="0,0"/>
                <v:stroke color="#000000" joinstyle="round" endarrow="block"/>
                <v:imagedata o:title=""/>
                <o:lock v:ext="edit" aspectratio="f"/>
              </v:line>
            </w:pict>
          </mc:Fallback>
        </mc:AlternateContent>
      </w:r>
      <w:r>
        <w:rPr>
          <w:rFonts w:hint="eastAsia"/>
          <w:szCs w:val="21"/>
        </w:rPr>
        <w:t xml:space="preserve">我公司将严格执行工艺规范来保证施工质量，施工技术人员、施工作业人员都必须认真按照规定的工艺进行工作。基本流程：合同签定   施工图纸汇审     编制施工组织设计方案     施工前期准备（设备、材料采购、施工机具准备、施工人员准备、岗前培训、施工前班组技术交底）     施工实施（自检、互检、监检）    竣工验收  </w:t>
      </w:r>
      <w:r>
        <w:rPr>
          <w:szCs w:val="21"/>
        </w:rPr>
        <w:t xml:space="preserve">  </w:t>
      </w:r>
      <w:r>
        <w:rPr>
          <w:rFonts w:hint="eastAsia"/>
          <w:szCs w:val="21"/>
        </w:rPr>
        <w:t>竣工文件汇编    专项质检部门质量等级核验。</w:t>
      </w:r>
      <w:bookmarkStart w:id="74" w:name="_Toc93118968"/>
      <w:bookmarkStart w:id="75" w:name="_Toc122259374"/>
      <w:bookmarkStart w:id="76" w:name="_Toc242860592"/>
    </w:p>
    <w:p>
      <w:pPr>
        <w:spacing w:line="360" w:lineRule="auto"/>
        <w:ind w:firstLine="422" w:firstLineChars="200"/>
        <w:rPr>
          <w:rFonts w:hint="eastAsia"/>
          <w:szCs w:val="21"/>
        </w:rPr>
      </w:pPr>
      <w:r>
        <w:rPr>
          <w:rFonts w:hint="eastAsia" w:ascii="黑体" w:hAnsi="黑体"/>
          <w:b/>
          <w:bCs/>
          <w:szCs w:val="21"/>
        </w:rPr>
        <w:t>4.2、具体保证措施</w:t>
      </w:r>
      <w:bookmarkEnd w:id="74"/>
      <w:bookmarkEnd w:id="75"/>
      <w:bookmarkEnd w:id="76"/>
    </w:p>
    <w:p>
      <w:pPr>
        <w:numPr>
          <w:ilvl w:val="0"/>
          <w:numId w:val="2"/>
        </w:numPr>
        <w:spacing w:line="360" w:lineRule="auto"/>
        <w:rPr>
          <w:rFonts w:hint="eastAsia" w:ascii="Arial" w:hAnsi="Arial" w:cs="Arial"/>
          <w:szCs w:val="21"/>
        </w:rPr>
      </w:pPr>
      <w:r>
        <w:rPr>
          <w:rFonts w:hint="eastAsia" w:ascii="Arial" w:hAnsi="Arial" w:cs="Arial"/>
          <w:szCs w:val="21"/>
        </w:rPr>
        <w:t>配备相应的施工机具来保证施工质量。</w:t>
      </w:r>
    </w:p>
    <w:p>
      <w:pPr>
        <w:numPr>
          <w:ilvl w:val="0"/>
          <w:numId w:val="2"/>
        </w:numPr>
        <w:spacing w:line="360" w:lineRule="auto"/>
        <w:rPr>
          <w:rFonts w:hint="eastAsia" w:ascii="Arial" w:hAnsi="Arial" w:cs="Arial"/>
          <w:szCs w:val="21"/>
        </w:rPr>
      </w:pPr>
      <w:r>
        <w:rPr>
          <w:rFonts w:hint="eastAsia" w:ascii="Arial" w:hAnsi="Arial" w:cs="Arial"/>
          <w:szCs w:val="21"/>
        </w:rPr>
        <w:t>建立相应的质量管理机构，对施工过程中的每一个环节，专人专管。</w:t>
      </w:r>
    </w:p>
    <w:p>
      <w:pPr>
        <w:numPr>
          <w:ilvl w:val="0"/>
          <w:numId w:val="2"/>
        </w:numPr>
        <w:spacing w:line="360" w:lineRule="auto"/>
        <w:rPr>
          <w:rFonts w:hint="eastAsia" w:ascii="Arial" w:hAnsi="Arial" w:cs="Arial"/>
          <w:szCs w:val="21"/>
        </w:rPr>
      </w:pPr>
      <w:r>
        <w:rPr>
          <w:rFonts w:hint="eastAsia" w:ascii="Arial" w:hAnsi="Arial" w:cs="Arial"/>
          <w:szCs w:val="21"/>
        </w:rPr>
        <w:t>从组织机构上保证：建立、健全三级质量保证体系，具体做法是公司组织定期检查外，在项目经理部设置专门的安全质量检查室，安全质量室直接对项目经理负责，各施工队有专职工程师，在施工班有质量监督员，形成一个有组织的相互监督、制约、帮助的整体。从而保证在每一道工序上对创优工作的贯彻。</w:t>
      </w:r>
    </w:p>
    <w:p>
      <w:pPr>
        <w:numPr>
          <w:ilvl w:val="0"/>
          <w:numId w:val="2"/>
        </w:numPr>
        <w:spacing w:line="360" w:lineRule="auto"/>
        <w:rPr>
          <w:rFonts w:hint="eastAsia" w:ascii="Arial" w:hAnsi="Arial" w:cs="Arial"/>
          <w:szCs w:val="21"/>
        </w:rPr>
      </w:pPr>
      <w:r>
        <w:rPr>
          <w:rFonts w:hint="eastAsia" w:ascii="Arial" w:hAnsi="Arial" w:cs="Arial"/>
          <w:szCs w:val="21"/>
        </w:rPr>
        <w:t>从制度上健全机制：由总工程师组织各专业工程师按技术规范的要求，完善各专业、各工序的各种规程和条例，加强对上岗人员的专业技能和质量意识的培训教育，使每个职工责任分明。</w:t>
      </w:r>
    </w:p>
    <w:p>
      <w:pPr>
        <w:spacing w:line="360" w:lineRule="auto"/>
        <w:rPr>
          <w:rFonts w:hint="eastAsia" w:ascii="Arial" w:hAnsi="Arial" w:cs="Arial"/>
          <w:szCs w:val="21"/>
        </w:rPr>
      </w:pPr>
      <w:r>
        <w:rPr>
          <w:rFonts w:hint="eastAsia" w:ascii="Arial" w:hAnsi="Arial" w:cs="Arial"/>
          <w:szCs w:val="21"/>
        </w:rPr>
        <w:t>5、从检查试验设备上保证：为了保证质量，必须有一套完整的检查、试验设备，具体做法是：在项目经理部设试验室，负责整个标段的材料检测和一些关键工程项目的试验检测工作，这些试验检测结果大都是为开工做准备性指导或对各施工队的试验检测作校正。在施工队建立小型的专业试验组，试验人员均有5年以上的实际工作经验。通过试验的工作来提高工程质量的检测手段。</w:t>
      </w:r>
    </w:p>
    <w:p>
      <w:pPr>
        <w:spacing w:line="360" w:lineRule="auto"/>
        <w:rPr>
          <w:rFonts w:hint="eastAsia" w:ascii="Arial" w:hAnsi="Arial" w:cs="Arial"/>
          <w:szCs w:val="21"/>
        </w:rPr>
      </w:pPr>
      <w:r>
        <w:rPr>
          <w:rFonts w:hint="eastAsia"/>
        </w:rPr>
        <w:t>6、建立一套奖罚制度：制订一套完整的奖罚制度，坚持以工程施工质量优劣，作为考核各级人员最基本的主要指标，“优质优价”，奖罚分明。</w:t>
      </w:r>
    </w:p>
    <w:p>
      <w:pPr>
        <w:spacing w:line="360" w:lineRule="auto"/>
        <w:rPr>
          <w:rFonts w:ascii="Arial" w:hAnsi="Arial" w:cs="Arial"/>
          <w:szCs w:val="21"/>
        </w:rPr>
      </w:pPr>
      <w:r>
        <w:rPr>
          <w:rFonts w:hint="eastAsia"/>
        </w:rPr>
        <w:t>7、加强质量意识的教育，搞好技术交底：每道工序开工和各专业人员进场上岗前，全体人员都必须经岗前培训和进行专业技术交底，由专业工程师负责实施，使上岗前人人做到心中有数。施工期间定期培训，达到人人懂技术、会管理，形成一个重视质量，会管会抓施工质量的施工集体。</w:t>
      </w:r>
    </w:p>
    <w:p>
      <w:pPr>
        <w:spacing w:line="360" w:lineRule="auto"/>
        <w:ind w:left="275" w:hanging="275" w:hangingChars="131"/>
        <w:rPr>
          <w:rFonts w:ascii="Arial" w:hAnsi="Arial" w:cs="Arial"/>
          <w:szCs w:val="21"/>
        </w:rPr>
      </w:pPr>
      <w:r>
        <w:rPr>
          <w:rFonts w:hint="eastAsia" w:ascii="Arial" w:hAnsi="Arial" w:cs="Arial"/>
          <w:szCs w:val="21"/>
        </w:rPr>
        <w:t>8、认真做好隐蔽工程检查签证和分项工程检查验收签证，绝不留隐患。积极配合工程师（监理工程师）做好质量监理工作。隐蔽工程和分项工程的交接要及时通知工程师进行检查。要虚心听取他们的意见，提出的问题迅速研究解决。</w:t>
      </w:r>
    </w:p>
    <w:p>
      <w:pPr>
        <w:spacing w:line="360" w:lineRule="auto"/>
        <w:ind w:left="315" w:leftChars="150"/>
        <w:rPr>
          <w:rFonts w:hint="eastAsia" w:ascii="Arial" w:hAnsi="Arial" w:cs="Arial"/>
          <w:szCs w:val="21"/>
        </w:rPr>
      </w:pPr>
      <w:r>
        <w:rPr>
          <w:rFonts w:hint="eastAsia" w:ascii="Arial" w:hAnsi="Arial" w:cs="Arial"/>
          <w:szCs w:val="21"/>
        </w:rPr>
        <w:t>重大的施工问题和关键的施工问题如线路的测试，探头的实验，系统的调试等需经工程师（监理工程师）同意。</w:t>
      </w:r>
    </w:p>
    <w:p>
      <w:pPr>
        <w:spacing w:line="360" w:lineRule="auto"/>
        <w:ind w:left="368" w:hanging="367" w:hangingChars="175"/>
        <w:rPr>
          <w:rFonts w:ascii="Arial" w:hAnsi="Arial" w:cs="Arial"/>
          <w:szCs w:val="21"/>
        </w:rPr>
      </w:pPr>
      <w:r>
        <w:rPr>
          <w:rFonts w:hint="eastAsia" w:ascii="Arial" w:hAnsi="Arial" w:cs="Arial"/>
          <w:szCs w:val="21"/>
        </w:rPr>
        <w:t>9、 认真及时协调好施工相互干扰，避免返工影响施工质量。由项目经理按照施工进度和网络图安排施工顺序。</w:t>
      </w:r>
    </w:p>
    <w:p>
      <w:pPr>
        <w:spacing w:line="360" w:lineRule="auto"/>
        <w:ind w:left="420" w:hanging="420" w:hangingChars="200"/>
        <w:rPr>
          <w:rFonts w:hint="eastAsia" w:ascii="Arial" w:hAnsi="Arial" w:cs="Arial"/>
          <w:szCs w:val="21"/>
        </w:rPr>
      </w:pPr>
      <w:r>
        <w:rPr>
          <w:rFonts w:hint="eastAsia" w:ascii="Arial" w:hAnsi="Arial" w:cs="Arial"/>
          <w:szCs w:val="21"/>
        </w:rPr>
        <w:t>10、以项目经理为首组织攻关活动，开展预想活动，把质量问题克服在苗头上。敷设管线，系统调试是本工程施工难点，必须组织专门技术小组研究攻关，在技术上攻破难关，保证质量。</w:t>
      </w:r>
    </w:p>
    <w:p>
      <w:pPr>
        <w:pStyle w:val="4"/>
        <w:rPr>
          <w:rFonts w:hint="eastAsia" w:ascii="黑体" w:hAnsi="黑体" w:eastAsia="黑体"/>
          <w:b w:val="0"/>
          <w:bCs w:val="0"/>
          <w:sz w:val="28"/>
          <w:szCs w:val="28"/>
        </w:rPr>
      </w:pPr>
      <w:bookmarkStart w:id="77" w:name="_Toc242860593"/>
      <w:bookmarkStart w:id="78" w:name="_Toc361990774"/>
      <w:r>
        <w:rPr>
          <w:rFonts w:hint="eastAsia" w:ascii="黑体" w:hAnsi="黑体" w:eastAsia="黑体"/>
          <w:b w:val="0"/>
          <w:bCs w:val="0"/>
          <w:sz w:val="28"/>
          <w:szCs w:val="28"/>
        </w:rPr>
        <w:t>5、确保工程工期的技术组织措施</w:t>
      </w:r>
      <w:bookmarkEnd w:id="77"/>
      <w:bookmarkEnd w:id="78"/>
    </w:p>
    <w:p>
      <w:pPr>
        <w:spacing w:line="360" w:lineRule="auto"/>
        <w:rPr>
          <w:rFonts w:hint="eastAsia"/>
          <w:szCs w:val="21"/>
        </w:rPr>
      </w:pPr>
      <w:r>
        <w:rPr>
          <w:rFonts w:hint="eastAsia"/>
          <w:szCs w:val="21"/>
        </w:rPr>
        <w:t>保证工期的具体措施如下：</w:t>
      </w:r>
    </w:p>
    <w:p>
      <w:pPr>
        <w:spacing w:line="360" w:lineRule="auto"/>
        <w:ind w:firstLine="315" w:firstLineChars="150"/>
        <w:rPr>
          <w:rFonts w:hint="eastAsia"/>
          <w:szCs w:val="21"/>
        </w:rPr>
      </w:pPr>
      <w:r>
        <w:rPr>
          <w:rFonts w:hint="eastAsia"/>
          <w:szCs w:val="21"/>
        </w:rPr>
        <w:t>本工程工期为 90日历天。</w:t>
      </w:r>
    </w:p>
    <w:p>
      <w:pPr>
        <w:numPr>
          <w:ilvl w:val="0"/>
          <w:numId w:val="3"/>
        </w:numPr>
        <w:spacing w:line="360" w:lineRule="auto"/>
        <w:rPr>
          <w:rFonts w:hint="eastAsia"/>
          <w:szCs w:val="21"/>
        </w:rPr>
      </w:pPr>
      <w:r>
        <w:rPr>
          <w:rFonts w:hint="eastAsia"/>
          <w:szCs w:val="21"/>
        </w:rPr>
        <w:t>公司在劳动力和机械设备的配备方面，成立专业施工队配备足够的劳力及施工机械。</w:t>
      </w:r>
    </w:p>
    <w:p>
      <w:pPr>
        <w:numPr>
          <w:ilvl w:val="0"/>
          <w:numId w:val="3"/>
        </w:numPr>
        <w:spacing w:line="360" w:lineRule="auto"/>
        <w:rPr>
          <w:rFonts w:hint="eastAsia"/>
          <w:szCs w:val="21"/>
        </w:rPr>
      </w:pPr>
      <w:r>
        <w:rPr>
          <w:rFonts w:hint="eastAsia"/>
          <w:szCs w:val="21"/>
        </w:rPr>
        <w:t>明确阶段目标，保证节点计划和总体计划的完成根据网络计划总进度的总工期解剖，整个工程工期分阶段控制，实施中明确每个阶段的目标、任务、突出重点，全方位的抓落实。作业班以工序保证日计划，施工队以日计划保证总计划的完成，层层包任务落实。</w:t>
      </w:r>
    </w:p>
    <w:p>
      <w:pPr>
        <w:numPr>
          <w:ilvl w:val="0"/>
          <w:numId w:val="3"/>
        </w:numPr>
        <w:spacing w:line="360" w:lineRule="auto"/>
        <w:rPr>
          <w:rFonts w:hint="eastAsia"/>
          <w:szCs w:val="21"/>
        </w:rPr>
      </w:pPr>
      <w:r>
        <w:rPr>
          <w:rFonts w:hint="eastAsia"/>
          <w:szCs w:val="21"/>
        </w:rPr>
        <w:t>加强物资的供应、运输组织、试验和管理</w:t>
      </w:r>
    </w:p>
    <w:p>
      <w:pPr>
        <w:spacing w:line="360" w:lineRule="auto"/>
        <w:ind w:left="456" w:leftChars="217"/>
        <w:rPr>
          <w:rFonts w:hint="eastAsia"/>
          <w:szCs w:val="21"/>
        </w:rPr>
      </w:pPr>
      <w:r>
        <w:rPr>
          <w:rFonts w:hint="eastAsia"/>
          <w:szCs w:val="21"/>
        </w:rPr>
        <w:t>我公司的材料、施工以及有关人员现已熟知本工程所需的材料数量多、运量大、运输难的特点，如何做到“兵马未到粮草先行” 是当务之急，否则将会制约工期的实现。我们的措施是：</w:t>
      </w:r>
    </w:p>
    <w:p>
      <w:pPr>
        <w:spacing w:line="360" w:lineRule="auto"/>
        <w:ind w:left="449" w:leftChars="114" w:hanging="210" w:hangingChars="100"/>
        <w:rPr>
          <w:rFonts w:hint="eastAsia"/>
          <w:szCs w:val="21"/>
        </w:rPr>
      </w:pPr>
      <w:r>
        <w:rPr>
          <w:rFonts w:hint="eastAsia" w:ascii="宋体" w:hAnsi="宋体" w:cs="Arial"/>
          <w:szCs w:val="21"/>
        </w:rPr>
        <w:t>①</w:t>
      </w:r>
      <w:r>
        <w:rPr>
          <w:rFonts w:hint="eastAsia"/>
          <w:szCs w:val="21"/>
        </w:rPr>
        <w:t xml:space="preserve">利用我公司的优势多备、早备安装材料； </w:t>
      </w:r>
    </w:p>
    <w:p>
      <w:pPr>
        <w:spacing w:line="360" w:lineRule="auto"/>
        <w:ind w:left="449" w:leftChars="114" w:hanging="210" w:hangingChars="100"/>
        <w:rPr>
          <w:rFonts w:hint="eastAsia"/>
          <w:szCs w:val="21"/>
        </w:rPr>
      </w:pPr>
      <w:r>
        <w:rPr>
          <w:rFonts w:hint="eastAsia" w:ascii="宋体" w:hAnsi="宋体" w:cs="Arial"/>
          <w:szCs w:val="21"/>
        </w:rPr>
        <w:t>②</w:t>
      </w:r>
      <w:r>
        <w:rPr>
          <w:rFonts w:hint="eastAsia"/>
          <w:szCs w:val="21"/>
        </w:rPr>
        <w:t>落实设计要求后，即派出专职人员与有关厂家落实订单和供货日期、运输方式等事宜，抓准抓早抓落实。</w:t>
      </w:r>
    </w:p>
    <w:p>
      <w:pPr>
        <w:spacing w:line="360" w:lineRule="auto"/>
        <w:ind w:left="449" w:leftChars="114" w:hanging="210" w:hangingChars="100"/>
        <w:rPr>
          <w:rFonts w:hint="eastAsia"/>
          <w:szCs w:val="21"/>
        </w:rPr>
      </w:pPr>
      <w:r>
        <w:rPr>
          <w:rFonts w:hint="eastAsia" w:ascii="宋体" w:hAnsi="宋体" w:cs="Arial"/>
          <w:szCs w:val="21"/>
        </w:rPr>
        <w:t>③</w:t>
      </w:r>
      <w:r>
        <w:rPr>
          <w:rFonts w:hint="eastAsia"/>
          <w:szCs w:val="21"/>
        </w:rPr>
        <w:t>成立材料运输供应小组和试验小组，驻工地做好材料的管理。特别是分类堆码和材质试验工作。材料到工地后，按标书规定逐项测试，填写报告单。</w:t>
      </w:r>
    </w:p>
    <w:p>
      <w:pPr>
        <w:numPr>
          <w:ilvl w:val="0"/>
          <w:numId w:val="3"/>
        </w:numPr>
        <w:spacing w:line="360" w:lineRule="auto"/>
        <w:rPr>
          <w:rFonts w:hint="eastAsia" w:ascii="宋体"/>
          <w:szCs w:val="21"/>
        </w:rPr>
      </w:pPr>
      <w:r>
        <w:rPr>
          <w:rFonts w:hint="eastAsia" w:ascii="宋体"/>
          <w:szCs w:val="21"/>
        </w:rPr>
        <w:t>劳务分配、劳力安排、施工机械和设备实行动态管理。</w:t>
      </w:r>
    </w:p>
    <w:p>
      <w:pPr>
        <w:spacing w:line="360" w:lineRule="auto"/>
        <w:ind w:left="458" w:leftChars="218"/>
        <w:rPr>
          <w:rFonts w:hint="eastAsia"/>
          <w:szCs w:val="21"/>
        </w:rPr>
      </w:pPr>
      <w:r>
        <w:rPr>
          <w:rFonts w:hint="eastAsia"/>
          <w:szCs w:val="21"/>
        </w:rPr>
        <w:t>我公司除投入足够的机具设备以保证施工进度外，并实行动态管理。所需技术工种和施工机械，当某一部位受阻影响进度时，直接由我公司领导调配增援。并采取相应的任务调整和加班加点的措施，以保证工期的完成。</w:t>
      </w:r>
    </w:p>
    <w:p>
      <w:pPr>
        <w:spacing w:line="360" w:lineRule="auto"/>
        <w:rPr>
          <w:rFonts w:hint="eastAsia"/>
          <w:szCs w:val="21"/>
        </w:rPr>
      </w:pPr>
      <w:r>
        <w:rPr>
          <w:rFonts w:hint="eastAsia"/>
          <w:szCs w:val="21"/>
        </w:rPr>
        <w:t>5、加强对该工程的领导和管理，健全施工协调制度</w:t>
      </w:r>
    </w:p>
    <w:p>
      <w:pPr>
        <w:spacing w:line="360" w:lineRule="auto"/>
        <w:ind w:left="449" w:leftChars="114" w:hanging="210" w:hangingChars="100"/>
        <w:rPr>
          <w:rFonts w:hint="eastAsia"/>
          <w:szCs w:val="21"/>
        </w:rPr>
      </w:pPr>
      <w:r>
        <w:rPr>
          <w:rFonts w:hint="eastAsia" w:ascii="宋体" w:hAnsi="宋体" w:cs="Arial"/>
          <w:szCs w:val="21"/>
        </w:rPr>
        <w:t>①</w:t>
      </w:r>
      <w:r>
        <w:rPr>
          <w:rFonts w:hint="eastAsia"/>
          <w:szCs w:val="21"/>
        </w:rPr>
        <w:t>选派有丰富施工经验，良好组织才能，高度责任心的曹剑天同志担任项目经理。集中专业技术骨干，组织精干过硬的施工队上线施工。项目经理部及领导班子和各专业管理人员，全部由我公司委派组建。</w:t>
      </w:r>
      <w:r>
        <w:rPr>
          <w:szCs w:val="21"/>
        </w:rPr>
        <w:t xml:space="preserve">  </w:t>
      </w:r>
      <w:r>
        <w:rPr>
          <w:rFonts w:hint="eastAsia"/>
          <w:szCs w:val="21"/>
        </w:rPr>
        <w:t xml:space="preserve">    </w:t>
      </w:r>
    </w:p>
    <w:p>
      <w:pPr>
        <w:spacing w:line="360" w:lineRule="auto"/>
        <w:ind w:left="449" w:leftChars="114" w:hanging="210" w:hangingChars="100"/>
        <w:rPr>
          <w:rFonts w:hint="eastAsia"/>
          <w:szCs w:val="21"/>
        </w:rPr>
      </w:pPr>
      <w:r>
        <w:rPr>
          <w:rFonts w:hint="eastAsia" w:ascii="宋体" w:hAnsi="宋体" w:cs="Arial"/>
          <w:szCs w:val="21"/>
        </w:rPr>
        <w:t>②</w:t>
      </w:r>
      <w:r>
        <w:rPr>
          <w:rFonts w:hint="eastAsia"/>
          <w:szCs w:val="21"/>
        </w:rPr>
        <w:t>实施项目经理负责制，推行方针目标管理。在施工项目管理体制上，采取项目经理负责制。充分发挥项目经理的工作能力，充分地向项目经理授权，使其有权处理施工中出现的问题。制订方针目标，层层分解下达执行。</w:t>
      </w:r>
    </w:p>
    <w:p>
      <w:pPr>
        <w:spacing w:line="360" w:lineRule="auto"/>
        <w:ind w:left="449" w:leftChars="114" w:hanging="210" w:hangingChars="100"/>
        <w:rPr>
          <w:rFonts w:hint="eastAsia"/>
          <w:szCs w:val="21"/>
        </w:rPr>
      </w:pPr>
      <w:r>
        <w:rPr>
          <w:rFonts w:hint="eastAsia" w:ascii="宋体" w:hAnsi="宋体" w:cs="Arial"/>
          <w:szCs w:val="21"/>
        </w:rPr>
        <w:t>③</w:t>
      </w:r>
      <w:r>
        <w:rPr>
          <w:rFonts w:hint="eastAsia"/>
          <w:szCs w:val="21"/>
        </w:rPr>
        <w:t>健全施工协调制度，保证“条条施工渠道畅通”，如坚持施工班组的完工会制度、项目经理统一指挥权限、调度交班会、安全质量检查制度和领导现场办公会制度等等，这些行之有效的协调制度，继续完善执行。</w:t>
      </w:r>
    </w:p>
    <w:p>
      <w:pPr>
        <w:spacing w:line="360" w:lineRule="auto"/>
        <w:rPr>
          <w:rFonts w:hint="eastAsia"/>
          <w:szCs w:val="21"/>
        </w:rPr>
      </w:pPr>
      <w:r>
        <w:rPr>
          <w:rFonts w:hint="eastAsia"/>
          <w:szCs w:val="21"/>
        </w:rPr>
        <w:t>6、加强工地施工技术管理确保工期</w:t>
      </w:r>
    </w:p>
    <w:p>
      <w:pPr>
        <w:spacing w:line="360" w:lineRule="auto"/>
        <w:ind w:left="458" w:leftChars="218"/>
        <w:rPr>
          <w:rFonts w:hint="eastAsia"/>
          <w:szCs w:val="21"/>
        </w:rPr>
      </w:pPr>
      <w:r>
        <w:rPr>
          <w:rFonts w:hint="eastAsia"/>
          <w:szCs w:val="21"/>
        </w:rPr>
        <w:t>运用网络技术，对整个工程进行系统化、科学化、规范化施工技术管理。</w:t>
      </w:r>
      <w:r>
        <w:rPr>
          <w:szCs w:val="21"/>
        </w:rPr>
        <w:t xml:space="preserve">  </w:t>
      </w:r>
      <w:r>
        <w:rPr>
          <w:rFonts w:hint="eastAsia"/>
          <w:szCs w:val="21"/>
        </w:rPr>
        <w:t>严格按照基建程序组织各项工程施工，我公司在历年的施工经历中，已摸索和制定了一套行之有效的管理制度，技术管理是各项施工管理的龙头。所以我公司在本项目承包施工中，将更上一层楼，继续完善措施，调配精干技术干部上线管理。</w:t>
      </w:r>
    </w:p>
    <w:p>
      <w:pPr>
        <w:numPr>
          <w:ilvl w:val="0"/>
          <w:numId w:val="4"/>
        </w:numPr>
        <w:spacing w:line="360" w:lineRule="auto"/>
        <w:rPr>
          <w:rFonts w:hint="eastAsia"/>
          <w:szCs w:val="21"/>
        </w:rPr>
      </w:pPr>
      <w:r>
        <w:rPr>
          <w:rFonts w:hint="eastAsia"/>
          <w:szCs w:val="21"/>
        </w:rPr>
        <w:t>施工准备阶段。</w:t>
      </w:r>
    </w:p>
    <w:p>
      <w:pPr>
        <w:spacing w:line="360" w:lineRule="auto"/>
        <w:ind w:left="479" w:leftChars="228" w:firstLine="420" w:firstLineChars="200"/>
        <w:rPr>
          <w:rFonts w:hint="eastAsia"/>
          <w:szCs w:val="21"/>
        </w:rPr>
      </w:pPr>
      <w:r>
        <w:rPr>
          <w:rFonts w:hint="eastAsia"/>
          <w:szCs w:val="21"/>
        </w:rPr>
        <w:t>以组织现场调查为核心，做好各项开工前的技术准备工作。认真核对设计。以总工程师和高级工程师为首，组织各专业技术人员，熟悉设计图纸，核对设计图纸，对设计图纸和数量计算、说明等全面阅读。核对图纸之间有无矛盾，错漏。现场核对设计与现场是否相同。</w:t>
      </w:r>
    </w:p>
    <w:p>
      <w:pPr>
        <w:spacing w:line="360" w:lineRule="auto"/>
        <w:ind w:left="479" w:leftChars="228" w:firstLine="420" w:firstLineChars="200"/>
        <w:rPr>
          <w:rFonts w:hint="eastAsia"/>
          <w:szCs w:val="21"/>
        </w:rPr>
      </w:pPr>
      <w:r>
        <w:rPr>
          <w:rFonts w:hint="eastAsia"/>
          <w:szCs w:val="21"/>
        </w:rPr>
        <w:t>组织各管理层次人员，特别是现场项目经理部管理人员进行现场勘察。调查工程施工情况。做好记录，报告监理工程师和业主。</w:t>
      </w:r>
    </w:p>
    <w:p>
      <w:pPr>
        <w:spacing w:line="360" w:lineRule="auto"/>
        <w:ind w:left="479" w:leftChars="228" w:firstLine="420" w:firstLineChars="200"/>
        <w:rPr>
          <w:rFonts w:hint="eastAsia"/>
          <w:szCs w:val="21"/>
        </w:rPr>
      </w:pPr>
      <w:r>
        <w:rPr>
          <w:rFonts w:hint="eastAsia"/>
          <w:szCs w:val="21"/>
        </w:rPr>
        <w:t>组织有关人员编制好实施性施工组织设计。其内容包括现场组织总平面设计、施工方案、工程进度计划、资源供应计划、技术组织措施等。并及时送工程师（监理工程师）审批后实施。</w:t>
      </w:r>
    </w:p>
    <w:p>
      <w:pPr>
        <w:spacing w:line="360" w:lineRule="auto"/>
        <w:ind w:left="420" w:hanging="420" w:hangingChars="200"/>
        <w:rPr>
          <w:rFonts w:hint="eastAsia" w:ascii="宋体"/>
          <w:szCs w:val="21"/>
        </w:rPr>
      </w:pPr>
      <w:r>
        <w:rPr>
          <w:rFonts w:ascii="宋体"/>
          <w:szCs w:val="21"/>
        </w:rPr>
        <w:t xml:space="preserve">  </w:t>
      </w:r>
      <w:r>
        <w:rPr>
          <w:rFonts w:hint="eastAsia" w:ascii="宋体"/>
          <w:szCs w:val="21"/>
        </w:rPr>
        <w:t xml:space="preserve">      做好施工技术交底和岗前培训。做到参战人员明确目标、任务、要求，全民参与管理、全过程管理、全面管理。</w:t>
      </w:r>
    </w:p>
    <w:p>
      <w:pPr>
        <w:spacing w:line="360" w:lineRule="auto"/>
        <w:ind w:left="479" w:leftChars="228" w:firstLine="420" w:firstLineChars="200"/>
        <w:rPr>
          <w:rFonts w:hint="eastAsia"/>
          <w:szCs w:val="21"/>
        </w:rPr>
      </w:pPr>
      <w:r>
        <w:rPr>
          <w:rFonts w:hint="eastAsia"/>
          <w:szCs w:val="21"/>
        </w:rPr>
        <w:t>配合项目经理、质检部门和材料部门落实临时设施和临时工程的实施和材质检验。</w:t>
      </w:r>
    </w:p>
    <w:p>
      <w:pPr>
        <w:numPr>
          <w:ilvl w:val="0"/>
          <w:numId w:val="4"/>
        </w:numPr>
        <w:spacing w:line="360" w:lineRule="auto"/>
        <w:rPr>
          <w:rFonts w:hint="eastAsia"/>
          <w:szCs w:val="21"/>
        </w:rPr>
      </w:pPr>
      <w:r>
        <w:rPr>
          <w:rFonts w:hint="eastAsia"/>
          <w:szCs w:val="21"/>
        </w:rPr>
        <w:t>施工阶段：</w:t>
      </w:r>
    </w:p>
    <w:p>
      <w:pPr>
        <w:spacing w:line="360" w:lineRule="auto"/>
        <w:ind w:left="479" w:leftChars="228" w:firstLine="420" w:firstLineChars="200"/>
        <w:rPr>
          <w:rFonts w:hint="eastAsia"/>
          <w:szCs w:val="21"/>
        </w:rPr>
      </w:pPr>
      <w:r>
        <w:rPr>
          <w:rFonts w:hint="eastAsia"/>
          <w:szCs w:val="21"/>
        </w:rPr>
        <w:t>以指导施工和技术攻关为核心，及时协调处理解决施工中出现的施工技术问题。经常开展预想活动，及时处理施工中出现的技术问题；加强与工程师（监理工程师）、业主和设计部门的联系，听取他们对施工的意见和要求；督促检查有关人员及时做好原始记录的记载和整理；及时组织攻克施工中各种技术难关。及时办理变更设计，指导施工人员按设计施工，按规范施工。制止违章作业。严格掌握施工顺序。</w:t>
      </w:r>
    </w:p>
    <w:p>
      <w:pPr>
        <w:numPr>
          <w:ilvl w:val="0"/>
          <w:numId w:val="4"/>
        </w:numPr>
        <w:spacing w:line="360" w:lineRule="auto"/>
        <w:rPr>
          <w:rFonts w:hint="eastAsia"/>
          <w:szCs w:val="21"/>
        </w:rPr>
      </w:pPr>
      <w:r>
        <w:rPr>
          <w:rFonts w:hint="eastAsia"/>
          <w:szCs w:val="21"/>
        </w:rPr>
        <w:t>竣工阶段：</w:t>
      </w:r>
    </w:p>
    <w:p>
      <w:pPr>
        <w:spacing w:line="360" w:lineRule="auto"/>
        <w:ind w:left="479"/>
        <w:rPr>
          <w:rFonts w:hint="eastAsia"/>
          <w:szCs w:val="21"/>
        </w:rPr>
      </w:pPr>
      <w:r>
        <w:rPr>
          <w:rFonts w:hint="eastAsia"/>
          <w:szCs w:val="21"/>
        </w:rPr>
        <w:t>以抓好收尾编好竣工文件为核心。配合好初验和办理验收决算工作。</w:t>
      </w:r>
    </w:p>
    <w:p>
      <w:pPr>
        <w:spacing w:line="360" w:lineRule="auto"/>
        <w:ind w:firstLine="420" w:firstLineChars="200"/>
        <w:rPr>
          <w:rFonts w:hint="eastAsia" w:ascii="宋体"/>
          <w:szCs w:val="21"/>
        </w:rPr>
      </w:pPr>
      <w:r>
        <w:rPr>
          <w:rFonts w:hint="eastAsia" w:ascii="宋体"/>
          <w:szCs w:val="21"/>
        </w:rPr>
        <w:t>做好竣工测量；绘制竣工图、整理竣工资料；参加验收；办理决算。</w:t>
      </w:r>
      <w:bookmarkStart w:id="79" w:name="_Toc242860594"/>
    </w:p>
    <w:p>
      <w:pPr>
        <w:pStyle w:val="4"/>
        <w:rPr>
          <w:rFonts w:hint="eastAsia" w:ascii="黑体" w:eastAsia="黑体"/>
          <w:b w:val="0"/>
          <w:sz w:val="24"/>
          <w:szCs w:val="24"/>
        </w:rPr>
      </w:pPr>
      <w:bookmarkStart w:id="80" w:name="_Toc361990775"/>
      <w:r>
        <w:rPr>
          <w:rFonts w:hint="eastAsia" w:ascii="黑体" w:eastAsia="黑体"/>
          <w:b w:val="0"/>
          <w:sz w:val="24"/>
          <w:szCs w:val="24"/>
        </w:rPr>
        <w:t>6、确保安全生产的技术组织措施</w:t>
      </w:r>
      <w:bookmarkEnd w:id="79"/>
      <w:bookmarkEnd w:id="80"/>
    </w:p>
    <w:p>
      <w:pPr>
        <w:pStyle w:val="5"/>
        <w:spacing w:line="320" w:lineRule="exact"/>
        <w:jc w:val="both"/>
        <w:rPr>
          <w:rFonts w:hint="eastAsia" w:ascii="黑体"/>
          <w:sz w:val="21"/>
          <w:szCs w:val="21"/>
        </w:rPr>
      </w:pPr>
      <w:bookmarkStart w:id="81" w:name="_Toc91062505"/>
      <w:bookmarkStart w:id="82" w:name="_Toc93118970"/>
      <w:bookmarkStart w:id="83" w:name="_Toc122259376"/>
      <w:bookmarkStart w:id="84" w:name="_Toc242860595"/>
      <w:bookmarkStart w:id="85" w:name="_Toc361990776"/>
      <w:r>
        <w:rPr>
          <w:rFonts w:hint="eastAsia" w:ascii="黑体"/>
          <w:sz w:val="21"/>
          <w:szCs w:val="21"/>
        </w:rPr>
        <w:t>6.1、安全措施纲要</w:t>
      </w:r>
      <w:bookmarkEnd w:id="81"/>
      <w:bookmarkEnd w:id="82"/>
      <w:bookmarkEnd w:id="83"/>
      <w:bookmarkEnd w:id="84"/>
      <w:bookmarkEnd w:id="85"/>
    </w:p>
    <w:p>
      <w:pPr>
        <w:spacing w:line="320" w:lineRule="exact"/>
        <w:rPr>
          <w:rFonts w:hint="eastAsia" w:ascii="Arial" w:hAnsi="Arial" w:cs="Arial"/>
          <w:b/>
          <w:bCs/>
          <w:szCs w:val="21"/>
        </w:rPr>
      </w:pPr>
      <w:r>
        <w:rPr>
          <w:rFonts w:hint="eastAsia" w:ascii="Arial" w:hAnsi="Arial" w:cs="Arial"/>
          <w:b/>
          <w:bCs/>
          <w:szCs w:val="21"/>
        </w:rPr>
        <w:t xml:space="preserve">1、明确职责                                                                                  </w:t>
      </w:r>
    </w:p>
    <w:p>
      <w:pPr>
        <w:spacing w:line="400" w:lineRule="exact"/>
        <w:ind w:firstLine="420" w:firstLineChars="200"/>
        <w:rPr>
          <w:rFonts w:hint="eastAsia" w:ascii="Arial" w:hAnsi="Arial" w:cs="Arial"/>
          <w:szCs w:val="21"/>
        </w:rPr>
      </w:pPr>
      <w:r>
        <w:rPr>
          <w:rFonts w:hint="eastAsia" w:ascii="Arial" w:hAnsi="Arial" w:cs="Arial"/>
          <w:szCs w:val="21"/>
        </w:rPr>
        <w:t>项目经理为工程安全、防火、文明施工责任人，对工程的安全文明施工负直接领导责任，各部门、施工队、施工班组对各自分管范围内的安全、防火、文明生产负责，操作者对各自的作业点、岗位上的安全、防火、文明生产负责。</w:t>
      </w:r>
    </w:p>
    <w:p>
      <w:pPr>
        <w:spacing w:line="360" w:lineRule="auto"/>
        <w:rPr>
          <w:rFonts w:hint="eastAsia" w:ascii="Arial" w:hAnsi="Arial" w:cs="Arial"/>
          <w:szCs w:val="21"/>
        </w:rPr>
      </w:pPr>
      <w:r>
        <w:rPr>
          <w:rFonts w:hint="eastAsia" w:ascii="Arial" w:hAnsi="Arial" w:cs="Arial"/>
          <w:b/>
          <w:bCs/>
          <w:szCs w:val="21"/>
        </w:rPr>
        <w:t>2、成立组织机构</w:t>
      </w:r>
    </w:p>
    <w:p>
      <w:pPr>
        <w:spacing w:line="360" w:lineRule="auto"/>
        <w:ind w:firstLine="420" w:firstLineChars="200"/>
        <w:rPr>
          <w:rFonts w:hint="eastAsia" w:ascii="Arial" w:hAnsi="Arial" w:cs="Arial"/>
          <w:szCs w:val="21"/>
        </w:rPr>
      </w:pPr>
      <w:r>
        <w:rPr>
          <w:rFonts w:hint="eastAsia" w:ascii="Arial" w:hAnsi="Arial" w:cs="Arial"/>
          <w:szCs w:val="21"/>
        </w:rPr>
        <w:t>现场设置防火、文明施工组织机构，建立由项目经理部、施工部、施工班组三级网络体系，负责日常管理，行使监督、检查等职能，保证正常的生产、施工秩序，维护施工现场的安全状态。</w:t>
      </w:r>
    </w:p>
    <w:p>
      <w:pPr>
        <w:spacing w:line="360" w:lineRule="auto"/>
        <w:rPr>
          <w:rFonts w:hint="eastAsia" w:ascii="Arial" w:hAnsi="Arial" w:cs="Arial"/>
          <w:b/>
          <w:bCs/>
          <w:szCs w:val="21"/>
        </w:rPr>
      </w:pPr>
      <w:r>
        <w:rPr>
          <w:rFonts w:hint="eastAsia" w:ascii="Arial" w:hAnsi="Arial" w:cs="Arial"/>
          <w:b/>
          <w:bCs/>
          <w:szCs w:val="21"/>
        </w:rPr>
        <w:t>3、技术措施</w:t>
      </w:r>
    </w:p>
    <w:p>
      <w:pPr>
        <w:spacing w:line="360" w:lineRule="auto"/>
        <w:ind w:firstLine="420" w:firstLineChars="200"/>
        <w:rPr>
          <w:rFonts w:hint="eastAsia" w:ascii="Arial" w:hAnsi="Arial" w:cs="Arial"/>
          <w:szCs w:val="21"/>
        </w:rPr>
      </w:pPr>
      <w:r>
        <w:rPr>
          <w:rFonts w:hint="eastAsia" w:ascii="Arial" w:hAnsi="Arial" w:cs="Arial"/>
          <w:szCs w:val="21"/>
        </w:rPr>
        <w:t>在编制施工组织设计方案中，同时编入安全、防火、文明施工技术措施，在布置施工任务时落实针对性安全技术措施，做到人员到位，措施到位。</w:t>
      </w:r>
    </w:p>
    <w:p>
      <w:pPr>
        <w:spacing w:line="360" w:lineRule="auto"/>
        <w:rPr>
          <w:rFonts w:hint="eastAsia" w:ascii="Arial" w:hAnsi="Arial" w:cs="Arial"/>
          <w:b/>
          <w:bCs/>
          <w:szCs w:val="21"/>
        </w:rPr>
      </w:pPr>
      <w:r>
        <w:rPr>
          <w:rFonts w:hint="eastAsia" w:ascii="Arial" w:hAnsi="Arial" w:cs="Arial"/>
          <w:b/>
          <w:bCs/>
          <w:szCs w:val="21"/>
        </w:rPr>
        <w:t>4、严格制度</w:t>
      </w:r>
    </w:p>
    <w:p>
      <w:pPr>
        <w:spacing w:line="360" w:lineRule="auto"/>
        <w:ind w:firstLine="420" w:firstLineChars="200"/>
        <w:rPr>
          <w:rFonts w:hint="eastAsia" w:ascii="Arial" w:hAnsi="Arial" w:cs="Arial"/>
          <w:szCs w:val="21"/>
        </w:rPr>
      </w:pPr>
      <w:r>
        <w:rPr>
          <w:rFonts w:hint="eastAsia" w:ascii="Arial" w:hAnsi="Arial" w:cs="Arial"/>
          <w:szCs w:val="21"/>
        </w:rPr>
        <w:t>二种作业审批制度（动火、高空）。</w:t>
      </w:r>
    </w:p>
    <w:p>
      <w:pPr>
        <w:spacing w:line="360" w:lineRule="auto"/>
        <w:ind w:firstLine="420" w:firstLineChars="200"/>
        <w:rPr>
          <w:rFonts w:hint="eastAsia" w:ascii="Arial" w:hAnsi="Arial" w:cs="Arial"/>
          <w:szCs w:val="21"/>
        </w:rPr>
      </w:pPr>
      <w:r>
        <w:rPr>
          <w:rFonts w:hint="eastAsia" w:ascii="Arial" w:hAnsi="Arial" w:cs="Arial"/>
          <w:szCs w:val="21"/>
        </w:rPr>
        <w:t>安全用电制度。</w:t>
      </w:r>
    </w:p>
    <w:p>
      <w:pPr>
        <w:spacing w:line="360" w:lineRule="auto"/>
        <w:ind w:firstLine="420" w:firstLineChars="200"/>
        <w:rPr>
          <w:rFonts w:hint="eastAsia" w:ascii="Arial" w:hAnsi="Arial" w:cs="Arial"/>
          <w:szCs w:val="21"/>
        </w:rPr>
      </w:pPr>
      <w:r>
        <w:rPr>
          <w:rFonts w:hint="eastAsia" w:ascii="Arial" w:hAnsi="Arial" w:cs="Arial"/>
          <w:szCs w:val="21"/>
        </w:rPr>
        <w:t>危险物品储存使用制度。</w:t>
      </w:r>
    </w:p>
    <w:p>
      <w:pPr>
        <w:spacing w:line="360" w:lineRule="auto"/>
        <w:ind w:firstLine="420" w:firstLineChars="200"/>
        <w:rPr>
          <w:rFonts w:hint="eastAsia" w:ascii="Arial" w:hAnsi="Arial" w:cs="Arial"/>
          <w:szCs w:val="21"/>
        </w:rPr>
      </w:pPr>
      <w:r>
        <w:rPr>
          <w:rFonts w:hint="eastAsia" w:ascii="Arial" w:hAnsi="Arial" w:cs="Arial"/>
          <w:szCs w:val="21"/>
        </w:rPr>
        <w:t>工种安全技术操作规程。</w:t>
      </w:r>
    </w:p>
    <w:p>
      <w:pPr>
        <w:spacing w:line="360" w:lineRule="auto"/>
        <w:ind w:firstLine="420" w:firstLineChars="200"/>
        <w:rPr>
          <w:rFonts w:hint="eastAsia" w:ascii="Arial" w:hAnsi="Arial" w:cs="Arial"/>
          <w:szCs w:val="21"/>
        </w:rPr>
      </w:pPr>
      <w:r>
        <w:rPr>
          <w:rFonts w:hint="eastAsia" w:ascii="Arial" w:hAnsi="Arial" w:cs="Arial"/>
          <w:szCs w:val="21"/>
        </w:rPr>
        <w:t>业主要求的相关安全、防火、文明施工规定和要求。</w:t>
      </w:r>
    </w:p>
    <w:p>
      <w:pPr>
        <w:spacing w:line="360" w:lineRule="auto"/>
        <w:rPr>
          <w:rFonts w:hint="eastAsia" w:ascii="Arial" w:hAnsi="Arial" w:cs="Arial"/>
          <w:b/>
          <w:bCs/>
          <w:szCs w:val="21"/>
        </w:rPr>
      </w:pPr>
      <w:r>
        <w:rPr>
          <w:rFonts w:hint="eastAsia" w:ascii="Arial" w:hAnsi="Arial" w:cs="Arial"/>
          <w:b/>
          <w:bCs/>
          <w:szCs w:val="21"/>
        </w:rPr>
        <w:t>5、重点防范</w:t>
      </w:r>
    </w:p>
    <w:p>
      <w:pPr>
        <w:spacing w:line="360" w:lineRule="auto"/>
        <w:ind w:firstLine="420" w:firstLineChars="200"/>
        <w:rPr>
          <w:rFonts w:hint="eastAsia" w:ascii="Arial" w:hAnsi="Arial" w:cs="Arial"/>
          <w:szCs w:val="21"/>
        </w:rPr>
      </w:pPr>
      <w:r>
        <w:rPr>
          <w:rFonts w:hint="eastAsia" w:ascii="Arial" w:hAnsi="Arial" w:cs="Arial"/>
          <w:szCs w:val="21"/>
        </w:rPr>
        <w:t>施工现场重点抓“高处坠落，火灾爆炸，电伤害”三种恶性事故的预防，做到层层落实，层层把关，杜绝事故苗子的发生。</w:t>
      </w:r>
    </w:p>
    <w:p>
      <w:pPr>
        <w:spacing w:line="360" w:lineRule="auto"/>
        <w:rPr>
          <w:rFonts w:hint="eastAsia" w:ascii="Arial" w:hAnsi="Arial" w:cs="Arial"/>
          <w:b/>
          <w:bCs/>
          <w:szCs w:val="21"/>
        </w:rPr>
      </w:pPr>
      <w:r>
        <w:rPr>
          <w:rFonts w:hint="eastAsia" w:ascii="Arial" w:hAnsi="Arial" w:cs="Arial"/>
          <w:b/>
          <w:bCs/>
          <w:szCs w:val="21"/>
        </w:rPr>
        <w:t>6、宣传教育</w:t>
      </w:r>
    </w:p>
    <w:p>
      <w:pPr>
        <w:spacing w:line="360" w:lineRule="auto"/>
        <w:ind w:firstLine="420" w:firstLineChars="200"/>
        <w:rPr>
          <w:rFonts w:hint="eastAsia" w:ascii="Arial" w:hAnsi="Arial" w:cs="Arial"/>
          <w:szCs w:val="21"/>
        </w:rPr>
      </w:pPr>
      <w:r>
        <w:rPr>
          <w:rFonts w:hint="eastAsia" w:ascii="Arial" w:hAnsi="Arial" w:cs="Arial"/>
          <w:szCs w:val="21"/>
        </w:rPr>
        <w:t>施工现场设置各种警令标志，增强安全防火、文明施工的气氛，开展正常的安全、防火教育。现场明确分块包干，各负其责，管好各自的场所，做到工完料尽场地清。施工垃圾袋装化并堆放在甲方指定的地点。</w:t>
      </w:r>
    </w:p>
    <w:p>
      <w:pPr>
        <w:spacing w:line="400" w:lineRule="exact"/>
        <w:rPr>
          <w:rFonts w:hint="eastAsia" w:ascii="Arial" w:hAnsi="Arial" w:cs="Arial"/>
          <w:b/>
          <w:bCs/>
          <w:szCs w:val="21"/>
        </w:rPr>
      </w:pPr>
      <w:r>
        <w:rPr>
          <w:rFonts w:hint="eastAsia" w:ascii="Arial" w:hAnsi="Arial" w:cs="Arial"/>
          <w:b/>
          <w:bCs/>
          <w:szCs w:val="21"/>
        </w:rPr>
        <w:t>7、关心职工</w:t>
      </w:r>
    </w:p>
    <w:p>
      <w:pPr>
        <w:spacing w:line="400" w:lineRule="exact"/>
        <w:ind w:firstLine="420" w:firstLineChars="200"/>
        <w:rPr>
          <w:rFonts w:hint="eastAsia" w:ascii="Arial" w:hAnsi="Arial" w:cs="Arial"/>
          <w:szCs w:val="21"/>
        </w:rPr>
      </w:pPr>
      <w:r>
        <w:rPr>
          <w:rFonts w:hint="eastAsia" w:ascii="Arial" w:hAnsi="Arial" w:cs="Arial"/>
          <w:szCs w:val="21"/>
        </w:rPr>
        <w:t>项目经理部把关心人的工作列为安全、防火、文明施工工作内容，一是尽可能改善职工的现场劳动条件，二是做好季节性保护工作，三是做好人身保险工作。</w:t>
      </w:r>
    </w:p>
    <w:p>
      <w:pPr>
        <w:pStyle w:val="5"/>
        <w:spacing w:line="400" w:lineRule="exact"/>
        <w:jc w:val="both"/>
        <w:rPr>
          <w:rFonts w:hint="eastAsia" w:ascii="黑体"/>
          <w:sz w:val="21"/>
          <w:szCs w:val="21"/>
        </w:rPr>
      </w:pPr>
      <w:bookmarkStart w:id="86" w:name="_Toc91062506"/>
      <w:bookmarkStart w:id="87" w:name="_Toc93118971"/>
      <w:bookmarkStart w:id="88" w:name="_Toc122259377"/>
      <w:bookmarkStart w:id="89" w:name="_Toc242860596"/>
      <w:bookmarkStart w:id="90" w:name="_Toc361990777"/>
      <w:r>
        <w:rPr>
          <w:rFonts w:hint="eastAsia" w:ascii="黑体"/>
          <w:sz w:val="21"/>
          <w:szCs w:val="21"/>
        </w:rPr>
        <w:t>6.2、具体实施措施</w:t>
      </w:r>
      <w:bookmarkEnd w:id="86"/>
      <w:bookmarkEnd w:id="87"/>
      <w:bookmarkEnd w:id="88"/>
      <w:bookmarkEnd w:id="89"/>
      <w:bookmarkEnd w:id="90"/>
    </w:p>
    <w:p>
      <w:pPr>
        <w:spacing w:line="400" w:lineRule="exact"/>
        <w:rPr>
          <w:rFonts w:hint="eastAsia" w:ascii="Arial" w:hAnsi="Arial" w:cs="Arial"/>
          <w:szCs w:val="21"/>
        </w:rPr>
      </w:pPr>
      <w:r>
        <w:rPr>
          <w:rFonts w:hint="eastAsia" w:ascii="Arial" w:hAnsi="Arial" w:cs="Arial"/>
          <w:szCs w:val="21"/>
        </w:rPr>
        <w:t>1、安全管理目标，杜绝重大安全事故，减少轻伤事故，轻伤事故概率控制在0.002以内。</w:t>
      </w:r>
    </w:p>
    <w:p>
      <w:pPr>
        <w:spacing w:line="400" w:lineRule="exact"/>
        <w:rPr>
          <w:rFonts w:hint="eastAsia" w:ascii="Arial" w:hAnsi="Arial" w:cs="Arial"/>
          <w:szCs w:val="21"/>
        </w:rPr>
      </w:pPr>
      <w:r>
        <w:rPr>
          <w:rFonts w:hint="eastAsia" w:ascii="Arial" w:hAnsi="Arial" w:cs="Arial"/>
          <w:szCs w:val="21"/>
        </w:rPr>
        <w:t>2、建立项目安全保护体系，各队配有专职安全员，负责现场安全施工检查，对安全违章现象，实行经济处罚或责令停工。</w:t>
      </w:r>
    </w:p>
    <w:p>
      <w:pPr>
        <w:numPr>
          <w:ilvl w:val="0"/>
          <w:numId w:val="2"/>
        </w:numPr>
        <w:spacing w:line="400" w:lineRule="exact"/>
        <w:rPr>
          <w:rFonts w:hint="eastAsia" w:ascii="Arial" w:hAnsi="Arial" w:cs="Arial"/>
          <w:szCs w:val="21"/>
        </w:rPr>
      </w:pPr>
      <w:r>
        <w:rPr>
          <w:rFonts w:hint="eastAsia" w:ascii="Arial" w:hAnsi="Arial" w:cs="Arial"/>
          <w:szCs w:val="21"/>
        </w:rPr>
        <w:t>贯彻“安全第一，预防为主，防治结合”的方针，搞好安全生产教育。施工前做好入场教育，在施工中坚持日常教育，把安全施工活动在全员、全过程、全工作日的过程中体现出来。</w:t>
      </w:r>
    </w:p>
    <w:p>
      <w:pPr>
        <w:numPr>
          <w:ilvl w:val="0"/>
          <w:numId w:val="2"/>
        </w:numPr>
        <w:spacing w:line="400" w:lineRule="exact"/>
        <w:rPr>
          <w:rFonts w:hint="eastAsia" w:ascii="Arial" w:hAnsi="Arial" w:cs="Arial"/>
          <w:szCs w:val="21"/>
        </w:rPr>
      </w:pPr>
      <w:r>
        <w:rPr>
          <w:rFonts w:hint="eastAsia" w:ascii="Arial" w:hAnsi="Arial" w:cs="Arial"/>
          <w:szCs w:val="21"/>
        </w:rPr>
        <w:t>为了保证工程顺利进行，各部门人员要严格遵守如下规定：</w:t>
      </w:r>
    </w:p>
    <w:p>
      <w:pPr>
        <w:spacing w:line="400" w:lineRule="exact"/>
        <w:ind w:firstLine="210" w:firstLineChars="100"/>
        <w:rPr>
          <w:rFonts w:hint="eastAsia" w:ascii="Arial" w:hAnsi="Arial" w:cs="Arial"/>
          <w:szCs w:val="21"/>
        </w:rPr>
      </w:pPr>
      <w:r>
        <w:rPr>
          <w:rFonts w:hint="eastAsia" w:ascii="Arial" w:hAnsi="Arial" w:cs="Arial"/>
          <w:szCs w:val="21"/>
        </w:rPr>
        <w:t>（1）遵纪守法，服从指挥，服从安排，不做有损公司声誉及利益的事。</w:t>
      </w:r>
    </w:p>
    <w:p>
      <w:pPr>
        <w:spacing w:line="400" w:lineRule="exact"/>
        <w:rPr>
          <w:rFonts w:hint="eastAsia" w:ascii="Arial" w:hAnsi="Arial" w:cs="Arial"/>
          <w:szCs w:val="21"/>
        </w:rPr>
      </w:pPr>
      <w:r>
        <w:rPr>
          <w:rFonts w:hint="eastAsia" w:ascii="Arial" w:hAnsi="Arial" w:cs="Arial"/>
          <w:szCs w:val="21"/>
        </w:rPr>
        <w:t xml:space="preserve">  （2）进入施工现场需佩戴工作证。</w:t>
      </w:r>
    </w:p>
    <w:p>
      <w:pPr>
        <w:spacing w:line="400" w:lineRule="exact"/>
        <w:rPr>
          <w:rFonts w:hint="eastAsia" w:ascii="Arial" w:hAnsi="Arial" w:cs="Arial"/>
          <w:szCs w:val="21"/>
        </w:rPr>
      </w:pPr>
      <w:r>
        <w:rPr>
          <w:rFonts w:hint="eastAsia" w:ascii="Arial" w:hAnsi="Arial" w:cs="Arial"/>
          <w:szCs w:val="21"/>
        </w:rPr>
        <w:t xml:space="preserve">  （3）除专设吸烟区外，施工现场严禁吸烟，施工中严禁酗酒。</w:t>
      </w:r>
    </w:p>
    <w:p>
      <w:pPr>
        <w:spacing w:line="400" w:lineRule="exact"/>
        <w:ind w:firstLine="210" w:firstLineChars="100"/>
        <w:rPr>
          <w:rFonts w:hint="eastAsia" w:ascii="Arial" w:hAnsi="Arial" w:cs="Arial"/>
          <w:szCs w:val="21"/>
        </w:rPr>
      </w:pPr>
      <w:r>
        <w:rPr>
          <w:rFonts w:hint="eastAsia" w:ascii="Arial" w:hAnsi="Arial" w:cs="Arial"/>
          <w:szCs w:val="21"/>
        </w:rPr>
        <w:t>（4）安全生产，电动工具要由专人操作及保养。</w:t>
      </w:r>
    </w:p>
    <w:p>
      <w:pPr>
        <w:spacing w:line="400" w:lineRule="exact"/>
        <w:rPr>
          <w:rFonts w:hint="eastAsia" w:ascii="Arial" w:hAnsi="Arial" w:cs="Arial"/>
          <w:szCs w:val="21"/>
        </w:rPr>
      </w:pPr>
      <w:r>
        <w:rPr>
          <w:rFonts w:hint="eastAsia" w:ascii="Arial" w:hAnsi="Arial" w:cs="Arial"/>
          <w:szCs w:val="21"/>
        </w:rPr>
        <w:t xml:space="preserve">  （5）安全用电，未经许可或指定，不得乱搭乱接电线电器。</w:t>
      </w:r>
    </w:p>
    <w:p>
      <w:pPr>
        <w:spacing w:line="400" w:lineRule="exact"/>
        <w:rPr>
          <w:rFonts w:hint="eastAsia" w:ascii="Arial" w:hAnsi="Arial" w:cs="Arial"/>
          <w:szCs w:val="21"/>
        </w:rPr>
      </w:pPr>
      <w:r>
        <w:rPr>
          <w:rFonts w:hint="eastAsia" w:ascii="Arial" w:hAnsi="Arial" w:cs="Arial"/>
          <w:szCs w:val="21"/>
        </w:rPr>
        <w:t xml:space="preserve">  （6）节约用料，爱护工具，精心保护工程成果。</w:t>
      </w:r>
    </w:p>
    <w:p>
      <w:pPr>
        <w:spacing w:line="400" w:lineRule="exact"/>
        <w:ind w:firstLine="210" w:firstLineChars="100"/>
        <w:rPr>
          <w:rFonts w:hint="eastAsia" w:ascii="Arial" w:hAnsi="Arial" w:cs="Arial"/>
          <w:szCs w:val="21"/>
        </w:rPr>
      </w:pPr>
      <w:r>
        <w:rPr>
          <w:rFonts w:hint="eastAsia" w:ascii="Arial" w:hAnsi="Arial" w:cs="Arial"/>
          <w:szCs w:val="21"/>
        </w:rPr>
        <w:t>（7）文明施工，保持环境整洁，不得随地大小便及乱扔垃圾。</w:t>
      </w:r>
    </w:p>
    <w:p>
      <w:pPr>
        <w:spacing w:line="400" w:lineRule="exact"/>
        <w:rPr>
          <w:rFonts w:hint="eastAsia" w:ascii="Arial" w:hAnsi="Arial" w:cs="Arial"/>
          <w:szCs w:val="21"/>
        </w:rPr>
      </w:pPr>
      <w:r>
        <w:rPr>
          <w:rFonts w:hint="eastAsia" w:ascii="Arial" w:hAnsi="Arial" w:cs="Arial"/>
          <w:szCs w:val="21"/>
        </w:rPr>
        <w:t xml:space="preserve">  （8）不准打架，吵架，要互相关心，助人为乐。</w:t>
      </w:r>
    </w:p>
    <w:p>
      <w:pPr>
        <w:spacing w:line="400" w:lineRule="exact"/>
        <w:rPr>
          <w:rFonts w:hint="eastAsia" w:ascii="Arial" w:hAnsi="Arial" w:cs="Arial"/>
          <w:szCs w:val="21"/>
        </w:rPr>
      </w:pPr>
      <w:r>
        <w:rPr>
          <w:rFonts w:hint="eastAsia" w:ascii="Arial" w:hAnsi="Arial" w:cs="Arial"/>
          <w:szCs w:val="21"/>
        </w:rPr>
        <w:t xml:space="preserve">  （9）遵守宿舍作息制度，不得影响他人休息，不准留宿非本工程人员，不准赌博。</w:t>
      </w:r>
    </w:p>
    <w:p>
      <w:pPr>
        <w:spacing w:line="400" w:lineRule="exact"/>
        <w:ind w:left="859" w:leftChars="109" w:hanging="630" w:hangingChars="300"/>
        <w:rPr>
          <w:rFonts w:hint="eastAsia" w:ascii="Arial" w:hAnsi="Arial" w:cs="Arial"/>
          <w:szCs w:val="21"/>
        </w:rPr>
      </w:pPr>
      <w:r>
        <w:rPr>
          <w:rFonts w:hint="eastAsia" w:ascii="Arial" w:hAnsi="Arial" w:cs="Arial"/>
          <w:szCs w:val="21"/>
        </w:rPr>
        <w:t>（10）进入现场的施工人员一律配戴安全帽，高空作业人员系好安全带，对特殊工程人员一定要持证上岗，用好劳动防护用品。</w:t>
      </w:r>
    </w:p>
    <w:p>
      <w:pPr>
        <w:numPr>
          <w:ilvl w:val="0"/>
          <w:numId w:val="5"/>
        </w:numPr>
        <w:spacing w:line="400" w:lineRule="exact"/>
        <w:rPr>
          <w:rFonts w:hint="eastAsia" w:ascii="Arial" w:hAnsi="Arial" w:cs="Arial"/>
          <w:szCs w:val="21"/>
        </w:rPr>
      </w:pPr>
      <w:r>
        <w:rPr>
          <w:rFonts w:hint="eastAsia" w:ascii="Arial" w:hAnsi="Arial" w:cs="Arial"/>
          <w:szCs w:val="21"/>
        </w:rPr>
        <w:t xml:space="preserve"> 格执行有关安全生产制度，坚持做到交任务必须交安全措施和要求，对安全关键部  </w:t>
      </w:r>
    </w:p>
    <w:p>
      <w:pPr>
        <w:spacing w:line="400" w:lineRule="exact"/>
        <w:ind w:firstLine="457" w:firstLineChars="218"/>
        <w:rPr>
          <w:rFonts w:hint="eastAsia" w:ascii="Arial" w:hAnsi="Arial" w:cs="Arial"/>
          <w:szCs w:val="21"/>
        </w:rPr>
      </w:pPr>
      <w:r>
        <w:rPr>
          <w:rFonts w:hint="eastAsia" w:ascii="Arial" w:hAnsi="Arial" w:cs="Arial"/>
          <w:szCs w:val="21"/>
        </w:rPr>
        <w:t>位进行经常性的安全检查，及时排除不安全因素。</w:t>
      </w:r>
    </w:p>
    <w:p>
      <w:pPr>
        <w:numPr>
          <w:ilvl w:val="0"/>
          <w:numId w:val="5"/>
        </w:numPr>
        <w:spacing w:line="400" w:lineRule="exact"/>
        <w:rPr>
          <w:rFonts w:hint="eastAsia" w:ascii="Arial" w:hAnsi="Arial" w:cs="Arial"/>
          <w:szCs w:val="21"/>
        </w:rPr>
      </w:pPr>
      <w:r>
        <w:rPr>
          <w:rFonts w:hint="eastAsia" w:ascii="Arial" w:hAnsi="Arial" w:cs="Arial"/>
          <w:szCs w:val="21"/>
        </w:rPr>
        <w:t xml:space="preserve"> 各种电器闸箱要安装漏电保护装置，并经常检查完好程序，发现隐患及时处理。</w:t>
      </w:r>
    </w:p>
    <w:p>
      <w:pPr>
        <w:numPr>
          <w:ilvl w:val="0"/>
          <w:numId w:val="5"/>
        </w:numPr>
        <w:spacing w:line="400" w:lineRule="exact"/>
        <w:rPr>
          <w:rFonts w:hint="eastAsia" w:ascii="Arial" w:hAnsi="Arial" w:cs="Arial"/>
          <w:szCs w:val="21"/>
        </w:rPr>
      </w:pPr>
      <w:r>
        <w:rPr>
          <w:rFonts w:hint="eastAsia" w:ascii="Arial" w:hAnsi="Arial" w:cs="Arial"/>
          <w:szCs w:val="21"/>
        </w:rPr>
        <w:t xml:space="preserve"> 施工过程中要抓好文明施工。施工垃圾及时清运，做到工完场清，既要保护好自己的成品和半成品，也不要损坏、污染土建成品和半成品，做好成品保护工作。</w:t>
      </w:r>
    </w:p>
    <w:p>
      <w:pPr>
        <w:pStyle w:val="4"/>
        <w:rPr>
          <w:rFonts w:hint="eastAsia" w:ascii="黑体" w:hAnsi="黑体" w:eastAsia="黑体"/>
          <w:b w:val="0"/>
          <w:bCs w:val="0"/>
          <w:sz w:val="24"/>
          <w:szCs w:val="24"/>
        </w:rPr>
      </w:pPr>
      <w:bookmarkStart w:id="91" w:name="_Toc361990778"/>
      <w:bookmarkStart w:id="92" w:name="_Toc242860597"/>
      <w:r>
        <w:rPr>
          <w:rFonts w:hint="eastAsia" w:ascii="黑体" w:hAnsi="黑体" w:eastAsia="黑体"/>
          <w:b w:val="0"/>
          <w:bCs w:val="0"/>
          <w:sz w:val="24"/>
          <w:szCs w:val="24"/>
        </w:rPr>
        <w:t>7、确保文明施工的技术组织措施</w:t>
      </w:r>
      <w:bookmarkEnd w:id="91"/>
      <w:bookmarkEnd w:id="92"/>
    </w:p>
    <w:p>
      <w:pPr>
        <w:pStyle w:val="12"/>
        <w:spacing w:line="360" w:lineRule="auto"/>
        <w:ind w:firstLine="420" w:firstLineChars="200"/>
        <w:rPr>
          <w:rFonts w:hint="eastAsia" w:hAnsi="宋体"/>
        </w:rPr>
      </w:pPr>
      <w:r>
        <w:rPr>
          <w:rFonts w:hint="eastAsia" w:hAnsi="宋体"/>
        </w:rPr>
        <w:t>为实现消防系统工程施工现场的文明、环保施工，贯彻"强化管理、落实责任、严肃法规、消灭违章"的要求，要求进入现场的施工队伍均应按照标准化工地的要求来进行。严格按照</w:t>
      </w:r>
      <w:r>
        <w:rPr>
          <w:rFonts w:hint="eastAsia" w:ascii="Arial" w:hAnsi="Arial" w:cs="Arial"/>
        </w:rPr>
        <w:t>ISO14001</w:t>
      </w:r>
      <w:r>
        <w:rPr>
          <w:rFonts w:hint="eastAsia" w:hAnsi="宋体"/>
        </w:rPr>
        <w:t>环境质量标准进行施工。</w:t>
      </w:r>
    </w:p>
    <w:p>
      <w:pPr>
        <w:pStyle w:val="12"/>
        <w:spacing w:line="360" w:lineRule="auto"/>
        <w:rPr>
          <w:rFonts w:hint="eastAsia" w:hAnsi="宋体"/>
          <w:b/>
          <w:bCs/>
        </w:rPr>
      </w:pPr>
      <w:r>
        <w:rPr>
          <w:rFonts w:hint="eastAsia" w:hAnsi="宋体"/>
          <w:b/>
          <w:bCs/>
        </w:rPr>
        <w:t>组织措施 ：</w:t>
      </w:r>
    </w:p>
    <w:p>
      <w:pPr>
        <w:pStyle w:val="12"/>
        <w:numPr>
          <w:ilvl w:val="0"/>
          <w:numId w:val="6"/>
        </w:numPr>
        <w:spacing w:line="360" w:lineRule="auto"/>
        <w:rPr>
          <w:rFonts w:hint="eastAsia" w:ascii="Arial" w:hAnsi="Arial" w:cs="Arial"/>
        </w:rPr>
      </w:pPr>
      <w:r>
        <w:rPr>
          <w:rFonts w:hint="eastAsia" w:ascii="Arial" w:hAnsi="Arial" w:cs="Arial"/>
        </w:rPr>
        <w:t xml:space="preserve">工人员必须遵守业主制定的有关施工现场管理制度。 </w:t>
      </w:r>
    </w:p>
    <w:p>
      <w:pPr>
        <w:pStyle w:val="12"/>
        <w:numPr>
          <w:ilvl w:val="0"/>
          <w:numId w:val="6"/>
        </w:numPr>
        <w:tabs>
          <w:tab w:val="left" w:pos="420"/>
        </w:tabs>
        <w:spacing w:line="360" w:lineRule="auto"/>
        <w:rPr>
          <w:rFonts w:hint="eastAsia" w:ascii="Arial" w:hAnsi="Arial" w:cs="Arial"/>
        </w:rPr>
      </w:pPr>
      <w:r>
        <w:rPr>
          <w:rFonts w:hint="eastAsia" w:ascii="Arial" w:hAnsi="Arial" w:cs="Arial"/>
        </w:rPr>
        <w:t>进入施工现场的有关人员（含施工人员、管理人员、技术人员）必须带好安全帽，佩带工作卡。</w:t>
      </w:r>
    </w:p>
    <w:p>
      <w:pPr>
        <w:pStyle w:val="12"/>
        <w:numPr>
          <w:ilvl w:val="0"/>
          <w:numId w:val="6"/>
        </w:numPr>
        <w:spacing w:line="360" w:lineRule="auto"/>
        <w:rPr>
          <w:rFonts w:hint="eastAsia" w:ascii="Arial" w:hAnsi="Arial" w:cs="Arial"/>
        </w:rPr>
      </w:pPr>
      <w:r>
        <w:rPr>
          <w:rFonts w:hint="eastAsia" w:ascii="Arial" w:hAnsi="Arial" w:cs="Arial"/>
        </w:rPr>
        <w:t>注意施工现场环境卫生，严禁在施工现场吸烟和用火，勿随地吐痰。</w:t>
      </w:r>
    </w:p>
    <w:p>
      <w:pPr>
        <w:pStyle w:val="12"/>
        <w:numPr>
          <w:ilvl w:val="0"/>
          <w:numId w:val="6"/>
        </w:numPr>
        <w:spacing w:line="360" w:lineRule="auto"/>
        <w:rPr>
          <w:rFonts w:hint="eastAsia" w:ascii="Arial" w:hAnsi="Arial" w:cs="Arial"/>
        </w:rPr>
      </w:pPr>
      <w:r>
        <w:rPr>
          <w:rFonts w:hint="eastAsia" w:ascii="Arial" w:hAnsi="Arial" w:cs="Arial"/>
        </w:rPr>
        <w:t>施工现场必须按照业主确定的平面布置图规划，机具设备、材料应按照制定地点安装或堆放，材料要有分类立卡，按手续领取；</w:t>
      </w:r>
    </w:p>
    <w:p>
      <w:pPr>
        <w:pStyle w:val="12"/>
        <w:numPr>
          <w:ilvl w:val="0"/>
          <w:numId w:val="6"/>
        </w:numPr>
        <w:spacing w:line="360" w:lineRule="auto"/>
        <w:rPr>
          <w:rFonts w:hint="eastAsia" w:ascii="Arial" w:hAnsi="Arial" w:cs="Arial"/>
        </w:rPr>
      </w:pPr>
      <w:r>
        <w:rPr>
          <w:rFonts w:hint="eastAsia" w:ascii="Arial" w:hAnsi="Arial" w:cs="Arial"/>
        </w:rPr>
        <w:t>施工中的废弃物要及时打扫，干一层清一层，做到活完场清，保持现场整齐、清洁、道路畅通；</w:t>
      </w:r>
    </w:p>
    <w:p>
      <w:pPr>
        <w:pStyle w:val="12"/>
        <w:spacing w:line="360" w:lineRule="auto"/>
        <w:ind w:left="180"/>
        <w:rPr>
          <w:rFonts w:hint="eastAsia" w:ascii="Arial" w:hAnsi="Arial" w:cs="Arial"/>
        </w:rPr>
      </w:pPr>
      <w:r>
        <w:rPr>
          <w:rFonts w:hint="eastAsia" w:ascii="Arial" w:hAnsi="Arial" w:cs="Arial"/>
        </w:rPr>
        <w:t xml:space="preserve">6、所有施工人员进入施工现场须自觉遵守现场管理有关部门规定，遵守各项规章制度，穿戴整齐，正确使用各种劳动保护用品，工作中要团结协作，互相帮助； </w:t>
      </w:r>
    </w:p>
    <w:p>
      <w:pPr>
        <w:pStyle w:val="12"/>
        <w:spacing w:line="360" w:lineRule="auto"/>
        <w:ind w:left="180"/>
        <w:rPr>
          <w:rFonts w:hint="eastAsia" w:ascii="Arial" w:hAnsi="Arial" w:cs="Arial"/>
        </w:rPr>
      </w:pPr>
      <w:r>
        <w:rPr>
          <w:rFonts w:hint="eastAsia" w:ascii="Arial" w:hAnsi="Arial" w:cs="Arial"/>
        </w:rPr>
        <w:t>7、施工现场要有严格的分片包干和个人岗位责任制；</w:t>
      </w:r>
    </w:p>
    <w:p>
      <w:pPr>
        <w:pStyle w:val="12"/>
        <w:spacing w:line="360" w:lineRule="auto"/>
        <w:ind w:left="180"/>
        <w:rPr>
          <w:rFonts w:hint="eastAsia" w:ascii="Arial" w:hAnsi="Arial" w:cs="Arial"/>
        </w:rPr>
      </w:pPr>
      <w:r>
        <w:rPr>
          <w:rFonts w:hint="eastAsia" w:ascii="Arial" w:hAnsi="Arial" w:cs="Arial"/>
        </w:rPr>
        <w:t>8、施工人员在工地期间不许打架、喝酒、泡工等；</w:t>
      </w:r>
    </w:p>
    <w:p>
      <w:pPr>
        <w:pStyle w:val="12"/>
        <w:spacing w:line="360" w:lineRule="auto"/>
        <w:ind w:left="180"/>
        <w:rPr>
          <w:rFonts w:hint="eastAsia" w:ascii="Arial" w:hAnsi="Arial" w:cs="Arial"/>
        </w:rPr>
      </w:pPr>
      <w:r>
        <w:rPr>
          <w:rFonts w:hint="eastAsia" w:ascii="Arial" w:hAnsi="Arial" w:cs="Arial"/>
        </w:rPr>
        <w:t>9、现场办公室要经常保持清洁、空气清爽，图纸、餐具、衣物等应整齐有序。</w:t>
      </w:r>
    </w:p>
    <w:p>
      <w:pPr>
        <w:pStyle w:val="12"/>
        <w:spacing w:line="360" w:lineRule="auto"/>
        <w:ind w:left="435" w:leftChars="57" w:hanging="315" w:hangingChars="150"/>
        <w:rPr>
          <w:rFonts w:hint="eastAsia" w:ascii="Arial" w:hAnsi="Arial" w:cs="Arial"/>
        </w:rPr>
      </w:pPr>
      <w:r>
        <w:rPr>
          <w:rFonts w:hint="eastAsia" w:ascii="Arial" w:hAnsi="Arial" w:cs="Arial"/>
        </w:rPr>
        <w:t>10、项目经理负责施工场地文明卫生检查和督促工作，并按文明施工技术组织措施对施工人员进行考核。</w:t>
      </w:r>
    </w:p>
    <w:p>
      <w:pPr>
        <w:pStyle w:val="4"/>
        <w:spacing w:line="200" w:lineRule="exact"/>
        <w:rPr>
          <w:rFonts w:hint="eastAsia" w:ascii="黑体" w:hAnsi="黑体" w:eastAsia="黑体"/>
          <w:b w:val="0"/>
          <w:bCs w:val="0"/>
          <w:sz w:val="24"/>
          <w:szCs w:val="24"/>
        </w:rPr>
      </w:pPr>
      <w:bookmarkStart w:id="93" w:name="_Toc242860598"/>
      <w:bookmarkStart w:id="94" w:name="_Toc361990779"/>
      <w:r>
        <w:rPr>
          <w:rFonts w:hint="eastAsia" w:ascii="黑体" w:hAnsi="黑体" w:eastAsia="黑体"/>
          <w:b w:val="0"/>
          <w:bCs w:val="0"/>
          <w:sz w:val="24"/>
          <w:szCs w:val="24"/>
        </w:rPr>
        <w:t>8、确保工程进度的技术组织措施</w:t>
      </w:r>
      <w:bookmarkEnd w:id="93"/>
      <w:bookmarkEnd w:id="94"/>
    </w:p>
    <w:p>
      <w:pPr>
        <w:snapToGrid w:val="0"/>
        <w:spacing w:line="480" w:lineRule="auto"/>
        <w:ind w:firstLine="420" w:firstLineChars="200"/>
        <w:rPr>
          <w:rFonts w:hint="eastAsia" w:ascii="Arial" w:hAnsi="Arial" w:cs="Arial"/>
          <w:szCs w:val="21"/>
        </w:rPr>
      </w:pPr>
      <w:r>
        <w:rPr>
          <w:rFonts w:hint="eastAsia" w:ascii="Arial" w:hAnsi="Arial" w:cs="Arial"/>
          <w:szCs w:val="21"/>
        </w:rPr>
        <w:t>着手工程开工前的所有准备工作，并在开工令下达后既正式展开施工作业，各阶段施工作业内容及所需工期、进度如下：</w:t>
      </w:r>
    </w:p>
    <w:p>
      <w:pPr>
        <w:snapToGrid w:val="0"/>
        <w:spacing w:line="480" w:lineRule="auto"/>
        <w:ind w:left="105" w:hanging="105" w:hangingChars="50"/>
        <w:rPr>
          <w:rFonts w:hint="eastAsia" w:ascii="Arial" w:hAnsi="Arial" w:cs="Arial"/>
          <w:szCs w:val="21"/>
        </w:rPr>
      </w:pPr>
      <w:r>
        <w:rPr>
          <w:rFonts w:hint="eastAsia" w:ascii="Arial" w:hAnsi="Arial" w:cs="Arial"/>
          <w:szCs w:val="21"/>
        </w:rPr>
        <w:t>1</w:t>
      </w:r>
      <w:r>
        <w:rPr>
          <w:rFonts w:hint="eastAsia" w:ascii="Arial" w:hAnsi="Arial" w:cs="Arial"/>
          <w:b/>
          <w:bCs/>
          <w:szCs w:val="21"/>
        </w:rPr>
        <w:t>、施工前准备工作</w:t>
      </w:r>
      <w:r>
        <w:rPr>
          <w:rFonts w:ascii="Arial" w:hAnsi="Arial" w:cs="Arial"/>
          <w:szCs w:val="21"/>
          <w:shd w:val="pct10" w:color="auto" w:fill="FFFFFF"/>
        </w:rPr>
        <w:br w:type="textWrapping"/>
      </w:r>
      <w:r>
        <w:rPr>
          <w:rFonts w:hint="eastAsia" w:ascii="Arial" w:hAnsi="Arial" w:cs="Arial"/>
          <w:szCs w:val="21"/>
        </w:rPr>
        <w:t>A）全面熟悉施工图纸及有关工程技术资料，与施工人员进行技术交底；</w:t>
      </w:r>
    </w:p>
    <w:p>
      <w:pPr>
        <w:snapToGrid w:val="0"/>
        <w:spacing w:line="480" w:lineRule="auto"/>
        <w:ind w:left="105" w:hanging="105" w:hangingChars="50"/>
        <w:rPr>
          <w:rFonts w:hint="eastAsia" w:ascii="Arial" w:hAnsi="Arial" w:cs="Arial"/>
          <w:szCs w:val="21"/>
        </w:rPr>
      </w:pPr>
      <w:r>
        <w:rPr>
          <w:rFonts w:ascii="Arial" w:hAnsi="Arial" w:cs="Arial"/>
          <w:szCs w:val="21"/>
        </w:rPr>
        <w:t xml:space="preserve"> B）</w:t>
      </w:r>
      <w:r>
        <w:rPr>
          <w:rFonts w:hint="eastAsia" w:ascii="Arial" w:hAnsi="Arial" w:cs="Arial"/>
          <w:szCs w:val="21"/>
        </w:rPr>
        <w:t>全面检查所有施工工具，并进行彻底维护保养一次；</w:t>
      </w:r>
      <w:r>
        <w:rPr>
          <w:rFonts w:ascii="Arial" w:hAnsi="Arial" w:cs="Arial"/>
          <w:szCs w:val="21"/>
        </w:rPr>
        <w:br w:type="textWrapping"/>
      </w:r>
      <w:r>
        <w:rPr>
          <w:rFonts w:ascii="Arial" w:hAnsi="Arial" w:cs="Arial"/>
          <w:szCs w:val="21"/>
        </w:rPr>
        <w:t>C）</w:t>
      </w:r>
      <w:r>
        <w:rPr>
          <w:rFonts w:hint="eastAsia" w:ascii="Arial" w:hAnsi="Arial" w:cs="Arial"/>
          <w:szCs w:val="21"/>
        </w:rPr>
        <w:t>完成施工临时设施的建设，施工用水用电搭设到位；</w:t>
      </w:r>
    </w:p>
    <w:p>
      <w:pPr>
        <w:snapToGrid w:val="0"/>
        <w:spacing w:line="480" w:lineRule="auto"/>
        <w:ind w:firstLine="105" w:firstLineChars="50"/>
        <w:rPr>
          <w:rFonts w:hint="eastAsia" w:ascii="Arial" w:hAnsi="Arial" w:cs="Arial"/>
          <w:szCs w:val="21"/>
        </w:rPr>
      </w:pPr>
      <w:r>
        <w:rPr>
          <w:rFonts w:ascii="Arial" w:hAnsi="Arial" w:cs="Arial"/>
          <w:szCs w:val="21"/>
        </w:rPr>
        <w:t>D）</w:t>
      </w:r>
      <w:r>
        <w:rPr>
          <w:rFonts w:hint="eastAsia" w:ascii="Arial" w:hAnsi="Arial" w:cs="Arial"/>
          <w:szCs w:val="21"/>
        </w:rPr>
        <w:t>完成施工组织设计的编制并报监理单位审批；</w:t>
      </w:r>
    </w:p>
    <w:p>
      <w:pPr>
        <w:snapToGrid w:val="0"/>
        <w:spacing w:line="480" w:lineRule="auto"/>
        <w:ind w:left="120" w:leftChars="57"/>
        <w:rPr>
          <w:rFonts w:hint="eastAsia" w:ascii="Arial" w:hAnsi="Arial" w:cs="Arial"/>
          <w:szCs w:val="21"/>
        </w:rPr>
      </w:pPr>
      <w:r>
        <w:rPr>
          <w:rFonts w:ascii="Arial" w:hAnsi="Arial" w:cs="Arial"/>
          <w:szCs w:val="21"/>
        </w:rPr>
        <w:t>E</w:t>
      </w:r>
      <w:r>
        <w:rPr>
          <w:rFonts w:hint="eastAsia" w:ascii="Arial" w:hAnsi="Arial" w:cs="Arial"/>
          <w:szCs w:val="21"/>
        </w:rPr>
        <w:t>）完成主材料、配件及设备的进场采购计划编制并报业主；</w:t>
      </w:r>
      <w:r>
        <w:rPr>
          <w:rFonts w:ascii="Arial" w:hAnsi="Arial" w:cs="Arial"/>
          <w:szCs w:val="21"/>
        </w:rPr>
        <w:br w:type="textWrapping"/>
      </w:r>
      <w:r>
        <w:rPr>
          <w:rFonts w:hint="eastAsia" w:ascii="Arial" w:hAnsi="Arial" w:cs="Arial"/>
          <w:szCs w:val="21"/>
        </w:rPr>
        <w:t>F</w:t>
      </w:r>
      <w:r>
        <w:rPr>
          <w:rFonts w:ascii="Arial" w:hAnsi="Arial" w:cs="Arial"/>
          <w:szCs w:val="21"/>
        </w:rPr>
        <w:t>）</w:t>
      </w:r>
      <w:r>
        <w:rPr>
          <w:rFonts w:hint="eastAsia" w:ascii="Arial" w:hAnsi="Arial" w:cs="Arial"/>
          <w:szCs w:val="21"/>
        </w:rPr>
        <w:t>完成施工力量的组织工作；</w:t>
      </w:r>
    </w:p>
    <w:p>
      <w:pPr>
        <w:snapToGrid w:val="0"/>
        <w:spacing w:line="480" w:lineRule="auto"/>
        <w:ind w:left="435" w:leftChars="57" w:hanging="315" w:hangingChars="150"/>
        <w:rPr>
          <w:rFonts w:hint="eastAsia" w:ascii="Arial" w:hAnsi="Arial" w:cs="Arial"/>
          <w:szCs w:val="21"/>
        </w:rPr>
      </w:pPr>
      <w:r>
        <w:rPr>
          <w:rFonts w:hint="eastAsia" w:ascii="Arial" w:hAnsi="Arial" w:cs="Arial"/>
          <w:szCs w:val="21"/>
        </w:rPr>
        <w:t>G）编制开工报告，完成开工前的条件审查，接受建设单位下达的开工令。</w:t>
      </w:r>
    </w:p>
    <w:p>
      <w:pPr>
        <w:numPr>
          <w:ilvl w:val="0"/>
          <w:numId w:val="7"/>
        </w:numPr>
        <w:snapToGrid w:val="0"/>
        <w:spacing w:line="480" w:lineRule="auto"/>
        <w:rPr>
          <w:rFonts w:ascii="Arial" w:hAnsi="Arial" w:cs="Arial"/>
          <w:b/>
          <w:bCs/>
          <w:szCs w:val="21"/>
        </w:rPr>
      </w:pPr>
      <w:r>
        <w:rPr>
          <w:rFonts w:hint="eastAsia" w:ascii="Arial" w:hAnsi="Arial" w:cs="Arial"/>
          <w:b/>
          <w:bCs/>
          <w:szCs w:val="21"/>
        </w:rPr>
        <w:t>施工实施阶段</w:t>
      </w:r>
    </w:p>
    <w:p>
      <w:pPr>
        <w:snapToGrid w:val="0"/>
        <w:spacing w:line="480" w:lineRule="auto"/>
        <w:rPr>
          <w:rFonts w:hint="eastAsia" w:ascii="Arial" w:hAnsi="Arial" w:cs="Arial"/>
          <w:szCs w:val="21"/>
        </w:rPr>
      </w:pPr>
      <w:r>
        <w:rPr>
          <w:rFonts w:ascii="Arial" w:hAnsi="Arial" w:cs="Arial"/>
          <w:szCs w:val="21"/>
        </w:rPr>
        <w:t>A）</w:t>
      </w:r>
      <w:r>
        <w:rPr>
          <w:rFonts w:hint="eastAsia" w:ascii="Arial" w:hAnsi="Arial" w:cs="Arial"/>
          <w:szCs w:val="21"/>
        </w:rPr>
        <w:t>完成土建单位预埋管路、箱盒的检查、疏通、校正、接收工作；</w:t>
      </w:r>
    </w:p>
    <w:p>
      <w:pPr>
        <w:snapToGrid w:val="0"/>
        <w:spacing w:line="480" w:lineRule="auto"/>
        <w:rPr>
          <w:rFonts w:hint="eastAsia" w:ascii="Arial" w:hAnsi="Arial" w:cs="Arial"/>
          <w:szCs w:val="21"/>
        </w:rPr>
      </w:pPr>
      <w:r>
        <w:rPr>
          <w:rFonts w:hint="eastAsia" w:ascii="Arial" w:hAnsi="Arial" w:cs="Arial"/>
          <w:szCs w:val="21"/>
        </w:rPr>
        <w:t>B）完成管道系统管路走向的测量、放线、定位；</w:t>
      </w:r>
    </w:p>
    <w:p>
      <w:pPr>
        <w:snapToGrid w:val="0"/>
        <w:spacing w:line="480" w:lineRule="auto"/>
        <w:rPr>
          <w:rFonts w:hint="eastAsia" w:ascii="Arial" w:hAnsi="Arial" w:cs="Arial"/>
          <w:szCs w:val="21"/>
        </w:rPr>
      </w:pPr>
      <w:r>
        <w:rPr>
          <w:rFonts w:hint="eastAsia" w:ascii="Arial" w:hAnsi="Arial" w:cs="Arial"/>
          <w:szCs w:val="21"/>
        </w:rPr>
        <w:t>C）完成管道穿墙体、楼板和穿梁孔洞开挖、疏通、准备工作；</w:t>
      </w:r>
      <w:r>
        <w:rPr>
          <w:rFonts w:ascii="Arial" w:hAnsi="Arial" w:cs="Arial"/>
          <w:szCs w:val="21"/>
        </w:rPr>
        <w:br w:type="textWrapping"/>
      </w:r>
      <w:r>
        <w:rPr>
          <w:rFonts w:hint="eastAsia" w:ascii="Arial" w:hAnsi="Arial" w:cs="Arial"/>
          <w:szCs w:val="21"/>
        </w:rPr>
        <w:t>D</w:t>
      </w:r>
      <w:r>
        <w:rPr>
          <w:rFonts w:ascii="Arial" w:hAnsi="Arial" w:cs="Arial"/>
          <w:szCs w:val="21"/>
        </w:rPr>
        <w:t>）</w:t>
      </w:r>
      <w:r>
        <w:rPr>
          <w:rFonts w:hint="eastAsia" w:ascii="Arial" w:hAnsi="Arial" w:cs="Arial"/>
          <w:szCs w:val="21"/>
        </w:rPr>
        <w:t>完成管道支吊架的制作安装工作；</w:t>
      </w:r>
      <w:r>
        <w:rPr>
          <w:rFonts w:ascii="Arial" w:hAnsi="Arial" w:cs="Arial"/>
          <w:szCs w:val="21"/>
        </w:rPr>
        <w:br w:type="textWrapping"/>
      </w:r>
      <w:r>
        <w:rPr>
          <w:rFonts w:hint="eastAsia" w:ascii="Arial" w:hAnsi="Arial" w:cs="Arial"/>
          <w:szCs w:val="21"/>
        </w:rPr>
        <w:t>E</w:t>
      </w:r>
      <w:r>
        <w:rPr>
          <w:rFonts w:ascii="Arial" w:hAnsi="Arial" w:cs="Arial"/>
          <w:szCs w:val="21"/>
        </w:rPr>
        <w:t>）</w:t>
      </w:r>
      <w:r>
        <w:rPr>
          <w:rFonts w:hint="eastAsia" w:ascii="Arial" w:hAnsi="Arial" w:cs="Arial"/>
          <w:szCs w:val="21"/>
        </w:rPr>
        <w:t>支吊架的防腐、刷油；</w:t>
      </w:r>
    </w:p>
    <w:p>
      <w:pPr>
        <w:snapToGrid w:val="0"/>
        <w:spacing w:line="480" w:lineRule="auto"/>
        <w:rPr>
          <w:rFonts w:hint="eastAsia" w:ascii="Arial" w:hAnsi="Arial" w:cs="Arial"/>
          <w:szCs w:val="21"/>
        </w:rPr>
      </w:pPr>
      <w:r>
        <w:rPr>
          <w:rFonts w:hint="eastAsia" w:ascii="Arial" w:hAnsi="Arial" w:cs="Arial"/>
          <w:szCs w:val="21"/>
        </w:rPr>
        <w:t>F）完成系统管道的安装、试压、冲洗工作；</w:t>
      </w:r>
    </w:p>
    <w:p>
      <w:pPr>
        <w:snapToGrid w:val="0"/>
        <w:spacing w:line="480" w:lineRule="auto"/>
        <w:rPr>
          <w:rFonts w:hint="eastAsia" w:ascii="Arial" w:hAnsi="Arial" w:cs="Arial"/>
          <w:szCs w:val="21"/>
        </w:rPr>
      </w:pPr>
      <w:r>
        <w:rPr>
          <w:rFonts w:hint="eastAsia" w:ascii="Arial" w:hAnsi="Arial" w:cs="Arial"/>
          <w:szCs w:val="21"/>
        </w:rPr>
        <w:t>G）完成所有管道的检验测试工作；</w:t>
      </w:r>
    </w:p>
    <w:p>
      <w:pPr>
        <w:snapToGrid w:val="0"/>
        <w:spacing w:line="480" w:lineRule="auto"/>
        <w:rPr>
          <w:rFonts w:hint="eastAsia" w:ascii="Arial" w:hAnsi="Arial" w:cs="Arial"/>
          <w:szCs w:val="21"/>
        </w:rPr>
      </w:pPr>
      <w:r>
        <w:rPr>
          <w:rFonts w:hint="eastAsia" w:ascii="Arial" w:hAnsi="Arial" w:cs="Arial"/>
          <w:szCs w:val="21"/>
        </w:rPr>
        <w:t>H）管道的防腐、刷油、保温；</w:t>
      </w:r>
    </w:p>
    <w:p>
      <w:pPr>
        <w:snapToGrid w:val="0"/>
        <w:spacing w:line="480" w:lineRule="auto"/>
        <w:rPr>
          <w:rFonts w:hint="eastAsia" w:ascii="Arial" w:hAnsi="Arial" w:cs="Arial"/>
          <w:szCs w:val="21"/>
        </w:rPr>
      </w:pPr>
      <w:r>
        <w:rPr>
          <w:rFonts w:hint="eastAsia" w:ascii="Arial" w:hAnsi="Arial" w:cs="Arial"/>
          <w:szCs w:val="21"/>
        </w:rPr>
        <w:t>I）完成系统管内、桥架内、弱电井内的配线工作；</w:t>
      </w:r>
    </w:p>
    <w:p>
      <w:pPr>
        <w:snapToGrid w:val="0"/>
        <w:spacing w:line="480" w:lineRule="auto"/>
        <w:rPr>
          <w:rFonts w:hint="eastAsia" w:ascii="Arial" w:hAnsi="Arial" w:cs="Arial"/>
          <w:szCs w:val="21"/>
        </w:rPr>
      </w:pPr>
      <w:r>
        <w:rPr>
          <w:rFonts w:hint="eastAsia" w:ascii="Arial" w:hAnsi="Arial" w:cs="Arial"/>
          <w:szCs w:val="21"/>
        </w:rPr>
        <w:t>J）完成系统设备的安装工作；</w:t>
      </w:r>
    </w:p>
    <w:p>
      <w:pPr>
        <w:snapToGrid w:val="0"/>
        <w:spacing w:line="480" w:lineRule="auto"/>
        <w:rPr>
          <w:rFonts w:hint="eastAsia" w:ascii="Arial" w:hAnsi="Arial" w:cs="Arial"/>
          <w:szCs w:val="21"/>
        </w:rPr>
      </w:pPr>
      <w:r>
        <w:rPr>
          <w:rFonts w:hint="eastAsia" w:ascii="Arial" w:hAnsi="Arial" w:cs="Arial"/>
          <w:szCs w:val="21"/>
        </w:rPr>
        <w:t>K）完成设备的测试及成品保护。</w:t>
      </w:r>
    </w:p>
    <w:p>
      <w:pPr>
        <w:snapToGrid w:val="0"/>
        <w:spacing w:line="480" w:lineRule="auto"/>
        <w:rPr>
          <w:rFonts w:hint="eastAsia" w:ascii="Arial" w:hAnsi="Arial" w:cs="Arial"/>
          <w:b/>
          <w:bCs/>
          <w:szCs w:val="21"/>
          <w:shd w:val="pct10" w:color="auto" w:fill="FFFFFF"/>
        </w:rPr>
      </w:pPr>
      <w:r>
        <w:rPr>
          <w:rFonts w:hint="eastAsia" w:ascii="Arial" w:hAnsi="Arial" w:cs="Arial"/>
          <w:b/>
          <w:bCs/>
          <w:szCs w:val="21"/>
        </w:rPr>
        <w:t>3、工程中间验收及竣工验收阶段</w:t>
      </w:r>
    </w:p>
    <w:p>
      <w:pPr>
        <w:snapToGrid w:val="0"/>
        <w:spacing w:line="480" w:lineRule="auto"/>
        <w:rPr>
          <w:rFonts w:hint="eastAsia" w:ascii="Arial" w:hAnsi="Arial" w:cs="Arial"/>
          <w:szCs w:val="21"/>
        </w:rPr>
      </w:pPr>
      <w:r>
        <w:rPr>
          <w:rFonts w:hint="eastAsia" w:ascii="Arial" w:hAnsi="Arial" w:cs="Arial"/>
          <w:szCs w:val="21"/>
        </w:rPr>
        <w:t>A）隐蔽工程的检测验收</w:t>
      </w:r>
    </w:p>
    <w:p>
      <w:pPr>
        <w:snapToGrid w:val="0"/>
        <w:spacing w:line="480" w:lineRule="auto"/>
        <w:rPr>
          <w:rFonts w:hint="eastAsia" w:ascii="Arial" w:hAnsi="Arial" w:cs="Arial"/>
          <w:szCs w:val="21"/>
        </w:rPr>
      </w:pPr>
      <w:r>
        <w:rPr>
          <w:rFonts w:hint="eastAsia" w:ascii="Arial" w:hAnsi="Arial" w:cs="Arial"/>
          <w:szCs w:val="21"/>
        </w:rPr>
        <w:t>B）工程中间验收（包括线缆电性测试、管道压力测试、冲洗等的中间验收）</w:t>
      </w:r>
    </w:p>
    <w:p>
      <w:pPr>
        <w:snapToGrid w:val="0"/>
        <w:spacing w:line="480" w:lineRule="auto"/>
        <w:rPr>
          <w:rFonts w:hint="eastAsia" w:ascii="Arial" w:hAnsi="Arial" w:cs="Arial"/>
          <w:szCs w:val="21"/>
        </w:rPr>
      </w:pPr>
      <w:r>
        <w:rPr>
          <w:rFonts w:hint="eastAsia" w:ascii="Arial" w:hAnsi="Arial" w:cs="Arial"/>
          <w:szCs w:val="21"/>
        </w:rPr>
        <w:t>C）设备、管路系统调试。</w:t>
      </w:r>
    </w:p>
    <w:p>
      <w:pPr>
        <w:snapToGrid w:val="0"/>
        <w:spacing w:line="480" w:lineRule="auto"/>
        <w:rPr>
          <w:rFonts w:hint="eastAsia" w:ascii="Arial" w:hAnsi="Arial" w:cs="Arial"/>
          <w:szCs w:val="21"/>
        </w:rPr>
      </w:pPr>
      <w:r>
        <w:rPr>
          <w:rFonts w:hint="eastAsia" w:ascii="Arial" w:hAnsi="Arial" w:cs="Arial"/>
          <w:szCs w:val="21"/>
        </w:rPr>
        <w:t>D）单一系统调试。</w:t>
      </w:r>
    </w:p>
    <w:p>
      <w:pPr>
        <w:snapToGrid w:val="0"/>
        <w:spacing w:line="480" w:lineRule="auto"/>
        <w:rPr>
          <w:rFonts w:hint="eastAsia" w:ascii="Arial" w:hAnsi="Arial" w:cs="Arial"/>
          <w:szCs w:val="21"/>
        </w:rPr>
      </w:pPr>
      <w:r>
        <w:rPr>
          <w:rFonts w:hint="eastAsia" w:ascii="Arial" w:hAnsi="Arial" w:cs="Arial"/>
          <w:szCs w:val="21"/>
        </w:rPr>
        <w:t>E）全系统调试。</w:t>
      </w:r>
    </w:p>
    <w:p>
      <w:pPr>
        <w:snapToGrid w:val="0"/>
        <w:spacing w:line="480" w:lineRule="auto"/>
        <w:rPr>
          <w:rFonts w:hint="eastAsia" w:ascii="Arial" w:hAnsi="Arial" w:cs="Arial"/>
          <w:szCs w:val="21"/>
        </w:rPr>
      </w:pPr>
      <w:r>
        <w:rPr>
          <w:rFonts w:hint="eastAsia" w:ascii="Arial" w:hAnsi="Arial" w:cs="Arial"/>
          <w:szCs w:val="21"/>
        </w:rPr>
        <w:t>F）竣工资料整理，结算文件编制完。</w:t>
      </w:r>
    </w:p>
    <w:p>
      <w:pPr>
        <w:snapToGrid w:val="0"/>
        <w:spacing w:line="480" w:lineRule="auto"/>
        <w:rPr>
          <w:rFonts w:hint="eastAsia" w:ascii="Arial" w:hAnsi="Arial" w:cs="Arial"/>
          <w:szCs w:val="21"/>
        </w:rPr>
      </w:pPr>
      <w:r>
        <w:rPr>
          <w:rFonts w:hint="eastAsia" w:ascii="Arial" w:hAnsi="Arial" w:cs="Arial"/>
          <w:szCs w:val="21"/>
        </w:rPr>
        <w:t>G）</w:t>
      </w:r>
      <w:r>
        <w:rPr>
          <w:rFonts w:hint="eastAsia" w:ascii="宋体" w:hAnsi="宋体" w:cs="Arial"/>
          <w:szCs w:val="21"/>
        </w:rPr>
        <w:t>工程竣工验收</w:t>
      </w:r>
      <w:r>
        <w:rPr>
          <w:rFonts w:hint="eastAsia" w:ascii="Arial" w:hAnsi="Arial" w:cs="Arial"/>
          <w:szCs w:val="21"/>
        </w:rPr>
        <w:t>。</w:t>
      </w:r>
      <w:bookmarkStart w:id="95" w:name="_Toc242860599"/>
    </w:p>
    <w:bookmarkEnd w:id="95"/>
    <w:p>
      <w:pPr>
        <w:pStyle w:val="4"/>
        <w:rPr>
          <w:rFonts w:hint="eastAsia" w:ascii="黑体" w:hAnsi="黑体" w:eastAsia="黑体"/>
          <w:b w:val="0"/>
          <w:bCs w:val="0"/>
          <w:sz w:val="24"/>
          <w:szCs w:val="24"/>
        </w:rPr>
      </w:pPr>
      <w:bookmarkStart w:id="96" w:name="_Toc242860600"/>
      <w:bookmarkStart w:id="97" w:name="_Toc361990780"/>
      <w:r>
        <w:rPr>
          <w:rFonts w:hint="eastAsia" w:ascii="黑体" w:hAnsi="黑体" w:eastAsia="黑体"/>
          <w:b w:val="0"/>
          <w:bCs w:val="0"/>
          <w:sz w:val="24"/>
          <w:szCs w:val="24"/>
        </w:rPr>
        <w:t>9、减少扰民噪音、降低环境污染技术措施</w:t>
      </w:r>
      <w:bookmarkEnd w:id="96"/>
      <w:bookmarkEnd w:id="97"/>
    </w:p>
    <w:p>
      <w:pPr>
        <w:spacing w:line="600" w:lineRule="exact"/>
        <w:rPr>
          <w:rFonts w:hint="eastAsia" w:ascii="宋体" w:hAnsi="宋体"/>
          <w:szCs w:val="21"/>
        </w:rPr>
      </w:pPr>
      <w:r>
        <w:rPr>
          <w:rFonts w:hint="eastAsia" w:ascii="宋体" w:hAnsi="宋体"/>
          <w:szCs w:val="21"/>
        </w:rPr>
        <w:t>1、施工过程中尽量做到避开居民休息时间，减少对居民的生活影响，合理安排施工时间；</w:t>
      </w:r>
    </w:p>
    <w:p>
      <w:pPr>
        <w:spacing w:line="600" w:lineRule="exact"/>
        <w:rPr>
          <w:rFonts w:hint="eastAsia" w:ascii="宋体" w:hAnsi="宋体" w:cs="Arial"/>
          <w:szCs w:val="21"/>
        </w:rPr>
      </w:pPr>
      <w:r>
        <w:rPr>
          <w:rFonts w:hint="eastAsia" w:ascii="宋体" w:hAnsi="宋体" w:cs="Arial"/>
          <w:szCs w:val="21"/>
        </w:rPr>
        <w:t>2、注意施工现场环境卫生，严禁在施工现场吸烟和用火，勿随地吐痰。</w:t>
      </w:r>
    </w:p>
    <w:p>
      <w:pPr>
        <w:spacing w:line="600" w:lineRule="exact"/>
        <w:rPr>
          <w:rFonts w:hint="eastAsia" w:ascii="宋体" w:hAnsi="宋体" w:cs="Arial"/>
          <w:szCs w:val="21"/>
        </w:rPr>
      </w:pPr>
      <w:r>
        <w:rPr>
          <w:rFonts w:hint="eastAsia" w:ascii="宋体" w:hAnsi="宋体" w:cs="Arial"/>
          <w:szCs w:val="21"/>
        </w:rPr>
        <w:t>3、施工现场必须按照业主确定的平面布置图规划，机具设备、材料应按照制定地点安装或堆放，材料要有分类立卡，按手续领取；</w:t>
      </w:r>
    </w:p>
    <w:p>
      <w:pPr>
        <w:spacing w:line="600" w:lineRule="exact"/>
        <w:rPr>
          <w:rFonts w:hint="eastAsia" w:ascii="宋体" w:hAnsi="宋体" w:cs="Arial"/>
          <w:szCs w:val="21"/>
        </w:rPr>
      </w:pPr>
      <w:r>
        <w:rPr>
          <w:rFonts w:hint="eastAsia" w:ascii="宋体" w:hAnsi="宋体" w:cs="Arial"/>
          <w:szCs w:val="21"/>
        </w:rPr>
        <w:t>4、施工中的废弃物要及时打扫，干一层清一层，做到活完场清，保持现场整齐、清洁、道路畅通、尽量降低环境污染；</w:t>
      </w:r>
    </w:p>
    <w:p>
      <w:pPr>
        <w:spacing w:line="600" w:lineRule="exact"/>
        <w:rPr>
          <w:rFonts w:hint="eastAsia" w:ascii="宋体" w:hAnsi="宋体" w:cs="Arial"/>
          <w:szCs w:val="21"/>
        </w:rPr>
      </w:pPr>
      <w:r>
        <w:rPr>
          <w:rFonts w:hint="eastAsia" w:ascii="宋体" w:hAnsi="宋体" w:cs="Arial"/>
          <w:szCs w:val="21"/>
        </w:rPr>
        <w:t xml:space="preserve">5、所有施工人员进入施工现场须自觉遵守现场管理有关部门规定，遵守各项规章制度，穿戴整齐，正确使用各种劳动保护用品，工作中要团结协作，互相帮助； </w:t>
      </w:r>
      <w:bookmarkStart w:id="98" w:name="_Toc242860602"/>
    </w:p>
    <w:p>
      <w:pPr>
        <w:spacing w:line="600" w:lineRule="exact"/>
        <w:rPr>
          <w:rFonts w:hint="eastAsia" w:ascii="黑体" w:eastAsia="黑体"/>
          <w:b/>
          <w:szCs w:val="21"/>
        </w:rPr>
      </w:pPr>
    </w:p>
    <w:p>
      <w:pPr>
        <w:spacing w:line="600" w:lineRule="exact"/>
        <w:rPr>
          <w:rFonts w:hint="eastAsia" w:ascii="黑体" w:eastAsia="黑体"/>
          <w:b/>
          <w:szCs w:val="21"/>
        </w:rPr>
      </w:pPr>
    </w:p>
    <w:p>
      <w:pPr>
        <w:spacing w:line="600" w:lineRule="exact"/>
        <w:rPr>
          <w:rFonts w:hint="eastAsia" w:ascii="黑体" w:eastAsia="黑体"/>
          <w:b/>
          <w:szCs w:val="21"/>
        </w:rPr>
      </w:pPr>
    </w:p>
    <w:p>
      <w:pPr>
        <w:spacing w:line="600" w:lineRule="exact"/>
        <w:rPr>
          <w:rFonts w:hint="eastAsia" w:ascii="黑体" w:eastAsia="黑体"/>
          <w:b/>
          <w:szCs w:val="21"/>
        </w:rPr>
      </w:pPr>
    </w:p>
    <w:p>
      <w:pPr>
        <w:spacing w:line="600" w:lineRule="exact"/>
        <w:rPr>
          <w:rFonts w:hint="eastAsia" w:ascii="黑体" w:eastAsia="黑体"/>
          <w:b/>
          <w:szCs w:val="21"/>
        </w:rPr>
      </w:pPr>
    </w:p>
    <w:p>
      <w:pPr>
        <w:spacing w:line="600" w:lineRule="exact"/>
        <w:rPr>
          <w:rFonts w:hint="eastAsia" w:ascii="黑体" w:eastAsia="黑体"/>
          <w:b/>
          <w:szCs w:val="21"/>
        </w:rPr>
      </w:pPr>
    </w:p>
    <w:p>
      <w:pPr>
        <w:spacing w:line="600" w:lineRule="exact"/>
        <w:rPr>
          <w:rFonts w:hint="eastAsia" w:ascii="黑体" w:eastAsia="黑体"/>
          <w:b/>
          <w:szCs w:val="21"/>
        </w:rPr>
      </w:pPr>
    </w:p>
    <w:p>
      <w:pPr>
        <w:spacing w:line="600" w:lineRule="exact"/>
        <w:rPr>
          <w:rFonts w:hint="eastAsia" w:ascii="黑体" w:eastAsia="黑体"/>
          <w:b/>
          <w:szCs w:val="21"/>
        </w:rPr>
      </w:pPr>
    </w:p>
    <w:p>
      <w:pPr>
        <w:pStyle w:val="2"/>
        <w:rPr>
          <w:rFonts w:hint="eastAsia" w:ascii="宋体" w:hAnsi="宋体" w:cs="Arial"/>
          <w:sz w:val="32"/>
          <w:szCs w:val="32"/>
        </w:rPr>
      </w:pPr>
      <w:bookmarkStart w:id="99" w:name="_Toc361990781"/>
      <w:r>
        <w:rPr>
          <w:rFonts w:hint="eastAsia"/>
          <w:sz w:val="32"/>
          <w:szCs w:val="32"/>
        </w:rPr>
        <w:t>二、附表</w:t>
      </w:r>
      <w:bookmarkEnd w:id="98"/>
      <w:bookmarkEnd w:id="99"/>
    </w:p>
    <w:p>
      <w:pPr>
        <w:pStyle w:val="3"/>
        <w:jc w:val="center"/>
        <w:rPr>
          <w:rFonts w:hint="eastAsia"/>
          <w:b w:val="0"/>
          <w:bCs w:val="0"/>
          <w:sz w:val="28"/>
          <w:szCs w:val="28"/>
        </w:rPr>
      </w:pPr>
      <w:bookmarkStart w:id="100" w:name="_Toc242860603"/>
      <w:bookmarkStart w:id="101" w:name="_Toc361990782"/>
      <w:r>
        <w:rPr>
          <w:rFonts w:hint="eastAsia"/>
          <w:b w:val="0"/>
          <w:bCs w:val="0"/>
          <w:sz w:val="28"/>
          <w:szCs w:val="28"/>
        </w:rPr>
        <w:t>（一） 劳动力进场计划表</w:t>
      </w:r>
      <w:bookmarkEnd w:id="100"/>
      <w:bookmarkEnd w:id="101"/>
    </w:p>
    <w:p>
      <w:pPr>
        <w:rPr>
          <w:rFonts w:hint="eastAsia"/>
          <w:szCs w:val="21"/>
        </w:rPr>
      </w:pPr>
    </w:p>
    <w:tbl>
      <w:tblPr>
        <w:tblStyle w:val="22"/>
        <w:tblW w:w="8181" w:type="dxa"/>
        <w:tblInd w:w="106"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25"/>
        <w:gridCol w:w="1125"/>
        <w:gridCol w:w="812"/>
        <w:gridCol w:w="1116"/>
        <w:gridCol w:w="876"/>
        <w:gridCol w:w="1125"/>
        <w:gridCol w:w="876"/>
        <w:gridCol w:w="11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11" w:hRule="atLeast"/>
        </w:trPr>
        <w:tc>
          <w:tcPr>
            <w:tcW w:w="1125" w:type="dxa"/>
            <w:vMerge w:val="restart"/>
            <w:vAlign w:val="center"/>
          </w:tcPr>
          <w:p>
            <w:pPr>
              <w:jc w:val="center"/>
              <w:rPr>
                <w:rFonts w:hint="eastAsia" w:ascii="宋体" w:hAnsi="宋体"/>
                <w:szCs w:val="21"/>
              </w:rPr>
            </w:pPr>
            <w:r>
              <w:rPr>
                <w:rFonts w:hint="eastAsia" w:ascii="宋体" w:hAnsi="宋体"/>
                <w:szCs w:val="21"/>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-28575</wp:posOffset>
                      </wp:positionV>
                      <wp:extent cx="685800" cy="792480"/>
                      <wp:effectExtent l="3810" t="3175" r="15240" b="4445"/>
                      <wp:wrapNone/>
                      <wp:docPr id="52" name="直线 121"/>
                      <wp:cNvGraphicFramePr/>
                      <a:graphic xmlns:a="http://schemas.openxmlformats.org/drawingml/2006/main">
                        <a:graphicData uri="http://schemas.microsoft.com/office/word/2010/wordprocessingShape">
                          <wps:wsp>
                            <wps:cNvSpPr/>
                            <wps:spPr>
                              <a:xfrm>
                                <a:off x="0" y="0"/>
                                <a:ext cx="68580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3pt;margin-top:-2.25pt;height:62.4pt;width:54pt;z-index:251667456;mso-width-relative:page;mso-height-relative:page;" filled="f" stroked="t" coordsize="21600,21600" o:gfxdata="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BJakLXAAAACQEAAA8AAAAAAAAAAQAgAAAAIgAAAGRycy9kb3ducmV2LnhtbFBLAQIUABQAAAAI&#10;AIdO4kA2RXjt7gEAAOIDAAAOAAAAAAAAAAEAIAAAACYBAABkcnMvZTJvRG9jLnhtbFBLBQYAAAAA&#10;BgAGAFkBAACGBQAAAAA=&#10;">
                      <v:fill on="f" focussize="0,0"/>
                      <v:stroke color="#000000" joinstyle="round"/>
                      <v:imagedata o:title=""/>
                      <o:lock v:ext="edit" aspectratio="f"/>
                    </v:line>
                  </w:pict>
                </mc:Fallback>
              </mc:AlternateContent>
            </w:r>
            <w:r>
              <w:rPr>
                <w:rFonts w:hint="eastAsia" w:ascii="宋体" w:hAnsi="宋体"/>
                <w:szCs w:val="21"/>
              </w:rPr>
              <w:t>年月日</w:t>
            </w: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工种</w:t>
            </w:r>
          </w:p>
        </w:tc>
        <w:tc>
          <w:tcPr>
            <w:tcW w:w="7056" w:type="dxa"/>
            <w:gridSpan w:val="7"/>
            <w:vAlign w:val="center"/>
          </w:tcPr>
          <w:p>
            <w:pPr>
              <w:jc w:val="center"/>
              <w:rPr>
                <w:rFonts w:hint="eastAsia" w:ascii="宋体" w:hAnsi="宋体"/>
                <w:szCs w:val="21"/>
              </w:rPr>
            </w:pPr>
            <w:r>
              <w:rPr>
                <w:rFonts w:hint="eastAsia" w:ascii="宋体" w:hAnsi="宋体"/>
                <w:szCs w:val="21"/>
              </w:rPr>
              <w:t>按施工阶段投入劳动力情况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32" w:hRule="atLeast"/>
        </w:trPr>
        <w:tc>
          <w:tcPr>
            <w:tcW w:w="1125" w:type="dxa"/>
            <w:vMerge w:val="continue"/>
            <w:vAlign w:val="center"/>
          </w:tcPr>
          <w:p>
            <w:pPr>
              <w:jc w:val="center"/>
              <w:rPr>
                <w:rFonts w:hint="eastAsia" w:ascii="宋体" w:hAnsi="宋体"/>
                <w:szCs w:val="21"/>
              </w:rPr>
            </w:pPr>
          </w:p>
        </w:tc>
        <w:tc>
          <w:tcPr>
            <w:tcW w:w="1125" w:type="dxa"/>
            <w:vAlign w:val="center"/>
          </w:tcPr>
          <w:p>
            <w:pPr>
              <w:jc w:val="center"/>
              <w:rPr>
                <w:rFonts w:hint="eastAsia" w:ascii="宋体" w:hAnsi="宋体"/>
                <w:szCs w:val="21"/>
              </w:rPr>
            </w:pPr>
            <w:r>
              <w:rPr>
                <w:rFonts w:hint="eastAsia" w:ascii="宋体" w:hAnsi="宋体"/>
                <w:szCs w:val="21"/>
              </w:rPr>
              <w:t>线管</w:t>
            </w:r>
          </w:p>
          <w:p>
            <w:pPr>
              <w:jc w:val="center"/>
              <w:rPr>
                <w:rFonts w:hint="eastAsia" w:ascii="仿宋_GB2312" w:eastAsia="仿宋_GB2312"/>
                <w:szCs w:val="21"/>
              </w:rPr>
            </w:pPr>
            <w:r>
              <w:rPr>
                <w:rFonts w:hint="eastAsia" w:ascii="宋体" w:hAnsi="宋体"/>
                <w:szCs w:val="21"/>
              </w:rPr>
              <w:t>疏通</w:t>
            </w:r>
          </w:p>
        </w:tc>
        <w:tc>
          <w:tcPr>
            <w:tcW w:w="812" w:type="dxa"/>
            <w:vAlign w:val="center"/>
          </w:tcPr>
          <w:p>
            <w:pPr>
              <w:jc w:val="center"/>
              <w:rPr>
                <w:rFonts w:hint="eastAsia" w:ascii="宋体" w:hAnsi="宋体"/>
                <w:szCs w:val="21"/>
              </w:rPr>
            </w:pPr>
            <w:r>
              <w:rPr>
                <w:rFonts w:hint="eastAsia" w:ascii="宋体" w:hAnsi="宋体"/>
                <w:szCs w:val="21"/>
              </w:rPr>
              <w:t>布线</w:t>
            </w:r>
          </w:p>
        </w:tc>
        <w:tc>
          <w:tcPr>
            <w:tcW w:w="1116" w:type="dxa"/>
            <w:vAlign w:val="center"/>
          </w:tcPr>
          <w:p>
            <w:pPr>
              <w:jc w:val="center"/>
              <w:rPr>
                <w:rFonts w:hint="eastAsia" w:ascii="宋体" w:hAnsi="宋体"/>
                <w:szCs w:val="21"/>
              </w:rPr>
            </w:pPr>
            <w:r>
              <w:rPr>
                <w:rFonts w:hint="eastAsia" w:ascii="宋体" w:hAnsi="宋体"/>
                <w:szCs w:val="21"/>
              </w:rPr>
              <w:t>支吊架</w:t>
            </w:r>
          </w:p>
          <w:p>
            <w:pPr>
              <w:jc w:val="center"/>
              <w:rPr>
                <w:rFonts w:hint="eastAsia" w:ascii="宋体" w:hAnsi="宋体"/>
                <w:szCs w:val="21"/>
              </w:rPr>
            </w:pPr>
            <w:r>
              <w:rPr>
                <w:rFonts w:hint="eastAsia" w:ascii="宋体" w:hAnsi="宋体"/>
                <w:szCs w:val="21"/>
              </w:rPr>
              <w:t>制作</w:t>
            </w:r>
          </w:p>
        </w:tc>
        <w:tc>
          <w:tcPr>
            <w:tcW w:w="876" w:type="dxa"/>
            <w:vAlign w:val="center"/>
          </w:tcPr>
          <w:p>
            <w:pPr>
              <w:jc w:val="center"/>
              <w:rPr>
                <w:rFonts w:hint="eastAsia" w:ascii="宋体" w:hAnsi="宋体"/>
                <w:szCs w:val="21"/>
              </w:rPr>
            </w:pPr>
            <w:r>
              <w:rPr>
                <w:rFonts w:hint="eastAsia" w:ascii="宋体" w:hAnsi="宋体"/>
                <w:szCs w:val="21"/>
              </w:rPr>
              <w:t>管材</w:t>
            </w:r>
          </w:p>
          <w:p>
            <w:pPr>
              <w:jc w:val="center"/>
              <w:rPr>
                <w:rFonts w:hint="eastAsia" w:ascii="宋体" w:hAnsi="宋体"/>
                <w:szCs w:val="21"/>
              </w:rPr>
            </w:pPr>
            <w:r>
              <w:rPr>
                <w:rFonts w:hint="eastAsia" w:ascii="宋体" w:hAnsi="宋体"/>
                <w:szCs w:val="21"/>
              </w:rPr>
              <w:t>加工</w:t>
            </w:r>
          </w:p>
        </w:tc>
        <w:tc>
          <w:tcPr>
            <w:tcW w:w="1125" w:type="dxa"/>
            <w:vAlign w:val="center"/>
          </w:tcPr>
          <w:p>
            <w:pPr>
              <w:jc w:val="center"/>
              <w:rPr>
                <w:rFonts w:hint="eastAsia" w:ascii="宋体" w:hAnsi="宋体"/>
                <w:sz w:val="18"/>
                <w:szCs w:val="18"/>
              </w:rPr>
            </w:pPr>
            <w:r>
              <w:rPr>
                <w:rFonts w:hint="eastAsia" w:ascii="宋体" w:hAnsi="宋体"/>
                <w:sz w:val="18"/>
                <w:szCs w:val="18"/>
              </w:rPr>
              <w:t>钢（风）管</w:t>
            </w:r>
          </w:p>
          <w:p>
            <w:pPr>
              <w:jc w:val="center"/>
              <w:rPr>
                <w:rFonts w:hint="eastAsia" w:ascii="仿宋_GB2312" w:eastAsia="仿宋_GB2312"/>
                <w:szCs w:val="21"/>
              </w:rPr>
            </w:pPr>
            <w:r>
              <w:rPr>
                <w:rFonts w:hint="eastAsia" w:ascii="宋体" w:hAnsi="宋体"/>
                <w:sz w:val="18"/>
                <w:szCs w:val="18"/>
              </w:rPr>
              <w:t>敷设</w:t>
            </w:r>
          </w:p>
        </w:tc>
        <w:tc>
          <w:tcPr>
            <w:tcW w:w="876" w:type="dxa"/>
            <w:vAlign w:val="center"/>
          </w:tcPr>
          <w:p>
            <w:pPr>
              <w:jc w:val="center"/>
              <w:rPr>
                <w:rFonts w:hint="eastAsia" w:ascii="宋体" w:hAnsi="宋体"/>
                <w:szCs w:val="21"/>
              </w:rPr>
            </w:pPr>
            <w:r>
              <w:rPr>
                <w:rFonts w:hint="eastAsia" w:ascii="宋体" w:hAnsi="宋体"/>
                <w:szCs w:val="21"/>
              </w:rPr>
              <w:t>设备</w:t>
            </w:r>
          </w:p>
          <w:p>
            <w:pPr>
              <w:jc w:val="center"/>
              <w:rPr>
                <w:rFonts w:hint="eastAsia" w:ascii="宋体" w:hAnsi="宋体"/>
                <w:szCs w:val="21"/>
              </w:rPr>
            </w:pPr>
            <w:r>
              <w:rPr>
                <w:rFonts w:hint="eastAsia" w:ascii="宋体" w:hAnsi="宋体"/>
                <w:szCs w:val="21"/>
              </w:rPr>
              <w:t>安装</w:t>
            </w:r>
          </w:p>
        </w:tc>
        <w:tc>
          <w:tcPr>
            <w:tcW w:w="1126" w:type="dxa"/>
            <w:vAlign w:val="center"/>
          </w:tcPr>
          <w:p>
            <w:pPr>
              <w:jc w:val="center"/>
              <w:rPr>
                <w:rFonts w:hint="eastAsia" w:ascii="宋体" w:hAnsi="宋体"/>
                <w:szCs w:val="21"/>
              </w:rPr>
            </w:pPr>
            <w:r>
              <w:rPr>
                <w:rFonts w:hint="eastAsia" w:ascii="宋体" w:hAnsi="宋体"/>
                <w:szCs w:val="21"/>
              </w:rPr>
              <w:t>系统</w:t>
            </w:r>
          </w:p>
          <w:p>
            <w:pPr>
              <w:jc w:val="center"/>
              <w:rPr>
                <w:rFonts w:hint="eastAsia" w:ascii="宋体" w:hAnsi="宋体"/>
                <w:szCs w:val="21"/>
              </w:rPr>
            </w:pPr>
            <w:r>
              <w:rPr>
                <w:rFonts w:hint="eastAsia" w:ascii="宋体" w:hAnsi="宋体"/>
                <w:szCs w:val="21"/>
              </w:rPr>
              <w:t>调试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1125" w:type="dxa"/>
            <w:vAlign w:val="center"/>
          </w:tcPr>
          <w:p>
            <w:pPr>
              <w:jc w:val="center"/>
              <w:rPr>
                <w:rFonts w:hint="eastAsia" w:ascii="宋体" w:hAnsi="宋体"/>
                <w:szCs w:val="21"/>
              </w:rPr>
            </w:pPr>
            <w:r>
              <w:rPr>
                <w:rFonts w:hint="eastAsia" w:ascii="宋体" w:hAnsi="宋体"/>
                <w:szCs w:val="21"/>
              </w:rPr>
              <w:t>电工</w:t>
            </w:r>
          </w:p>
        </w:tc>
        <w:tc>
          <w:tcPr>
            <w:tcW w:w="1125" w:type="dxa"/>
            <w:vAlign w:val="center"/>
          </w:tcPr>
          <w:p>
            <w:pPr>
              <w:jc w:val="center"/>
              <w:rPr>
                <w:rFonts w:hint="eastAsia" w:ascii="仿宋_GB2312" w:hAnsi="宋体" w:eastAsia="仿宋_GB2312"/>
                <w:szCs w:val="21"/>
              </w:rPr>
            </w:pPr>
            <w:r>
              <w:rPr>
                <w:rFonts w:hint="eastAsia" w:ascii="仿宋_GB2312" w:hAnsi="宋体" w:eastAsia="仿宋_GB2312"/>
                <w:szCs w:val="21"/>
              </w:rPr>
              <w:t>2</w:t>
            </w:r>
          </w:p>
        </w:tc>
        <w:tc>
          <w:tcPr>
            <w:tcW w:w="812" w:type="dxa"/>
            <w:vAlign w:val="center"/>
          </w:tcPr>
          <w:p>
            <w:pPr>
              <w:jc w:val="center"/>
              <w:rPr>
                <w:rFonts w:hint="eastAsia" w:ascii="仿宋_GB2312" w:hAnsi="宋体" w:eastAsia="仿宋_GB2312"/>
                <w:szCs w:val="21"/>
              </w:rPr>
            </w:pPr>
            <w:r>
              <w:rPr>
                <w:rFonts w:hint="eastAsia" w:ascii="仿宋_GB2312" w:hAnsi="宋体" w:eastAsia="仿宋_GB2312"/>
                <w:szCs w:val="21"/>
              </w:rPr>
              <w:t>4</w:t>
            </w:r>
          </w:p>
        </w:tc>
        <w:tc>
          <w:tcPr>
            <w:tcW w:w="1116" w:type="dxa"/>
            <w:vAlign w:val="center"/>
          </w:tcPr>
          <w:p>
            <w:pPr>
              <w:jc w:val="center"/>
              <w:rPr>
                <w:rFonts w:hint="eastAsia" w:ascii="仿宋_GB2312" w:hAnsi="宋体" w:eastAsia="仿宋_GB2312"/>
                <w:szCs w:val="21"/>
              </w:rPr>
            </w:pPr>
            <w:r>
              <w:rPr>
                <w:rFonts w:hint="eastAsia" w:ascii="仿宋_GB2312" w:hAnsi="宋体" w:eastAsia="仿宋_GB2312"/>
                <w:szCs w:val="21"/>
              </w:rPr>
              <w:t>2</w:t>
            </w:r>
          </w:p>
        </w:tc>
        <w:tc>
          <w:tcPr>
            <w:tcW w:w="876" w:type="dxa"/>
            <w:vAlign w:val="center"/>
          </w:tcPr>
          <w:p>
            <w:pPr>
              <w:jc w:val="center"/>
              <w:rPr>
                <w:rFonts w:hint="eastAsia" w:ascii="仿宋_GB2312" w:hAnsi="宋体" w:eastAsia="仿宋_GB2312"/>
                <w:szCs w:val="21"/>
              </w:rPr>
            </w:pPr>
          </w:p>
        </w:tc>
        <w:tc>
          <w:tcPr>
            <w:tcW w:w="1125" w:type="dxa"/>
            <w:vAlign w:val="center"/>
          </w:tcPr>
          <w:p>
            <w:pPr>
              <w:jc w:val="center"/>
              <w:rPr>
                <w:rFonts w:hint="eastAsia" w:ascii="仿宋_GB2312" w:hAnsi="宋体" w:eastAsia="仿宋_GB2312"/>
                <w:szCs w:val="21"/>
              </w:rPr>
            </w:pPr>
            <w:r>
              <w:rPr>
                <w:rFonts w:hint="eastAsia" w:ascii="仿宋_GB2312" w:hAnsi="宋体" w:eastAsia="仿宋_GB2312"/>
                <w:szCs w:val="21"/>
              </w:rPr>
              <w:t>2</w:t>
            </w:r>
          </w:p>
        </w:tc>
        <w:tc>
          <w:tcPr>
            <w:tcW w:w="876" w:type="dxa"/>
            <w:vAlign w:val="center"/>
          </w:tcPr>
          <w:p>
            <w:pPr>
              <w:jc w:val="center"/>
              <w:rPr>
                <w:rFonts w:hint="eastAsia" w:ascii="仿宋_GB2312" w:hAnsi="宋体" w:eastAsia="仿宋_GB2312"/>
                <w:szCs w:val="21"/>
              </w:rPr>
            </w:pPr>
            <w:r>
              <w:rPr>
                <w:rFonts w:hint="eastAsia" w:ascii="仿宋_GB2312" w:hAnsi="宋体" w:eastAsia="仿宋_GB2312"/>
                <w:szCs w:val="21"/>
              </w:rPr>
              <w:t>6</w:t>
            </w:r>
          </w:p>
        </w:tc>
        <w:tc>
          <w:tcPr>
            <w:tcW w:w="1126" w:type="dxa"/>
            <w:vAlign w:val="center"/>
          </w:tcPr>
          <w:p>
            <w:pPr>
              <w:jc w:val="center"/>
              <w:rPr>
                <w:rFonts w:hint="eastAsia" w:ascii="仿宋_GB2312" w:hAnsi="宋体" w:eastAsia="仿宋_GB2312"/>
                <w:szCs w:val="21"/>
              </w:rPr>
            </w:pPr>
            <w:r>
              <w:rPr>
                <w:rFonts w:hint="eastAsia" w:ascii="仿宋_GB2312" w:hAnsi="宋体" w:eastAsia="仿宋_GB2312"/>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1125" w:type="dxa"/>
            <w:vAlign w:val="center"/>
          </w:tcPr>
          <w:p>
            <w:pPr>
              <w:jc w:val="center"/>
              <w:rPr>
                <w:rFonts w:hint="eastAsia" w:ascii="宋体" w:hAnsi="宋体"/>
                <w:szCs w:val="21"/>
              </w:rPr>
            </w:pPr>
            <w:r>
              <w:rPr>
                <w:rFonts w:hint="eastAsia" w:ascii="宋体" w:hAnsi="宋体"/>
                <w:szCs w:val="21"/>
              </w:rPr>
              <w:t>管工</w:t>
            </w:r>
          </w:p>
        </w:tc>
        <w:tc>
          <w:tcPr>
            <w:tcW w:w="1125" w:type="dxa"/>
            <w:vAlign w:val="center"/>
          </w:tcPr>
          <w:p>
            <w:pPr>
              <w:jc w:val="center"/>
              <w:rPr>
                <w:rFonts w:hint="eastAsia" w:ascii="仿宋_GB2312" w:hAnsi="宋体" w:eastAsia="仿宋_GB2312"/>
                <w:szCs w:val="21"/>
              </w:rPr>
            </w:pPr>
          </w:p>
        </w:tc>
        <w:tc>
          <w:tcPr>
            <w:tcW w:w="812" w:type="dxa"/>
            <w:vAlign w:val="center"/>
          </w:tcPr>
          <w:p>
            <w:pPr>
              <w:jc w:val="center"/>
              <w:rPr>
                <w:rFonts w:hint="eastAsia" w:ascii="仿宋_GB2312" w:hAnsi="宋体" w:eastAsia="仿宋_GB2312"/>
                <w:szCs w:val="21"/>
              </w:rPr>
            </w:pPr>
          </w:p>
        </w:tc>
        <w:tc>
          <w:tcPr>
            <w:tcW w:w="1116" w:type="dxa"/>
            <w:vAlign w:val="center"/>
          </w:tcPr>
          <w:p>
            <w:pPr>
              <w:jc w:val="center"/>
              <w:rPr>
                <w:rFonts w:hint="eastAsia" w:ascii="仿宋_GB2312" w:hAnsi="宋体" w:eastAsia="仿宋_GB2312"/>
                <w:szCs w:val="21"/>
              </w:rPr>
            </w:pPr>
            <w:r>
              <w:rPr>
                <w:rFonts w:hint="eastAsia" w:ascii="仿宋_GB2312" w:hAnsi="宋体" w:eastAsia="仿宋_GB2312"/>
                <w:szCs w:val="21"/>
              </w:rPr>
              <w:t>2</w:t>
            </w:r>
          </w:p>
        </w:tc>
        <w:tc>
          <w:tcPr>
            <w:tcW w:w="876" w:type="dxa"/>
            <w:vAlign w:val="center"/>
          </w:tcPr>
          <w:p>
            <w:pPr>
              <w:jc w:val="center"/>
              <w:rPr>
                <w:rFonts w:hint="eastAsia" w:ascii="仿宋_GB2312" w:hAnsi="宋体" w:eastAsia="仿宋_GB2312"/>
                <w:szCs w:val="21"/>
              </w:rPr>
            </w:pPr>
            <w:r>
              <w:rPr>
                <w:rFonts w:hint="eastAsia" w:ascii="仿宋_GB2312" w:hAnsi="宋体" w:eastAsia="仿宋_GB2312"/>
                <w:szCs w:val="21"/>
              </w:rPr>
              <w:t>4</w:t>
            </w:r>
          </w:p>
        </w:tc>
        <w:tc>
          <w:tcPr>
            <w:tcW w:w="1125" w:type="dxa"/>
            <w:vAlign w:val="center"/>
          </w:tcPr>
          <w:p>
            <w:pPr>
              <w:jc w:val="center"/>
              <w:rPr>
                <w:rFonts w:hint="eastAsia" w:ascii="仿宋_GB2312" w:hAnsi="宋体" w:eastAsia="仿宋_GB2312"/>
                <w:szCs w:val="21"/>
              </w:rPr>
            </w:pPr>
            <w:r>
              <w:rPr>
                <w:rFonts w:hint="eastAsia" w:ascii="仿宋_GB2312" w:hAnsi="宋体" w:eastAsia="仿宋_GB2312"/>
                <w:szCs w:val="21"/>
              </w:rPr>
              <w:t>7</w:t>
            </w:r>
          </w:p>
        </w:tc>
        <w:tc>
          <w:tcPr>
            <w:tcW w:w="876" w:type="dxa"/>
            <w:vAlign w:val="center"/>
          </w:tcPr>
          <w:p>
            <w:pPr>
              <w:jc w:val="center"/>
              <w:rPr>
                <w:rFonts w:hint="eastAsia" w:ascii="仿宋_GB2312" w:hAnsi="宋体" w:eastAsia="仿宋_GB2312"/>
                <w:szCs w:val="21"/>
              </w:rPr>
            </w:pPr>
          </w:p>
        </w:tc>
        <w:tc>
          <w:tcPr>
            <w:tcW w:w="1126" w:type="dxa"/>
            <w:vAlign w:val="center"/>
          </w:tcPr>
          <w:p>
            <w:pPr>
              <w:jc w:val="center"/>
              <w:rPr>
                <w:rFonts w:hint="eastAsia" w:ascii="仿宋_GB2312" w:hAnsi="宋体" w:eastAsia="仿宋_GB2312"/>
                <w:szCs w:val="21"/>
              </w:rPr>
            </w:pPr>
            <w:r>
              <w:rPr>
                <w:rFonts w:hint="eastAsia" w:ascii="仿宋_GB2312" w:hAnsi="宋体" w:eastAsia="仿宋_GB2312"/>
                <w:szCs w:val="21"/>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1125" w:type="dxa"/>
            <w:vAlign w:val="center"/>
          </w:tcPr>
          <w:p>
            <w:pPr>
              <w:jc w:val="center"/>
              <w:rPr>
                <w:rFonts w:hint="eastAsia" w:ascii="宋体" w:hAnsi="宋体"/>
                <w:szCs w:val="21"/>
              </w:rPr>
            </w:pPr>
            <w:r>
              <w:rPr>
                <w:rFonts w:hint="eastAsia" w:ascii="宋体" w:hAnsi="宋体"/>
                <w:szCs w:val="21"/>
              </w:rPr>
              <w:t>通风工</w:t>
            </w:r>
          </w:p>
        </w:tc>
        <w:tc>
          <w:tcPr>
            <w:tcW w:w="1125" w:type="dxa"/>
            <w:vAlign w:val="center"/>
          </w:tcPr>
          <w:p>
            <w:pPr>
              <w:jc w:val="center"/>
              <w:rPr>
                <w:rFonts w:hint="eastAsia" w:ascii="仿宋_GB2312" w:hAnsi="宋体" w:eastAsia="仿宋_GB2312"/>
                <w:szCs w:val="21"/>
              </w:rPr>
            </w:pPr>
          </w:p>
        </w:tc>
        <w:tc>
          <w:tcPr>
            <w:tcW w:w="812" w:type="dxa"/>
            <w:vAlign w:val="center"/>
          </w:tcPr>
          <w:p>
            <w:pPr>
              <w:jc w:val="center"/>
              <w:rPr>
                <w:rFonts w:hint="eastAsia" w:ascii="仿宋_GB2312" w:hAnsi="宋体" w:eastAsia="仿宋_GB2312"/>
                <w:szCs w:val="21"/>
              </w:rPr>
            </w:pPr>
          </w:p>
        </w:tc>
        <w:tc>
          <w:tcPr>
            <w:tcW w:w="1116" w:type="dxa"/>
            <w:vAlign w:val="center"/>
          </w:tcPr>
          <w:p>
            <w:pPr>
              <w:jc w:val="center"/>
              <w:rPr>
                <w:rFonts w:hint="eastAsia" w:ascii="仿宋_GB2312" w:hAnsi="宋体" w:eastAsia="仿宋_GB2312"/>
                <w:szCs w:val="21"/>
              </w:rPr>
            </w:pPr>
            <w:r>
              <w:rPr>
                <w:rFonts w:hint="eastAsia" w:ascii="仿宋_GB2312" w:hAnsi="宋体" w:eastAsia="仿宋_GB2312"/>
                <w:szCs w:val="21"/>
              </w:rPr>
              <w:t>1</w:t>
            </w:r>
          </w:p>
        </w:tc>
        <w:tc>
          <w:tcPr>
            <w:tcW w:w="876" w:type="dxa"/>
            <w:vAlign w:val="center"/>
          </w:tcPr>
          <w:p>
            <w:pPr>
              <w:jc w:val="center"/>
              <w:rPr>
                <w:rFonts w:hint="eastAsia" w:ascii="仿宋_GB2312" w:hAnsi="宋体" w:eastAsia="仿宋_GB2312"/>
                <w:szCs w:val="21"/>
              </w:rPr>
            </w:pPr>
            <w:r>
              <w:rPr>
                <w:rFonts w:hint="eastAsia" w:ascii="仿宋_GB2312" w:hAnsi="宋体" w:eastAsia="仿宋_GB2312"/>
                <w:szCs w:val="21"/>
              </w:rPr>
              <w:t>12</w:t>
            </w:r>
          </w:p>
        </w:tc>
        <w:tc>
          <w:tcPr>
            <w:tcW w:w="1125" w:type="dxa"/>
            <w:vAlign w:val="center"/>
          </w:tcPr>
          <w:p>
            <w:pPr>
              <w:jc w:val="center"/>
              <w:rPr>
                <w:rFonts w:hint="eastAsia" w:ascii="仿宋_GB2312" w:hAnsi="宋体" w:eastAsia="仿宋_GB2312"/>
                <w:szCs w:val="21"/>
              </w:rPr>
            </w:pPr>
            <w:r>
              <w:rPr>
                <w:rFonts w:hint="eastAsia" w:ascii="仿宋_GB2312" w:hAnsi="宋体" w:eastAsia="仿宋_GB2312"/>
                <w:szCs w:val="21"/>
              </w:rPr>
              <w:t>10</w:t>
            </w:r>
          </w:p>
        </w:tc>
        <w:tc>
          <w:tcPr>
            <w:tcW w:w="876" w:type="dxa"/>
            <w:vAlign w:val="center"/>
          </w:tcPr>
          <w:p>
            <w:pPr>
              <w:jc w:val="center"/>
              <w:rPr>
                <w:rFonts w:hint="eastAsia" w:ascii="仿宋_GB2312" w:hAnsi="宋体" w:eastAsia="仿宋_GB2312"/>
                <w:szCs w:val="21"/>
              </w:rPr>
            </w:pPr>
            <w:r>
              <w:rPr>
                <w:rFonts w:hint="eastAsia" w:ascii="仿宋_GB2312" w:hAnsi="宋体" w:eastAsia="仿宋_GB2312"/>
                <w:szCs w:val="21"/>
              </w:rPr>
              <w:t>4</w:t>
            </w:r>
          </w:p>
        </w:tc>
        <w:tc>
          <w:tcPr>
            <w:tcW w:w="1126" w:type="dxa"/>
            <w:vAlign w:val="center"/>
          </w:tcPr>
          <w:p>
            <w:pPr>
              <w:jc w:val="center"/>
              <w:rPr>
                <w:rFonts w:hint="eastAsia" w:ascii="仿宋_GB2312" w:hAnsi="宋体" w:eastAsia="仿宋_GB2312"/>
                <w:szCs w:val="21"/>
              </w:rPr>
            </w:pPr>
            <w:r>
              <w:rPr>
                <w:rFonts w:hint="eastAsia" w:ascii="仿宋_GB2312" w:hAnsi="宋体" w:eastAsia="仿宋_GB2312"/>
                <w:szCs w:val="21"/>
              </w:rPr>
              <w:t>4</w:t>
            </w:r>
          </w:p>
        </w:tc>
      </w:tr>
    </w:tbl>
    <w:p>
      <w:pPr>
        <w:rPr>
          <w:rFonts w:hint="eastAsia"/>
          <w:szCs w:val="21"/>
        </w:rPr>
      </w:pPr>
      <w:r>
        <w:rPr>
          <w:rFonts w:hint="eastAsia"/>
          <w:szCs w:val="21"/>
        </w:rPr>
        <w:t>本计划表以每班八小时工作制为基础。</w:t>
      </w:r>
    </w:p>
    <w:p>
      <w:pPr>
        <w:sectPr>
          <w:footerReference r:id="rId5" w:type="default"/>
          <w:pgSz w:w="11906" w:h="16838"/>
          <w:pgMar w:top="1440" w:right="1800" w:bottom="1440" w:left="1800" w:header="851" w:footer="992" w:gutter="0"/>
          <w:pgNumType w:start="1"/>
          <w:cols w:space="425" w:num="1"/>
          <w:docGrid w:type="lines" w:linePitch="312" w:charSpace="0"/>
        </w:sectPr>
      </w:pPr>
    </w:p>
    <w:p>
      <w:pPr>
        <w:rPr>
          <w:rFonts w:hint="eastAsia" w:ascii="Arial" w:hAnsi="Arial" w:cs="Arial"/>
          <w:b/>
          <w:bCs/>
        </w:rPr>
      </w:pPr>
      <w:r>
        <w:rPr>
          <w:rFonts w:ascii="Arial" w:hAnsi="Arial" w:cs="Arial"/>
          <w:b/>
          <w:bCs/>
          <w:sz w:val="20"/>
        </w:rPr>
        <mc:AlternateContent>
          <mc:Choice Requires="wps">
            <w:drawing>
              <wp:anchor distT="0" distB="0" distL="114300" distR="114300" simplePos="0" relativeHeight="251675648" behindDoc="0" locked="0" layoutInCell="1" allowOverlap="1">
                <wp:simplePos x="0" y="0"/>
                <wp:positionH relativeFrom="column">
                  <wp:posOffset>1866900</wp:posOffset>
                </wp:positionH>
                <wp:positionV relativeFrom="paragraph">
                  <wp:posOffset>77470</wp:posOffset>
                </wp:positionV>
                <wp:extent cx="0" cy="1195070"/>
                <wp:effectExtent l="38100" t="0" r="38100" b="5080"/>
                <wp:wrapNone/>
                <wp:docPr id="60" name="直线 130"/>
                <wp:cNvGraphicFramePr/>
                <a:graphic xmlns:a="http://schemas.openxmlformats.org/drawingml/2006/main">
                  <a:graphicData uri="http://schemas.microsoft.com/office/word/2010/wordprocessingShape">
                    <wps:wsp>
                      <wps:cNvSpPr/>
                      <wps:spPr>
                        <a:xfrm flipV="1">
                          <a:off x="0" y="0"/>
                          <a:ext cx="0" cy="119507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30" o:spid="_x0000_s1026" o:spt="20" style="position:absolute;left:0pt;flip:y;margin-left:147pt;margin-top:6.1pt;height:94.1pt;width:0pt;z-index:251675648;mso-width-relative:page;mso-height-relative:page;" filled="f" stroked="t" coordsize="21600,21600" o:gfxdata="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mDxqbVAAAACgEAAA8AAAAAAAAAAQAgAAAAIgAAAGRycy9kb3ducmV2LnhtbFBLAQIU&#10;ABQAAAAIAIdO4kAywx1y9gEAAO0DAAAOAAAAAAAAAAEAIAAAACQBAABkcnMvZTJvRG9jLnhtbFBL&#10;BQYAAAAABgAGAFkBAACMBQAAAAA=&#10;">
                <v:fill on="f" focussize="0,0"/>
                <v:stroke weight="1.5pt" color="#000000" joinstyle="round" endarrow="block"/>
                <v:imagedata o:title=""/>
                <o:lock v:ext="edit" aspectratio="f"/>
              </v:line>
            </w:pict>
          </mc:Fallback>
        </mc:AlternateContent>
      </w:r>
      <w:r>
        <w:rPr>
          <w:rFonts w:hint="eastAsia" w:ascii="Arial" w:hAnsi="Arial" w:cs="Arial"/>
          <w:b/>
          <w:bCs/>
        </w:rPr>
        <w:t xml:space="preserve">                   </w:t>
      </w:r>
    </w:p>
    <w:p>
      <w:pPr>
        <w:ind w:firstLine="3110" w:firstLineChars="1481"/>
        <w:rPr>
          <w:rFonts w:hint="eastAsia" w:ascii="黑体" w:hAnsi="Arial" w:eastAsia="黑体" w:cs="Arial"/>
          <w:b/>
          <w:bCs/>
          <w:szCs w:val="21"/>
        </w:rPr>
      </w:pPr>
      <w:r>
        <w:rPr>
          <w:rFonts w:hint="eastAsia" w:ascii="Arial" w:hAnsi="Arial" w:cs="Arial"/>
          <w:b/>
          <w:bCs/>
        </w:rPr>
        <w:t xml:space="preserve">劳动力             </w:t>
      </w:r>
      <w:r>
        <w:rPr>
          <w:rFonts w:hint="eastAsia" w:ascii="黑体" w:hAnsi="Arial" w:eastAsia="黑体" w:cs="Arial"/>
          <w:b/>
          <w:bCs/>
          <w:szCs w:val="21"/>
        </w:rPr>
        <w:t xml:space="preserve"> 工劳动力安排计划</w:t>
      </w:r>
    </w:p>
    <w:p>
      <w:pPr>
        <w:jc w:val="center"/>
        <w:rPr>
          <w:rFonts w:hint="eastAsia" w:ascii="宋体" w:hAnsi="宋体" w:cs="Arial"/>
          <w:b/>
          <w:bCs/>
          <w:sz w:val="18"/>
        </w:rPr>
      </w:pPr>
      <w:r>
        <w:rPr>
          <w:rFonts w:hint="eastAsia" w:ascii="Arial" w:hAnsi="Arial" w:cs="Arial"/>
          <w:b/>
          <w:bCs/>
        </w:rPr>
        <w:t xml:space="preserve"> </w:t>
      </w:r>
      <w:r>
        <w:rPr>
          <w:rFonts w:hint="eastAsia" w:ascii="宋体" w:hAnsi="宋体" w:cs="Arial"/>
          <w:b/>
          <w:bCs/>
        </w:rPr>
        <w:t xml:space="preserve"> </w:t>
      </w:r>
      <w:r>
        <w:rPr>
          <w:rFonts w:hint="eastAsia" w:ascii="宋体" w:hAnsi="宋体" w:cs="Arial"/>
          <w:b/>
          <w:bCs/>
          <w:sz w:val="18"/>
        </w:rPr>
        <w:t xml:space="preserve">40人 </w:t>
      </w:r>
    </w:p>
    <w:p>
      <w:pPr>
        <w:ind w:firstLine="3556" w:firstLineChars="1976"/>
        <w:rPr>
          <w:rFonts w:ascii="Arial" w:hAnsi="Arial" w:cs="Arial"/>
          <w:b/>
          <w:bCs/>
          <w:sz w:val="18"/>
        </w:rPr>
      </w:pPr>
      <w:r>
        <w:rPr>
          <w:rFonts w:ascii="Arial" w:hAnsi="Arial" w:cs="Arial"/>
          <w:b/>
          <w:bCs/>
          <w:sz w:val="18"/>
        </w:rPr>
        <mc:AlternateContent>
          <mc:Choice Requires="wps">
            <w:drawing>
              <wp:anchor distT="0" distB="0" distL="114300" distR="114300" simplePos="0" relativeHeight="251670528" behindDoc="0" locked="0" layoutInCell="1" allowOverlap="1">
                <wp:simplePos x="0" y="0"/>
                <wp:positionH relativeFrom="column">
                  <wp:posOffset>3664585</wp:posOffset>
                </wp:positionH>
                <wp:positionV relativeFrom="paragraph">
                  <wp:posOffset>77470</wp:posOffset>
                </wp:positionV>
                <wp:extent cx="0" cy="198120"/>
                <wp:effectExtent l="9525" t="0" r="9525" b="11430"/>
                <wp:wrapNone/>
                <wp:docPr id="55" name="直线 125"/>
                <wp:cNvGraphicFramePr/>
                <a:graphic xmlns:a="http://schemas.openxmlformats.org/drawingml/2006/main">
                  <a:graphicData uri="http://schemas.microsoft.com/office/word/2010/wordprocessingShape">
                    <wps:wsp>
                      <wps:cNvSpPr/>
                      <wps:spPr>
                        <a:xfrm flipV="1">
                          <a:off x="0" y="0"/>
                          <a:ext cx="0" cy="1981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flip:y;margin-left:288.55pt;margin-top:6.1pt;height:15.6pt;width:0pt;z-index:251670528;mso-width-relative:page;mso-height-relative:page;" filled="f" stroked="t" coordsize="21600,21600" o:gfxdata="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UzredUAAAAJAQAADwAAAAAAAAABACAAAAAiAAAAZHJzL2Rvd25yZXYueG1sUEsBAhQAFAAAAAgA&#10;h07iQO7SqzXvAQAA6AMAAA4AAAAAAAAAAQAgAAAAJAEAAGRycy9lMm9Eb2MueG1sUEsFBgAAAAAG&#10;AAYAWQEAAIUFAAAAAA==&#10;">
                <v:fill on="f" focussize="0,0"/>
                <v:stroke weight="1.5pt" color="#000000" joinstyle="round"/>
                <v:imagedata o:title=""/>
                <o:lock v:ext="edit" aspectratio="f"/>
              </v:line>
            </w:pict>
          </mc:Fallback>
        </mc:AlternateContent>
      </w:r>
      <w:r>
        <w:rPr>
          <w:rFonts w:ascii="Arial" w:hAnsi="Arial" w:cs="Arial"/>
          <w:b/>
          <w:bCs/>
          <w:sz w:val="18"/>
        </w:rPr>
        <mc:AlternateContent>
          <mc:Choice Requires="wps">
            <w:drawing>
              <wp:anchor distT="0" distB="0" distL="114300" distR="114300" simplePos="0" relativeHeight="251671552" behindDoc="0" locked="0" layoutInCell="1" allowOverlap="1">
                <wp:simplePos x="0" y="0"/>
                <wp:positionH relativeFrom="column">
                  <wp:posOffset>3664585</wp:posOffset>
                </wp:positionH>
                <wp:positionV relativeFrom="paragraph">
                  <wp:posOffset>77470</wp:posOffset>
                </wp:positionV>
                <wp:extent cx="2200910" cy="0"/>
                <wp:effectExtent l="0" t="9525" r="8890" b="9525"/>
                <wp:wrapNone/>
                <wp:docPr id="56" name="直线 126"/>
                <wp:cNvGraphicFramePr/>
                <a:graphic xmlns:a="http://schemas.openxmlformats.org/drawingml/2006/main">
                  <a:graphicData uri="http://schemas.microsoft.com/office/word/2010/wordprocessingShape">
                    <wps:wsp>
                      <wps:cNvSpPr/>
                      <wps:spPr>
                        <a:xfrm>
                          <a:off x="0" y="0"/>
                          <a:ext cx="220091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288.55pt;margin-top:6.1pt;height:0pt;width:173.3pt;z-index:251671552;mso-width-relative:page;mso-height-relative:page;" filled="f" stroked="t" coordsize="21600,21600" o:gfxdata="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bIRHnW&#10;AAAACQEAAA8AAAAAAAAAAQAgAAAAIgAAAGRycy9kb3ducmV2LnhtbFBLAQIUABQAAAAIAIdO4kBj&#10;DkkN6QEAAN8DAAAOAAAAAAAAAAEAIAAAACUBAABkcnMvZTJvRG9jLnhtbFBLBQYAAAAABgAGAFkB&#10;AACABQAAAAA=&#10;">
                <v:fill on="f" focussize="0,0"/>
                <v:stroke weight="1.5pt" color="#000000" joinstyle="round"/>
                <v:imagedata o:title=""/>
                <o:lock v:ext="edit" aspectratio="f"/>
              </v:line>
            </w:pict>
          </mc:Fallback>
        </mc:AlternateContent>
      </w:r>
      <w:r>
        <w:rPr>
          <w:rFonts w:ascii="Arial" w:hAnsi="Arial" w:cs="Arial"/>
          <w:b/>
          <w:bCs/>
          <w:sz w:val="18"/>
        </w:rPr>
        <mc:AlternateContent>
          <mc:Choice Requires="wps">
            <w:drawing>
              <wp:anchor distT="0" distB="0" distL="114300" distR="114300" simplePos="0" relativeHeight="251672576" behindDoc="0" locked="0" layoutInCell="1" allowOverlap="1">
                <wp:simplePos x="0" y="0"/>
                <wp:positionH relativeFrom="column">
                  <wp:posOffset>5865495</wp:posOffset>
                </wp:positionH>
                <wp:positionV relativeFrom="paragraph">
                  <wp:posOffset>77470</wp:posOffset>
                </wp:positionV>
                <wp:extent cx="0" cy="297180"/>
                <wp:effectExtent l="9525" t="0" r="9525" b="7620"/>
                <wp:wrapNone/>
                <wp:docPr id="57" name="直线 127"/>
                <wp:cNvGraphicFramePr/>
                <a:graphic xmlns:a="http://schemas.openxmlformats.org/drawingml/2006/main">
                  <a:graphicData uri="http://schemas.microsoft.com/office/word/2010/wordprocessingShape">
                    <wps:wsp>
                      <wps:cNvSpPr/>
                      <wps:spPr>
                        <a:xfrm>
                          <a:off x="0" y="0"/>
                          <a:ext cx="0" cy="29718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461.85pt;margin-top:6.1pt;height:23.4pt;width:0pt;z-index:251672576;mso-width-relative:page;mso-height-relative:page;" filled="f" stroked="t" coordsize="21600,21600" o:gfxdata="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rkYerV&#10;AAAACQEAAA8AAAAAAAAAAQAgAAAAIgAAAGRycy9kb3ducmV2LnhtbFBLAQIUABQAAAAIAIdO4kAk&#10;yynp6gEAAN4DAAAOAAAAAAAAAAEAIAAAACQBAABkcnMvZTJvRG9jLnhtbFBLBQYAAAAABgAGAFkB&#10;AACABQAAAAA=&#10;">
                <v:fill on="f" focussize="0,0"/>
                <v:stroke weight="1.5pt" color="#000000" joinstyle="round"/>
                <v:imagedata o:title=""/>
                <o:lock v:ext="edit" aspectratio="f"/>
              </v:line>
            </w:pict>
          </mc:Fallback>
        </mc:AlternateContent>
      </w:r>
      <w:r>
        <w:rPr>
          <w:rFonts w:hint="eastAsia" w:ascii="Arial" w:hAnsi="Arial" w:cs="Arial"/>
          <w:b/>
          <w:bCs/>
          <w:sz w:val="18"/>
        </w:rPr>
        <w:t xml:space="preserve">           12人                                                                       </w:t>
      </w:r>
    </w:p>
    <w:p>
      <w:pPr>
        <w:ind w:firstLine="2994" w:firstLineChars="1996"/>
        <w:rPr>
          <w:rFonts w:ascii="Arial" w:hAnsi="Arial" w:cs="Arial"/>
          <w:sz w:val="18"/>
          <w:szCs w:val="18"/>
        </w:rPr>
      </w:pPr>
      <w:r>
        <w:rPr>
          <w:rFonts w:ascii="Arial" w:hAnsi="Arial" w:cs="Arial"/>
          <w:b/>
          <w:bCs/>
          <w:sz w:val="15"/>
        </w:rPr>
        <mc:AlternateContent>
          <mc:Choice Requires="wps">
            <w:drawing>
              <wp:anchor distT="0" distB="0" distL="114300" distR="114300" simplePos="0" relativeHeight="251669504" behindDoc="0" locked="0" layoutInCell="1" allowOverlap="1">
                <wp:simplePos x="0" y="0"/>
                <wp:positionH relativeFrom="column">
                  <wp:posOffset>2200275</wp:posOffset>
                </wp:positionH>
                <wp:positionV relativeFrom="paragraph">
                  <wp:posOffset>77470</wp:posOffset>
                </wp:positionV>
                <wp:extent cx="1464310" cy="0"/>
                <wp:effectExtent l="0" t="9525" r="2540" b="9525"/>
                <wp:wrapNone/>
                <wp:docPr id="54" name="直线 124"/>
                <wp:cNvGraphicFramePr/>
                <a:graphic xmlns:a="http://schemas.openxmlformats.org/drawingml/2006/main">
                  <a:graphicData uri="http://schemas.microsoft.com/office/word/2010/wordprocessingShape">
                    <wps:wsp>
                      <wps:cNvSpPr/>
                      <wps:spPr>
                        <a:xfrm>
                          <a:off x="0" y="0"/>
                          <a:ext cx="146431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173.25pt;margin-top:6.1pt;height:0pt;width:115.3pt;z-index:251669504;mso-width-relative:page;mso-height-relative:page;" filled="f" stroked="t" coordsize="21600,21600" o:gfxdata="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8QXRnW&#10;AAAACQEAAA8AAAAAAAAAAQAgAAAAIgAAAGRycy9kb3ducmV2LnhtbFBLAQIUABQAAAAIAIdO4kCI&#10;wMm86QEAAN8DAAAOAAAAAAAAAAEAIAAAACUBAABkcnMvZTJvRG9jLnhtbFBLBQYAAAAABgAGAFkB&#10;AACABQAAAAA=&#10;">
                <v:fill on="f" focussize="0,0"/>
                <v:stroke weight="1.5pt" color="#000000" joinstyle="round"/>
                <v:imagedata o:title=""/>
                <o:lock v:ext="edit" aspectratio="f"/>
              </v:line>
            </w:pict>
          </mc:Fallback>
        </mc:AlternateContent>
      </w:r>
      <w:r>
        <w:rPr>
          <w:rFonts w:ascii="Arial" w:hAnsi="Arial" w:cs="Arial"/>
          <w:b/>
          <w:bCs/>
          <w:sz w:val="15"/>
        </w:rPr>
        <mc:AlternateContent>
          <mc:Choice Requires="wps">
            <w:drawing>
              <wp:anchor distT="0" distB="0" distL="114300" distR="114300" simplePos="0" relativeHeight="251678720" behindDoc="0" locked="0" layoutInCell="1" allowOverlap="1">
                <wp:simplePos x="0" y="0"/>
                <wp:positionH relativeFrom="column">
                  <wp:posOffset>6398895</wp:posOffset>
                </wp:positionH>
                <wp:positionV relativeFrom="paragraph">
                  <wp:posOffset>176530</wp:posOffset>
                </wp:positionV>
                <wp:extent cx="0" cy="198120"/>
                <wp:effectExtent l="9525" t="0" r="9525" b="11430"/>
                <wp:wrapNone/>
                <wp:docPr id="63" name="直线 145"/>
                <wp:cNvGraphicFramePr/>
                <a:graphic xmlns:a="http://schemas.openxmlformats.org/drawingml/2006/main">
                  <a:graphicData uri="http://schemas.microsoft.com/office/word/2010/wordprocessingShape">
                    <wps:wsp>
                      <wps:cNvSpPr/>
                      <wps:spPr>
                        <a:xfrm flipV="1">
                          <a:off x="0" y="0"/>
                          <a:ext cx="0" cy="1981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flip:y;margin-left:503.85pt;margin-top:13.9pt;height:15.6pt;width:0pt;z-index:251678720;mso-width-relative:page;mso-height-relative:page;" filled="f" stroked="t" coordsize="21600,21600" o:gfxdata="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zllH1gAAAAsBAAAPAAAAAAAAAAEAIAAAACIAAABkcnMvZG93bnJldi54bWxQSwECFAAUAAAA&#10;CACHTuJA3rhEn/ABAADoAwAADgAAAAAAAAABACAAAAAlAQAAZHJzL2Uyb0RvYy54bWxQSwUGAAAA&#10;AAYABgBZAQAAhwUAAAAA&#10;">
                <v:fill on="f" focussize="0,0"/>
                <v:stroke weight="1.5pt" color="#000000" joinstyle="round"/>
                <v:imagedata o:title=""/>
                <o:lock v:ext="edit" aspectratio="f"/>
              </v:line>
            </w:pict>
          </mc:Fallback>
        </mc:AlternateContent>
      </w:r>
      <w:r>
        <w:rPr>
          <w:rFonts w:ascii="Arial" w:hAnsi="Arial" w:cs="Arial"/>
          <w:b/>
          <w:bCs/>
          <w:sz w:val="15"/>
        </w:rPr>
        <mc:AlternateContent>
          <mc:Choice Requires="wps">
            <w:drawing>
              <wp:anchor distT="0" distB="0" distL="114300" distR="114300" simplePos="0" relativeHeight="251673600" behindDoc="0" locked="0" layoutInCell="1" allowOverlap="1">
                <wp:simplePos x="0" y="0"/>
                <wp:positionH relativeFrom="column">
                  <wp:posOffset>5865495</wp:posOffset>
                </wp:positionH>
                <wp:positionV relativeFrom="paragraph">
                  <wp:posOffset>176530</wp:posOffset>
                </wp:positionV>
                <wp:extent cx="533400" cy="0"/>
                <wp:effectExtent l="0" t="9525" r="0" b="9525"/>
                <wp:wrapNone/>
                <wp:docPr id="58" name="直线 128"/>
                <wp:cNvGraphicFramePr/>
                <a:graphic xmlns:a="http://schemas.openxmlformats.org/drawingml/2006/main">
                  <a:graphicData uri="http://schemas.microsoft.com/office/word/2010/wordprocessingShape">
                    <wps:wsp>
                      <wps:cNvSpPr/>
                      <wps:spPr>
                        <a:xfrm>
                          <a:off x="0" y="0"/>
                          <a:ext cx="533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461.85pt;margin-top:13.9pt;height:0pt;width:42pt;z-index:251673600;mso-width-relative:page;mso-height-relative:page;" filled="f" stroked="t" coordsize="21600,21600" o:gfxdata="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Zgng/W&#10;AAAACgEAAA8AAAAAAAAAAQAgAAAAIgAAAGRycy9kb3ducmV2LnhtbFBLAQIUABQAAAAIAIdO4kDC&#10;AcRQ6QEAAN4DAAAOAAAAAAAAAAEAIAAAACUBAABkcnMvZTJvRG9jLnhtbFBLBQYAAAAABgAGAFkB&#10;AACABQAAAAA=&#10;">
                <v:fill on="f" focussize="0,0"/>
                <v:stroke weight="1.5pt" color="#000000" joinstyle="round"/>
                <v:imagedata o:title=""/>
                <o:lock v:ext="edit" aspectratio="f"/>
              </v:line>
            </w:pict>
          </mc:Fallback>
        </mc:AlternateContent>
      </w:r>
      <w:r>
        <w:rPr>
          <w:rFonts w:ascii="Arial" w:hAnsi="Arial" w:cs="Arial"/>
          <w:b/>
          <w:bCs/>
          <w:sz w:val="15"/>
        </w:rPr>
        <mc:AlternateContent>
          <mc:Choice Requires="wps">
            <w:drawing>
              <wp:anchor distT="0" distB="0" distL="114300" distR="114300" simplePos="0" relativeHeight="251676672" behindDoc="0" locked="0" layoutInCell="1" allowOverlap="1">
                <wp:simplePos x="0" y="0"/>
                <wp:positionH relativeFrom="column">
                  <wp:posOffset>2200275</wp:posOffset>
                </wp:positionH>
                <wp:positionV relativeFrom="paragraph">
                  <wp:posOffset>77470</wp:posOffset>
                </wp:positionV>
                <wp:extent cx="0" cy="198120"/>
                <wp:effectExtent l="9525" t="0" r="9525" b="11430"/>
                <wp:wrapNone/>
                <wp:docPr id="61" name="直线 143"/>
                <wp:cNvGraphicFramePr/>
                <a:graphic xmlns:a="http://schemas.openxmlformats.org/drawingml/2006/main">
                  <a:graphicData uri="http://schemas.microsoft.com/office/word/2010/wordprocessingShape">
                    <wps:wsp>
                      <wps:cNvSpPr/>
                      <wps:spPr>
                        <a:xfrm>
                          <a:off x="0" y="0"/>
                          <a:ext cx="0" cy="1981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3" o:spid="_x0000_s1026" o:spt="20" style="position:absolute;left:0pt;margin-left:173.25pt;margin-top:6.1pt;height:15.6pt;width:0pt;z-index:251676672;mso-width-relative:page;mso-height-relative:page;" filled="f" stroked="t" coordsize="21600,21600" o:gfxdata="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EHsg1QAA&#10;AAkBAAAPAAAAAAAAAAEAIAAAACIAAABkcnMvZG93bnJldi54bWxQSwECFAAUAAAACACHTuJAJKUU&#10;VOgBAADeAwAADgAAAAAAAAABACAAAAAkAQAAZHJzL2Uyb0RvYy54bWxQSwUGAAAAAAYABgBZAQAA&#10;fgUAAAAA&#10;">
                <v:fill on="f" focussize="0,0"/>
                <v:stroke weight="1.5pt" color="#000000" joinstyle="round"/>
                <v:imagedata o:title=""/>
                <o:lock v:ext="edit" aspectratio="f"/>
              </v:line>
            </w:pict>
          </mc:Fallback>
        </mc:AlternateContent>
      </w:r>
      <w:r>
        <w:rPr>
          <w:rFonts w:hint="eastAsia" w:ascii="Arial" w:hAnsi="Arial" w:cs="Arial"/>
          <w:b/>
          <w:bCs/>
          <w:sz w:val="15"/>
        </w:rPr>
        <w:t xml:space="preserve"> </w:t>
      </w:r>
      <w:r>
        <w:rPr>
          <w:rFonts w:hint="eastAsia" w:ascii="Arial" w:hAnsi="Arial" w:cs="Arial"/>
          <w:b/>
          <w:bCs/>
          <w:sz w:val="18"/>
          <w:szCs w:val="18"/>
        </w:rPr>
        <w:t xml:space="preserve"> 6人                                                                     15人             </w:t>
      </w:r>
    </w:p>
    <w:p>
      <w:pPr>
        <w:tabs>
          <w:tab w:val="left" w:pos="11190"/>
        </w:tabs>
        <w:ind w:firstLine="7100" w:firstLineChars="3550"/>
        <w:jc w:val="left"/>
        <w:rPr>
          <w:rFonts w:hint="eastAsia" w:ascii="Arial" w:hAnsi="Arial" w:cs="Arial"/>
          <w:b/>
          <w:bCs/>
        </w:rPr>
      </w:pPr>
      <w:r>
        <w:rPr>
          <w:rFonts w:ascii="宋体" w:hAnsi="宋体" w:cs="Arial"/>
          <w:b/>
          <w:bCs/>
          <w:sz w:val="20"/>
        </w:rPr>
        <mc:AlternateContent>
          <mc:Choice Requires="wps">
            <w:drawing>
              <wp:anchor distT="0" distB="0" distL="114300" distR="114300" simplePos="0" relativeHeight="251674624" behindDoc="0" locked="0" layoutInCell="1" allowOverlap="1">
                <wp:simplePos x="0" y="0"/>
                <wp:positionH relativeFrom="column">
                  <wp:posOffset>7332345</wp:posOffset>
                </wp:positionH>
                <wp:positionV relativeFrom="paragraph">
                  <wp:posOffset>176530</wp:posOffset>
                </wp:positionV>
                <wp:extent cx="0" cy="123190"/>
                <wp:effectExtent l="9525" t="0" r="9525" b="10160"/>
                <wp:wrapNone/>
                <wp:docPr id="59" name="直线 129"/>
                <wp:cNvGraphicFramePr/>
                <a:graphic xmlns:a="http://schemas.openxmlformats.org/drawingml/2006/main">
                  <a:graphicData uri="http://schemas.microsoft.com/office/word/2010/wordprocessingShape">
                    <wps:wsp>
                      <wps:cNvSpPr/>
                      <wps:spPr>
                        <a:xfrm>
                          <a:off x="0" y="0"/>
                          <a:ext cx="0" cy="1231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77.35pt;margin-top:13.9pt;height:9.7pt;width:0pt;z-index:251674624;mso-width-relative:page;mso-height-relative:page;" filled="f" stroked="t" coordsize="21600,21600" o:gfxdata="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1PoUNYA&#10;AAALAQAADwAAAAAAAAABACAAAAAiAAAAZHJzL2Rvd25yZXYueG1sUEsBAhQAFAAAAAgAh07iQC4O&#10;HojoAQAA3gMAAA4AAAAAAAAAAQAgAAAAJQEAAGRycy9lMm9Eb2MueG1sUEsFBgAAAAAGAAYAWQEA&#10;AH8FAAAAAA==&#10;">
                <v:fill on="f" focussize="0,0"/>
                <v:stroke weight="1.5pt" color="#000000" joinstyle="round"/>
                <v:imagedata o:title=""/>
                <o:lock v:ext="edit" aspectratio="f"/>
              </v:line>
            </w:pict>
          </mc:Fallback>
        </mc:AlternateContent>
      </w:r>
      <w:r>
        <w:rPr>
          <w:rFonts w:ascii="宋体" w:hAnsi="宋体" w:cs="Arial"/>
          <w:b/>
          <w:bCs/>
          <w:sz w:val="20"/>
        </w:rPr>
        <mc:AlternateContent>
          <mc:Choice Requires="wps">
            <w:drawing>
              <wp:anchor distT="0" distB="0" distL="114300" distR="114300" simplePos="0" relativeHeight="251679744" behindDoc="0" locked="0" layoutInCell="1" allowOverlap="1">
                <wp:simplePos x="0" y="0"/>
                <wp:positionH relativeFrom="column">
                  <wp:posOffset>6398895</wp:posOffset>
                </wp:positionH>
                <wp:positionV relativeFrom="paragraph">
                  <wp:posOffset>176530</wp:posOffset>
                </wp:positionV>
                <wp:extent cx="933450" cy="0"/>
                <wp:effectExtent l="0" t="0" r="0" b="0"/>
                <wp:wrapNone/>
                <wp:docPr id="64" name="直线 146"/>
                <wp:cNvGraphicFramePr/>
                <a:graphic xmlns:a="http://schemas.openxmlformats.org/drawingml/2006/main">
                  <a:graphicData uri="http://schemas.microsoft.com/office/word/2010/wordprocessingShape">
                    <wps:wsp>
                      <wps:cNvSpPr/>
                      <wps:spPr>
                        <a:xfrm>
                          <a:off x="0" y="0"/>
                          <a:ext cx="9334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503.85pt;margin-top:13.9pt;height:0pt;width:73.5pt;z-index:251679744;mso-width-relative:page;mso-height-relative:page;" filled="f" stroked="t" coordsize="21600,21600" o:gfxdata="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Qtx3HW&#10;AAAACwEAAA8AAAAAAAAAAQAgAAAAIgAAAGRycy9kb3ducmV2LnhtbFBLAQIUABQAAAAIAIdO4kCp&#10;jY6f6QEAAN4DAAAOAAAAAAAAAAEAIAAAACUBAABkcnMvZTJvRG9jLnhtbFBLBQYAAAAABgAGAFkB&#10;AACABQAAAAA=&#10;">
                <v:fill on="f" focussize="0,0"/>
                <v:stroke weight="1.5pt" color="#000000" joinstyle="round"/>
                <v:imagedata o:title=""/>
                <o:lock v:ext="edit" aspectratio="f"/>
              </v:line>
            </w:pict>
          </mc:Fallback>
        </mc:AlternateContent>
      </w:r>
      <w:r>
        <w:rPr>
          <w:rFonts w:ascii="宋体" w:hAnsi="宋体"/>
          <w:sz w:val="20"/>
        </w:rPr>
        <mc:AlternateContent>
          <mc:Choice Requires="wps">
            <w:drawing>
              <wp:anchor distT="0" distB="0" distL="114300" distR="114300" simplePos="0" relativeHeight="251668480" behindDoc="0" locked="0" layoutInCell="1" allowOverlap="1">
                <wp:simplePos x="0" y="0"/>
                <wp:positionH relativeFrom="column">
                  <wp:posOffset>1826895</wp:posOffset>
                </wp:positionH>
                <wp:positionV relativeFrom="paragraph">
                  <wp:posOffset>316865</wp:posOffset>
                </wp:positionV>
                <wp:extent cx="7200900" cy="0"/>
                <wp:effectExtent l="0" t="38100" r="0" b="38100"/>
                <wp:wrapNone/>
                <wp:docPr id="53" name="直线 123"/>
                <wp:cNvGraphicFramePr/>
                <a:graphic xmlns:a="http://schemas.openxmlformats.org/drawingml/2006/main">
                  <a:graphicData uri="http://schemas.microsoft.com/office/word/2010/wordprocessingShape">
                    <wps:wsp>
                      <wps:cNvSpPr/>
                      <wps:spPr>
                        <a:xfrm>
                          <a:off x="0" y="0"/>
                          <a:ext cx="72009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23" o:spid="_x0000_s1026" o:spt="20" style="position:absolute;left:0pt;margin-left:143.85pt;margin-top:24.95pt;height:0pt;width:567pt;z-index:251668480;mso-width-relative:page;mso-height-relative:page;" filled="f" stroked="t" coordsize="21600,21600" o:gfxdata="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bH2/VAAAACgEAAA8AAAAAAAAAAQAgAAAAIgAAAGRycy9kb3ducmV2LnhtbFBLAQIUABQAAAAI&#10;AIdO4kCtll0T8AEAAOMDAAAOAAAAAAAAAAEAIAAAACQBAABkcnMvZTJvRG9jLnhtbFBLBQYAAAAA&#10;BgAGAFkBAACGBQAAAAA=&#10;">
                <v:fill on="f" focussize="0,0"/>
                <v:stroke weight="1.5pt" color="#000000" joinstyle="round" endarrow="block"/>
                <v:imagedata o:title=""/>
                <o:lock v:ext="edit" aspectratio="f"/>
              </v:line>
            </w:pict>
          </mc:Fallback>
        </mc:AlternateContent>
      </w:r>
      <w:r>
        <w:rPr>
          <w:rFonts w:ascii="宋体" w:hAnsi="宋体" w:cs="Arial"/>
          <w:b/>
          <w:bCs/>
          <w:sz w:val="20"/>
        </w:rPr>
        <mc:AlternateContent>
          <mc:Choice Requires="wps">
            <w:drawing>
              <wp:anchor distT="0" distB="0" distL="114300" distR="114300" simplePos="0" relativeHeight="251677696" behindDoc="0" locked="0" layoutInCell="1" allowOverlap="1">
                <wp:simplePos x="0" y="0"/>
                <wp:positionH relativeFrom="column">
                  <wp:posOffset>1866900</wp:posOffset>
                </wp:positionH>
                <wp:positionV relativeFrom="paragraph">
                  <wp:posOffset>77470</wp:posOffset>
                </wp:positionV>
                <wp:extent cx="333375" cy="0"/>
                <wp:effectExtent l="0" t="9525" r="9525" b="9525"/>
                <wp:wrapNone/>
                <wp:docPr id="62" name="直线 144"/>
                <wp:cNvGraphicFramePr/>
                <a:graphic xmlns:a="http://schemas.openxmlformats.org/drawingml/2006/main">
                  <a:graphicData uri="http://schemas.microsoft.com/office/word/2010/wordprocessingShape">
                    <wps:wsp>
                      <wps:cNvSpPr/>
                      <wps:spPr>
                        <a:xfrm>
                          <a:off x="0" y="0"/>
                          <a:ext cx="33337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147pt;margin-top:6.1pt;height:0pt;width:26.25pt;z-index:251677696;mso-width-relative:page;mso-height-relative:page;" filled="f" stroked="t" coordsize="21600,21600" o:gfxdata="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kAfzHW&#10;AAAACQEAAA8AAAAAAAAAAQAgAAAAIgAAAGRycy9kb3ducmV2LnhtbFBLAQIUABQAAAAIAIdO4kAj&#10;SQiG6QEAAN4DAAAOAAAAAAAAAAEAIAAAACUBAABkcnMvZTJvRG9jLnhtbFBLBQYAAAAABgAGAFkB&#10;AACABQAAAAA=&#10;">
                <v:fill on="f" focussize="0,0"/>
                <v:stroke weight="1.5pt" color="#000000" joinstyle="round"/>
                <v:imagedata o:title=""/>
                <o:lock v:ext="edit" aspectratio="f"/>
              </v:line>
            </w:pict>
          </mc:Fallback>
        </mc:AlternateContent>
      </w:r>
      <w:r>
        <w:rPr>
          <w:rFonts w:hint="eastAsia" w:ascii="宋体" w:hAnsi="宋体" w:cs="Arial"/>
          <w:b/>
          <w:bCs/>
        </w:rPr>
        <w:t xml:space="preserve">90工作日       </w:t>
      </w:r>
      <w:r>
        <w:rPr>
          <w:rFonts w:hint="eastAsia" w:ascii="Arial" w:hAnsi="Arial" w:cs="Arial"/>
          <w:b/>
          <w:bCs/>
        </w:rPr>
        <w:t xml:space="preserve">                12人</w:t>
      </w:r>
    </w:p>
    <w:p>
      <w:pPr>
        <w:sectPr>
          <w:pgSz w:w="16838" w:h="11906" w:orient="landscape"/>
          <w:pgMar w:top="1797" w:right="1440" w:bottom="1797" w:left="1440" w:header="851" w:footer="992" w:gutter="0"/>
          <w:cols w:space="425" w:num="1"/>
          <w:docGrid w:type="linesAndChars" w:linePitch="312" w:charSpace="0"/>
        </w:sectPr>
      </w:pPr>
    </w:p>
    <w:p>
      <w:pPr>
        <w:rPr>
          <w:rFonts w:hint="eastAsia"/>
        </w:rPr>
      </w:pPr>
    </w:p>
    <w:p>
      <w:pPr>
        <w:pStyle w:val="3"/>
        <w:jc w:val="center"/>
        <w:rPr>
          <w:rFonts w:hint="eastAsia"/>
          <w:b w:val="0"/>
          <w:bCs w:val="0"/>
          <w:sz w:val="28"/>
          <w:szCs w:val="28"/>
        </w:rPr>
      </w:pPr>
      <w:bookmarkStart w:id="102" w:name="_Toc242860605"/>
      <w:bookmarkStart w:id="103" w:name="_Toc361990784"/>
      <w:r>
        <w:rPr>
          <w:rFonts w:hint="eastAsia"/>
          <w:b w:val="0"/>
          <w:bCs w:val="0"/>
          <w:sz w:val="28"/>
          <w:szCs w:val="28"/>
        </w:rPr>
        <w:t>（三） 主要施工机械设备进场计划表</w:t>
      </w:r>
      <w:bookmarkEnd w:id="102"/>
      <w:bookmarkEnd w:id="103"/>
    </w:p>
    <w:tbl>
      <w:tblPr>
        <w:tblStyle w:val="22"/>
        <w:tblW w:w="9542" w:type="dxa"/>
        <w:tblInd w:w="106"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25"/>
        <w:gridCol w:w="1537"/>
        <w:gridCol w:w="1440"/>
        <w:gridCol w:w="876"/>
        <w:gridCol w:w="876"/>
        <w:gridCol w:w="1176"/>
        <w:gridCol w:w="876"/>
        <w:gridCol w:w="1007"/>
        <w:gridCol w:w="11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0" w:hRule="atLeast"/>
        </w:trPr>
        <w:tc>
          <w:tcPr>
            <w:tcW w:w="625" w:type="dxa"/>
            <w:vAlign w:val="center"/>
          </w:tcPr>
          <w:p>
            <w:pPr>
              <w:jc w:val="center"/>
              <w:rPr>
                <w:rFonts w:hint="eastAsia" w:ascii="仿宋_GB2312" w:eastAsia="仿宋_GB2312"/>
                <w:sz w:val="24"/>
              </w:rPr>
            </w:pPr>
            <w:r>
              <w:rPr>
                <w:rFonts w:hint="eastAsia" w:ascii="仿宋_GB2312" w:eastAsia="仿宋_GB2312"/>
                <w:sz w:val="24"/>
              </w:rPr>
              <w:t>序号</w:t>
            </w:r>
          </w:p>
        </w:tc>
        <w:tc>
          <w:tcPr>
            <w:tcW w:w="1537" w:type="dxa"/>
            <w:vAlign w:val="center"/>
          </w:tcPr>
          <w:p>
            <w:pPr>
              <w:jc w:val="center"/>
              <w:rPr>
                <w:rFonts w:hint="eastAsia" w:ascii="仿宋_GB2312" w:eastAsia="仿宋_GB2312"/>
                <w:sz w:val="24"/>
              </w:rPr>
            </w:pPr>
            <w:r>
              <w:rPr>
                <w:rFonts w:hint="eastAsia" w:ascii="仿宋_GB2312" w:eastAsia="仿宋_GB2312"/>
                <w:sz w:val="24"/>
              </w:rPr>
              <w:t>机械名称</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规格</w:t>
            </w:r>
          </w:p>
          <w:p>
            <w:pPr>
              <w:rPr>
                <w:rFonts w:hint="eastAsia" w:ascii="仿宋_GB2312" w:hAnsi="宋体" w:eastAsia="仿宋_GB2312"/>
                <w:sz w:val="24"/>
              </w:rPr>
            </w:pPr>
            <w:r>
              <w:rPr>
                <w:rFonts w:hint="eastAsia" w:ascii="仿宋_GB2312" w:hAnsi="宋体" w:eastAsia="仿宋_GB2312"/>
                <w:sz w:val="24"/>
              </w:rPr>
              <w:t>型号</w:t>
            </w:r>
          </w:p>
        </w:tc>
        <w:tc>
          <w:tcPr>
            <w:tcW w:w="876" w:type="dxa"/>
            <w:vAlign w:val="center"/>
          </w:tcPr>
          <w:p>
            <w:pPr>
              <w:jc w:val="center"/>
              <w:rPr>
                <w:rFonts w:hint="eastAsia" w:ascii="仿宋_GB2312" w:eastAsia="仿宋_GB2312"/>
                <w:sz w:val="24"/>
              </w:rPr>
            </w:pPr>
            <w:r>
              <w:rPr>
                <w:rFonts w:hint="eastAsia" w:ascii="仿宋_GB2312" w:eastAsia="仿宋_GB2312"/>
                <w:sz w:val="24"/>
              </w:rPr>
              <w:t>数量</w:t>
            </w:r>
          </w:p>
        </w:tc>
        <w:tc>
          <w:tcPr>
            <w:tcW w:w="876" w:type="dxa"/>
            <w:vAlign w:val="center"/>
          </w:tcPr>
          <w:p>
            <w:pPr>
              <w:jc w:val="center"/>
              <w:rPr>
                <w:rFonts w:hint="eastAsia" w:ascii="仿宋_GB2312" w:eastAsia="仿宋_GB2312"/>
                <w:sz w:val="24"/>
              </w:rPr>
            </w:pPr>
            <w:r>
              <w:rPr>
                <w:rFonts w:hint="eastAsia" w:ascii="仿宋_GB2312" w:eastAsia="仿宋_GB2312"/>
                <w:sz w:val="24"/>
              </w:rPr>
              <w:t>产地</w:t>
            </w:r>
          </w:p>
        </w:tc>
        <w:tc>
          <w:tcPr>
            <w:tcW w:w="1176" w:type="dxa"/>
            <w:vAlign w:val="center"/>
          </w:tcPr>
          <w:p>
            <w:pPr>
              <w:jc w:val="center"/>
              <w:rPr>
                <w:rFonts w:hint="eastAsia" w:ascii="仿宋_GB2312" w:eastAsia="仿宋_GB2312"/>
                <w:sz w:val="24"/>
              </w:rPr>
            </w:pPr>
            <w:r>
              <w:rPr>
                <w:rFonts w:hint="eastAsia" w:ascii="仿宋_GB2312" w:eastAsia="仿宋_GB2312"/>
                <w:sz w:val="24"/>
              </w:rPr>
              <w:t>制造</w:t>
            </w:r>
          </w:p>
          <w:p>
            <w:pPr>
              <w:jc w:val="center"/>
              <w:rPr>
                <w:rFonts w:hint="eastAsia" w:ascii="仿宋_GB2312" w:eastAsia="仿宋_GB2312"/>
                <w:sz w:val="24"/>
              </w:rPr>
            </w:pPr>
            <w:r>
              <w:rPr>
                <w:rFonts w:hint="eastAsia" w:ascii="仿宋_GB2312" w:eastAsia="仿宋_GB2312"/>
                <w:sz w:val="24"/>
              </w:rPr>
              <w:t>年份</w:t>
            </w:r>
          </w:p>
        </w:tc>
        <w:tc>
          <w:tcPr>
            <w:tcW w:w="876" w:type="dxa"/>
            <w:vAlign w:val="center"/>
          </w:tcPr>
          <w:p>
            <w:pPr>
              <w:jc w:val="center"/>
              <w:rPr>
                <w:rFonts w:hint="eastAsia" w:ascii="仿宋_GB2312" w:eastAsia="仿宋_GB2312"/>
                <w:sz w:val="24"/>
              </w:rPr>
            </w:pPr>
            <w:r>
              <w:rPr>
                <w:rFonts w:hint="eastAsia" w:ascii="仿宋_GB2312" w:eastAsia="仿宋_GB2312"/>
                <w:sz w:val="24"/>
              </w:rPr>
              <w:t>定额</w:t>
            </w:r>
          </w:p>
          <w:p>
            <w:pPr>
              <w:jc w:val="center"/>
              <w:rPr>
                <w:rFonts w:hint="eastAsia" w:ascii="仿宋_GB2312" w:eastAsia="仿宋_GB2312"/>
                <w:sz w:val="24"/>
              </w:rPr>
            </w:pPr>
            <w:r>
              <w:rPr>
                <w:rFonts w:hint="eastAsia" w:ascii="仿宋_GB2312" w:eastAsia="仿宋_GB2312"/>
                <w:sz w:val="24"/>
              </w:rPr>
              <w:t>功率</w:t>
            </w:r>
          </w:p>
        </w:tc>
        <w:tc>
          <w:tcPr>
            <w:tcW w:w="1007" w:type="dxa"/>
            <w:vAlign w:val="center"/>
          </w:tcPr>
          <w:p>
            <w:pPr>
              <w:jc w:val="center"/>
              <w:rPr>
                <w:rFonts w:hint="eastAsia" w:ascii="仿宋_GB2312" w:eastAsia="仿宋_GB2312"/>
                <w:sz w:val="24"/>
              </w:rPr>
            </w:pPr>
            <w:r>
              <w:rPr>
                <w:rFonts w:hint="eastAsia" w:ascii="仿宋_GB2312" w:eastAsia="仿宋_GB2312"/>
                <w:sz w:val="24"/>
              </w:rPr>
              <w:t>生产</w:t>
            </w:r>
          </w:p>
          <w:p>
            <w:pPr>
              <w:jc w:val="center"/>
              <w:rPr>
                <w:rFonts w:hint="eastAsia" w:ascii="仿宋_GB2312" w:eastAsia="仿宋_GB2312"/>
                <w:sz w:val="24"/>
              </w:rPr>
            </w:pPr>
            <w:r>
              <w:rPr>
                <w:rFonts w:hint="eastAsia" w:ascii="仿宋_GB2312" w:eastAsia="仿宋_GB2312"/>
                <w:sz w:val="24"/>
              </w:rPr>
              <w:t>能力</w:t>
            </w:r>
          </w:p>
        </w:tc>
        <w:tc>
          <w:tcPr>
            <w:tcW w:w="1129" w:type="dxa"/>
          </w:tcPr>
          <w:p>
            <w:pPr>
              <w:jc w:val="center"/>
              <w:rPr>
                <w:rFonts w:hint="eastAsia" w:ascii="仿宋_GB2312" w:eastAsia="仿宋_GB2312"/>
                <w:sz w:val="24"/>
              </w:rPr>
            </w:pPr>
            <w:r>
              <w:rPr>
                <w:rFonts w:hint="eastAsia" w:ascii="仿宋_GB2312" w:eastAsia="仿宋_GB2312"/>
                <w:sz w:val="24"/>
              </w:rPr>
              <w:t>计划进场日期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冲击钻</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ZSA-HK-26</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6</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日本</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2006年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700W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2</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电 锤</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DC-100</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6</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日本</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2008年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1KW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3</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切割机</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QC-2100</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5</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山东</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500W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4</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电动试压泵</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DDS-220</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3</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合肥</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500W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调试时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5</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电焊机</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DFC-55X</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上海</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2KW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6</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电动套丝机</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SQ-100Z</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上海</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1KW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7</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电工工具</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国标</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12</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汕头</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2008年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8</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绝缘摇表</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DP9205A</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上海</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2008年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调试时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9</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接地电阻测试仪</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JDY-100</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北京</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调试时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10</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测试烟杆</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烟感专用</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沈阳</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调试时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11</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便携示波器</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BXS-II</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上海</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调试时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12</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脑</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IBM</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北京</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13</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滚槽机</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卡箍专用</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安徽</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2007年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2KW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14</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开孔机</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卡箍专用</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安徽</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2006年</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1KW</w:t>
            </w: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15</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对讲机</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MOTO550</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4</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美国</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2006年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调试时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trPr>
        <w:tc>
          <w:tcPr>
            <w:tcW w:w="625" w:type="dxa"/>
            <w:vAlign w:val="center"/>
          </w:tcPr>
          <w:p>
            <w:pPr>
              <w:jc w:val="center"/>
              <w:rPr>
                <w:rFonts w:hint="eastAsia" w:ascii="仿宋_GB2312" w:hAnsi="宋体" w:eastAsia="仿宋_GB2312"/>
                <w:sz w:val="24"/>
              </w:rPr>
            </w:pPr>
            <w:r>
              <w:rPr>
                <w:rFonts w:hint="eastAsia" w:ascii="仿宋_GB2312" w:hAnsi="宋体" w:eastAsia="仿宋_GB2312"/>
                <w:sz w:val="24"/>
              </w:rPr>
              <w:t>16</w:t>
            </w:r>
          </w:p>
        </w:tc>
        <w:tc>
          <w:tcPr>
            <w:tcW w:w="1537" w:type="dxa"/>
            <w:vAlign w:val="center"/>
          </w:tcPr>
          <w:p>
            <w:pPr>
              <w:jc w:val="center"/>
              <w:rPr>
                <w:rFonts w:hint="eastAsia" w:ascii="仿宋_GB2312" w:hAnsi="宋体" w:eastAsia="仿宋_GB2312"/>
                <w:sz w:val="24"/>
              </w:rPr>
            </w:pPr>
            <w:r>
              <w:rPr>
                <w:rFonts w:hint="eastAsia" w:ascii="仿宋_GB2312" w:hAnsi="宋体" w:eastAsia="仿宋_GB2312"/>
                <w:sz w:val="24"/>
              </w:rPr>
              <w:t>工程车</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切诺基</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1</w:t>
            </w:r>
          </w:p>
        </w:tc>
        <w:tc>
          <w:tcPr>
            <w:tcW w:w="876" w:type="dxa"/>
            <w:vAlign w:val="center"/>
          </w:tcPr>
          <w:p>
            <w:pPr>
              <w:jc w:val="center"/>
              <w:rPr>
                <w:rFonts w:hint="eastAsia" w:ascii="仿宋_GB2312" w:hAnsi="宋体" w:eastAsia="仿宋_GB2312"/>
                <w:sz w:val="24"/>
              </w:rPr>
            </w:pPr>
            <w:r>
              <w:rPr>
                <w:rFonts w:hint="eastAsia" w:ascii="仿宋_GB2312" w:hAnsi="宋体" w:eastAsia="仿宋_GB2312"/>
                <w:sz w:val="24"/>
              </w:rPr>
              <w:t>北京</w:t>
            </w:r>
          </w:p>
        </w:tc>
        <w:tc>
          <w:tcPr>
            <w:tcW w:w="1176" w:type="dxa"/>
            <w:vAlign w:val="center"/>
          </w:tcPr>
          <w:p>
            <w:pPr>
              <w:jc w:val="center"/>
              <w:rPr>
                <w:rFonts w:hint="eastAsia" w:ascii="仿宋_GB2312" w:hAnsi="宋体" w:eastAsia="仿宋_GB2312"/>
                <w:sz w:val="24"/>
              </w:rPr>
            </w:pPr>
            <w:r>
              <w:rPr>
                <w:rFonts w:hint="eastAsia" w:ascii="仿宋_GB2312" w:hAnsi="宋体" w:eastAsia="仿宋_GB2312"/>
                <w:sz w:val="24"/>
              </w:rPr>
              <w:t>2006年</w:t>
            </w:r>
          </w:p>
        </w:tc>
        <w:tc>
          <w:tcPr>
            <w:tcW w:w="876" w:type="dxa"/>
            <w:vAlign w:val="center"/>
          </w:tcPr>
          <w:p>
            <w:pPr>
              <w:jc w:val="center"/>
              <w:rPr>
                <w:rFonts w:hint="eastAsia" w:ascii="仿宋_GB2312" w:hAnsi="宋体" w:eastAsia="仿宋_GB2312"/>
                <w:sz w:val="24"/>
              </w:rPr>
            </w:pPr>
          </w:p>
        </w:tc>
        <w:tc>
          <w:tcPr>
            <w:tcW w:w="1007" w:type="dxa"/>
            <w:vAlign w:val="center"/>
          </w:tcPr>
          <w:p>
            <w:pPr>
              <w:jc w:val="center"/>
              <w:rPr>
                <w:rFonts w:hint="eastAsia" w:ascii="仿宋_GB2312" w:hAnsi="宋体" w:eastAsia="仿宋_GB2312"/>
                <w:sz w:val="24"/>
              </w:rPr>
            </w:pPr>
            <w:r>
              <w:rPr>
                <w:rFonts w:hint="eastAsia" w:ascii="仿宋_GB2312" w:hAnsi="宋体" w:eastAsia="仿宋_GB2312"/>
                <w:sz w:val="24"/>
              </w:rPr>
              <w:t>良好</w:t>
            </w:r>
          </w:p>
        </w:tc>
        <w:tc>
          <w:tcPr>
            <w:tcW w:w="1129" w:type="dxa"/>
            <w:vAlign w:val="center"/>
          </w:tcPr>
          <w:p>
            <w:pPr>
              <w:jc w:val="center"/>
              <w:rPr>
                <w:rFonts w:hint="eastAsia" w:ascii="仿宋_GB2312" w:hAnsi="宋体" w:eastAsia="仿宋_GB2312"/>
                <w:sz w:val="24"/>
              </w:rPr>
            </w:pPr>
            <w:r>
              <w:rPr>
                <w:rFonts w:hint="eastAsia" w:ascii="仿宋_GB2312" w:hAnsi="宋体" w:eastAsia="仿宋_GB2312"/>
                <w:sz w:val="24"/>
              </w:rPr>
              <w:t>开工时</w:t>
            </w:r>
          </w:p>
        </w:tc>
      </w:tr>
    </w:tbl>
    <w:p>
      <w:pPr>
        <w:rPr>
          <w:rFonts w:hint="eastAsia"/>
        </w:rPr>
      </w:pPr>
    </w:p>
    <w:p>
      <w:pPr>
        <w:rPr>
          <w:rFonts w:hint="eastAsia"/>
        </w:rPr>
      </w:pPr>
    </w:p>
    <w:p>
      <w:pPr>
        <w:pStyle w:val="3"/>
        <w:jc w:val="center"/>
        <w:rPr>
          <w:rFonts w:hint="eastAsia"/>
          <w:b w:val="0"/>
          <w:bCs w:val="0"/>
        </w:rPr>
      </w:pPr>
      <w:bookmarkStart w:id="104" w:name="_Toc242860606"/>
    </w:p>
    <w:p>
      <w:pPr>
        <w:pStyle w:val="3"/>
        <w:jc w:val="center"/>
        <w:rPr>
          <w:rFonts w:hint="eastAsia"/>
          <w:b w:val="0"/>
          <w:bCs w:val="0"/>
          <w:sz w:val="28"/>
          <w:szCs w:val="28"/>
        </w:rPr>
      </w:pPr>
      <w:bookmarkStart w:id="105" w:name="_Toc361990785"/>
      <w:r>
        <w:rPr>
          <w:rFonts w:hint="eastAsia"/>
          <w:b w:val="0"/>
          <w:bCs w:val="0"/>
          <w:sz w:val="28"/>
          <w:szCs w:val="28"/>
        </w:rPr>
        <w:t>（四） 主要材料、半成品进场计划表</w:t>
      </w:r>
      <w:bookmarkEnd w:id="104"/>
      <w:bookmarkEnd w:id="105"/>
    </w:p>
    <w:tbl>
      <w:tblPr>
        <w:tblStyle w:val="2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340"/>
        <w:gridCol w:w="1275"/>
        <w:gridCol w:w="1965"/>
        <w:gridCol w:w="878"/>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序号</w:t>
            </w:r>
          </w:p>
        </w:tc>
        <w:tc>
          <w:tcPr>
            <w:tcW w:w="2340" w:type="dxa"/>
          </w:tcPr>
          <w:p>
            <w:pPr>
              <w:rPr>
                <w:rFonts w:hint="eastAsia"/>
              </w:rPr>
            </w:pPr>
            <w:r>
              <w:rPr>
                <w:rFonts w:hint="eastAsia"/>
              </w:rPr>
              <w:t>材料名称</w:t>
            </w:r>
          </w:p>
        </w:tc>
        <w:tc>
          <w:tcPr>
            <w:tcW w:w="1275" w:type="dxa"/>
          </w:tcPr>
          <w:p>
            <w:pPr>
              <w:rPr>
                <w:rFonts w:hint="eastAsia"/>
              </w:rPr>
            </w:pPr>
            <w:r>
              <w:rPr>
                <w:rFonts w:hint="eastAsia"/>
              </w:rPr>
              <w:t>规格</w:t>
            </w:r>
          </w:p>
        </w:tc>
        <w:tc>
          <w:tcPr>
            <w:tcW w:w="1965" w:type="dxa"/>
          </w:tcPr>
          <w:p>
            <w:pPr>
              <w:rPr>
                <w:rFonts w:hint="eastAsia"/>
              </w:rPr>
            </w:pPr>
            <w:r>
              <w:rPr>
                <w:rFonts w:hint="eastAsia"/>
              </w:rPr>
              <w:t>单位</w:t>
            </w:r>
          </w:p>
        </w:tc>
        <w:tc>
          <w:tcPr>
            <w:tcW w:w="878" w:type="dxa"/>
          </w:tcPr>
          <w:p>
            <w:pPr>
              <w:rPr>
                <w:rFonts w:hint="eastAsia"/>
              </w:rPr>
            </w:pPr>
            <w:r>
              <w:rPr>
                <w:rFonts w:hint="eastAsia"/>
              </w:rPr>
              <w:t>数量</w:t>
            </w:r>
          </w:p>
        </w:tc>
        <w:tc>
          <w:tcPr>
            <w:tcW w:w="2002" w:type="dxa"/>
          </w:tcPr>
          <w:p>
            <w:pPr>
              <w:rPr>
                <w:rFonts w:hint="eastAsia"/>
              </w:rPr>
            </w:pPr>
            <w:r>
              <w:rPr>
                <w:rFonts w:hint="eastAsia"/>
              </w:rPr>
              <w:t>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1</w:t>
            </w:r>
          </w:p>
        </w:tc>
        <w:tc>
          <w:tcPr>
            <w:tcW w:w="2340" w:type="dxa"/>
          </w:tcPr>
          <w:p>
            <w:pPr>
              <w:rPr>
                <w:rFonts w:hint="eastAsia"/>
              </w:rPr>
            </w:pPr>
            <w:r>
              <w:rPr>
                <w:rFonts w:hint="eastAsia"/>
              </w:rPr>
              <w:t>钢管及管件材料</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2</w:t>
            </w:r>
          </w:p>
        </w:tc>
        <w:tc>
          <w:tcPr>
            <w:tcW w:w="2340" w:type="dxa"/>
          </w:tcPr>
          <w:p>
            <w:pPr>
              <w:rPr>
                <w:rFonts w:hint="eastAsia"/>
              </w:rPr>
            </w:pPr>
            <w:r>
              <w:rPr>
                <w:rFonts w:hint="eastAsia"/>
              </w:rPr>
              <w:t>各种阀门</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rPr>
                <w:rFonts w:hint="eastAsia"/>
              </w:rPr>
            </w:pPr>
            <w:r>
              <w:rPr>
                <w:rFonts w:hint="eastAsia"/>
              </w:rPr>
              <w:t>3</w:t>
            </w:r>
          </w:p>
        </w:tc>
        <w:tc>
          <w:tcPr>
            <w:tcW w:w="2340" w:type="dxa"/>
          </w:tcPr>
          <w:p>
            <w:pPr>
              <w:rPr>
                <w:rFonts w:hint="eastAsia"/>
              </w:rPr>
            </w:pPr>
            <w:r>
              <w:rPr>
                <w:rFonts w:hint="eastAsia"/>
              </w:rPr>
              <w:t>角钢</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4</w:t>
            </w:r>
          </w:p>
        </w:tc>
        <w:tc>
          <w:tcPr>
            <w:tcW w:w="2340" w:type="dxa"/>
          </w:tcPr>
          <w:p>
            <w:pPr>
              <w:rPr>
                <w:rFonts w:hint="eastAsia"/>
              </w:rPr>
            </w:pPr>
            <w:r>
              <w:rPr>
                <w:rFonts w:hint="eastAsia"/>
              </w:rPr>
              <w:t>水系统设备</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隐蔽安装完成后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5</w:t>
            </w:r>
          </w:p>
        </w:tc>
        <w:tc>
          <w:tcPr>
            <w:tcW w:w="2340" w:type="dxa"/>
          </w:tcPr>
          <w:p>
            <w:pPr>
              <w:rPr>
                <w:rFonts w:hint="eastAsia"/>
              </w:rPr>
            </w:pPr>
            <w:r>
              <w:rPr>
                <w:rFonts w:hint="eastAsia"/>
              </w:rPr>
              <w:t>电线钢管及桥架接头等</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6</w:t>
            </w:r>
          </w:p>
        </w:tc>
        <w:tc>
          <w:tcPr>
            <w:tcW w:w="2340" w:type="dxa"/>
          </w:tcPr>
          <w:p>
            <w:pPr>
              <w:rPr>
                <w:rFonts w:hint="eastAsia"/>
              </w:rPr>
            </w:pPr>
            <w:r>
              <w:rPr>
                <w:rFonts w:hint="eastAsia"/>
              </w:rPr>
              <w:t>电线</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电管敷设完成后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rPr>
                <w:rFonts w:hint="eastAsia"/>
              </w:rPr>
            </w:pPr>
            <w:r>
              <w:rPr>
                <w:rFonts w:hint="eastAsia"/>
              </w:rPr>
              <w:t>7</w:t>
            </w:r>
          </w:p>
        </w:tc>
        <w:tc>
          <w:tcPr>
            <w:tcW w:w="2340" w:type="dxa"/>
          </w:tcPr>
          <w:p>
            <w:pPr>
              <w:rPr>
                <w:rFonts w:hint="eastAsia"/>
              </w:rPr>
            </w:pPr>
            <w:r>
              <w:rPr>
                <w:rFonts w:hint="eastAsia"/>
              </w:rPr>
              <w:t>电系统设备（含主机系统等）</w:t>
            </w:r>
          </w:p>
        </w:tc>
        <w:tc>
          <w:tcPr>
            <w:tcW w:w="1275" w:type="dxa"/>
            <w:vAlign w:val="center"/>
          </w:tcPr>
          <w:p>
            <w:pPr>
              <w:jc w:val="center"/>
              <w:rPr>
                <w:rFonts w:hint="eastAsia"/>
              </w:rPr>
            </w:pPr>
            <w:r>
              <w:rPr>
                <w:rFonts w:hint="eastAsia"/>
              </w:rPr>
              <w:t>依图纸设计</w:t>
            </w:r>
          </w:p>
        </w:tc>
        <w:tc>
          <w:tcPr>
            <w:tcW w:w="1965" w:type="dxa"/>
            <w:vAlign w:val="center"/>
          </w:tcPr>
          <w:p>
            <w:pPr>
              <w:jc w:val="center"/>
              <w:rPr>
                <w:rFonts w:hint="eastAsia"/>
              </w:rPr>
            </w:pPr>
            <w:r>
              <w:rPr>
                <w:rFonts w:hint="eastAsia"/>
              </w:rPr>
              <w:t>依图纸设计数量</w:t>
            </w:r>
          </w:p>
        </w:tc>
        <w:tc>
          <w:tcPr>
            <w:tcW w:w="878" w:type="dxa"/>
            <w:vAlign w:val="center"/>
          </w:tcPr>
          <w:p>
            <w:pPr>
              <w:jc w:val="center"/>
              <w:rPr>
                <w:rFonts w:hint="eastAsia"/>
              </w:rPr>
            </w:pPr>
            <w:r>
              <w:rPr>
                <w:rFonts w:hint="eastAsia"/>
              </w:rPr>
              <w:t>1批</w:t>
            </w:r>
          </w:p>
        </w:tc>
        <w:tc>
          <w:tcPr>
            <w:tcW w:w="2002" w:type="dxa"/>
            <w:vAlign w:val="center"/>
          </w:tcPr>
          <w:p>
            <w:pPr>
              <w:rPr>
                <w:rFonts w:hint="eastAsia"/>
              </w:rPr>
            </w:pPr>
            <w:r>
              <w:rPr>
                <w:rFonts w:hint="eastAsia"/>
              </w:rPr>
              <w:t>隐蔽安装完成后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8</w:t>
            </w:r>
          </w:p>
        </w:tc>
        <w:tc>
          <w:tcPr>
            <w:tcW w:w="2340" w:type="dxa"/>
          </w:tcPr>
          <w:p>
            <w:pPr>
              <w:rPr>
                <w:rFonts w:hint="eastAsia"/>
              </w:rPr>
            </w:pPr>
          </w:p>
        </w:tc>
        <w:tc>
          <w:tcPr>
            <w:tcW w:w="1275" w:type="dxa"/>
          </w:tcPr>
          <w:p>
            <w:pPr>
              <w:rPr>
                <w:rFonts w:hint="eastAsia"/>
              </w:rPr>
            </w:pPr>
          </w:p>
        </w:tc>
        <w:tc>
          <w:tcPr>
            <w:tcW w:w="1965" w:type="dxa"/>
          </w:tcPr>
          <w:p>
            <w:pPr>
              <w:rPr>
                <w:rFonts w:hint="eastAsia"/>
              </w:rPr>
            </w:pPr>
          </w:p>
        </w:tc>
        <w:tc>
          <w:tcPr>
            <w:tcW w:w="878" w:type="dxa"/>
          </w:tcPr>
          <w:p>
            <w:pPr>
              <w:rPr>
                <w:rFonts w:hint="eastAsia"/>
              </w:rPr>
            </w:pPr>
          </w:p>
        </w:tc>
        <w:tc>
          <w:tcPr>
            <w:tcW w:w="200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rPr>
            </w:pPr>
            <w:r>
              <w:rPr>
                <w:rFonts w:hint="eastAsia"/>
              </w:rPr>
              <w:t>9</w:t>
            </w:r>
          </w:p>
        </w:tc>
        <w:tc>
          <w:tcPr>
            <w:tcW w:w="2340" w:type="dxa"/>
          </w:tcPr>
          <w:p>
            <w:pPr>
              <w:rPr>
                <w:rFonts w:hint="eastAsia"/>
              </w:rPr>
            </w:pPr>
          </w:p>
        </w:tc>
        <w:tc>
          <w:tcPr>
            <w:tcW w:w="1275" w:type="dxa"/>
          </w:tcPr>
          <w:p>
            <w:pPr>
              <w:rPr>
                <w:rFonts w:hint="eastAsia"/>
              </w:rPr>
            </w:pPr>
          </w:p>
        </w:tc>
        <w:tc>
          <w:tcPr>
            <w:tcW w:w="1965" w:type="dxa"/>
          </w:tcPr>
          <w:p>
            <w:pPr>
              <w:rPr>
                <w:rFonts w:hint="eastAsia"/>
              </w:rPr>
            </w:pPr>
          </w:p>
        </w:tc>
        <w:tc>
          <w:tcPr>
            <w:tcW w:w="878" w:type="dxa"/>
          </w:tcPr>
          <w:p>
            <w:pPr>
              <w:rPr>
                <w:rFonts w:hint="eastAsia"/>
              </w:rPr>
            </w:pPr>
          </w:p>
        </w:tc>
        <w:tc>
          <w:tcPr>
            <w:tcW w:w="2002" w:type="dxa"/>
          </w:tcPr>
          <w:p>
            <w:pPr>
              <w:rPr>
                <w:rFonts w:hint="eastAsia"/>
              </w:rPr>
            </w:pPr>
          </w:p>
        </w:tc>
      </w:tr>
    </w:tbl>
    <w:p>
      <w:pPr>
        <w:rPr>
          <w:rFonts w:hint="eastAsia"/>
        </w:rPr>
      </w:pPr>
      <w:bookmarkStart w:id="106" w:name="_GoBack"/>
      <w:bookmarkEnd w:id="106"/>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zh-CN"/>
      </w:rPr>
      <w:t>2</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57A02"/>
    <w:multiLevelType w:val="multilevel"/>
    <w:tmpl w:val="0B457A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F77C41"/>
    <w:multiLevelType w:val="multilevel"/>
    <w:tmpl w:val="0DF77C41"/>
    <w:lvl w:ilvl="0" w:tentative="0">
      <w:start w:val="1"/>
      <w:numFmt w:val="decimal"/>
      <w:lvlText w:val="%1、"/>
      <w:lvlJc w:val="left"/>
      <w:pPr>
        <w:tabs>
          <w:tab w:val="left" w:pos="540"/>
        </w:tabs>
        <w:ind w:left="540" w:hanging="36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2B42AF"/>
    <w:multiLevelType w:val="multilevel"/>
    <w:tmpl w:val="112B42A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A3B53DA"/>
    <w:multiLevelType w:val="singleLevel"/>
    <w:tmpl w:val="2A3B53DA"/>
    <w:lvl w:ilvl="0" w:tentative="0">
      <w:start w:val="2"/>
      <w:numFmt w:val="decimal"/>
      <w:lvlText w:val="%1、"/>
      <w:lvlJc w:val="left"/>
      <w:pPr>
        <w:tabs>
          <w:tab w:val="left" w:pos="360"/>
        </w:tabs>
        <w:ind w:left="360" w:hanging="360"/>
      </w:pPr>
      <w:rPr>
        <w:rFonts w:hint="eastAsia"/>
      </w:rPr>
    </w:lvl>
  </w:abstractNum>
  <w:abstractNum w:abstractNumId="4">
    <w:nsid w:val="49951744"/>
    <w:multiLevelType w:val="multilevel"/>
    <w:tmpl w:val="49951744"/>
    <w:lvl w:ilvl="0" w:tentative="0">
      <w:start w:val="1"/>
      <w:numFmt w:val="decimalEnclosedCircle"/>
      <w:lvlText w:val="%1"/>
      <w:lvlJc w:val="left"/>
      <w:pPr>
        <w:tabs>
          <w:tab w:val="left" w:pos="839"/>
        </w:tabs>
        <w:ind w:left="839" w:hanging="360"/>
      </w:pPr>
      <w:rPr>
        <w:rFonts w:hint="eastAsia" w:ascii="宋体" w:hAnsi="宋体" w:cs="Arial"/>
      </w:r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abstractNum w:abstractNumId="5">
    <w:nsid w:val="5965470B"/>
    <w:multiLevelType w:val="multilevel"/>
    <w:tmpl w:val="5965470B"/>
    <w:lvl w:ilvl="0" w:tentative="0">
      <w:start w:val="5"/>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DA5B6E"/>
    <w:multiLevelType w:val="multilevel"/>
    <w:tmpl w:val="5CDA5B6E"/>
    <w:lvl w:ilvl="0" w:tentative="0">
      <w:start w:val="1"/>
      <w:numFmt w:val="decimalEnclosedCircle"/>
      <w:lvlText w:val="%1"/>
      <w:lvlJc w:val="left"/>
      <w:pPr>
        <w:tabs>
          <w:tab w:val="left" w:pos="839"/>
        </w:tabs>
        <w:ind w:left="839" w:hanging="360"/>
      </w:pPr>
      <w:rPr>
        <w:rFonts w:hint="eastAsia"/>
      </w:r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YmExYWVhY2M2ZjQxNDc3MzA2NzkyZDk1YTI2NTEifQ=="/>
  </w:docVars>
  <w:rsids>
    <w:rsidRoot w:val="00F57D03"/>
    <w:rsid w:val="000033DA"/>
    <w:rsid w:val="0002745F"/>
    <w:rsid w:val="00030A79"/>
    <w:rsid w:val="00041BCC"/>
    <w:rsid w:val="00043C5A"/>
    <w:rsid w:val="00050123"/>
    <w:rsid w:val="000507E7"/>
    <w:rsid w:val="000565E2"/>
    <w:rsid w:val="0007284E"/>
    <w:rsid w:val="00087EC5"/>
    <w:rsid w:val="00091AE9"/>
    <w:rsid w:val="00096702"/>
    <w:rsid w:val="00097542"/>
    <w:rsid w:val="000A1B56"/>
    <w:rsid w:val="000A6BBC"/>
    <w:rsid w:val="000C0BBF"/>
    <w:rsid w:val="000E5F60"/>
    <w:rsid w:val="000E6FF4"/>
    <w:rsid w:val="00106F34"/>
    <w:rsid w:val="0010726E"/>
    <w:rsid w:val="00114F50"/>
    <w:rsid w:val="001263D4"/>
    <w:rsid w:val="00140921"/>
    <w:rsid w:val="00150413"/>
    <w:rsid w:val="0015341E"/>
    <w:rsid w:val="001552E6"/>
    <w:rsid w:val="00171D8E"/>
    <w:rsid w:val="00180C7C"/>
    <w:rsid w:val="00185E9F"/>
    <w:rsid w:val="001B780A"/>
    <w:rsid w:val="001C4F8B"/>
    <w:rsid w:val="001D4E42"/>
    <w:rsid w:val="001D6142"/>
    <w:rsid w:val="001E2767"/>
    <w:rsid w:val="00211CF7"/>
    <w:rsid w:val="0021647B"/>
    <w:rsid w:val="0024202A"/>
    <w:rsid w:val="00253201"/>
    <w:rsid w:val="0025696A"/>
    <w:rsid w:val="00260A9C"/>
    <w:rsid w:val="00282800"/>
    <w:rsid w:val="0028548F"/>
    <w:rsid w:val="002B6645"/>
    <w:rsid w:val="002D6782"/>
    <w:rsid w:val="002F118D"/>
    <w:rsid w:val="002F5449"/>
    <w:rsid w:val="0030196C"/>
    <w:rsid w:val="00310128"/>
    <w:rsid w:val="003109BA"/>
    <w:rsid w:val="00333EDA"/>
    <w:rsid w:val="00334229"/>
    <w:rsid w:val="00340F60"/>
    <w:rsid w:val="00350237"/>
    <w:rsid w:val="00375103"/>
    <w:rsid w:val="00394B96"/>
    <w:rsid w:val="003C4E37"/>
    <w:rsid w:val="004045AE"/>
    <w:rsid w:val="004134E9"/>
    <w:rsid w:val="0043320A"/>
    <w:rsid w:val="00451792"/>
    <w:rsid w:val="00451A7B"/>
    <w:rsid w:val="00456895"/>
    <w:rsid w:val="004778E3"/>
    <w:rsid w:val="004B2454"/>
    <w:rsid w:val="004C56E5"/>
    <w:rsid w:val="004E23DA"/>
    <w:rsid w:val="004E732D"/>
    <w:rsid w:val="004F4ACD"/>
    <w:rsid w:val="0050096F"/>
    <w:rsid w:val="00532CF3"/>
    <w:rsid w:val="00540761"/>
    <w:rsid w:val="00540AC5"/>
    <w:rsid w:val="00547130"/>
    <w:rsid w:val="00553E41"/>
    <w:rsid w:val="00566BE7"/>
    <w:rsid w:val="005841FE"/>
    <w:rsid w:val="005A30A0"/>
    <w:rsid w:val="005F10E5"/>
    <w:rsid w:val="005F11EC"/>
    <w:rsid w:val="00641A55"/>
    <w:rsid w:val="0064607D"/>
    <w:rsid w:val="00654126"/>
    <w:rsid w:val="00660197"/>
    <w:rsid w:val="00660430"/>
    <w:rsid w:val="00664966"/>
    <w:rsid w:val="00665FE3"/>
    <w:rsid w:val="006B267A"/>
    <w:rsid w:val="006E21D8"/>
    <w:rsid w:val="006E60EA"/>
    <w:rsid w:val="006F1DF1"/>
    <w:rsid w:val="006F47D9"/>
    <w:rsid w:val="00702E45"/>
    <w:rsid w:val="00704154"/>
    <w:rsid w:val="007075BD"/>
    <w:rsid w:val="007245E1"/>
    <w:rsid w:val="00724650"/>
    <w:rsid w:val="00763359"/>
    <w:rsid w:val="00770C51"/>
    <w:rsid w:val="007730CF"/>
    <w:rsid w:val="007E44F2"/>
    <w:rsid w:val="007F2C16"/>
    <w:rsid w:val="008109F1"/>
    <w:rsid w:val="00824E6A"/>
    <w:rsid w:val="008338CF"/>
    <w:rsid w:val="0083771C"/>
    <w:rsid w:val="00841822"/>
    <w:rsid w:val="00865D1A"/>
    <w:rsid w:val="00871602"/>
    <w:rsid w:val="00873B7B"/>
    <w:rsid w:val="0088179B"/>
    <w:rsid w:val="008B49FD"/>
    <w:rsid w:val="008C38DA"/>
    <w:rsid w:val="008F1149"/>
    <w:rsid w:val="00907B39"/>
    <w:rsid w:val="00910530"/>
    <w:rsid w:val="0091257A"/>
    <w:rsid w:val="00916978"/>
    <w:rsid w:val="00931674"/>
    <w:rsid w:val="009459B0"/>
    <w:rsid w:val="0095725A"/>
    <w:rsid w:val="00975D64"/>
    <w:rsid w:val="0098656F"/>
    <w:rsid w:val="00990188"/>
    <w:rsid w:val="009B54D3"/>
    <w:rsid w:val="009C48AE"/>
    <w:rsid w:val="00A0260E"/>
    <w:rsid w:val="00A02BAC"/>
    <w:rsid w:val="00A20054"/>
    <w:rsid w:val="00A5226D"/>
    <w:rsid w:val="00A570CD"/>
    <w:rsid w:val="00A62BC5"/>
    <w:rsid w:val="00A66A41"/>
    <w:rsid w:val="00A7205E"/>
    <w:rsid w:val="00A8127E"/>
    <w:rsid w:val="00A96F1E"/>
    <w:rsid w:val="00AB1AEA"/>
    <w:rsid w:val="00AC743E"/>
    <w:rsid w:val="00AD7E56"/>
    <w:rsid w:val="00AF02D7"/>
    <w:rsid w:val="00B05950"/>
    <w:rsid w:val="00B06D4A"/>
    <w:rsid w:val="00B138A3"/>
    <w:rsid w:val="00B27CB0"/>
    <w:rsid w:val="00B45457"/>
    <w:rsid w:val="00B50E8F"/>
    <w:rsid w:val="00B53D6F"/>
    <w:rsid w:val="00B85DC2"/>
    <w:rsid w:val="00BD6CCD"/>
    <w:rsid w:val="00BE7BC0"/>
    <w:rsid w:val="00C10F7A"/>
    <w:rsid w:val="00C7105C"/>
    <w:rsid w:val="00C718A9"/>
    <w:rsid w:val="00C75211"/>
    <w:rsid w:val="00C76C0B"/>
    <w:rsid w:val="00C81B3D"/>
    <w:rsid w:val="00C82C77"/>
    <w:rsid w:val="00C90BF4"/>
    <w:rsid w:val="00CA4A75"/>
    <w:rsid w:val="00CA7C7E"/>
    <w:rsid w:val="00CB785C"/>
    <w:rsid w:val="00CC09F9"/>
    <w:rsid w:val="00CC5AEE"/>
    <w:rsid w:val="00CD3460"/>
    <w:rsid w:val="00CE3B09"/>
    <w:rsid w:val="00CE79BC"/>
    <w:rsid w:val="00CF5586"/>
    <w:rsid w:val="00D00875"/>
    <w:rsid w:val="00D240C4"/>
    <w:rsid w:val="00D33509"/>
    <w:rsid w:val="00D365D7"/>
    <w:rsid w:val="00D41541"/>
    <w:rsid w:val="00D43D1A"/>
    <w:rsid w:val="00D6173E"/>
    <w:rsid w:val="00D61E38"/>
    <w:rsid w:val="00DA0CB1"/>
    <w:rsid w:val="00DA49E1"/>
    <w:rsid w:val="00DB0881"/>
    <w:rsid w:val="00DC2B7D"/>
    <w:rsid w:val="00DE1F14"/>
    <w:rsid w:val="00DF221D"/>
    <w:rsid w:val="00DF2A6F"/>
    <w:rsid w:val="00E22547"/>
    <w:rsid w:val="00E449B6"/>
    <w:rsid w:val="00E50321"/>
    <w:rsid w:val="00E61DED"/>
    <w:rsid w:val="00E77771"/>
    <w:rsid w:val="00E91B04"/>
    <w:rsid w:val="00E97FD9"/>
    <w:rsid w:val="00EA1872"/>
    <w:rsid w:val="00EC62E1"/>
    <w:rsid w:val="00EF0536"/>
    <w:rsid w:val="00F1164B"/>
    <w:rsid w:val="00F1194E"/>
    <w:rsid w:val="00F44868"/>
    <w:rsid w:val="00F57D03"/>
    <w:rsid w:val="00F614FE"/>
    <w:rsid w:val="00F653FC"/>
    <w:rsid w:val="00F84ED6"/>
    <w:rsid w:val="00F92091"/>
    <w:rsid w:val="00F94D78"/>
    <w:rsid w:val="00FA227E"/>
    <w:rsid w:val="00FA6036"/>
    <w:rsid w:val="00FC250C"/>
    <w:rsid w:val="00FD612C"/>
    <w:rsid w:val="00FE4FD8"/>
    <w:rsid w:val="00FE5AB9"/>
    <w:rsid w:val="00FE6564"/>
    <w:rsid w:val="00FE6FFC"/>
    <w:rsid w:val="00FF5331"/>
    <w:rsid w:val="15D8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480" w:lineRule="auto"/>
      <w:jc w:val="center"/>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60" w:lineRule="auto"/>
      <w:jc w:val="center"/>
      <w:outlineLvl w:val="4"/>
    </w:pPr>
    <w:rPr>
      <w:rFonts w:eastAsia="黑体"/>
      <w:b/>
      <w:bCs/>
      <w:szCs w:val="28"/>
    </w:rPr>
  </w:style>
  <w:style w:type="character" w:default="1" w:styleId="24">
    <w:name w:val="Default Paragraph Font"/>
    <w:semiHidden/>
    <w:uiPriority w:val="0"/>
  </w:style>
  <w:style w:type="table" w:default="1" w:styleId="22">
    <w:name w:val="Normal Table"/>
    <w:semiHidden/>
    <w:uiPriority w:val="0"/>
    <w:tblPr>
      <w:tblCellMar>
        <w:top w:w="0" w:type="dxa"/>
        <w:left w:w="108" w:type="dxa"/>
        <w:bottom w:w="0" w:type="dxa"/>
        <w:right w:w="108" w:type="dxa"/>
      </w:tblCellMar>
    </w:tblPr>
  </w:style>
  <w:style w:type="paragraph" w:styleId="7">
    <w:name w:val="Document Map"/>
    <w:basedOn w:val="1"/>
    <w:semiHidden/>
    <w:uiPriority w:val="0"/>
    <w:pPr>
      <w:shd w:val="clear" w:color="auto" w:fill="000080"/>
    </w:pPr>
  </w:style>
  <w:style w:type="paragraph" w:styleId="8">
    <w:name w:val="toa heading"/>
    <w:basedOn w:val="1"/>
    <w:next w:val="1"/>
    <w:semiHidden/>
    <w:uiPriority w:val="0"/>
    <w:pPr>
      <w:spacing w:before="120"/>
    </w:pPr>
    <w:rPr>
      <w:rFonts w:ascii="Arial" w:hAnsi="Arial" w:eastAsia="仿宋_GB2312" w:cs="Arial"/>
      <w:sz w:val="24"/>
    </w:rPr>
  </w:style>
  <w:style w:type="paragraph" w:styleId="9">
    <w:name w:val="Body Text Indent"/>
    <w:basedOn w:val="1"/>
    <w:uiPriority w:val="0"/>
    <w:pPr>
      <w:spacing w:after="120"/>
      <w:ind w:left="420" w:leftChars="200"/>
    </w:pPr>
  </w:style>
  <w:style w:type="paragraph" w:styleId="10">
    <w:name w:val="toc 5"/>
    <w:basedOn w:val="1"/>
    <w:next w:val="1"/>
    <w:semiHidden/>
    <w:uiPriority w:val="0"/>
    <w:pPr>
      <w:ind w:left="1680" w:leftChars="800"/>
    </w:pPr>
  </w:style>
  <w:style w:type="paragraph" w:styleId="11">
    <w:name w:val="toc 3"/>
    <w:basedOn w:val="1"/>
    <w:next w:val="1"/>
    <w:uiPriority w:val="39"/>
    <w:pPr>
      <w:ind w:left="840" w:leftChars="400"/>
    </w:pPr>
  </w:style>
  <w:style w:type="paragraph" w:styleId="12">
    <w:name w:val="Plain Text"/>
    <w:basedOn w:val="1"/>
    <w:uiPriority w:val="0"/>
    <w:rPr>
      <w:rFonts w:ascii="宋体" w:hAnsi="Courier New" w:cs="Courier New"/>
      <w:szCs w:val="21"/>
    </w:rPr>
  </w:style>
  <w:style w:type="paragraph" w:styleId="13">
    <w:name w:val="Date"/>
    <w:basedOn w:val="1"/>
    <w:next w:val="1"/>
    <w:uiPriority w:val="0"/>
    <w:pPr>
      <w:ind w:leftChars="2500"/>
    </w:pPr>
  </w:style>
  <w:style w:type="paragraph" w:styleId="14">
    <w:name w:val="Body Text Indent 2"/>
    <w:basedOn w:val="1"/>
    <w:uiPriority w:val="0"/>
    <w:pPr>
      <w:spacing w:line="360" w:lineRule="auto"/>
      <w:ind w:left="478" w:leftChars="150" w:hanging="163" w:hangingChars="68"/>
    </w:pPr>
    <w:rPr>
      <w:rFonts w:ascii="宋体"/>
      <w:sz w:val="24"/>
    </w:rPr>
  </w:style>
  <w:style w:type="paragraph" w:styleId="15">
    <w:name w:val="Balloon Text"/>
    <w:basedOn w:val="1"/>
    <w:semiHidden/>
    <w:uiPriority w:val="0"/>
    <w:rPr>
      <w:sz w:val="18"/>
      <w:szCs w:val="18"/>
    </w:rPr>
  </w:style>
  <w:style w:type="paragraph" w:styleId="16">
    <w:name w:val="footer"/>
    <w:basedOn w:val="1"/>
    <w:link w:val="29"/>
    <w:uiPriority w:val="99"/>
    <w:pPr>
      <w:tabs>
        <w:tab w:val="center" w:pos="4153"/>
        <w:tab w:val="right" w:pos="8306"/>
      </w:tabs>
      <w:snapToGrid w:val="0"/>
      <w:jc w:val="left"/>
    </w:pPr>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39"/>
  </w:style>
  <w:style w:type="paragraph" w:styleId="19">
    <w:name w:val="toc 4"/>
    <w:basedOn w:val="1"/>
    <w:next w:val="1"/>
    <w:uiPriority w:val="39"/>
    <w:pPr>
      <w:tabs>
        <w:tab w:val="right" w:leader="dot" w:pos="8296"/>
      </w:tabs>
      <w:spacing w:line="500" w:lineRule="exact"/>
      <w:ind w:left="1260" w:leftChars="600"/>
    </w:pPr>
  </w:style>
  <w:style w:type="paragraph" w:styleId="20">
    <w:name w:val="Body Text Indent 3"/>
    <w:basedOn w:val="1"/>
    <w:uiPriority w:val="0"/>
    <w:pPr>
      <w:spacing w:line="360" w:lineRule="auto"/>
      <w:ind w:left="313" w:leftChars="149"/>
    </w:pPr>
    <w:rPr>
      <w:sz w:val="24"/>
    </w:rPr>
  </w:style>
  <w:style w:type="paragraph" w:styleId="21">
    <w:name w:val="toc 2"/>
    <w:basedOn w:val="1"/>
    <w:next w:val="1"/>
    <w:uiPriority w:val="39"/>
    <w:pPr>
      <w:tabs>
        <w:tab w:val="right" w:leader="dot" w:pos="8296"/>
      </w:tabs>
      <w:spacing w:line="500" w:lineRule="exact"/>
    </w:pPr>
    <w:rPr>
      <w:sz w:val="24"/>
    </w:rPr>
  </w:style>
  <w:style w:type="table" w:styleId="23">
    <w:name w:val="Table Grid"/>
    <w:basedOn w:val="2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uiPriority w:val="0"/>
  </w:style>
  <w:style w:type="character" w:styleId="26">
    <w:name w:val="Hyperlink"/>
    <w:basedOn w:val="24"/>
    <w:unhideWhenUsed/>
    <w:uiPriority w:val="99"/>
    <w:rPr>
      <w:color w:val="0000FF"/>
      <w:u w:val="single"/>
    </w:rPr>
  </w:style>
  <w:style w:type="paragraph" w:customStyle="1" w:styleId="27">
    <w:name w:val=" Char Char"/>
    <w:next w:val="1"/>
    <w:uiPriority w:val="0"/>
    <w:pPr>
      <w:keepNext/>
      <w:keepLines/>
      <w:spacing w:before="240" w:after="240"/>
      <w:ind w:left="624" w:hanging="624"/>
      <w:outlineLvl w:val="7"/>
    </w:pPr>
    <w:rPr>
      <w:rFonts w:ascii="Arial" w:hAnsi="Arial" w:eastAsia="黑体" w:cs="Arial"/>
      <w:snapToGrid w:val="0"/>
      <w:sz w:val="21"/>
      <w:szCs w:val="21"/>
      <w:lang w:val="en-US" w:eastAsia="zh-CN" w:bidi="ar-SA"/>
    </w:rPr>
  </w:style>
  <w:style w:type="paragraph" w:customStyle="1" w:styleId="28">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9">
    <w:name w:val="页脚 Char"/>
    <w:basedOn w:val="24"/>
    <w:link w:val="16"/>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863E-08BA-4619-8818-4E034A4F609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2936</Words>
  <Characters>16740</Characters>
  <Lines>139</Lines>
  <Paragraphs>39</Paragraphs>
  <TotalTime>2</TotalTime>
  <ScaleCrop>false</ScaleCrop>
  <LinksUpToDate>false</LinksUpToDate>
  <CharactersWithSpaces>19637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2013-07-19T01:52:00Z</dcterms:created>
  <dc:creator>微软用户</dc:creator>
  <cp:lastModifiedBy>Administrator</cp:lastModifiedBy>
  <cp:lastPrinted>2009-12-22T09:36:00Z</cp:lastPrinted>
  <dcterms:modified xsi:type="dcterms:W3CDTF">2023-05-23T06:19:32Z</dcterms:modified>
  <dc:title>目  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2F1E3D875AED49C99A4A001C5DAB7055_13</vt:lpwstr>
  </property>
</Properties>
</file>