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4"/>
                    <a:srcRect/>
                    <a:stretch>
                      <a:fillRect/>
                    </a:stretch>
                  </pic:blipFill>
                  <pic:spPr>
                    <a:xfrm>
                      <a:off x="0" y="0"/>
                      <a:ext cx="7576820" cy="10796905"/>
                    </a:xfrm>
                    <a:prstGeom prst="rect">
                      <a:avLst/>
                    </a:prstGeom>
                    <a:noFill/>
                  </pic:spPr>
                </pic:pic>
              </a:graphicData>
            </a:graphic>
          </wp:anchor>
        </w:drawing>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阜平县财政局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阜平县财政局</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九</w:t>
      </w:r>
      <w:r>
        <w:rPr>
          <w:rFonts w:hint="eastAsia" w:ascii="楷体" w:hAnsi="楷体" w:eastAsia="楷体" w:cs="楷体"/>
          <w:b/>
          <w:sz w:val="44"/>
          <w:szCs w:val="44"/>
        </w:rPr>
        <w:t>月</w:t>
      </w: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阜平县财政局</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5"/>
                    <a:srcRect/>
                    <a:stretch>
                      <a:fillRect/>
                    </a:stretch>
                  </pic:blipFill>
                  <pic:spPr>
                    <a:xfrm>
                      <a:off x="0" y="0"/>
                      <a:ext cx="7585710" cy="10727055"/>
                    </a:xfrm>
                    <a:prstGeom prst="rect">
                      <a:avLst/>
                    </a:prstGeom>
                    <a:noFill/>
                  </pic:spPr>
                </pic:pic>
              </a:graphicData>
            </a:graphic>
          </wp:anchor>
        </w:drawing>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hint="eastAsia"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rPr>
        <w:t>（一）贯彻执行国家财税、税收的发展战略、方针、政策，组织财政收入，保证财政任务的完成，加强调控管理，统筹安排财政支出，支持生产建设和各项事业的发展，实现财政预算平衡。</w:t>
      </w:r>
    </w:p>
    <w:p>
      <w:pPr>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ascii="仿宋_GB2312" w:eastAsia="仿宋_GB2312" w:cs="仿宋_GB2312"/>
          <w:kern w:val="0"/>
          <w:sz w:val="32"/>
          <w:szCs w:val="32"/>
        </w:rPr>
      </w:pPr>
      <w:r>
        <w:rPr>
          <w:rFonts w:hint="eastAsia" w:ascii="仿宋_GB2312" w:eastAsia="仿宋_GB2312" w:cs="仿宋_GB2312"/>
          <w:kern w:val="0"/>
          <w:sz w:val="32"/>
          <w:szCs w:val="32"/>
        </w:rPr>
        <w:t>（二）承担财政预算管理的责任。负责编制年度县本级预决算草案并组织执行，汇编全县年度预决算草案；受县政府委托，向县人民代表大会报告全县及县本级预算及其执行情况，向县人大常委会报告决算；负责审核批复部门（单位）的年度预决算。</w:t>
      </w:r>
    </w:p>
    <w:p>
      <w:pPr>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ascii="仿宋_GB2312" w:eastAsia="仿宋_GB2312" w:cs="仿宋_GB2312"/>
          <w:kern w:val="0"/>
          <w:sz w:val="32"/>
          <w:szCs w:val="32"/>
        </w:rPr>
      </w:pPr>
      <w:r>
        <w:rPr>
          <w:rFonts w:hint="eastAsia" w:ascii="仿宋_GB2312" w:eastAsia="仿宋_GB2312" w:cs="仿宋_GB2312"/>
          <w:kern w:val="0"/>
          <w:sz w:val="32"/>
          <w:szCs w:val="32"/>
        </w:rPr>
        <w:t>（三）承担财政国库管理的责任。指导和监督县本级国库业务，按规定开展国库现金管理；负责县级政府采购监督管理；承担财政投资评审管理。</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ascii="仿宋_GB2312" w:eastAsia="仿宋_GB2312" w:cs="仿宋_GB2312"/>
          <w:kern w:val="0"/>
          <w:sz w:val="32"/>
          <w:szCs w:val="32"/>
        </w:rPr>
      </w:pPr>
      <w:r>
        <w:rPr>
          <w:rFonts w:hint="eastAsia" w:ascii="仿宋_GB2312" w:eastAsia="仿宋_GB2312" w:cs="仿宋_GB2312"/>
          <w:kern w:val="0"/>
          <w:sz w:val="32"/>
          <w:szCs w:val="32"/>
        </w:rPr>
        <w:t>（四）负责政府非税收入和政府性基金管理，按规定管理行政事业性收费；管理财政票据。</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ascii="仿宋_GB2312" w:eastAsia="仿宋_GB2312" w:cs="仿宋_GB2312"/>
          <w:kern w:val="0"/>
          <w:sz w:val="32"/>
          <w:szCs w:val="32"/>
        </w:rPr>
      </w:pPr>
      <w:r>
        <w:rPr>
          <w:rFonts w:hint="eastAsia" w:ascii="仿宋_GB2312" w:eastAsia="仿宋_GB2312" w:cs="仿宋_GB2312"/>
          <w:kern w:val="0"/>
          <w:sz w:val="32"/>
          <w:szCs w:val="32"/>
        </w:rPr>
        <w:t>（五）负责管理全县的国有资产产权登记及年检，国有资产评估的审核、备案，清产核资，国有资产的产权纠纷和流失查处工作。</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ascii="仿宋_GB2312" w:eastAsia="仿宋_GB2312" w:cs="仿宋_GB2312"/>
          <w:kern w:val="0"/>
          <w:sz w:val="32"/>
          <w:szCs w:val="32"/>
        </w:rPr>
      </w:pPr>
      <w:r>
        <w:rPr>
          <w:rFonts w:hint="eastAsia" w:ascii="仿宋_GB2312" w:eastAsia="仿宋_GB2312" w:cs="仿宋_GB2312"/>
          <w:kern w:val="0"/>
          <w:sz w:val="32"/>
          <w:szCs w:val="32"/>
        </w:rPr>
        <w:t>（六）承担县直机关事业单位公务车辆编制职责。</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eastAsia="仿宋_GB2312" w:cs="仿宋_GB2312"/>
          <w:kern w:val="0"/>
          <w:sz w:val="32"/>
          <w:szCs w:val="32"/>
        </w:rPr>
      </w:pPr>
      <w:r>
        <w:rPr>
          <w:rFonts w:hint="eastAsia" w:ascii="仿宋_GB2312" w:eastAsia="仿宋_GB2312" w:cs="仿宋_GB2312"/>
          <w:kern w:val="0"/>
          <w:sz w:val="32"/>
          <w:szCs w:val="32"/>
        </w:rPr>
        <w:t>（七）负责办理和监督县级财政的经济社会发展支出、县投资项目的财政拨款；负责有关政策性补贴和专项储备资金财政管理。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eastAsia="仿宋_GB2312" w:cs="仿宋_GB2312"/>
          <w:kern w:val="0"/>
          <w:sz w:val="32"/>
          <w:szCs w:val="32"/>
        </w:rPr>
      </w:pPr>
      <w:r>
        <w:rPr>
          <w:rFonts w:hint="eastAsia" w:ascii="仿宋_GB2312" w:eastAsia="仿宋_GB2312" w:cs="仿宋_GB2312"/>
          <w:kern w:val="0"/>
          <w:sz w:val="32"/>
          <w:szCs w:val="32"/>
        </w:rPr>
        <w:t>（八）会同有关部门管理县级财政社会保障和就业及医疗卫生支出。</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（九）负责管理全县会计工作，监督和规范会计行为，指导和监督注册会计师和会计师事务所的业务，指导和管理社会审计。</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（十）监督检查财税法规、政策的执行情况，反映财政收支管理中的重大问题。贯彻监督执行《企业财务通则》和分行业的财务会计制度，负责地方金融企业财务监管工作。</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（十一）正确处理上下级财政之间以及财政与企业事业单位，居民之间的分配关系。</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（十二）管理全县的国有资产产权登记及年检，国有资产评估的审核、备案，清产核资，国有资产的产权纠纷和流失查处工作。</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（十三）承办县政府交办的其他事项。</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根据《阜平县机构编制委员会关于设置阜平县农业综合开发办公室通知》的规定，农开办主要职责：</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贯彻执行国家农业综合开发方针、政策；指定全县农业综合开发规划和实施计划；对全县农业综合开发工作进行综合协调和服务；督促检查农业综合开发项目及其计划执行情况；管理全县农业综合开发资金；管理和组织实施国家立项的农业综合开发土地治理项目、多种经营项目、科技项目以及其他农业综合开发项目；承办县政府和上级主管部门交办的其他事项。</w:t>
      </w:r>
    </w:p>
    <w:p>
      <w:pPr>
        <w:keepNext w:val="0"/>
        <w:keepLines w:val="0"/>
        <w:pageBreakBefore w:val="0"/>
        <w:widowControl/>
        <w:kinsoku/>
        <w:wordWrap/>
        <w:overflowPunct/>
        <w:topLinePunct w:val="0"/>
        <w:autoSpaceDE/>
        <w:autoSpaceDN/>
        <w:bidi w:val="0"/>
        <w:adjustRightInd/>
        <w:snapToGrid/>
        <w:spacing w:after="0" w:line="560" w:lineRule="exact"/>
        <w:jc w:val="left"/>
        <w:textAlignment w:val="auto"/>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我单位人员编制共38人，实有人数34人。根据部门决算编报要求，纳入我单位2018年决算编报范围的单位共2个，详细情况如下：</w:t>
      </w:r>
    </w:p>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tbl>
      <w:tblPr>
        <w:tblStyle w:val="13"/>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1" w:hRule="atLeast"/>
          <w:jc w:val="center"/>
        </w:trPr>
        <w:tc>
          <w:tcPr>
            <w:tcW w:w="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1" w:after="0" w:afterAutospacing="0" w:line="560" w:lineRule="exact"/>
              <w:ind w:left="0" w:right="0"/>
              <w:jc w:val="center"/>
              <w:rPr>
                <w:rFonts w:hint="default" w:ascii="仿宋_GB2312" w:hAnsi="Cambria" w:eastAsia="仿宋_GB2312" w:cs="ArialUnicodeMS"/>
                <w:b/>
                <w:bCs/>
                <w:kern w:val="0"/>
                <w:sz w:val="28"/>
                <w:szCs w:val="28"/>
              </w:rPr>
            </w:pPr>
            <w:r>
              <w:rPr>
                <w:rFonts w:hint="default" w:ascii="仿宋_GB2312" w:hAnsi="Cambria" w:eastAsia="仿宋_GB2312" w:cs="ArialUnicodeMS"/>
                <w:b/>
                <w:bCs/>
                <w:kern w:val="0"/>
                <w:sz w:val="28"/>
                <w:szCs w:val="28"/>
                <w:lang w:val="en-US" w:eastAsia="zh-CN" w:bidi="ar"/>
              </w:rPr>
              <w:t>序号</w:t>
            </w:r>
          </w:p>
        </w:tc>
        <w:tc>
          <w:tcPr>
            <w:tcW w:w="3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1" w:after="0" w:afterAutospacing="0" w:line="560" w:lineRule="exact"/>
              <w:ind w:left="0" w:right="0"/>
              <w:jc w:val="center"/>
              <w:rPr>
                <w:rFonts w:hint="default" w:ascii="仿宋_GB2312" w:hAnsi="Cambria" w:eastAsia="仿宋_GB2312" w:cs="ArialUnicodeMS"/>
                <w:b/>
                <w:bCs/>
                <w:kern w:val="0"/>
                <w:sz w:val="28"/>
                <w:szCs w:val="28"/>
              </w:rPr>
            </w:pPr>
            <w:r>
              <w:rPr>
                <w:rFonts w:hint="default" w:ascii="仿宋_GB2312" w:hAnsi="Cambria" w:eastAsia="仿宋_GB2312" w:cs="ArialUnicodeMS"/>
                <w:b/>
                <w:bCs/>
                <w:kern w:val="0"/>
                <w:sz w:val="28"/>
                <w:szCs w:val="28"/>
                <w:lang w:val="en-US" w:eastAsia="zh-CN" w:bidi="ar"/>
              </w:rPr>
              <w:t>单位名称</w:t>
            </w:r>
          </w:p>
        </w:tc>
        <w:tc>
          <w:tcPr>
            <w:tcW w:w="2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1" w:after="0" w:afterAutospacing="0" w:line="560" w:lineRule="exact"/>
              <w:ind w:left="0" w:right="0"/>
              <w:jc w:val="center"/>
              <w:rPr>
                <w:rFonts w:hint="default" w:ascii="仿宋_GB2312" w:hAnsi="Cambria" w:eastAsia="仿宋_GB2312" w:cs="ArialUnicodeMS"/>
                <w:b/>
                <w:bCs/>
                <w:kern w:val="0"/>
                <w:sz w:val="28"/>
                <w:szCs w:val="28"/>
              </w:rPr>
            </w:pPr>
            <w:r>
              <w:rPr>
                <w:rFonts w:hint="default" w:ascii="仿宋_GB2312" w:hAnsi="Cambria" w:eastAsia="仿宋_GB2312" w:cs="ArialUnicodeMS"/>
                <w:b/>
                <w:bCs/>
                <w:kern w:val="0"/>
                <w:sz w:val="28"/>
                <w:szCs w:val="28"/>
                <w:lang w:val="en-US" w:eastAsia="zh-CN" w:bidi="ar"/>
              </w:rPr>
              <w:t>单位基本性质</w:t>
            </w:r>
          </w:p>
        </w:tc>
        <w:tc>
          <w:tcPr>
            <w:tcW w:w="2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1" w:after="0" w:afterAutospacing="0" w:line="560" w:lineRule="exact"/>
              <w:ind w:left="0" w:right="0"/>
              <w:jc w:val="center"/>
              <w:rPr>
                <w:rFonts w:hint="default" w:ascii="仿宋_GB2312" w:hAnsi="Cambria" w:eastAsia="仿宋_GB2312" w:cs="ArialUnicodeMS"/>
                <w:b/>
                <w:bCs/>
                <w:kern w:val="0"/>
                <w:sz w:val="28"/>
                <w:szCs w:val="28"/>
              </w:rPr>
            </w:pPr>
            <w:r>
              <w:rPr>
                <w:rFonts w:hint="default" w:ascii="仿宋_GB2312" w:hAnsi="Cambria" w:eastAsia="仿宋_GB2312" w:cs="ArialUnicodeMS"/>
                <w:b/>
                <w:bCs/>
                <w:kern w:val="0"/>
                <w:sz w:val="28"/>
                <w:szCs w:val="28"/>
                <w:lang w:val="en-US" w:eastAsia="zh-CN" w:bidi="ar"/>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6" w:hRule="atLeast"/>
          <w:jc w:val="center"/>
        </w:trPr>
        <w:tc>
          <w:tcPr>
            <w:tcW w:w="9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center"/>
              <w:rPr>
                <w:rFonts w:hint="default" w:ascii="仿宋_GB2312" w:hAnsi="Cambria" w:eastAsia="仿宋_GB2312" w:cs="ArialUnicodeMS"/>
                <w:kern w:val="0"/>
                <w:sz w:val="28"/>
                <w:szCs w:val="28"/>
              </w:rPr>
            </w:pPr>
            <w:r>
              <w:rPr>
                <w:rFonts w:hint="default" w:ascii="仿宋_GB2312" w:hAnsi="Cambria" w:eastAsia="仿宋_GB2312" w:cs="ArialUnicodeMS"/>
                <w:kern w:val="0"/>
                <w:sz w:val="28"/>
                <w:szCs w:val="28"/>
                <w:lang w:val="en-US" w:eastAsia="zh-CN" w:bidi="ar"/>
              </w:rPr>
              <w:t>1</w:t>
            </w:r>
          </w:p>
        </w:tc>
        <w:tc>
          <w:tcPr>
            <w:tcW w:w="34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both"/>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阜平财政局</w:t>
            </w:r>
          </w:p>
        </w:tc>
        <w:tc>
          <w:tcPr>
            <w:tcW w:w="24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w:t>
            </w:r>
          </w:p>
        </w:tc>
        <w:tc>
          <w:tcPr>
            <w:tcW w:w="26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6" w:hRule="atLeast"/>
          <w:jc w:val="center"/>
        </w:trPr>
        <w:tc>
          <w:tcPr>
            <w:tcW w:w="9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center"/>
              <w:rPr>
                <w:rFonts w:hint="default" w:ascii="仿宋_GB2312" w:hAnsi="Cambria" w:eastAsia="仿宋_GB2312" w:cs="ArialUnicodeMS"/>
                <w:kern w:val="0"/>
                <w:sz w:val="28"/>
                <w:szCs w:val="28"/>
              </w:rPr>
            </w:pPr>
            <w:r>
              <w:rPr>
                <w:rFonts w:hint="default" w:ascii="仿宋_GB2312" w:hAnsi="Cambria" w:eastAsia="仿宋_GB2312" w:cs="ArialUnicodeMS"/>
                <w:kern w:val="0"/>
                <w:sz w:val="28"/>
                <w:szCs w:val="28"/>
                <w:lang w:val="en-US" w:eastAsia="zh-CN" w:bidi="ar"/>
              </w:rPr>
              <w:t>2</w:t>
            </w:r>
          </w:p>
        </w:tc>
        <w:tc>
          <w:tcPr>
            <w:tcW w:w="34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both"/>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阜平县农开办</w:t>
            </w:r>
          </w:p>
        </w:tc>
        <w:tc>
          <w:tcPr>
            <w:tcW w:w="24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w:t>
            </w:r>
          </w:p>
        </w:tc>
        <w:tc>
          <w:tcPr>
            <w:tcW w:w="26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1" w:after="0" w:afterAutospacing="0" w:line="560" w:lineRule="exact"/>
              <w:ind w:left="0" w:right="0"/>
              <w:jc w:val="center"/>
              <w:rPr>
                <w:rFonts w:hint="default"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财政拨款</w:t>
            </w:r>
          </w:p>
        </w:tc>
      </w:tr>
    </w:tbl>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5"/>
                    <a:srcRect/>
                    <a:stretch>
                      <a:fillRect/>
                    </a:stretch>
                  </pic:blipFill>
                  <pic:spPr>
                    <a:xfrm>
                      <a:off x="0" y="0"/>
                      <a:ext cx="7571105" cy="10680065"/>
                    </a:xfrm>
                    <a:prstGeom prst="rect">
                      <a:avLst/>
                    </a:prstGeom>
                    <a:noFill/>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pict>
          <v:group id="组合 10" o:spid="_x0000_s1150" o:spt="203" style="position:absolute;left:0pt;margin-left:-80.9pt;margin-top:23.8pt;height:41.2pt;width:243.2pt;mso-position-vertical-relative:page;z-index:251682816;mso-width-relative:page;mso-height-relative:page;" coordorigin="4551,52615" coordsize="8546,1398">
            <o:lock v:ext="edit"/>
            <v:rect id="矩形 13" o:spid="_x0000_s1151" o:spt="1" style="position:absolute;left:4551;top:52615;height:1175;width:8546;v-text-anchor:middle;" fillcolor="#96DA9D" filled="t" stroked="f" coordsize="21600,21600">
              <v:path/>
              <v:fill on="t" focussize="0,0"/>
              <v:stroke on="f" weight="2pt"/>
              <v:imagedata o:title=""/>
              <o:lock v:ext="edit"/>
            </v:rect>
            <v:rect id="矩形 14" o:spid="_x0000_s11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drawing>
          <wp:anchor distT="0" distB="0" distL="114300" distR="114300" simplePos="0" relativeHeight="251670528" behindDoc="0" locked="0" layoutInCell="1" allowOverlap="1">
            <wp:simplePos x="0" y="0"/>
            <wp:positionH relativeFrom="column">
              <wp:posOffset>-400050</wp:posOffset>
            </wp:positionH>
            <wp:positionV relativeFrom="paragraph">
              <wp:posOffset>382270</wp:posOffset>
            </wp:positionV>
            <wp:extent cx="6249035" cy="7350125"/>
            <wp:effectExtent l="0" t="0" r="18415" b="317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6249035" cy="735012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1552" behindDoc="0" locked="0" layoutInCell="1" allowOverlap="1">
            <wp:simplePos x="0" y="0"/>
            <wp:positionH relativeFrom="column">
              <wp:posOffset>-19050</wp:posOffset>
            </wp:positionH>
            <wp:positionV relativeFrom="paragraph">
              <wp:posOffset>-8255</wp:posOffset>
            </wp:positionV>
            <wp:extent cx="5619750" cy="8133715"/>
            <wp:effectExtent l="0" t="0" r="0" b="635"/>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619750" cy="813371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2576" behindDoc="0" locked="0" layoutInCell="1" allowOverlap="1">
            <wp:simplePos x="0" y="0"/>
            <wp:positionH relativeFrom="column">
              <wp:posOffset>-391795</wp:posOffset>
            </wp:positionH>
            <wp:positionV relativeFrom="paragraph">
              <wp:posOffset>163195</wp:posOffset>
            </wp:positionV>
            <wp:extent cx="6930390" cy="6930390"/>
            <wp:effectExtent l="0" t="0" r="3810" b="3810"/>
            <wp:wrapSquare wrapText="bothSides"/>
            <wp:docPr id="10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2"/>
                    <pic:cNvPicPr>
                      <a:picLocks noChangeAspect="1"/>
                    </pic:cNvPicPr>
                  </pic:nvPicPr>
                  <pic:blipFill>
                    <a:blip r:embed="rId8"/>
                    <a:stretch>
                      <a:fillRect/>
                    </a:stretch>
                  </pic:blipFill>
                  <pic:spPr>
                    <a:xfrm>
                      <a:off x="0" y="0"/>
                      <a:ext cx="6930390" cy="6930390"/>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3600" behindDoc="0" locked="0" layoutInCell="1" allowOverlap="1">
            <wp:simplePos x="0" y="0"/>
            <wp:positionH relativeFrom="column">
              <wp:posOffset>180975</wp:posOffset>
            </wp:positionH>
            <wp:positionV relativeFrom="paragraph">
              <wp:posOffset>39370</wp:posOffset>
            </wp:positionV>
            <wp:extent cx="5611495" cy="7847965"/>
            <wp:effectExtent l="0" t="0" r="8255" b="635"/>
            <wp:wrapSquare wrapText="bothSides"/>
            <wp:docPr id="10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3"/>
                    <pic:cNvPicPr>
                      <a:picLocks noChangeAspect="1"/>
                    </pic:cNvPicPr>
                  </pic:nvPicPr>
                  <pic:blipFill>
                    <a:blip r:embed="rId9"/>
                    <a:stretch>
                      <a:fillRect/>
                    </a:stretch>
                  </pic:blipFill>
                  <pic:spPr>
                    <a:xfrm>
                      <a:off x="0" y="0"/>
                      <a:ext cx="5611495" cy="784796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4624" behindDoc="0" locked="0" layoutInCell="1" allowOverlap="1">
            <wp:simplePos x="0" y="0"/>
            <wp:positionH relativeFrom="column">
              <wp:posOffset>180975</wp:posOffset>
            </wp:positionH>
            <wp:positionV relativeFrom="paragraph">
              <wp:posOffset>-27305</wp:posOffset>
            </wp:positionV>
            <wp:extent cx="5608955" cy="7982585"/>
            <wp:effectExtent l="0" t="0" r="10795" b="18415"/>
            <wp:wrapSquare wrapText="bothSides"/>
            <wp:docPr id="11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4"/>
                    <pic:cNvPicPr>
                      <a:picLocks noChangeAspect="1"/>
                    </pic:cNvPicPr>
                  </pic:nvPicPr>
                  <pic:blipFill>
                    <a:blip r:embed="rId10"/>
                    <a:stretch>
                      <a:fillRect/>
                    </a:stretch>
                  </pic:blipFill>
                  <pic:spPr>
                    <a:xfrm>
                      <a:off x="0" y="0"/>
                      <a:ext cx="5608955" cy="798258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5648" behindDoc="0" locked="0" layoutInCell="1" allowOverlap="1">
            <wp:simplePos x="0" y="0"/>
            <wp:positionH relativeFrom="column">
              <wp:posOffset>-142875</wp:posOffset>
            </wp:positionH>
            <wp:positionV relativeFrom="paragraph">
              <wp:posOffset>100965</wp:posOffset>
            </wp:positionV>
            <wp:extent cx="5558155" cy="7558405"/>
            <wp:effectExtent l="0" t="0" r="4445" b="4445"/>
            <wp:wrapSquare wrapText="bothSides"/>
            <wp:docPr id="11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7"/>
                    <pic:cNvPicPr>
                      <a:picLocks noChangeAspect="1"/>
                    </pic:cNvPicPr>
                  </pic:nvPicPr>
                  <pic:blipFill>
                    <a:blip r:embed="rId11"/>
                    <a:stretch>
                      <a:fillRect/>
                    </a:stretch>
                  </pic:blipFill>
                  <pic:spPr>
                    <a:xfrm>
                      <a:off x="0" y="0"/>
                      <a:ext cx="5558155" cy="755840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6672" behindDoc="0" locked="0" layoutInCell="1" allowOverlap="1">
            <wp:simplePos x="0" y="0"/>
            <wp:positionH relativeFrom="column">
              <wp:posOffset>-401320</wp:posOffset>
            </wp:positionH>
            <wp:positionV relativeFrom="paragraph">
              <wp:posOffset>1745615</wp:posOffset>
            </wp:positionV>
            <wp:extent cx="6557645" cy="2068830"/>
            <wp:effectExtent l="0" t="0" r="14605" b="7620"/>
            <wp:wrapSquare wrapText="bothSides"/>
            <wp:docPr id="11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8"/>
                    <pic:cNvPicPr>
                      <a:picLocks noChangeAspect="1"/>
                    </pic:cNvPicPr>
                  </pic:nvPicPr>
                  <pic:blipFill>
                    <a:blip r:embed="rId12"/>
                    <a:stretch>
                      <a:fillRect/>
                    </a:stretch>
                  </pic:blipFill>
                  <pic:spPr>
                    <a:xfrm>
                      <a:off x="0" y="0"/>
                      <a:ext cx="6557645" cy="2068830"/>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77696" behindDoc="0" locked="0" layoutInCell="1" allowOverlap="1">
            <wp:simplePos x="0" y="0"/>
            <wp:positionH relativeFrom="column">
              <wp:posOffset>133350</wp:posOffset>
            </wp:positionH>
            <wp:positionV relativeFrom="paragraph">
              <wp:posOffset>848995</wp:posOffset>
            </wp:positionV>
            <wp:extent cx="5778500" cy="4738370"/>
            <wp:effectExtent l="0" t="0" r="12700" b="508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778500" cy="4738370"/>
                    </a:xfrm>
                    <a:prstGeom prst="rect">
                      <a:avLst/>
                    </a:prstGeom>
                    <a:noFill/>
                    <a:ln>
                      <a:noFill/>
                    </a:ln>
                  </pic:spPr>
                </pic:pic>
              </a:graphicData>
            </a:graphic>
          </wp:anchor>
        </w:drawing>
      </w:r>
    </w:p>
    <w:tbl>
      <w:tblPr>
        <w:tblStyle w:val="13"/>
        <w:tblW w:w="8940" w:type="dxa"/>
        <w:tblInd w:w="0" w:type="dxa"/>
        <w:tblLayout w:type="fixed"/>
        <w:tblCellMar>
          <w:top w:w="0" w:type="dxa"/>
          <w:left w:w="0" w:type="dxa"/>
          <w:bottom w:w="0" w:type="dxa"/>
          <w:right w:w="0" w:type="dxa"/>
        </w:tblCellMar>
      </w:tblPr>
      <w:tblGrid>
        <w:gridCol w:w="8940"/>
      </w:tblGrid>
      <w:tr>
        <w:tblPrEx>
          <w:tblCellMar>
            <w:top w:w="0" w:type="dxa"/>
            <w:left w:w="0" w:type="dxa"/>
            <w:bottom w:w="0" w:type="dxa"/>
            <w:right w:w="0" w:type="dxa"/>
          </w:tblCellMar>
        </w:tblPrEx>
        <w:trPr>
          <w:trHeight w:val="4988" w:hRule="atLeast"/>
        </w:trPr>
        <w:tc>
          <w:tcPr>
            <w:tcW w:w="8940"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黑体" w:hAnsi="宋体" w:eastAsia="黑体" w:cs="黑体"/>
                <w:color w:val="000000"/>
                <w:sz w:val="40"/>
                <w:szCs w:val="40"/>
              </w:rPr>
            </w:pPr>
            <w:r>
              <w:rPr>
                <w:rFonts w:hint="default"/>
              </w:rPr>
              <w:drawing>
                <wp:inline distT="0" distB="0" distL="114300" distR="114300">
                  <wp:extent cx="5653405" cy="2734945"/>
                  <wp:effectExtent l="0" t="0" r="4445" b="8255"/>
                  <wp:docPr id="11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0"/>
                          <pic:cNvPicPr>
                            <a:picLocks noChangeAspect="1"/>
                          </pic:cNvPicPr>
                        </pic:nvPicPr>
                        <pic:blipFill>
                          <a:blip r:embed="rId14"/>
                          <a:stretch>
                            <a:fillRect/>
                          </a:stretch>
                        </pic:blipFill>
                        <pic:spPr>
                          <a:xfrm>
                            <a:off x="0" y="0"/>
                            <a:ext cx="5653405" cy="2734945"/>
                          </a:xfrm>
                          <a:prstGeom prst="rect">
                            <a:avLst/>
                          </a:prstGeom>
                          <a:noFill/>
                          <a:ln>
                            <a:noFill/>
                          </a:ln>
                        </pic:spPr>
                      </pic:pic>
                    </a:graphicData>
                  </a:graphic>
                </wp:inline>
              </w:drawing>
            </w:r>
            <w:r>
              <w:rPr>
                <w:rFonts w:hint="default"/>
              </w:rPr>
              <w:pict>
                <v:group id="组合 61" o:spid="_x0000_s1068" o:spt="203" style="position:absolute;left:0pt;margin-left:-80.9pt;margin-top:-81.1pt;height:41.2pt;width:243.2pt;mso-position-vertical-relative:page;z-index:251677696;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r>
    </w:tbl>
    <w:p>
      <w:pPr>
        <w:widowControl/>
        <w:spacing w:after="0" w:line="560" w:lineRule="exact"/>
        <w:jc w:val="left"/>
        <w:rPr>
          <w:rFonts w:ascii="仿宋_GB2312" w:hAnsi="宋体" w:eastAsia="仿宋_GB2312"/>
          <w:b/>
          <w:sz w:val="28"/>
          <w:szCs w:val="28"/>
          <w:highlight w:val="yellow"/>
        </w:rPr>
      </w:pPr>
    </w:p>
    <w:p/>
    <w:p/>
    <w:p/>
    <w:p/>
    <w:p/>
    <w:p/>
    <w:p/>
    <w:p/>
    <w:p/>
    <w:p/>
    <w:p/>
    <w:p>
      <w:r>
        <w:drawing>
          <wp:inline distT="0" distB="0" distL="114300" distR="114300">
            <wp:extent cx="5607685" cy="4430395"/>
            <wp:effectExtent l="0" t="0" r="12065" b="8255"/>
            <wp:docPr id="11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1"/>
                    <pic:cNvPicPr>
                      <a:picLocks noChangeAspect="1"/>
                    </pic:cNvPicPr>
                  </pic:nvPicPr>
                  <pic:blipFill>
                    <a:blip r:embed="rId15"/>
                    <a:stretch>
                      <a:fillRect/>
                    </a:stretch>
                  </pic:blipFill>
                  <pic:spPr>
                    <a:xfrm>
                      <a:off x="0" y="0"/>
                      <a:ext cx="5607685" cy="4430395"/>
                    </a:xfrm>
                    <a:prstGeom prst="rect">
                      <a:avLst/>
                    </a:prstGeom>
                    <a:noFill/>
                    <a:ln>
                      <a:noFill/>
                    </a:ln>
                  </pic:spPr>
                </pic:pic>
              </a:graphicData>
            </a:graphic>
          </wp:inline>
        </w:drawing>
      </w:r>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5"/>
                    <a:srcRect/>
                    <a:stretch>
                      <a:fillRect/>
                    </a:stretch>
                  </pic:blipFill>
                  <pic:spPr>
                    <a:xfrm>
                      <a:off x="0" y="0"/>
                      <a:ext cx="7550150" cy="10680065"/>
                    </a:xfrm>
                    <a:prstGeom prst="rect">
                      <a:avLst/>
                    </a:prstGeom>
                    <a:noFill/>
                  </pic:spPr>
                </pic:pic>
              </a:graphicData>
            </a:graphic>
          </wp:anchor>
        </w:drawing>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numPr>
          <w:ilvl w:val="0"/>
          <w:numId w:val="1"/>
        </w:numPr>
        <w:spacing w:before="0" w:after="0" w:line="580" w:lineRule="exact"/>
        <w:ind w:firstLine="640" w:firstLineChars="200"/>
        <w:rPr>
          <w:rFonts w:hint="eastAsia" w:ascii="黑体" w:eastAsia="黑体"/>
          <w:b w:val="0"/>
          <w:bCs w:val="0"/>
        </w:rPr>
      </w:pPr>
      <w:r>
        <w:rPr>
          <w:rFonts w:hint="eastAsia" w:ascii="黑体" w:eastAsia="黑体"/>
          <w:b w:val="0"/>
          <w:bCs w:val="0"/>
        </w:rPr>
        <w:t>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82816;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ascii="仿宋_GB2312" w:hAnsi="Calibri" w:eastAsia="仿宋_GB2312" w:cs="仿宋_GB2312"/>
          <w:kern w:val="2"/>
          <w:sz w:val="32"/>
          <w:szCs w:val="32"/>
          <w:lang w:val="en-US" w:eastAsia="zh-CN" w:bidi="ar-SA"/>
        </w:rPr>
      </w:pPr>
      <w:r>
        <w:rPr>
          <w:rFonts w:hint="eastAsia" w:ascii="仿宋_GB2312" w:hAnsi="Calibri" w:eastAsia="仿宋_GB2312" w:cs="仿宋_GB2312"/>
          <w:kern w:val="2"/>
          <w:sz w:val="32"/>
          <w:szCs w:val="32"/>
          <w:lang w:val="en-US" w:eastAsia="zh-CN" w:bidi="ar-SA"/>
        </w:rPr>
        <w:t>本部门</w:t>
      </w:r>
      <w:r>
        <w:rPr>
          <w:rFonts w:ascii="仿宋_GB2312" w:hAnsi="Calibri" w:eastAsia="仿宋_GB2312" w:cs="仿宋_GB2312"/>
          <w:kern w:val="2"/>
          <w:sz w:val="32"/>
          <w:szCs w:val="32"/>
          <w:lang w:val="en-US" w:eastAsia="zh-CN" w:bidi="ar-SA"/>
        </w:rPr>
        <w:t>2018</w:t>
      </w:r>
      <w:r>
        <w:rPr>
          <w:rFonts w:hint="eastAsia" w:ascii="仿宋_GB2312" w:hAnsi="Calibri" w:eastAsia="仿宋_GB2312" w:cs="仿宋_GB2312"/>
          <w:kern w:val="2"/>
          <w:sz w:val="32"/>
          <w:szCs w:val="32"/>
          <w:lang w:val="en-US" w:eastAsia="zh-CN" w:bidi="ar-SA"/>
        </w:rPr>
        <w:t>年度收入总计（含结转和结余）12788.20万元。与</w:t>
      </w:r>
      <w:r>
        <w:rPr>
          <w:rFonts w:ascii="仿宋_GB2312" w:hAnsi="Calibri" w:eastAsia="仿宋_GB2312" w:cs="仿宋_GB2312"/>
          <w:kern w:val="2"/>
          <w:sz w:val="32"/>
          <w:szCs w:val="32"/>
          <w:lang w:val="en-US" w:eastAsia="zh-CN" w:bidi="ar-SA"/>
        </w:rPr>
        <w:t>2017</w:t>
      </w:r>
      <w:r>
        <w:rPr>
          <w:rFonts w:hint="eastAsia" w:ascii="仿宋_GB2312" w:hAnsi="Calibri" w:eastAsia="仿宋_GB2312" w:cs="仿宋_GB2312"/>
          <w:kern w:val="2"/>
          <w:sz w:val="32"/>
          <w:szCs w:val="32"/>
          <w:lang w:val="en-US" w:eastAsia="zh-CN" w:bidi="ar-SA"/>
        </w:rPr>
        <w:t>年度决算相比，收入</w:t>
      </w:r>
      <w:r>
        <w:rPr>
          <w:rFonts w:hint="eastAsia" w:ascii="仿宋_GB2312" w:hAnsi="Calibri" w:eastAsia="仿宋_GB2312" w:cs="仿宋_GB2312"/>
          <w:kern w:val="2"/>
          <w:sz w:val="32"/>
          <w:szCs w:val="32"/>
          <w:highlight w:val="none"/>
          <w:lang w:val="en-US" w:eastAsia="zh-CN" w:bidi="ar-SA"/>
        </w:rPr>
        <w:t>减少10534.49</w:t>
      </w:r>
      <w:r>
        <w:rPr>
          <w:rFonts w:hint="eastAsia" w:ascii="仿宋_GB2312" w:hAnsi="Calibri" w:eastAsia="仿宋_GB2312" w:cs="仿宋_GB2312"/>
          <w:kern w:val="2"/>
          <w:sz w:val="32"/>
          <w:szCs w:val="32"/>
          <w:lang w:val="en-US" w:eastAsia="zh-CN" w:bidi="ar-SA"/>
        </w:rPr>
        <w:t>万元，降低46.75%，主要原因是</w:t>
      </w:r>
      <w:r>
        <w:rPr>
          <w:rFonts w:hint="eastAsia" w:ascii="仿宋_GB2312" w:eastAsia="仿宋_GB2312" w:cs="仿宋"/>
          <w:color w:val="000000"/>
          <w:sz w:val="32"/>
          <w:szCs w:val="32"/>
        </w:rPr>
        <w:t>为贯彻落实中央八项规定及厉行节约，压减了各项费用支出。</w:t>
      </w:r>
      <w:r>
        <w:rPr>
          <w:rFonts w:hint="eastAsia" w:ascii="仿宋_GB2312" w:hAnsi="Calibri" w:eastAsia="仿宋_GB2312" w:cs="仿宋_GB2312"/>
          <w:kern w:val="2"/>
          <w:sz w:val="32"/>
          <w:szCs w:val="32"/>
          <w:lang w:val="en-US" w:eastAsia="zh-CN" w:bidi="ar-SA"/>
        </w:rPr>
        <w:t>本部门</w:t>
      </w:r>
      <w:r>
        <w:rPr>
          <w:rFonts w:ascii="仿宋_GB2312" w:hAnsi="Calibri" w:eastAsia="仿宋_GB2312" w:cs="仿宋_GB2312"/>
          <w:kern w:val="2"/>
          <w:sz w:val="32"/>
          <w:szCs w:val="32"/>
          <w:lang w:val="en-US" w:eastAsia="zh-CN" w:bidi="ar-SA"/>
        </w:rPr>
        <w:t>2018</w:t>
      </w:r>
      <w:r>
        <w:rPr>
          <w:rFonts w:hint="eastAsia" w:ascii="仿宋_GB2312" w:hAnsi="Calibri" w:eastAsia="仿宋_GB2312" w:cs="仿宋_GB2312"/>
          <w:kern w:val="2"/>
          <w:sz w:val="32"/>
          <w:szCs w:val="32"/>
          <w:lang w:val="en-US" w:eastAsia="zh-CN" w:bidi="ar-SA"/>
        </w:rPr>
        <w:t>年度支出总计（含结转和结余）12788.20万元。与</w:t>
      </w:r>
      <w:r>
        <w:rPr>
          <w:rFonts w:ascii="仿宋_GB2312" w:hAnsi="Calibri" w:eastAsia="仿宋_GB2312" w:cs="仿宋_GB2312"/>
          <w:kern w:val="2"/>
          <w:sz w:val="32"/>
          <w:szCs w:val="32"/>
          <w:lang w:val="en-US" w:eastAsia="zh-CN" w:bidi="ar-SA"/>
        </w:rPr>
        <w:t>2017</w:t>
      </w:r>
      <w:r>
        <w:rPr>
          <w:rFonts w:hint="eastAsia" w:ascii="仿宋_GB2312" w:hAnsi="Calibri" w:eastAsia="仿宋_GB2312" w:cs="仿宋_GB2312"/>
          <w:kern w:val="2"/>
          <w:sz w:val="32"/>
          <w:szCs w:val="32"/>
          <w:lang w:val="en-US" w:eastAsia="zh-CN" w:bidi="ar-SA"/>
        </w:rPr>
        <w:t>年度决算相比，支出减少10534.49万元，降低46.75%，主要原因是</w:t>
      </w:r>
      <w:r>
        <w:rPr>
          <w:rFonts w:hint="eastAsia" w:ascii="仿宋_GB2312" w:eastAsia="仿宋_GB2312" w:cs="仿宋"/>
          <w:color w:val="000000"/>
          <w:sz w:val="32"/>
          <w:szCs w:val="32"/>
        </w:rPr>
        <w:t>为贯彻落实中央八项规定及厉行节约，压减了各项费用支出。</w:t>
      </w:r>
    </w:p>
    <w:p>
      <w:pPr>
        <w:pStyle w:val="3"/>
        <w:numPr>
          <w:ilvl w:val="0"/>
          <w:numId w:val="1"/>
        </w:numPr>
        <w:spacing w:before="0" w:after="0" w:line="580" w:lineRule="exact"/>
        <w:ind w:left="0" w:leftChars="0" w:firstLine="640" w:firstLineChars="200"/>
        <w:rPr>
          <w:rFonts w:hint="eastAsia" w:ascii="黑体" w:eastAsia="黑体"/>
          <w:b w:val="0"/>
          <w:bCs w:val="0"/>
        </w:rPr>
      </w:pPr>
      <w:r>
        <w:rPr>
          <w:rFonts w:hint="eastAsia" w:ascii="黑体" w:eastAsia="黑体"/>
          <w:b w:val="0"/>
          <w:bCs w:val="0"/>
        </w:rPr>
        <w:t>收入决算情况说明</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Calibri" w:eastAsia="仿宋_GB2312" w:cs="仿宋_GB2312"/>
          <w:kern w:val="2"/>
          <w:sz w:val="32"/>
          <w:szCs w:val="32"/>
          <w:lang w:val="en-US" w:eastAsia="zh-CN" w:bidi="ar-SA"/>
        </w:rPr>
      </w:pPr>
      <w:r>
        <w:rPr>
          <w:rFonts w:hint="eastAsia" w:ascii="仿宋_GB2312" w:hAnsi="Calibri" w:eastAsia="仿宋_GB2312" w:cs="仿宋_GB2312"/>
          <w:kern w:val="2"/>
          <w:sz w:val="32"/>
          <w:szCs w:val="32"/>
          <w:lang w:val="en-US" w:eastAsia="zh-CN" w:bidi="ar-SA"/>
        </w:rPr>
        <w:t>本部门2018年度本年收入合计12788.20万元，其中：财政拨款收入12788.20万元，占100%；事业收入0万元，占0%；经营收入0万元，占0%；其他收入0万元，占0%。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12788.20</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447.22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3.5</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12340.98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96.5</w:t>
      </w:r>
      <w:r>
        <w:rPr>
          <w:rFonts w:ascii="仿宋_GB2312" w:eastAsia="仿宋_GB2312" w:cs="DengXian-Regular"/>
          <w:sz w:val="32"/>
          <w:szCs w:val="32"/>
        </w:rPr>
        <w:t>%</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w:t>
      </w:r>
      <w:r>
        <w:pict>
          <v:group id="组合 70" o:spid="_x0000_s1082" o:spt="203" style="position:absolute;left:0pt;margin-left:-79.5pt;margin-top:29.3pt;height:43.95pt;width:301.85pt;mso-position-vertical-relative:page;z-index:251678720;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hint="eastAsia" w:ascii="仿宋_GB2312" w:eastAsia="仿宋_GB2312" w:cs="仿宋"/>
          <w:color w:val="000000"/>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12788.20</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w:t>
      </w:r>
      <w:r>
        <w:rPr>
          <w:rFonts w:hint="eastAsia" w:ascii="仿宋_GB2312" w:eastAsia="仿宋_GB2312" w:cs="DengXian-Regular"/>
          <w:sz w:val="32"/>
          <w:szCs w:val="32"/>
          <w:lang w:val="en-US" w:eastAsia="zh-CN"/>
        </w:rPr>
        <w:t>9747.51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43.25%</w:t>
      </w:r>
      <w:r>
        <w:rPr>
          <w:rFonts w:hint="eastAsia" w:ascii="仿宋_GB2312" w:eastAsia="仿宋_GB2312" w:cs="DengXian-Regular"/>
          <w:sz w:val="32"/>
          <w:szCs w:val="32"/>
        </w:rPr>
        <w:t>，</w:t>
      </w:r>
      <w:r>
        <w:rPr>
          <w:rFonts w:hint="eastAsia" w:ascii="仿宋_GB2312" w:eastAsia="仿宋_GB2312" w:cs="DengXian-Regular"/>
          <w:sz w:val="32"/>
          <w:szCs w:val="32"/>
          <w:highlight w:val="none"/>
        </w:rPr>
        <w:t>主要是</w:t>
      </w:r>
      <w:r>
        <w:rPr>
          <w:rFonts w:hint="eastAsia" w:ascii="仿宋_GB2312" w:eastAsia="仿宋_GB2312" w:cs="仿宋"/>
          <w:color w:val="000000"/>
          <w:sz w:val="32"/>
          <w:szCs w:val="32"/>
        </w:rPr>
        <w:t>为贯彻落实中央八项规定及厉行节约，压减了各项费用支出</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12788.20</w:t>
      </w:r>
      <w:r>
        <w:rPr>
          <w:rFonts w:hint="eastAsia" w:ascii="仿宋_GB2312" w:eastAsia="仿宋_GB2312" w:cs="DengXian-Regular"/>
          <w:sz w:val="32"/>
          <w:szCs w:val="32"/>
        </w:rPr>
        <w:t>万元，减少</w:t>
      </w:r>
      <w:r>
        <w:rPr>
          <w:rFonts w:hint="eastAsia" w:ascii="仿宋_GB2312" w:eastAsia="仿宋_GB2312" w:cs="DengXian-Regular"/>
          <w:sz w:val="32"/>
          <w:szCs w:val="32"/>
          <w:lang w:val="en-US" w:eastAsia="zh-CN"/>
        </w:rPr>
        <w:t>9747.51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43.25%</w:t>
      </w:r>
      <w:r>
        <w:rPr>
          <w:rFonts w:hint="eastAsia" w:ascii="仿宋_GB2312" w:eastAsia="仿宋_GB2312" w:cs="DengXian-Regular"/>
          <w:sz w:val="32"/>
          <w:szCs w:val="32"/>
        </w:rPr>
        <w:t>，主要是</w:t>
      </w:r>
      <w:r>
        <w:rPr>
          <w:rFonts w:hint="eastAsia" w:ascii="仿宋_GB2312" w:eastAsia="仿宋_GB2312" w:cs="仿宋"/>
          <w:color w:val="000000"/>
          <w:sz w:val="32"/>
          <w:szCs w:val="32"/>
        </w:rPr>
        <w:t>为贯彻落实中央八项规定及厉行节约，压减了各项费用支出</w:t>
      </w:r>
      <w:r>
        <w:rPr>
          <w:rFonts w:hint="eastAsia" w:ascii="仿宋_GB2312" w:eastAsia="仿宋_GB2312" w:cs="仿宋"/>
          <w:color w:val="000000"/>
          <w:sz w:val="32"/>
          <w:szCs w:val="32"/>
          <w:lang w:eastAsia="zh-CN"/>
        </w:rPr>
        <w:t>。</w:t>
      </w:r>
    </w:p>
    <w:p>
      <w:pPr>
        <w:adjustRightInd w:val="0"/>
        <w:snapToGrid w:val="0"/>
        <w:spacing w:after="0" w:line="580" w:lineRule="exact"/>
        <w:ind w:firstLine="640" w:firstLineChars="200"/>
        <w:rPr>
          <w:rFonts w:hint="eastAsia" w:ascii="楷体_GB2312" w:eastAsia="楷体_GB2312" w:cs="DengXian-Bold"/>
          <w:b/>
          <w:bCs/>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5304.91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2263.98</w:t>
      </w:r>
      <w:r>
        <w:rPr>
          <w:rFonts w:hint="eastAsia" w:ascii="仿宋_GB2312" w:eastAsia="仿宋_GB2312" w:cs="DengXian-Regular"/>
          <w:sz w:val="32"/>
          <w:szCs w:val="32"/>
        </w:rPr>
        <w:t>万元</w:t>
      </w:r>
      <w:r>
        <w:rPr>
          <w:rFonts w:hint="eastAsia" w:ascii="仿宋_GB2312" w:eastAsia="仿宋_GB2312" w:cs="DengXian-Regular"/>
          <w:sz w:val="32"/>
          <w:szCs w:val="32"/>
          <w:highlight w:val="none"/>
        </w:rPr>
        <w:t>；</w:t>
      </w:r>
      <w:r>
        <w:rPr>
          <w:rFonts w:hint="eastAsia" w:ascii="仿宋_GB2312" w:eastAsia="仿宋_GB2312" w:cs="DengXian-Regular"/>
          <w:sz w:val="32"/>
          <w:szCs w:val="32"/>
          <w:highlight w:val="none"/>
          <w:lang w:eastAsia="zh-CN"/>
        </w:rPr>
        <w:t>增长</w:t>
      </w:r>
      <w:r>
        <w:rPr>
          <w:rFonts w:hint="eastAsia" w:ascii="仿宋_GB2312" w:eastAsia="仿宋_GB2312" w:cs="DengXian-Regular"/>
          <w:sz w:val="32"/>
          <w:szCs w:val="32"/>
          <w:highlight w:val="none"/>
          <w:lang w:val="en-US" w:eastAsia="zh-CN"/>
        </w:rPr>
        <w:t>29.91%</w:t>
      </w:r>
      <w:r>
        <w:rPr>
          <w:rFonts w:hint="eastAsia" w:ascii="仿宋_GB2312" w:eastAsia="仿宋_GB2312" w:cs="DengXian-Regular"/>
          <w:sz w:val="32"/>
          <w:szCs w:val="32"/>
          <w:highlight w:val="none"/>
        </w:rPr>
        <w:t>主要</w:t>
      </w:r>
      <w:r>
        <w:rPr>
          <w:rFonts w:hint="eastAsia" w:ascii="仿宋_GB2312" w:eastAsia="仿宋_GB2312" w:cs="DengXian-Regular"/>
          <w:sz w:val="32"/>
          <w:szCs w:val="32"/>
        </w:rPr>
        <w:t>是</w:t>
      </w:r>
      <w:r>
        <w:rPr>
          <w:rFonts w:hint="eastAsia" w:ascii="仿宋_GB2312" w:eastAsia="仿宋_GB2312" w:cs="DengXian-Regular"/>
          <w:sz w:val="32"/>
          <w:szCs w:val="32"/>
          <w:lang w:eastAsia="zh-CN"/>
        </w:rPr>
        <w:t>增加了政府性债务支出和农林水项目支出增加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5304.91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2263.98</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74.45</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w:t>
      </w:r>
      <w:r>
        <w:rPr>
          <w:rFonts w:hint="eastAsia" w:ascii="仿宋_GB2312" w:eastAsia="仿宋_GB2312" w:cs="DengXian-Regular"/>
          <w:sz w:val="32"/>
          <w:szCs w:val="32"/>
          <w:lang w:eastAsia="zh-CN"/>
        </w:rPr>
        <w:t>增加了政府性债务支出和农林水项目支出增加</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7483.29</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比上年减少</w:t>
      </w:r>
      <w:r>
        <w:rPr>
          <w:rFonts w:hint="eastAsia" w:ascii="仿宋_GB2312" w:eastAsia="仿宋_GB2312" w:cs="DengXian-Regular"/>
          <w:sz w:val="32"/>
          <w:szCs w:val="32"/>
          <w:lang w:val="en-US" w:eastAsia="zh-CN"/>
        </w:rPr>
        <w:t>12011.49</w:t>
      </w:r>
      <w:r>
        <w:rPr>
          <w:rFonts w:hint="eastAsia" w:ascii="仿宋_GB2312" w:eastAsia="仿宋_GB2312" w:cs="DengXian-Regular"/>
          <w:sz w:val="32"/>
          <w:szCs w:val="32"/>
          <w:lang w:eastAsia="zh-CN"/>
        </w:rPr>
        <w:t>万元，降低</w:t>
      </w:r>
      <w:r>
        <w:rPr>
          <w:rFonts w:hint="eastAsia" w:ascii="仿宋_GB2312" w:eastAsia="仿宋_GB2312" w:cs="DengXian-Regular"/>
          <w:sz w:val="32"/>
          <w:szCs w:val="32"/>
          <w:lang w:val="en-US" w:eastAsia="zh-CN"/>
        </w:rPr>
        <w:t>61.61</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主要原因是</w:t>
      </w:r>
      <w:r>
        <w:rPr>
          <w:rFonts w:hint="eastAsia" w:ascii="仿宋_GB2312" w:eastAsia="仿宋_GB2312" w:cs="仿宋"/>
          <w:color w:val="000000"/>
          <w:sz w:val="32"/>
          <w:szCs w:val="32"/>
        </w:rPr>
        <w:t>贯彻落实中央八项规定及厉行节约，压减了各项费用支出</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7483.29</w:t>
      </w:r>
      <w:r>
        <w:rPr>
          <w:rFonts w:hint="eastAsia" w:ascii="仿宋_GB2312" w:eastAsia="仿宋_GB2312" w:cs="DengXian-Regular"/>
          <w:sz w:val="32"/>
          <w:szCs w:val="32"/>
        </w:rPr>
        <w:t>万元，</w:t>
      </w:r>
      <w:r>
        <w:rPr>
          <w:rFonts w:hint="eastAsia" w:ascii="仿宋_GB2312" w:eastAsia="仿宋_GB2312" w:cs="仿宋"/>
          <w:color w:val="000000"/>
          <w:sz w:val="32"/>
          <w:szCs w:val="32"/>
        </w:rPr>
        <w:t>比上年减少</w:t>
      </w:r>
      <w:r>
        <w:rPr>
          <w:rFonts w:hint="eastAsia" w:ascii="仿宋_GB2312" w:eastAsia="仿宋_GB2312" w:cs="仿宋"/>
          <w:color w:val="000000"/>
          <w:sz w:val="32"/>
          <w:szCs w:val="32"/>
          <w:lang w:val="en-US" w:eastAsia="zh-CN"/>
        </w:rPr>
        <w:t>12011.49</w:t>
      </w:r>
      <w:r>
        <w:rPr>
          <w:rFonts w:hint="eastAsia" w:ascii="仿宋_GB2312" w:eastAsia="仿宋_GB2312" w:cs="仿宋"/>
          <w:color w:val="000000"/>
          <w:sz w:val="32"/>
          <w:szCs w:val="32"/>
        </w:rPr>
        <w:t>万元，降低</w:t>
      </w:r>
      <w:r>
        <w:rPr>
          <w:rFonts w:hint="eastAsia" w:ascii="仿宋_GB2312" w:eastAsia="仿宋_GB2312" w:cs="仿宋"/>
          <w:color w:val="000000"/>
          <w:sz w:val="32"/>
          <w:szCs w:val="32"/>
          <w:lang w:val="en-US" w:eastAsia="zh-CN"/>
        </w:rPr>
        <w:t>61.61</w:t>
      </w:r>
      <w:r>
        <w:rPr>
          <w:rFonts w:hint="eastAsia" w:ascii="仿宋_GB2312" w:eastAsia="仿宋_GB2312" w:cs="仿宋"/>
          <w:color w:val="000000"/>
          <w:sz w:val="32"/>
          <w:szCs w:val="32"/>
        </w:rPr>
        <w:t>%，主要是贯彻落实中央八项规定及厉行节约，压减了各项费用支出。</w:t>
      </w:r>
    </w:p>
    <w:p>
      <w:pPr>
        <w:pStyle w:val="11"/>
        <w:widowControl/>
        <w:spacing w:before="0" w:beforeAutospacing="0" w:after="0" w:afterAutospacing="0" w:line="580" w:lineRule="exact"/>
        <w:ind w:firstLine="642"/>
        <w:jc w:val="both"/>
        <w:rPr>
          <w:rFonts w:ascii="楷体_GB2312" w:eastAsia="楷体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12788.20</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130.75</w:t>
      </w:r>
      <w:r>
        <w:rPr>
          <w:rFonts w:hint="eastAsia" w:ascii="仿宋_GB2312" w:eastAsia="仿宋_GB2312" w:cs="DengXian-Regular"/>
          <w:sz w:val="32"/>
          <w:szCs w:val="32"/>
        </w:rPr>
        <w:t>%,比年初预算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3007.18</w:t>
      </w:r>
      <w:r>
        <w:rPr>
          <w:rFonts w:hint="eastAsia" w:ascii="仿宋_GB2312" w:eastAsia="仿宋_GB2312" w:cs="DengXian-Regular"/>
          <w:sz w:val="32"/>
          <w:szCs w:val="32"/>
        </w:rPr>
        <w:t>万元，决算数</w:t>
      </w:r>
      <w:r>
        <w:rPr>
          <w:rFonts w:hint="eastAsia" w:ascii="仿宋_GB2312" w:eastAsia="仿宋_GB2312" w:cs="DengXian-Regular"/>
          <w:sz w:val="32"/>
          <w:szCs w:val="32"/>
          <w:lang w:eastAsia="zh-CN"/>
        </w:rPr>
        <w:t>大于</w:t>
      </w:r>
      <w:r>
        <w:rPr>
          <w:rFonts w:hint="eastAsia" w:ascii="仿宋_GB2312" w:eastAsia="仿宋_GB2312" w:cs="DengXian-Regular"/>
          <w:sz w:val="32"/>
          <w:szCs w:val="32"/>
        </w:rPr>
        <w:t>预算数主要原因是</w:t>
      </w:r>
      <w:r>
        <w:rPr>
          <w:rFonts w:hint="eastAsia" w:ascii="仿宋_GB2312" w:eastAsia="仿宋_GB2312" w:cs="DengXian-Regular"/>
          <w:sz w:val="32"/>
          <w:szCs w:val="32"/>
          <w:lang w:eastAsia="zh-CN"/>
        </w:rPr>
        <w:t>增加了政府性债务支出和农林水项目支出增加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12788.20</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130.75</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,比年初预算增加3007.18万元，决算数大于预算数主要原因是</w:t>
      </w:r>
      <w:r>
        <w:rPr>
          <w:rFonts w:hint="eastAsia" w:ascii="仿宋_GB2312" w:eastAsia="仿宋_GB2312" w:cs="DengXian-Regular"/>
          <w:sz w:val="32"/>
          <w:szCs w:val="32"/>
          <w:lang w:eastAsia="zh-CN"/>
        </w:rPr>
        <w:t>增加了政府性债务支出和农林水项目支出增加。</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其中，</w:t>
      </w:r>
      <w:r>
        <w:rPr>
          <w:rFonts w:hint="eastAsia" w:ascii="仿宋_GB2312" w:eastAsia="仿宋_GB2312" w:cs="DengXian-Regular"/>
          <w:sz w:val="32"/>
          <w:szCs w:val="32"/>
          <w:lang w:val="en-US" w:eastAsia="zh-CN"/>
        </w:rPr>
        <w:t>一般公共预算财政拨款本年收入完成年初预算73.88%，比年初预算减少1875.61万元，主要是</w:t>
      </w:r>
      <w:r>
        <w:rPr>
          <w:rFonts w:hint="eastAsia" w:ascii="仿宋_GB2312" w:eastAsia="仿宋_GB2312" w:cs="仿宋_GB2312"/>
          <w:kern w:val="2"/>
          <w:sz w:val="32"/>
          <w:szCs w:val="32"/>
        </w:rPr>
        <w:t>为厉行节约，我单位压减各项支出，所以费用减少</w:t>
      </w:r>
      <w:r>
        <w:rPr>
          <w:rFonts w:hint="eastAsia" w:ascii="仿宋_GB2312" w:eastAsia="仿宋_GB2312" w:cs="DengXian-Regular"/>
          <w:sz w:val="32"/>
          <w:szCs w:val="32"/>
          <w:lang w:val="en-US" w:eastAsia="zh-CN"/>
        </w:rPr>
        <w:t>；支出完成年初预算73.88%，比年初预算减少1875.61万元，主要是</w:t>
      </w:r>
      <w:r>
        <w:rPr>
          <w:rFonts w:hint="eastAsia" w:ascii="仿宋_GB2312" w:eastAsia="仿宋_GB2312" w:cs="仿宋_GB2312"/>
          <w:kern w:val="2"/>
          <w:sz w:val="32"/>
          <w:szCs w:val="32"/>
        </w:rPr>
        <w:t>为厉行节约，我单位压减各项支出，所以费用减少</w:t>
      </w:r>
      <w:r>
        <w:rPr>
          <w:rFonts w:hint="eastAsia" w:ascii="仿宋_GB2312" w:eastAsia="仿宋_GB2312" w:cs="DengXian-Regular"/>
          <w:sz w:val="32"/>
          <w:szCs w:val="32"/>
          <w:lang w:val="en-US" w:eastAsia="zh-CN"/>
        </w:rPr>
        <w:t>。政府性基金预算财政拨款本年收入完成年初预算287.76%，比年初预算增加4882.79万元，主要是增加了</w:t>
      </w:r>
      <w:r>
        <w:rPr>
          <w:rFonts w:hint="eastAsia" w:ascii="仿宋_GB2312" w:eastAsia="仿宋_GB2312" w:cs="DengXian-Regular"/>
          <w:sz w:val="32"/>
          <w:szCs w:val="32"/>
          <w:lang w:eastAsia="zh-CN"/>
        </w:rPr>
        <w:t>政府性债务支出和农林水项目支出增加</w:t>
      </w:r>
      <w:r>
        <w:rPr>
          <w:rFonts w:hint="eastAsia" w:ascii="仿宋_GB2312" w:eastAsia="仿宋_GB2312" w:cs="DengXian-Regular"/>
          <w:sz w:val="32"/>
          <w:szCs w:val="32"/>
          <w:lang w:val="en-US" w:eastAsia="zh-CN"/>
        </w:rPr>
        <w:t>；支出完成年初预算287.76%，比年初预算增加4882.79万元，主要是增加了</w:t>
      </w:r>
      <w:r>
        <w:rPr>
          <w:rFonts w:hint="eastAsia" w:ascii="仿宋_GB2312" w:eastAsia="仿宋_GB2312" w:cs="DengXian-Regular"/>
          <w:sz w:val="32"/>
          <w:szCs w:val="32"/>
          <w:lang w:eastAsia="zh-CN"/>
        </w:rPr>
        <w:t>政府性债务支出和农林水项目支出增加</w:t>
      </w:r>
      <w:r>
        <w:rPr>
          <w:rFonts w:hint="eastAsia" w:ascii="仿宋_GB2312" w:eastAsia="仿宋_GB2312" w:cs="DengXian-Regular"/>
          <w:sz w:val="32"/>
          <w:szCs w:val="32"/>
          <w:lang w:val="en-US" w:eastAsia="zh-CN"/>
        </w:rPr>
        <w:t>。</w:t>
      </w:r>
    </w:p>
    <w:p>
      <w:pPr>
        <w:pStyle w:val="11"/>
        <w:widowControl/>
        <w:numPr>
          <w:ilvl w:val="0"/>
          <w:numId w:val="2"/>
        </w:numPr>
        <w:spacing w:before="0" w:beforeAutospacing="0" w:after="0" w:afterAutospacing="0" w:line="580" w:lineRule="exact"/>
        <w:ind w:firstLine="642"/>
        <w:jc w:val="both"/>
        <w:rPr>
          <w:rFonts w:hint="eastAsia"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5304.91</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highlight w:val="none"/>
        </w:rPr>
        <w:t>比如：</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719.82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13.6</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社会保障和就业支出</w:t>
      </w:r>
      <w:r>
        <w:rPr>
          <w:rFonts w:hint="eastAsia" w:ascii="仿宋_GB2312" w:eastAsia="仿宋_GB2312" w:cs="DengXian-Regular"/>
          <w:sz w:val="32"/>
          <w:szCs w:val="32"/>
          <w:lang w:val="en-US" w:eastAsia="zh-CN"/>
        </w:rPr>
        <w:t>47.26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0.9</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12.13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0.23</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1294.94</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24.41</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住房保障</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17.25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0.33</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粮油物资储备支出</w:t>
      </w:r>
      <w:r>
        <w:rPr>
          <w:rFonts w:hint="eastAsia" w:ascii="仿宋_GB2312" w:eastAsia="仿宋_GB2312" w:cs="DengXian-Regular"/>
          <w:sz w:val="32"/>
          <w:szCs w:val="32"/>
          <w:lang w:val="en-US" w:eastAsia="zh-CN"/>
        </w:rPr>
        <w:t>18.21万元，占0.34%；其他支出298.97万元，占5.64%；债务付息支出2896.31万元，占54.60%。</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79744;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447.22</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378.70</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68.52</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6.71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较年初预算数减少</w:t>
      </w:r>
      <w:r>
        <w:rPr>
          <w:rFonts w:hint="eastAsia" w:ascii="仿宋_GB2312" w:eastAsia="仿宋_GB2312" w:cs="DengXian-Regular"/>
          <w:sz w:val="32"/>
          <w:szCs w:val="32"/>
          <w:lang w:val="en-US" w:eastAsia="zh-CN"/>
        </w:rPr>
        <w:t>1.63万元，降低24.29%，主要从严控制“三公”经费开支，全年实际支出比预算有所节约。较2017决算数减少1.34万元，降低16.64%，主要是认真贯彻落实中央“八项规定”精神和厉行节约要求，严格控制“三公经费”开支。</w:t>
      </w:r>
      <w:r>
        <w:rPr>
          <w:rFonts w:hint="eastAsia" w:ascii="仿宋_GB2312" w:eastAsia="仿宋_GB2312" w:cs="DengXian-Regular"/>
          <w:sz w:val="32"/>
          <w:szCs w:val="32"/>
          <w:highlight w:val="none"/>
        </w:rPr>
        <w:t>具体情况如下：</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w:t>
      </w:r>
      <w:r>
        <w:pict>
          <v:group id="_x0000_s1129" o:spid="_x0000_s1129" o:spt="203" style="position:absolute;left:0pt;margin-left:-79.5pt;margin-top:29.3pt;height:43.95pt;width:301.85pt;mso-position-vertical-relative:page;z-index:251683840;mso-width-relative:page;mso-height-relative:page;" coordorigin="4551,52615" coordsize="8546,1398">
            <o:lock v:ext="edit"/>
            <v:rect id="矩形 13" o:spid="_x0000_s1130" o:spt="1" style="position:absolute;left:4551;top:52615;height:1175;width:8546;v-text-anchor:middle;" fillcolor="#96DA9D" filled="t" stroked="f" coordsize="21600,21600">
              <v:path/>
              <v:fill on="t" focussize="0,0"/>
              <v:stroke on="f" weight="2pt"/>
              <v:imagedata o:title=""/>
              <o:lock v:ext="edit"/>
            </v:rect>
            <v:rect id="矩形 14" o:spid="_x0000_s113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w:t>
      </w:r>
      <w:r>
        <w:rPr>
          <w:rFonts w:hint="eastAsia" w:ascii="仿宋_GB2312" w:eastAsia="仿宋_GB2312" w:cs="DengXian-Regular"/>
          <w:sz w:val="32"/>
          <w:szCs w:val="32"/>
          <w:lang w:eastAsia="zh-CN"/>
        </w:rPr>
        <w:t>与年初预算相比无增减变化，</w:t>
      </w:r>
      <w:r>
        <w:rPr>
          <w:rFonts w:hint="eastAsia" w:ascii="仿宋_GB2312" w:hAnsi="仿宋_GB2312" w:eastAsia="仿宋_GB2312" w:cs="仿宋_GB2312"/>
          <w:sz w:val="32"/>
          <w:szCs w:val="32"/>
          <w:highlight w:val="none"/>
          <w:lang w:val="en-US" w:eastAsia="zh-CN"/>
        </w:rPr>
        <w:t>主要是厉行节约，严格控制了费用支出。</w:t>
      </w:r>
      <w:r>
        <w:rPr>
          <w:rFonts w:hint="eastAsia" w:ascii="仿宋_GB2312" w:eastAsia="仿宋_GB2312" w:cs="DengXian-Regular"/>
          <w:sz w:val="32"/>
          <w:szCs w:val="32"/>
          <w:lang w:eastAsia="zh-CN"/>
        </w:rPr>
        <w:t>与上年决算相比无增减变化</w:t>
      </w:r>
      <w:r>
        <w:rPr>
          <w:rFonts w:hint="eastAsia" w:ascii="仿宋_GB2312" w:eastAsia="仿宋_GB2312" w:cs="DengXian-Regular"/>
          <w:sz w:val="32"/>
          <w:szCs w:val="32"/>
          <w:lang w:val="en-US" w:eastAsia="zh-CN"/>
        </w:rPr>
        <w:t>,</w:t>
      </w:r>
      <w:r>
        <w:rPr>
          <w:rFonts w:hint="eastAsia" w:ascii="仿宋_GB2312" w:hAnsi="Times New Roman" w:eastAsia="仿宋_GB2312" w:cs="DengXian-Regular"/>
          <w:sz w:val="32"/>
          <w:szCs w:val="32"/>
          <w:lang w:eastAsia="zh-CN"/>
        </w:rPr>
        <w:t>主要原因是为厉行节约，严格控制经费支出</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6.13</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1.37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18.27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认真贯彻落实中央“八项规定”精神和厉行节约要求，严格控制“三公经费”开支</w:t>
      </w:r>
      <w:r>
        <w:rPr>
          <w:rFonts w:hint="eastAsia" w:ascii="仿宋_GB2312" w:eastAsia="仿宋_GB2312" w:cs="DengXian-Regular"/>
          <w:sz w:val="32"/>
          <w:szCs w:val="32"/>
        </w:rPr>
        <w:t>。</w:t>
      </w:r>
      <w:r>
        <w:rPr>
          <w:rFonts w:hint="eastAsia" w:ascii="仿宋_GB2312" w:eastAsia="仿宋_GB2312" w:cs="DengXian-Regular"/>
          <w:sz w:val="32"/>
          <w:szCs w:val="32"/>
          <w:lang w:eastAsia="zh-CN"/>
        </w:rPr>
        <w:t>比</w:t>
      </w:r>
      <w:r>
        <w:rPr>
          <w:rFonts w:hint="eastAsia" w:ascii="仿宋_GB2312" w:eastAsia="仿宋_GB2312" w:cs="DengXian-Regular"/>
          <w:sz w:val="32"/>
          <w:szCs w:val="32"/>
          <w:lang w:val="en-US" w:eastAsia="zh-CN"/>
        </w:rPr>
        <w:t>2017年决算数减少1.36万元，降低18.16%，</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认真贯彻落实中央“八项规定”精神和厉行节约要求，严格控制“三公经费”开支</w:t>
      </w:r>
      <w:r>
        <w:rPr>
          <w:rFonts w:hint="eastAsia" w:ascii="仿宋_GB2312" w:eastAsia="仿宋_GB2312" w:cs="DengXian-Regular"/>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lang w:val="en-US" w:eastAsia="zh-CN"/>
        </w:rPr>
      </w:pPr>
      <w:r>
        <w:rPr>
          <w:rFonts w:hint="eastAsia" w:ascii="楷体_GB2312" w:eastAsia="楷体_GB2312" w:cs="DengXian-Bold"/>
          <w:b/>
          <w:bCs/>
          <w:sz w:val="32"/>
          <w:szCs w:val="32"/>
        </w:rPr>
        <w:t>公务用车购置费</w:t>
      </w:r>
      <w:r>
        <w:rPr>
          <w:rFonts w:hint="eastAsia" w:ascii="楷体_GB2312" w:eastAsia="楷体_GB2312" w:cs="DengXian-Bold"/>
          <w:b/>
          <w:bCs/>
          <w:sz w:val="32"/>
          <w:szCs w:val="32"/>
          <w:lang w:val="en-US" w:eastAsia="zh-CN"/>
        </w:rPr>
        <w:t>0万元</w:t>
      </w:r>
      <w:r>
        <w:rPr>
          <w:rFonts w:hint="eastAsia" w:ascii="楷体_GB2312" w:eastAsia="楷体_GB2312" w:cs="DengXian-Bold"/>
          <w:b/>
          <w:bCs/>
          <w:sz w:val="32"/>
          <w:szCs w:val="32"/>
        </w:rPr>
        <w:t>：</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公务用车购置费支出较年初预算相比无增减变化，</w:t>
      </w:r>
      <w:r>
        <w:rPr>
          <w:rFonts w:hint="eastAsia" w:ascii="仿宋_GB2312" w:hAnsi="仿宋_GB2312" w:eastAsia="仿宋_GB2312" w:cs="仿宋_GB2312"/>
          <w:sz w:val="32"/>
          <w:szCs w:val="32"/>
          <w:highlight w:val="none"/>
          <w:lang w:val="en-US" w:eastAsia="zh-CN"/>
        </w:rPr>
        <w:t>主要是厉行节约，严格控制了费用支出。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lang w:val="en-US" w:eastAsia="zh-CN"/>
        </w:rPr>
        <w:t>2017年决算相比无增减变化，</w:t>
      </w:r>
      <w:r>
        <w:rPr>
          <w:rFonts w:hint="eastAsia" w:ascii="仿宋_GB2312" w:hAnsi="Times New Roman" w:eastAsia="仿宋_GB2312" w:cs="DengXian-Regular"/>
          <w:sz w:val="32"/>
          <w:szCs w:val="32"/>
          <w:lang w:eastAsia="zh-CN"/>
        </w:rPr>
        <w:t>主要原因是为厉行节约，严格控制经费支出</w:t>
      </w:r>
      <w:r>
        <w:rPr>
          <w:rFonts w:hint="eastAsia" w:ascii="仿宋_GB2312" w:eastAsia="仿宋_GB2312" w:cs="DengXian-Regular"/>
          <w:sz w:val="32"/>
          <w:szCs w:val="32"/>
          <w:lang w:val="en-US" w:eastAsia="zh-CN"/>
        </w:rPr>
        <w:t>。</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仿宋_GB2312" w:eastAsia="仿宋_GB2312" w:cs="DengXian-Regular"/>
          <w:b/>
          <w:sz w:val="32"/>
          <w:szCs w:val="32"/>
        </w:rPr>
        <w:t>公务用车运行维护费</w:t>
      </w:r>
      <w:r>
        <w:rPr>
          <w:rFonts w:hint="eastAsia" w:ascii="仿宋_GB2312" w:eastAsia="仿宋_GB2312" w:cs="DengXian-Regular"/>
          <w:b/>
          <w:sz w:val="32"/>
          <w:szCs w:val="32"/>
          <w:lang w:val="en-US" w:eastAsia="zh-CN"/>
        </w:rPr>
        <w:t>6.13万元</w:t>
      </w:r>
      <w:r>
        <w:rPr>
          <w:rFonts w:hint="eastAsia" w:ascii="仿宋_GB2312" w:eastAsia="仿宋_GB2312" w:cs="DengXian-Regular"/>
          <w:b/>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公车用车运行维护费支出较年初预算减少</w:t>
      </w:r>
      <w:r>
        <w:rPr>
          <w:rFonts w:hint="eastAsia" w:ascii="仿宋_GB2312" w:eastAsia="仿宋_GB2312" w:cs="DengXian-Regular"/>
          <w:sz w:val="32"/>
          <w:szCs w:val="32"/>
          <w:lang w:val="en-US" w:eastAsia="zh-CN"/>
        </w:rPr>
        <w:t>1.37万元，降低18.27%，主要是本单位切实压缩公务用车费用支出，相应减少公务用车运行费用支出；较2017年决算减少1.36万元，降低18.16%，主要是本单位切实压缩公务用车费用支出，相应减少公务用车运行费用支出。</w:t>
      </w:r>
    </w:p>
    <w:p>
      <w:pPr>
        <w:adjustRightInd w:val="0"/>
        <w:snapToGrid w:val="0"/>
        <w:spacing w:after="0" w:line="580" w:lineRule="exact"/>
        <w:ind w:firstLine="643" w:firstLineChars="200"/>
        <w:rPr>
          <w:rFonts w:hint="eastAsia" w:ascii="仿宋_GB2312" w:eastAsia="仿宋" w:cs="仿宋_GB2312"/>
          <w:kern w:val="0"/>
          <w:sz w:val="32"/>
          <w:szCs w:val="32"/>
          <w:highlight w:val="red"/>
          <w:lang w:val="en-US"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0.58</w:t>
      </w:r>
      <w:r>
        <w:rPr>
          <w:rFonts w:hint="eastAsia" w:ascii="楷体_GB2312" w:eastAsia="楷体_GB2312" w:cs="DengXian-Bold"/>
          <w:b/>
          <w:bCs/>
          <w:sz w:val="32"/>
          <w:szCs w:val="32"/>
        </w:rPr>
        <w:t>万元。</w:t>
      </w:r>
      <w:r>
        <w:pict>
          <v:group id="_x0000_s1132" o:spid="_x0000_s1132" o:spt="203" style="position:absolute;left:0pt;margin-left:-79.5pt;margin-top:29.3pt;height:43.95pt;width:301.85pt;mso-position-vertical-relative:page;z-index:251684864;mso-width-relative:page;mso-height-relative:page;" coordorigin="4551,52615" coordsize="8546,1398">
            <o:lock v:ext="edit"/>
            <v:rect id="矩形 13" o:spid="_x0000_s1133" o:spt="1" style="position:absolute;left:4551;top:52615;height:1175;width:8546;v-text-anchor:middle;" fillcolor="#96DA9D" filled="t" stroked="f" coordsize="21600,21600">
              <v:path/>
              <v:fill on="t" focussize="0,0"/>
              <v:stroke on="f" weight="2pt"/>
              <v:imagedata o:title=""/>
              <o:lock v:ext="edit"/>
            </v:rect>
            <v:rect id="矩形 14" o:spid="_x0000_s113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20</w:t>
      </w:r>
      <w:r>
        <w:rPr>
          <w:rFonts w:hint="eastAsia" w:ascii="仿宋_GB2312" w:eastAsia="仿宋_GB2312" w:cs="DengXian-Regular"/>
          <w:sz w:val="32"/>
          <w:szCs w:val="32"/>
        </w:rPr>
        <w:t>人次。公务接待费支出</w:t>
      </w:r>
      <w:r>
        <w:rPr>
          <w:rFonts w:hint="eastAsia" w:ascii="仿宋_GB2312" w:eastAsia="仿宋_GB2312" w:cs="DengXian-Regular"/>
          <w:sz w:val="32"/>
          <w:szCs w:val="32"/>
          <w:lang w:eastAsia="zh-CN"/>
        </w:rPr>
        <w:t>较年初预算减少</w:t>
      </w:r>
      <w:r>
        <w:rPr>
          <w:rFonts w:hint="eastAsia" w:ascii="仿宋_GB2312" w:eastAsia="仿宋_GB2312" w:cs="DengXian-Regular"/>
          <w:sz w:val="32"/>
          <w:szCs w:val="32"/>
          <w:lang w:val="en-US" w:eastAsia="zh-CN"/>
        </w:rPr>
        <w:t>0.26万元</w:t>
      </w:r>
      <w:r>
        <w:rPr>
          <w:rFonts w:hint="eastAsia" w:ascii="仿宋" w:eastAsia="仿宋"/>
          <w:sz w:val="32"/>
          <w:szCs w:val="32"/>
        </w:rPr>
        <w:t>，</w:t>
      </w:r>
      <w:r>
        <w:rPr>
          <w:rFonts w:hint="eastAsia" w:ascii="仿宋" w:eastAsia="仿宋"/>
          <w:sz w:val="32"/>
          <w:szCs w:val="32"/>
          <w:lang w:eastAsia="zh-CN"/>
        </w:rPr>
        <w:t>降低</w:t>
      </w:r>
      <w:r>
        <w:rPr>
          <w:rFonts w:hint="eastAsia" w:ascii="仿宋" w:eastAsia="仿宋"/>
          <w:sz w:val="32"/>
          <w:szCs w:val="32"/>
          <w:lang w:val="en-US" w:eastAsia="zh-CN"/>
        </w:rPr>
        <w:t>30.95%，主要是</w:t>
      </w:r>
      <w:r>
        <w:rPr>
          <w:rFonts w:hint="eastAsia" w:ascii="仿宋" w:eastAsia="仿宋"/>
          <w:sz w:val="32"/>
          <w:szCs w:val="32"/>
        </w:rPr>
        <w:t>贯彻落实中央八项规定及厉行节约</w:t>
      </w:r>
      <w:r>
        <w:rPr>
          <w:rFonts w:hint="eastAsia" w:ascii="仿宋" w:eastAsia="仿宋"/>
          <w:sz w:val="32"/>
          <w:szCs w:val="32"/>
          <w:lang w:eastAsia="zh-CN"/>
        </w:rPr>
        <w:t>，</w:t>
      </w:r>
      <w:r>
        <w:rPr>
          <w:rFonts w:hint="eastAsia" w:ascii="仿宋" w:eastAsia="仿宋"/>
          <w:sz w:val="32"/>
          <w:szCs w:val="32"/>
        </w:rPr>
        <w:t>压减了接待费</w:t>
      </w:r>
      <w:r>
        <w:rPr>
          <w:rFonts w:hint="eastAsia" w:ascii="仿宋" w:eastAsia="仿宋"/>
          <w:sz w:val="32"/>
          <w:szCs w:val="32"/>
          <w:lang w:val="en-US" w:eastAsia="zh-CN"/>
        </w:rPr>
        <w:t>;较2017年决算减</w:t>
      </w:r>
      <w:bookmarkStart w:id="0" w:name="_GoBack"/>
      <w:bookmarkEnd w:id="0"/>
      <w:r>
        <w:rPr>
          <w:rFonts w:hint="eastAsia" w:ascii="仿宋" w:eastAsia="仿宋"/>
          <w:sz w:val="32"/>
          <w:szCs w:val="32"/>
          <w:lang w:val="en-US" w:eastAsia="zh-CN"/>
        </w:rPr>
        <w:t>少0.02万元，降低3.57%，主要是</w:t>
      </w:r>
      <w:r>
        <w:rPr>
          <w:rFonts w:hint="eastAsia" w:ascii="仿宋" w:eastAsia="仿宋"/>
          <w:sz w:val="32"/>
          <w:szCs w:val="32"/>
        </w:rPr>
        <w:t>贯彻落实中央八项规定及厉行节约</w:t>
      </w:r>
      <w:r>
        <w:rPr>
          <w:rFonts w:hint="eastAsia" w:ascii="仿宋" w:eastAsia="仿宋"/>
          <w:sz w:val="32"/>
          <w:szCs w:val="32"/>
          <w:lang w:eastAsia="zh-CN"/>
        </w:rPr>
        <w:t>，</w:t>
      </w:r>
      <w:r>
        <w:rPr>
          <w:rFonts w:hint="eastAsia" w:ascii="仿宋" w:eastAsia="仿宋"/>
          <w:sz w:val="32"/>
          <w:szCs w:val="32"/>
        </w:rPr>
        <w:t>压减了接待费</w:t>
      </w:r>
      <w:r>
        <w:rPr>
          <w:rFonts w:hint="eastAsia" w:ascii="仿宋" w:eastAsia="仿宋"/>
          <w:sz w:val="32"/>
          <w:szCs w:val="32"/>
          <w:lang w:eastAsia="zh-CN"/>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line="580" w:lineRule="exact"/>
        <w:ind w:firstLine="644"/>
        <w:jc w:val="left"/>
        <w:rPr>
          <w:rFonts w:hint="eastAsia" w:ascii="仿宋_GB2312" w:eastAsia="仿宋_GB2312" w:cs="仿宋_GB2312"/>
          <w:sz w:val="32"/>
          <w:szCs w:val="32"/>
          <w:lang w:eastAsia="zh-CN"/>
        </w:rPr>
      </w:pPr>
      <w:r>
        <w:rPr>
          <w:rFonts w:hint="eastAsia" w:ascii="仿宋_GB2312" w:eastAsia="仿宋_GB2312" w:cs="仿宋_GB2312"/>
          <w:sz w:val="32"/>
          <w:szCs w:val="32"/>
          <w:lang w:eastAsia="zh-CN"/>
        </w:rPr>
        <w:t>（一）预算绩效管理工作开展情况</w:t>
      </w:r>
    </w:p>
    <w:p>
      <w:pPr>
        <w:spacing w:line="580" w:lineRule="exact"/>
        <w:ind w:firstLine="644"/>
        <w:jc w:val="left"/>
        <w:rPr>
          <w:rFonts w:ascii="仿宋_GB2312" w:eastAsia="仿宋_GB2312" w:cs="仿宋_GB2312"/>
          <w:sz w:val="32"/>
          <w:szCs w:val="32"/>
        </w:rPr>
      </w:pPr>
      <w:r>
        <w:rPr>
          <w:rFonts w:hint="eastAsia" w:ascii="仿宋_GB2312" w:eastAsia="仿宋_GB2312" w:cs="仿宋_GB2312"/>
          <w:sz w:val="32"/>
          <w:szCs w:val="32"/>
        </w:rPr>
        <w:t>按照河北省财政厅《关于做好</w:t>
      </w:r>
      <w:r>
        <w:rPr>
          <w:rFonts w:ascii="仿宋_GB2312" w:eastAsia="仿宋_GB2312" w:cs="仿宋_GB2312"/>
          <w:sz w:val="32"/>
          <w:szCs w:val="32"/>
        </w:rPr>
        <w:t>201</w:t>
      </w:r>
      <w:r>
        <w:rPr>
          <w:rFonts w:hint="eastAsia" w:ascii="仿宋_GB2312" w:eastAsia="仿宋_GB2312" w:cs="仿宋_GB2312"/>
          <w:sz w:val="32"/>
          <w:szCs w:val="32"/>
        </w:rPr>
        <w:t>8年省直部门绩效评价工作的通知》的部署要求，结合我单位实际，制定并开展了预算绩效管理工作。</w:t>
      </w:r>
    </w:p>
    <w:p>
      <w:pPr>
        <w:spacing w:line="580" w:lineRule="exact"/>
        <w:ind w:firstLine="644"/>
        <w:jc w:val="left"/>
        <w:rPr>
          <w:rFonts w:ascii="仿宋_GB2312" w:eastAsia="仿宋_GB2312" w:cs="仿宋_GB2312"/>
          <w:sz w:val="32"/>
          <w:szCs w:val="32"/>
        </w:rPr>
      </w:pPr>
      <w:r>
        <w:rPr>
          <w:rFonts w:hint="eastAsia" w:ascii="仿宋_GB2312" w:eastAsia="仿宋_GB2312" w:cs="仿宋_GB2312"/>
          <w:b/>
          <w:color w:val="000000"/>
          <w:sz w:val="32"/>
          <w:szCs w:val="32"/>
        </w:rPr>
        <w:t>总体目标：</w:t>
      </w:r>
    </w:p>
    <w:p>
      <w:pPr>
        <w:spacing w:line="580" w:lineRule="exact"/>
        <w:ind w:firstLine="640" w:firstLineChars="200"/>
        <w:jc w:val="left"/>
        <w:rPr>
          <w:rFonts w:ascii="仿宋_GB2312" w:eastAsia="仿宋_GB2312" w:cs="仿宋_GB2312"/>
          <w:color w:val="000000"/>
          <w:sz w:val="32"/>
          <w:szCs w:val="32"/>
        </w:rPr>
      </w:pPr>
      <w:r>
        <w:rPr>
          <w:rFonts w:ascii="仿宋_GB2312" w:eastAsia="仿宋_GB2312" w:cs="仿宋_GB2312"/>
          <w:color w:val="000000"/>
          <w:sz w:val="32"/>
          <w:szCs w:val="32"/>
        </w:rPr>
        <w:t>1</w:t>
      </w:r>
      <w:r>
        <w:rPr>
          <w:rFonts w:hint="eastAsia" w:ascii="仿宋_GB2312" w:eastAsia="仿宋_GB2312" w:cs="仿宋_GB2312"/>
          <w:color w:val="000000"/>
          <w:sz w:val="32"/>
          <w:szCs w:val="32"/>
        </w:rPr>
        <w:t>、强化税费征管力度，确保收入应收尽收；</w:t>
      </w:r>
    </w:p>
    <w:p>
      <w:pPr>
        <w:spacing w:line="580" w:lineRule="exact"/>
        <w:ind w:firstLine="640" w:firstLineChars="200"/>
        <w:jc w:val="left"/>
        <w:rPr>
          <w:rFonts w:ascii="仿宋_GB2312" w:eastAsia="仿宋_GB2312" w:cs="仿宋_GB2312"/>
          <w:color w:val="000000"/>
          <w:sz w:val="32"/>
          <w:szCs w:val="32"/>
        </w:rPr>
      </w:pPr>
      <w:r>
        <w:rPr>
          <w:rFonts w:ascii="仿宋_GB2312" w:eastAsia="仿宋_GB2312" w:cs="仿宋_GB2312"/>
          <w:color w:val="000000"/>
          <w:sz w:val="32"/>
          <w:szCs w:val="32"/>
        </w:rPr>
        <w:t>2</w:t>
      </w:r>
      <w:r>
        <w:rPr>
          <w:rFonts w:hint="eastAsia" w:ascii="仿宋_GB2312" w:eastAsia="仿宋_GB2312" w:cs="仿宋_GB2312"/>
          <w:color w:val="000000"/>
          <w:sz w:val="32"/>
          <w:szCs w:val="32"/>
        </w:rPr>
        <w:t>、严格预算支出约束，确保财政收支平衡；</w:t>
      </w:r>
    </w:p>
    <w:p>
      <w:pPr>
        <w:spacing w:line="580" w:lineRule="exact"/>
        <w:ind w:firstLine="640" w:firstLineChars="200"/>
        <w:jc w:val="left"/>
        <w:rPr>
          <w:rFonts w:ascii="仿宋_GB2312" w:eastAsia="仿宋_GB2312" w:cs="仿宋_GB2312"/>
          <w:color w:val="000000"/>
          <w:sz w:val="32"/>
          <w:szCs w:val="32"/>
        </w:rPr>
      </w:pPr>
      <w:r>
        <w:rPr>
          <w:rFonts w:ascii="仿宋_GB2312" w:eastAsia="仿宋_GB2312" w:cs="仿宋_GB2312"/>
          <w:color w:val="000000"/>
          <w:sz w:val="32"/>
          <w:szCs w:val="32"/>
        </w:rPr>
        <w:t>3</w:t>
      </w:r>
      <w:r>
        <w:rPr>
          <w:rFonts w:hint="eastAsia" w:ascii="仿宋_GB2312" w:eastAsia="仿宋_GB2312" w:cs="仿宋_GB2312"/>
          <w:color w:val="000000"/>
          <w:sz w:val="32"/>
          <w:szCs w:val="32"/>
        </w:rPr>
        <w:t>、深化财政管理改革，完善财政运行机制。</w:t>
      </w:r>
    </w:p>
    <w:p>
      <w:pPr>
        <w:spacing w:line="580" w:lineRule="exact"/>
        <w:jc w:val="left"/>
        <w:rPr>
          <w:rFonts w:ascii="仿宋_GB2312" w:eastAsia="仿宋_GB2312" w:cs="仿宋_GB2312"/>
          <w:b/>
          <w:color w:val="000000"/>
          <w:sz w:val="32"/>
          <w:szCs w:val="32"/>
        </w:rPr>
      </w:pPr>
      <w:r>
        <w:rPr>
          <w:rFonts w:ascii="仿宋_GB2312" w:eastAsia="仿宋_GB2312" w:cs="仿宋_GB2312"/>
          <w:b/>
          <w:color w:val="000000"/>
          <w:sz w:val="32"/>
          <w:szCs w:val="32"/>
        </w:rPr>
        <w:t xml:space="preserve">    </w:t>
      </w:r>
      <w:r>
        <w:rPr>
          <w:rFonts w:hint="eastAsia" w:ascii="仿宋_GB2312" w:eastAsia="仿宋_GB2312" w:cs="仿宋_GB2312"/>
          <w:b/>
          <w:color w:val="000000"/>
          <w:sz w:val="32"/>
          <w:szCs w:val="32"/>
        </w:rPr>
        <w:t>职责分类绩效目标：</w:t>
      </w:r>
    </w:p>
    <w:p>
      <w:pPr>
        <w:spacing w:line="580" w:lineRule="exact"/>
        <w:ind w:firstLine="640" w:firstLineChars="200"/>
        <w:jc w:val="left"/>
        <w:rPr>
          <w:rFonts w:ascii="仿宋_GB2312" w:eastAsia="仿宋_GB2312" w:cs="仿宋_GB2312"/>
          <w:color w:val="000000"/>
          <w:sz w:val="32"/>
          <w:szCs w:val="32"/>
        </w:rPr>
      </w:pPr>
      <w:r>
        <w:rPr>
          <w:rFonts w:ascii="仿宋_GB2312" w:eastAsia="仿宋_GB2312" w:cs="仿宋_GB2312"/>
          <w:color w:val="000000"/>
          <w:sz w:val="32"/>
          <w:szCs w:val="32"/>
        </w:rPr>
        <w:t>1</w:t>
      </w:r>
      <w:r>
        <w:rPr>
          <w:rFonts w:hint="eastAsia" w:ascii="仿宋_GB2312" w:eastAsia="仿宋_GB2312" w:cs="仿宋_GB2312"/>
          <w:color w:val="000000"/>
          <w:sz w:val="32"/>
          <w:szCs w:val="32"/>
        </w:rPr>
        <w:t>、强化税费征管力度，确保收入应收尽收；</w:t>
      </w:r>
    </w:p>
    <w:p>
      <w:pPr>
        <w:spacing w:line="580" w:lineRule="exact"/>
        <w:ind w:firstLine="640" w:firstLineChars="200"/>
        <w:jc w:val="left"/>
        <w:rPr>
          <w:rFonts w:ascii="仿宋_GB2312" w:eastAsia="仿宋_GB2312" w:cs="仿宋_GB2312"/>
          <w:color w:val="000000"/>
          <w:sz w:val="32"/>
          <w:szCs w:val="32"/>
        </w:rPr>
      </w:pPr>
      <w:r>
        <w:rPr>
          <w:rFonts w:ascii="仿宋_GB2312" w:eastAsia="仿宋_GB2312" w:cs="仿宋_GB2312"/>
          <w:color w:val="000000"/>
          <w:sz w:val="32"/>
          <w:szCs w:val="32"/>
        </w:rPr>
        <w:t>2</w:t>
      </w:r>
      <w:r>
        <w:rPr>
          <w:rFonts w:hint="eastAsia" w:ascii="仿宋_GB2312" w:eastAsia="仿宋_GB2312" w:cs="仿宋_GB2312"/>
          <w:color w:val="000000"/>
          <w:sz w:val="32"/>
          <w:szCs w:val="32"/>
        </w:rPr>
        <w:t>、严格预算支出约束，确保财政收支平衡；</w:t>
      </w:r>
    </w:p>
    <w:p>
      <w:pPr>
        <w:spacing w:line="580" w:lineRule="exact"/>
        <w:ind w:firstLine="640" w:firstLineChars="200"/>
        <w:jc w:val="left"/>
        <w:rPr>
          <w:rFonts w:ascii="仿宋_GB2312" w:eastAsia="仿宋_GB2312" w:cs="仿宋_GB2312"/>
          <w:color w:val="000000"/>
          <w:sz w:val="32"/>
          <w:szCs w:val="32"/>
        </w:rPr>
      </w:pPr>
      <w:r>
        <w:rPr>
          <w:rFonts w:ascii="仿宋_GB2312" w:eastAsia="仿宋_GB2312" w:cs="仿宋_GB2312"/>
          <w:color w:val="000000"/>
          <w:sz w:val="32"/>
          <w:szCs w:val="32"/>
        </w:rPr>
        <w:t>3</w:t>
      </w:r>
      <w:r>
        <w:rPr>
          <w:rFonts w:hint="eastAsia" w:ascii="仿宋_GB2312" w:eastAsia="仿宋_GB2312" w:cs="仿宋_GB2312"/>
          <w:color w:val="000000"/>
          <w:sz w:val="32"/>
          <w:szCs w:val="32"/>
        </w:rPr>
        <w:t>、深化财政管理改革，完善财政运行机制。</w:t>
      </w:r>
    </w:p>
    <w:p>
      <w:pPr>
        <w:spacing w:line="580" w:lineRule="exact"/>
        <w:ind w:firstLine="570"/>
        <w:jc w:val="left"/>
        <w:rPr>
          <w:rFonts w:ascii="仿宋_GB2312" w:eastAsia="仿宋_GB2312" w:cs="仿宋_GB2312"/>
          <w:b/>
          <w:color w:val="000000"/>
          <w:sz w:val="32"/>
          <w:szCs w:val="32"/>
        </w:rPr>
      </w:pPr>
      <w:r>
        <w:rPr>
          <w:rFonts w:hint="eastAsia" w:ascii="仿宋_GB2312" w:eastAsia="仿宋_GB2312" w:cs="仿宋_GB2312"/>
          <w:b/>
          <w:color w:val="000000"/>
          <w:sz w:val="32"/>
          <w:szCs w:val="32"/>
        </w:rPr>
        <w:t>实现年度发展规划目标的保障措施</w:t>
      </w:r>
    </w:p>
    <w:p>
      <w:pPr>
        <w:spacing w:line="580" w:lineRule="exact"/>
        <w:ind w:firstLine="570"/>
        <w:jc w:val="left"/>
        <w:rPr>
          <w:rFonts w:ascii="仿宋_GB2312" w:eastAsia="仿宋_GB2312" w:cs="仿宋_GB2312"/>
          <w:color w:val="000000"/>
          <w:sz w:val="32"/>
          <w:szCs w:val="32"/>
        </w:rPr>
      </w:pPr>
      <w:r>
        <w:rPr>
          <w:rFonts w:ascii="仿宋_GB2312" w:eastAsia="仿宋_GB2312" w:cs="仿宋_GB2312"/>
          <w:color w:val="000000"/>
          <w:sz w:val="32"/>
          <w:szCs w:val="32"/>
        </w:rPr>
        <w:t>1</w:t>
      </w:r>
      <w:r>
        <w:rPr>
          <w:rFonts w:hint="eastAsia" w:ascii="仿宋_GB2312" w:eastAsia="仿宋_GB2312" w:cs="仿宋_GB2312"/>
          <w:color w:val="000000"/>
          <w:sz w:val="32"/>
          <w:szCs w:val="32"/>
        </w:rPr>
        <w:t>、强化税费征管力度，确保收入应收尽收</w:t>
      </w:r>
    </w:p>
    <w:p>
      <w:pPr>
        <w:spacing w:line="580" w:lineRule="exact"/>
        <w:ind w:firstLine="640" w:firstLineChars="200"/>
        <w:jc w:val="left"/>
        <w:rPr>
          <w:rFonts w:ascii="仿宋_GB2312" w:eastAsia="仿宋_GB2312" w:cs="仿宋_GB2312"/>
          <w:color w:val="000000"/>
          <w:sz w:val="32"/>
          <w:szCs w:val="32"/>
        </w:rPr>
      </w:pPr>
      <w:r>
        <w:rPr>
          <w:rFonts w:hint="eastAsia" w:ascii="仿宋_GB2312" w:eastAsia="仿宋_GB2312" w:cs="仿宋_GB2312"/>
          <w:color w:val="000000"/>
          <w:sz w:val="32"/>
          <w:szCs w:val="32"/>
        </w:rPr>
        <w:t>一是全面落实财税收入目标管理责任制。</w:t>
      </w:r>
    </w:p>
    <w:p>
      <w:pPr>
        <w:spacing w:line="580" w:lineRule="exact"/>
        <w:ind w:firstLine="640" w:firstLineChars="200"/>
        <w:jc w:val="left"/>
        <w:rPr>
          <w:rFonts w:ascii="仿宋_GB2312" w:eastAsia="仿宋_GB2312" w:cs="仿宋_GB2312"/>
          <w:color w:val="000000"/>
          <w:sz w:val="32"/>
          <w:szCs w:val="32"/>
        </w:rPr>
      </w:pPr>
      <w:r>
        <w:rPr>
          <w:rFonts w:hint="eastAsia" w:ascii="仿宋_GB2312" w:eastAsia="仿宋_GB2312" w:cs="仿宋_GB2312"/>
          <w:color w:val="000000"/>
          <w:sz w:val="32"/>
          <w:szCs w:val="32"/>
        </w:rPr>
        <w:t>二是强化税收分析。</w:t>
      </w:r>
    </w:p>
    <w:p>
      <w:pPr>
        <w:spacing w:line="580" w:lineRule="exact"/>
        <w:ind w:firstLine="640" w:firstLineChars="200"/>
        <w:jc w:val="left"/>
        <w:rPr>
          <w:rFonts w:ascii="仿宋_GB2312" w:eastAsia="仿宋_GB2312" w:cs="仿宋_GB2312"/>
          <w:color w:val="000000"/>
          <w:sz w:val="32"/>
          <w:szCs w:val="32"/>
        </w:rPr>
      </w:pPr>
      <w:r>
        <w:rPr>
          <w:rFonts w:ascii="仿宋_GB2312" w:eastAsia="仿宋_GB2312" w:cs="仿宋_GB2312"/>
          <w:color w:val="000000"/>
          <w:sz w:val="32"/>
          <w:szCs w:val="32"/>
        </w:rPr>
        <w:t>2</w:t>
      </w:r>
      <w:r>
        <w:rPr>
          <w:rFonts w:hint="eastAsia" w:ascii="仿宋_GB2312" w:eastAsia="仿宋_GB2312" w:cs="仿宋_GB2312"/>
          <w:color w:val="000000"/>
          <w:sz w:val="32"/>
          <w:szCs w:val="32"/>
        </w:rPr>
        <w:t>、严格预算支出约束，确保财政收支平衡；</w:t>
      </w:r>
    </w:p>
    <w:p>
      <w:pPr>
        <w:spacing w:line="58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一是切实加强预算管理，增强预算执行的严肃性。</w:t>
      </w:r>
    </w:p>
    <w:p>
      <w:pPr>
        <w:spacing w:line="58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二是继续从严控制非生产性支出。</w:t>
      </w:r>
    </w:p>
    <w:p>
      <w:pPr>
        <w:numPr>
          <w:ilvl w:val="0"/>
          <w:numId w:val="3"/>
        </w:numPr>
        <w:spacing w:line="580" w:lineRule="exact"/>
        <w:ind w:firstLine="570"/>
        <w:rPr>
          <w:rFonts w:hint="eastAsia" w:ascii="仿宋_GB2312" w:eastAsia="仿宋_GB2312" w:cs="仿宋_GB2312"/>
          <w:color w:val="000000"/>
          <w:sz w:val="32"/>
          <w:szCs w:val="32"/>
        </w:rPr>
      </w:pPr>
      <w:r>
        <w:rPr>
          <w:rFonts w:hint="eastAsia" w:ascii="仿宋_GB2312" w:eastAsia="仿宋_GB2312" w:cs="仿宋_GB2312"/>
          <w:color w:val="000000"/>
          <w:sz w:val="32"/>
          <w:szCs w:val="32"/>
        </w:rPr>
        <w:t>深化财政管理改革，完善财政运行机制，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cs="仿宋_GB2312"/>
          <w:color w:val="000000"/>
          <w:sz w:val="32"/>
          <w:szCs w:val="32"/>
        </w:rPr>
      </w:pPr>
      <w:r>
        <w:rPr>
          <w:rFonts w:hint="eastAsia" w:ascii="仿宋_GB2312" w:eastAsia="仿宋_GB2312" w:cs="DengXian-Regular"/>
          <w:sz w:val="32"/>
          <w:szCs w:val="32"/>
          <w:lang w:eastAsia="zh-CN"/>
        </w:rPr>
        <w:t>（二）</w:t>
      </w:r>
      <w:r>
        <w:rPr>
          <w:rFonts w:hint="eastAsia" w:ascii="仿宋_GB2312" w:eastAsia="仿宋_GB2312" w:cs="DengXian-Regular"/>
          <w:sz w:val="32"/>
          <w:szCs w:val="32"/>
        </w:rPr>
        <w:t>项目绩效自评结果</w:t>
      </w:r>
    </w:p>
    <w:p>
      <w:pPr>
        <w:pStyle w:val="11"/>
        <w:widowControl/>
        <w:spacing w:before="0" w:beforeAutospacing="0" w:after="0" w:afterAutospacing="0"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绩效工作取得了很好的成果，较好的实现了预算项目绩效目标，绩效评价综合得分</w:t>
      </w:r>
      <w:r>
        <w:rPr>
          <w:rFonts w:ascii="仿宋_GB2312" w:eastAsia="仿宋_GB2312" w:cs="仿宋_GB2312"/>
          <w:sz w:val="32"/>
          <w:szCs w:val="32"/>
        </w:rPr>
        <w:t>92</w:t>
      </w:r>
      <w:r>
        <w:rPr>
          <w:rFonts w:hint="eastAsia" w:ascii="仿宋_GB2312" w:eastAsia="仿宋_GB2312" w:cs="仿宋_GB2312"/>
          <w:sz w:val="32"/>
          <w:szCs w:val="32"/>
        </w:rPr>
        <w:t>分，绩效综合等级为优。</w:t>
      </w:r>
    </w:p>
    <w:p>
      <w:pPr>
        <w:pStyle w:val="11"/>
        <w:widowControl/>
        <w:numPr>
          <w:ilvl w:val="0"/>
          <w:numId w:val="0"/>
        </w:numPr>
        <w:spacing w:before="0" w:beforeAutospacing="0" w:after="0" w:afterAutospacing="0" w:line="580" w:lineRule="exact"/>
        <w:ind w:left="642" w:leftChars="0"/>
        <w:rPr>
          <w:rFonts w:hint="eastAsia" w:ascii="仿宋_GB2312" w:eastAsia="仿宋_GB2312" w:cs="仿宋_GB2312"/>
          <w:sz w:val="32"/>
          <w:szCs w:val="32"/>
          <w:lang w:eastAsia="zh-CN"/>
        </w:rPr>
      </w:pPr>
      <w:r>
        <w:rPr>
          <w:rFonts w:hint="eastAsia" w:ascii="仿宋_GB2312" w:eastAsia="仿宋_GB2312" w:cs="仿宋_GB2312"/>
          <w:sz w:val="32"/>
          <w:szCs w:val="32"/>
          <w:lang w:eastAsia="zh-CN"/>
        </w:rPr>
        <w:t>（三）重点项目绩效评价结果</w:t>
      </w:r>
    </w:p>
    <w:p>
      <w:pPr>
        <w:pStyle w:val="11"/>
        <w:widowControl/>
        <w:numPr>
          <w:ilvl w:val="0"/>
          <w:numId w:val="0"/>
        </w:numPr>
        <w:spacing w:before="0" w:beforeAutospacing="0" w:after="0" w:afterAutospacing="0" w:line="580" w:lineRule="exact"/>
        <w:ind w:left="642" w:leftChars="0"/>
        <w:rPr>
          <w:rFonts w:hint="default" w:ascii="仿宋_GB2312" w:eastAsia="仿宋_GB2312" w:cs="仿宋_GB2312"/>
          <w:sz w:val="32"/>
          <w:szCs w:val="32"/>
          <w:lang w:val="en-US" w:eastAsia="zh-CN"/>
        </w:rPr>
      </w:pPr>
      <w:r>
        <w:rPr>
          <w:rFonts w:hint="eastAsia" w:ascii="仿宋_GB2312" w:eastAsia="仿宋_GB2312" w:cs="仿宋_GB2312"/>
          <w:sz w:val="32"/>
          <w:szCs w:val="32"/>
          <w:lang w:val="en-US" w:eastAsia="zh-CN"/>
        </w:rPr>
        <w:t xml:space="preserve">   我单位无重点项目。</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hint="eastAsia" w:ascii="楷体_GB2312" w:eastAsia="楷体_GB2312" w:cs="DengXian-Bold"/>
        </w:rPr>
      </w:pPr>
      <w:r>
        <w:rPr>
          <w:rFonts w:hint="eastAsia" w:ascii="楷体_GB2312" w:eastAsia="楷体_GB2312" w:cs="DengXian-Bold"/>
        </w:rPr>
        <w:t>（一）机关运行经费情况</w:t>
      </w:r>
    </w:p>
    <w:p>
      <w:pPr>
        <w:pStyle w:val="4"/>
        <w:spacing w:before="0" w:after="0" w:line="580" w:lineRule="exact"/>
        <w:ind w:firstLine="640" w:firstLineChars="200"/>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本部门2018年度机关运行经费支出68.52万元，比年初预算数减少26.03万元，降低27.53%。主要原因是认真贯彻落实中央“八项规定”精神和厉行节约要求。与2017年决算数增加14.50万元，增长26.84%。主要原因是增加了日常公用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s="仿宋"/>
          <w:bCs/>
          <w:sz w:val="32"/>
          <w:szCs w:val="32"/>
          <w:highlight w:val="none"/>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349.79</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250.99</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，占</w:t>
      </w:r>
      <w:r>
        <w:rPr>
          <w:rFonts w:hint="eastAsia" w:ascii="仿宋_GB2312" w:hAnsi="仿宋_GB2312" w:eastAsia="仿宋_GB2312" w:cs="仿宋_GB2312"/>
          <w:color w:val="000000"/>
          <w:kern w:val="0"/>
          <w:sz w:val="32"/>
          <w:szCs w:val="32"/>
          <w:lang w:val="en-US" w:eastAsia="zh-CN"/>
        </w:rPr>
        <w:t>71.75%</w:t>
      </w:r>
      <w:r>
        <w:rPr>
          <w:rFonts w:hint="eastAsia" w:ascii="仿宋_GB2312" w:hAnsi="仿宋_GB2312" w:eastAsia="仿宋_GB2312" w:cs="仿宋_GB2312"/>
          <w:color w:val="000000"/>
          <w:kern w:val="0"/>
          <w:sz w:val="32"/>
          <w:szCs w:val="32"/>
        </w:rPr>
        <w:t>、政府采购服务支出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98.80</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,28.25%</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highlight w:val="none"/>
        </w:rPr>
        <w:t>授予中小企业合同</w:t>
      </w:r>
      <w:r>
        <w:rPr>
          <w:rFonts w:hint="eastAsia" w:ascii="仿宋_GB2312" w:hAnsi="仿宋_GB2312" w:eastAsia="仿宋_GB2312" w:cs="仿宋_GB2312"/>
          <w:color w:val="000000"/>
          <w:kern w:val="0"/>
          <w:sz w:val="32"/>
          <w:szCs w:val="32"/>
          <w:highlight w:val="none"/>
          <w:lang w:eastAsia="zh-CN"/>
        </w:rPr>
        <w:t>金额</w:t>
      </w:r>
      <w:r>
        <w:rPr>
          <w:rFonts w:hint="eastAsia" w:ascii="仿宋_GB2312" w:hAnsi="仿宋_GB2312" w:eastAsia="仿宋_GB2312" w:cs="仿宋_GB2312"/>
          <w:color w:val="000000"/>
          <w:kern w:val="0"/>
          <w:sz w:val="32"/>
          <w:szCs w:val="32"/>
          <w:highlight w:val="none"/>
          <w:lang w:val="en-US" w:eastAsia="zh-CN"/>
        </w:rPr>
        <w:t>0</w:t>
      </w:r>
      <w:r>
        <w:rPr>
          <w:rFonts w:hint="eastAsia" w:ascii="仿宋_GB2312" w:hAnsi="仿宋_GB2312" w:eastAsia="仿宋_GB2312" w:cs="仿宋_GB2312"/>
          <w:color w:val="000000"/>
          <w:kern w:val="0"/>
          <w:sz w:val="32"/>
          <w:szCs w:val="32"/>
          <w:highlight w:val="none"/>
        </w:rPr>
        <w:t>万元，占政府采购支出总额的</w:t>
      </w:r>
      <w:r>
        <w:rPr>
          <w:rFonts w:hint="eastAsia" w:ascii="仿宋_GB2312" w:hAnsi="仿宋_GB2312" w:eastAsia="仿宋_GB2312" w:cs="仿宋_GB2312"/>
          <w:color w:val="000000"/>
          <w:kern w:val="0"/>
          <w:sz w:val="32"/>
          <w:szCs w:val="32"/>
          <w:highlight w:val="none"/>
          <w:lang w:val="en-US" w:eastAsia="zh-CN"/>
        </w:rPr>
        <w:t>0</w:t>
      </w:r>
      <w:r>
        <w:rPr>
          <w:rFonts w:ascii="仿宋_GB2312" w:hAnsi="仿宋_GB2312" w:eastAsia="仿宋_GB2312" w:cs="仿宋_GB2312"/>
          <w:color w:val="000000"/>
          <w:kern w:val="0"/>
          <w:sz w:val="32"/>
          <w:szCs w:val="32"/>
          <w:highlight w:val="none"/>
        </w:rPr>
        <w:t>%</w:t>
      </w:r>
      <w:r>
        <w:rPr>
          <w:rFonts w:hint="eastAsia" w:ascii="仿宋_GB2312" w:hAnsi="仿宋_GB2312" w:eastAsia="仿宋_GB2312" w:cs="仿宋_GB2312"/>
          <w:color w:val="000000"/>
          <w:kern w:val="0"/>
          <w:sz w:val="32"/>
          <w:szCs w:val="32"/>
          <w:highlight w:val="none"/>
        </w:rPr>
        <w:t>，其中授予小微企业合同金额</w:t>
      </w:r>
      <w:r>
        <w:rPr>
          <w:rFonts w:hint="eastAsia" w:ascii="仿宋_GB2312" w:hAnsi="仿宋_GB2312" w:eastAsia="仿宋_GB2312" w:cs="仿宋_GB2312"/>
          <w:color w:val="000000"/>
          <w:kern w:val="0"/>
          <w:sz w:val="32"/>
          <w:szCs w:val="32"/>
          <w:highlight w:val="none"/>
          <w:lang w:val="en-US" w:eastAsia="zh-CN"/>
        </w:rPr>
        <w:t>0</w:t>
      </w:r>
      <w:r>
        <w:rPr>
          <w:rFonts w:hint="eastAsia" w:ascii="仿宋_GB2312" w:hAnsi="仿宋_GB2312" w:eastAsia="仿宋_GB2312" w:cs="仿宋_GB2312"/>
          <w:color w:val="000000"/>
          <w:kern w:val="0"/>
          <w:sz w:val="32"/>
          <w:szCs w:val="32"/>
          <w:highlight w:val="none"/>
        </w:rPr>
        <w:t>万元，占政府采购支出总额的</w:t>
      </w:r>
      <w:r>
        <w:rPr>
          <w:rFonts w:ascii="仿宋_GB2312" w:hAnsi="仿宋_GB2312" w:eastAsia="仿宋_GB2312" w:cs="仿宋_GB2312"/>
          <w:color w:val="000000"/>
          <w:kern w:val="0"/>
          <w:sz w:val="32"/>
          <w:szCs w:val="32"/>
          <w:highlight w:val="none"/>
        </w:rPr>
        <w:t xml:space="preserve"> </w:t>
      </w:r>
      <w:r>
        <w:rPr>
          <w:rFonts w:hint="eastAsia" w:ascii="仿宋_GB2312" w:hAnsi="仿宋_GB2312" w:eastAsia="仿宋_GB2312" w:cs="仿宋_GB2312"/>
          <w:color w:val="000000"/>
          <w:kern w:val="0"/>
          <w:sz w:val="32"/>
          <w:szCs w:val="32"/>
          <w:highlight w:val="none"/>
          <w:lang w:val="en-US" w:eastAsia="zh-CN"/>
        </w:rPr>
        <w:t>0</w:t>
      </w:r>
      <w:r>
        <w:rPr>
          <w:rFonts w:ascii="仿宋_GB2312" w:hAnsi="仿宋_GB2312" w:eastAsia="仿宋_GB2312" w:cs="仿宋_GB2312"/>
          <w:color w:val="000000"/>
          <w:kern w:val="0"/>
          <w:sz w:val="32"/>
          <w:szCs w:val="32"/>
          <w:highlight w:val="none"/>
        </w:rPr>
        <w:t>%</w:t>
      </w:r>
      <w:r>
        <w:rPr>
          <w:rFonts w:hint="eastAsia" w:ascii="仿宋_GB2312" w:hAnsi="仿宋_GB2312" w:eastAsia="仿宋_GB2312" w:cs="仿宋_GB2312"/>
          <w:color w:val="000000"/>
          <w:kern w:val="0"/>
          <w:sz w:val="32"/>
          <w:szCs w:val="32"/>
          <w:highlight w:val="none"/>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辆，比上年</w:t>
      </w:r>
      <w:r>
        <w:rPr>
          <w:rFonts w:hint="eastAsia" w:ascii="仿宋_GB2312" w:eastAsia="仿宋_GB2312" w:cs="DengXian-Regular"/>
          <w:sz w:val="32"/>
          <w:szCs w:val="32"/>
          <w:lang w:eastAsia="zh-CN"/>
        </w:rPr>
        <w:t>相比无增减变化</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日常公用</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NewRomanPSMT" w:eastAsia="仿宋_GB2312" w:cs="TimesNewRomanPSMT"/>
          <w:sz w:val="32"/>
          <w:szCs w:val="32"/>
          <w:lang w:val="en-US" w:eastAsia="zh-CN"/>
        </w:rPr>
        <w:t>.00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相比无变化</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NewRomanPSMT" w:eastAsia="仿宋_GB2312" w:cs="TimesNewRomanPSMT"/>
          <w:sz w:val="32"/>
          <w:szCs w:val="32"/>
          <w:lang w:val="en-US" w:eastAsia="zh-CN"/>
        </w:rPr>
        <w:t>.00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，与上年相比无变化。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国有资产</w:t>
      </w:r>
      <w:r>
        <w:rPr>
          <w:rFonts w:hint="eastAsia" w:ascii="仿宋_GB2312" w:eastAsia="仿宋_GB2312" w:cs="DengXian-Regular"/>
          <w:sz w:val="32"/>
          <w:szCs w:val="32"/>
        </w:rPr>
        <w:t>无收支及结转结余情况，故表国有资本经营预算财政拨款支出决算表以空表列示。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47" o:spid="_x0000_s1147" o:spt="203" style="position:absolute;left:0pt;margin-left:-79.5pt;margin-top:29.3pt;height:43.95pt;width:301.85pt;mso-position-vertical-relative:page;z-index:251685888;mso-width-relative:page;mso-height-relative:page;" coordorigin="4551,52615" coordsize="8546,1398">
            <o:lock v:ext="edit"/>
            <v:rect id="矩形 13" o:spid="_x0000_s1148" o:spt="1" style="position:absolute;left:4551;top:52615;height:1175;width:8546;v-text-anchor:middle;" fillcolor="#96DA9D" filled="t" stroked="f" coordsize="21600,21600">
              <v:path/>
              <v:fill on="t" focussize="0,0"/>
              <v:stroke on="f" weight="2pt"/>
              <v:imagedata o:title=""/>
              <o:lock v:ext="edit"/>
            </v:rect>
            <v:rect id="矩形 14" o:spid="_x0000_s11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5"/>
                    <a:srcRect/>
                    <a:stretch>
                      <a:fillRect/>
                    </a:stretch>
                  </pic:blipFill>
                  <pic:spPr>
                    <a:xfrm>
                      <a:off x="0" y="0"/>
                      <a:ext cx="7550150" cy="10680065"/>
                    </a:xfrm>
                    <a:prstGeom prst="rect">
                      <a:avLst/>
                    </a:prstGeom>
                    <a:noFill/>
                  </pic:spPr>
                </pic:pic>
              </a:graphicData>
            </a:graphic>
          </wp:anchor>
        </w:drawing>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0768;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1792;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19050" t="0" r="0" b="0"/>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16"/>
                    <a:srcRect/>
                    <a:stretch>
                      <a:fillRect/>
                    </a:stretch>
                  </pic:blipFill>
                  <pic:spPr>
                    <a:xfrm>
                      <a:off x="0" y="0"/>
                      <a:ext cx="7590155" cy="10735945"/>
                    </a:xfrm>
                    <a:prstGeom prst="rect">
                      <a:avLst/>
                    </a:prstGeom>
                    <a:noFill/>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EAE07F-71A0-40BF-81FA-4822C8E85FAA}"/>
  </w:font>
  <w:font w:name="Arial">
    <w:panose1 w:val="020B0604020202020204"/>
    <w:charset w:val="01"/>
    <w:family w:val="swiss"/>
    <w:pitch w:val="default"/>
    <w:sig w:usb0="E0002EFF" w:usb1="C000785B" w:usb2="00000009" w:usb3="00000000" w:csb0="400001FF" w:csb1="FFFF0000"/>
    <w:embedRegular r:id="rId2" w:fontKey="{45971F04-FAB6-4819-9FDA-DEAA2243D32F}"/>
  </w:font>
  <w:font w:name="黑体">
    <w:panose1 w:val="02010609060101010101"/>
    <w:charset w:val="86"/>
    <w:family w:val="auto"/>
    <w:pitch w:val="default"/>
    <w:sig w:usb0="800002BF" w:usb1="38CF7CFA" w:usb2="00000016" w:usb3="00000000" w:csb0="00040001" w:csb1="00000000"/>
    <w:embedRegular r:id="rId3" w:fontKey="{8C266478-7642-4913-BD32-8635B659D392}"/>
  </w:font>
  <w:font w:name="Courier New">
    <w:panose1 w:val="02070309020205020404"/>
    <w:charset w:val="01"/>
    <w:family w:val="modern"/>
    <w:pitch w:val="default"/>
    <w:sig w:usb0="E0002EFF" w:usb1="C0007843" w:usb2="00000009" w:usb3="00000000" w:csb0="400001FF" w:csb1="FFFF0000"/>
    <w:embedRegular r:id="rId4" w:fontKey="{E9DC7D60-EFAE-445A-9A08-EFEC2551A188}"/>
  </w:font>
  <w:font w:name="Symbol">
    <w:panose1 w:val="05050102010706020507"/>
    <w:charset w:val="02"/>
    <w:family w:val="roman"/>
    <w:pitch w:val="default"/>
    <w:sig w:usb0="00000000" w:usb1="00000000" w:usb2="00000000" w:usb3="00000000" w:csb0="80000000" w:csb1="00000000"/>
    <w:embedRegular r:id="rId5" w:fontKey="{825D9F85-6140-47E5-9C1E-2B756717CE3F}"/>
  </w:font>
  <w:font w:name="Calibri">
    <w:panose1 w:val="020F0502020204030204"/>
    <w:charset w:val="00"/>
    <w:family w:val="swiss"/>
    <w:pitch w:val="default"/>
    <w:sig w:usb0="E4002EFF" w:usb1="C000247B" w:usb2="00000009" w:usb3="00000000" w:csb0="200001FF" w:csb1="00000000"/>
    <w:embedRegular r:id="rId6" w:fontKey="{A2583123-34D3-4323-A6C1-72F4EC70877F}"/>
  </w:font>
  <w:font w:name="Cambria">
    <w:panose1 w:val="02040503050406030204"/>
    <w:charset w:val="00"/>
    <w:family w:val="roman"/>
    <w:pitch w:val="default"/>
    <w:sig w:usb0="E00006FF" w:usb1="420024FF" w:usb2="02000000" w:usb3="00000000" w:csb0="2000019F" w:csb1="00000000"/>
    <w:embedRegular r:id="rId7" w:fontKey="{C8EFF85C-E551-4214-B67C-1B2E056839D7}"/>
  </w:font>
  <w:font w:name="楷体">
    <w:panose1 w:val="02010609060101010101"/>
    <w:charset w:val="86"/>
    <w:family w:val="modern"/>
    <w:pitch w:val="default"/>
    <w:sig w:usb0="800002BF" w:usb1="38CF7CFA" w:usb2="00000016" w:usb3="00000000" w:csb0="00040001" w:csb1="00000000"/>
    <w:embedRegular r:id="rId8" w:fontKey="{298C3693-F533-4B41-B7E5-C5B6F27C7054}"/>
  </w:font>
  <w:font w:name="MS Gothic">
    <w:panose1 w:val="020B0609070205080204"/>
    <w:charset w:val="80"/>
    <w:family w:val="modern"/>
    <w:pitch w:val="default"/>
    <w:sig w:usb0="E00002FF" w:usb1="6AC7FDFB" w:usb2="08000012" w:usb3="00000000" w:csb0="4002009F" w:csb1="DFD70000"/>
    <w:embedRegular r:id="rId9" w:fontKey="{302309F8-9D7C-48DB-B07A-5B7F11438369}"/>
  </w:font>
  <w:font w:name="仿宋_GB2312">
    <w:panose1 w:val="02010609030101010101"/>
    <w:charset w:val="86"/>
    <w:family w:val="modern"/>
    <w:pitch w:val="default"/>
    <w:sig w:usb0="00000000" w:usb1="00000000" w:usb2="00000000" w:usb3="00000000" w:csb0="00000000" w:csb1="00000000"/>
    <w:embedRegular r:id="rId10" w:fontKey="{13A285D4-07A9-4E83-B117-7DE0C519745D}"/>
  </w:font>
  <w:font w:name="ArialUnicodeMS">
    <w:altName w:val="Malgun Gothic"/>
    <w:panose1 w:val="00000000000000000000"/>
    <w:charset w:val="81"/>
    <w:family w:val="auto"/>
    <w:pitch w:val="default"/>
    <w:sig w:usb0="00000000" w:usb1="00000000" w:usb2="00000010" w:usb3="00000000" w:csb0="00080000" w:csb1="00000000"/>
    <w:embedRegular r:id="rId11" w:fontKey="{659A9E49-F3BA-4B6D-8642-827BF09BD33A}"/>
  </w:font>
  <w:font w:name="MS-UIGothic,Bold">
    <w:altName w:val="Malgun Gothic"/>
    <w:panose1 w:val="00000000000000000000"/>
    <w:charset w:val="81"/>
    <w:family w:val="auto"/>
    <w:pitch w:val="default"/>
    <w:sig w:usb0="00000000" w:usb1="00000000" w:usb2="00000010" w:usb3="00000000" w:csb0="00080000" w:csb1="00000000"/>
    <w:embedRegular r:id="rId12" w:fontKey="{831A7E1F-1A3F-4DF6-B0AD-18FD3F646B8F}"/>
  </w:font>
  <w:font w:name="仿宋">
    <w:panose1 w:val="02010609060101010101"/>
    <w:charset w:val="86"/>
    <w:family w:val="auto"/>
    <w:pitch w:val="default"/>
    <w:sig w:usb0="800002BF" w:usb1="38CF7CFA" w:usb2="00000016" w:usb3="00000000" w:csb0="00040001" w:csb1="00000000"/>
    <w:embedRegular r:id="rId13" w:fontKey="{CFD4679B-7DA5-47AD-B8E7-CBF31972FA02}"/>
  </w:font>
  <w:font w:name="DengXian-Regular">
    <w:altName w:val="宋体"/>
    <w:panose1 w:val="00000000000000000000"/>
    <w:charset w:val="86"/>
    <w:family w:val="auto"/>
    <w:pitch w:val="default"/>
    <w:sig w:usb0="00000000" w:usb1="00000000" w:usb2="00000010" w:usb3="00000000" w:csb0="00040000" w:csb1="00000000"/>
    <w:embedRegular r:id="rId14" w:fontKey="{0D0493C4-B527-4159-9F34-51D4D20ED87C}"/>
  </w:font>
  <w:font w:name="楷体_GB2312">
    <w:panose1 w:val="02010609030101010101"/>
    <w:charset w:val="86"/>
    <w:family w:val="modern"/>
    <w:pitch w:val="default"/>
    <w:sig w:usb0="00000000" w:usb1="00000000" w:usb2="00000000" w:usb3="00000000" w:csb0="00000000" w:csb1="00000000"/>
    <w:embedRegular r:id="rId15" w:fontKey="{74BC4368-8861-4E5C-A461-B54D965B7BB7}"/>
  </w:font>
  <w:font w:name="DengXian-Bold">
    <w:altName w:val="宋体"/>
    <w:panose1 w:val="00000000000000000000"/>
    <w:charset w:val="86"/>
    <w:family w:val="auto"/>
    <w:pitch w:val="default"/>
    <w:sig w:usb0="00000000" w:usb1="00000000" w:usb2="00000010" w:usb3="00000000" w:csb0="00040000" w:csb1="00000000"/>
    <w:embedRegular r:id="rId16" w:fontKey="{A57F5E33-8214-4A84-8ED6-0565308DD6AE}"/>
  </w:font>
  <w:font w:name="TimesNewRomanPSMT">
    <w:altName w:val="Arial"/>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A0C4A1"/>
    <w:multiLevelType w:val="singleLevel"/>
    <w:tmpl w:val="B2A0C4A1"/>
    <w:lvl w:ilvl="0" w:tentative="0">
      <w:start w:val="1"/>
      <w:numFmt w:val="chineseCounting"/>
      <w:suff w:val="nothing"/>
      <w:lvlText w:val="%1、"/>
      <w:lvlJc w:val="left"/>
      <w:rPr>
        <w:rFonts w:hint="eastAsia"/>
      </w:rPr>
    </w:lvl>
  </w:abstractNum>
  <w:abstractNum w:abstractNumId="1">
    <w:nsid w:val="BAF3170A"/>
    <w:multiLevelType w:val="singleLevel"/>
    <w:tmpl w:val="BAF3170A"/>
    <w:lvl w:ilvl="0" w:tentative="0">
      <w:start w:val="3"/>
      <w:numFmt w:val="chineseCounting"/>
      <w:suff w:val="nothing"/>
      <w:lvlText w:val="（%1）"/>
      <w:lvlJc w:val="left"/>
      <w:rPr>
        <w:rFonts w:hint="eastAsia"/>
      </w:rPr>
    </w:lvl>
  </w:abstractNum>
  <w:abstractNum w:abstractNumId="2">
    <w:nsid w:val="27C3E15A"/>
    <w:multiLevelType w:val="singleLevel"/>
    <w:tmpl w:val="27C3E15A"/>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0512A"/>
    <w:rsid w:val="00024E7F"/>
    <w:rsid w:val="000264A6"/>
    <w:rsid w:val="000475A0"/>
    <w:rsid w:val="000838C3"/>
    <w:rsid w:val="000B2446"/>
    <w:rsid w:val="000D7C65"/>
    <w:rsid w:val="000E2F81"/>
    <w:rsid w:val="000E3977"/>
    <w:rsid w:val="00117946"/>
    <w:rsid w:val="00117E2C"/>
    <w:rsid w:val="00124E30"/>
    <w:rsid w:val="001370B7"/>
    <w:rsid w:val="00146C47"/>
    <w:rsid w:val="00152FB8"/>
    <w:rsid w:val="00176658"/>
    <w:rsid w:val="0018239E"/>
    <w:rsid w:val="00183079"/>
    <w:rsid w:val="001A29BD"/>
    <w:rsid w:val="001B3410"/>
    <w:rsid w:val="001C030D"/>
    <w:rsid w:val="001C4A84"/>
    <w:rsid w:val="001E5902"/>
    <w:rsid w:val="002024E4"/>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46166"/>
    <w:rsid w:val="004B6E37"/>
    <w:rsid w:val="004C32BA"/>
    <w:rsid w:val="00575922"/>
    <w:rsid w:val="005A6C90"/>
    <w:rsid w:val="005E3FB0"/>
    <w:rsid w:val="005F4B66"/>
    <w:rsid w:val="005F5208"/>
    <w:rsid w:val="00612479"/>
    <w:rsid w:val="00623803"/>
    <w:rsid w:val="00641318"/>
    <w:rsid w:val="0064405D"/>
    <w:rsid w:val="00664CE7"/>
    <w:rsid w:val="00695557"/>
    <w:rsid w:val="006D4EA7"/>
    <w:rsid w:val="0070012A"/>
    <w:rsid w:val="0070664B"/>
    <w:rsid w:val="007071B8"/>
    <w:rsid w:val="007414DE"/>
    <w:rsid w:val="00783625"/>
    <w:rsid w:val="007905A9"/>
    <w:rsid w:val="007B0E8E"/>
    <w:rsid w:val="007E5500"/>
    <w:rsid w:val="007F055B"/>
    <w:rsid w:val="00811C2F"/>
    <w:rsid w:val="00833D46"/>
    <w:rsid w:val="00840A97"/>
    <w:rsid w:val="008605ED"/>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BE4C98"/>
    <w:rsid w:val="00C12630"/>
    <w:rsid w:val="00C34562"/>
    <w:rsid w:val="00C3774E"/>
    <w:rsid w:val="00C46B4A"/>
    <w:rsid w:val="00C57456"/>
    <w:rsid w:val="00C65387"/>
    <w:rsid w:val="00C6751E"/>
    <w:rsid w:val="00C87FAB"/>
    <w:rsid w:val="00C91FF7"/>
    <w:rsid w:val="00C94E53"/>
    <w:rsid w:val="00CC46BD"/>
    <w:rsid w:val="00D0048E"/>
    <w:rsid w:val="00D23E7A"/>
    <w:rsid w:val="00D33B8B"/>
    <w:rsid w:val="00D61063"/>
    <w:rsid w:val="00D76317"/>
    <w:rsid w:val="00DB35AF"/>
    <w:rsid w:val="00DD566E"/>
    <w:rsid w:val="00DD72D7"/>
    <w:rsid w:val="00DF5B88"/>
    <w:rsid w:val="00E0589E"/>
    <w:rsid w:val="00E241FA"/>
    <w:rsid w:val="00E2595E"/>
    <w:rsid w:val="00E3166C"/>
    <w:rsid w:val="00E35374"/>
    <w:rsid w:val="00E40D73"/>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4A33241"/>
    <w:rsid w:val="0B60750A"/>
    <w:rsid w:val="10686488"/>
    <w:rsid w:val="10DF728A"/>
    <w:rsid w:val="1264200E"/>
    <w:rsid w:val="141C5B77"/>
    <w:rsid w:val="159322A5"/>
    <w:rsid w:val="1769007C"/>
    <w:rsid w:val="18D8339D"/>
    <w:rsid w:val="1A21388F"/>
    <w:rsid w:val="1A570D2F"/>
    <w:rsid w:val="1D724D8A"/>
    <w:rsid w:val="2540292D"/>
    <w:rsid w:val="28FB0B8D"/>
    <w:rsid w:val="2D2B7942"/>
    <w:rsid w:val="2D46481D"/>
    <w:rsid w:val="2E733B28"/>
    <w:rsid w:val="31852B5A"/>
    <w:rsid w:val="32D01238"/>
    <w:rsid w:val="35137E17"/>
    <w:rsid w:val="36A0356E"/>
    <w:rsid w:val="37601D42"/>
    <w:rsid w:val="3A19357D"/>
    <w:rsid w:val="3DFC59A8"/>
    <w:rsid w:val="3ECF245E"/>
    <w:rsid w:val="3FB96314"/>
    <w:rsid w:val="40272321"/>
    <w:rsid w:val="53A44FAF"/>
    <w:rsid w:val="594329EC"/>
    <w:rsid w:val="5BEE1540"/>
    <w:rsid w:val="5C03669A"/>
    <w:rsid w:val="5DE61A5D"/>
    <w:rsid w:val="5F5A1C65"/>
    <w:rsid w:val="63C04243"/>
    <w:rsid w:val="64230618"/>
    <w:rsid w:val="64801DA0"/>
    <w:rsid w:val="64895F1D"/>
    <w:rsid w:val="649C01C7"/>
    <w:rsid w:val="699A3F60"/>
    <w:rsid w:val="6ACF5BED"/>
    <w:rsid w:val="72902E62"/>
    <w:rsid w:val="73C61104"/>
    <w:rsid w:val="776452EA"/>
    <w:rsid w:val="780D467B"/>
    <w:rsid w:val="799A5675"/>
    <w:rsid w:val="7CE724F1"/>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Date"/>
    <w:basedOn w:val="1"/>
    <w:next w:val="1"/>
    <w:link w:val="20"/>
    <w:semiHidden/>
    <w:qFormat/>
    <w:uiPriority w:val="99"/>
    <w:pPr>
      <w:ind w:left="100" w:leftChars="2500"/>
    </w:pPr>
  </w:style>
  <w:style w:type="paragraph" w:styleId="7">
    <w:name w:val="Balloon Text"/>
    <w:basedOn w:val="1"/>
    <w:link w:val="21"/>
    <w:semiHidden/>
    <w:qFormat/>
    <w:uiPriority w:val="99"/>
    <w:rPr>
      <w:sz w:val="18"/>
      <w:szCs w:val="18"/>
    </w:rPr>
  </w:style>
  <w:style w:type="paragraph" w:styleId="8">
    <w:name w:val="footer"/>
    <w:basedOn w:val="1"/>
    <w:link w:val="22"/>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4"/>
    <w:qFormat/>
    <w:uiPriority w:val="99"/>
    <w:pPr>
      <w:widowControl/>
      <w:spacing w:after="200" w:line="276" w:lineRule="auto"/>
      <w:jc w:val="left"/>
    </w:pPr>
    <w:rPr>
      <w:rFonts w:ascii="Calibri" w:hAnsi="Calibri"/>
      <w:i/>
      <w:iCs/>
      <w:color w:val="F0A22E"/>
      <w:spacing w:val="15"/>
      <w:kern w:val="0"/>
      <w:sz w:val="24"/>
    </w:rPr>
  </w:style>
  <w:style w:type="paragraph" w:styleId="11">
    <w:name w:val="Normal (Web)"/>
    <w:basedOn w:val="1"/>
    <w:qFormat/>
    <w:uiPriority w:val="0"/>
    <w:pPr>
      <w:spacing w:before="100" w:beforeAutospacing="1" w:after="100" w:afterAutospacing="1" w:line="240" w:lineRule="auto"/>
      <w:jc w:val="left"/>
    </w:pPr>
    <w:rPr>
      <w:rFonts w:ascii="Calibri" w:hAnsi="Calibri" w:cs="黑体"/>
      <w:kern w:val="0"/>
      <w:sz w:val="24"/>
    </w:rPr>
  </w:style>
  <w:style w:type="paragraph" w:styleId="12">
    <w:name w:val="Title"/>
    <w:basedOn w:val="1"/>
    <w:next w:val="1"/>
    <w:link w:val="25"/>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标题 1 Char"/>
    <w:basedOn w:val="15"/>
    <w:link w:val="2"/>
    <w:qFormat/>
    <w:locked/>
    <w:uiPriority w:val="99"/>
    <w:rPr>
      <w:rFonts w:ascii="Times New Roman" w:hAnsi="Times New Roman" w:eastAsia="宋体" w:cs="Times New Roman"/>
      <w:b/>
      <w:bCs/>
      <w:kern w:val="44"/>
      <w:sz w:val="44"/>
      <w:szCs w:val="44"/>
    </w:rPr>
  </w:style>
  <w:style w:type="character" w:customStyle="1" w:styleId="17">
    <w:name w:val="标题 2 Char"/>
    <w:basedOn w:val="15"/>
    <w:link w:val="3"/>
    <w:qFormat/>
    <w:locked/>
    <w:uiPriority w:val="99"/>
    <w:rPr>
      <w:rFonts w:ascii="Calibri" w:hAnsi="Calibri" w:eastAsia="宋体" w:cs="Times New Roman"/>
      <w:b/>
      <w:bCs/>
      <w:sz w:val="32"/>
      <w:szCs w:val="32"/>
    </w:rPr>
  </w:style>
  <w:style w:type="character" w:customStyle="1" w:styleId="18">
    <w:name w:val="标题 3 Char"/>
    <w:basedOn w:val="15"/>
    <w:link w:val="4"/>
    <w:qFormat/>
    <w:locked/>
    <w:uiPriority w:val="99"/>
    <w:rPr>
      <w:rFonts w:ascii="Times New Roman" w:hAnsi="Times New Roman" w:eastAsia="宋体" w:cs="Times New Roman"/>
      <w:b/>
      <w:bCs/>
      <w:sz w:val="32"/>
      <w:szCs w:val="32"/>
    </w:rPr>
  </w:style>
  <w:style w:type="character" w:customStyle="1" w:styleId="19">
    <w:name w:val="标题 4 Char"/>
    <w:basedOn w:val="15"/>
    <w:link w:val="5"/>
    <w:qFormat/>
    <w:locked/>
    <w:uiPriority w:val="99"/>
    <w:rPr>
      <w:rFonts w:ascii="Calibri" w:hAnsi="Calibri" w:eastAsia="宋体" w:cs="Times New Roman"/>
      <w:b/>
      <w:bCs/>
      <w:sz w:val="28"/>
      <w:szCs w:val="28"/>
    </w:rPr>
  </w:style>
  <w:style w:type="character" w:customStyle="1" w:styleId="20">
    <w:name w:val="日期 Char"/>
    <w:basedOn w:val="15"/>
    <w:link w:val="6"/>
    <w:semiHidden/>
    <w:qFormat/>
    <w:locked/>
    <w:uiPriority w:val="99"/>
    <w:rPr>
      <w:rFonts w:ascii="Times New Roman" w:hAnsi="Times New Roman" w:eastAsia="宋体" w:cs="Times New Roman"/>
      <w:sz w:val="24"/>
      <w:szCs w:val="24"/>
    </w:rPr>
  </w:style>
  <w:style w:type="character" w:customStyle="1" w:styleId="21">
    <w:name w:val="批注框文本 Char"/>
    <w:basedOn w:val="15"/>
    <w:link w:val="7"/>
    <w:semiHidden/>
    <w:qFormat/>
    <w:locked/>
    <w:uiPriority w:val="99"/>
    <w:rPr>
      <w:rFonts w:ascii="Times New Roman" w:hAnsi="Times New Roman" w:eastAsia="宋体" w:cs="Times New Roman"/>
      <w:sz w:val="18"/>
      <w:szCs w:val="18"/>
    </w:rPr>
  </w:style>
  <w:style w:type="character" w:customStyle="1" w:styleId="22">
    <w:name w:val="页脚 Char"/>
    <w:basedOn w:val="15"/>
    <w:link w:val="8"/>
    <w:qFormat/>
    <w:locked/>
    <w:uiPriority w:val="99"/>
    <w:rPr>
      <w:rFonts w:cs="Times New Roman"/>
      <w:sz w:val="18"/>
      <w:szCs w:val="18"/>
    </w:rPr>
  </w:style>
  <w:style w:type="character" w:customStyle="1" w:styleId="23">
    <w:name w:val="页眉 Char"/>
    <w:basedOn w:val="15"/>
    <w:link w:val="9"/>
    <w:qFormat/>
    <w:locked/>
    <w:uiPriority w:val="99"/>
    <w:rPr>
      <w:rFonts w:cs="Times New Roman"/>
      <w:sz w:val="18"/>
      <w:szCs w:val="18"/>
    </w:rPr>
  </w:style>
  <w:style w:type="character" w:customStyle="1" w:styleId="24">
    <w:name w:val="副标题 Char"/>
    <w:basedOn w:val="15"/>
    <w:link w:val="10"/>
    <w:qFormat/>
    <w:locked/>
    <w:uiPriority w:val="99"/>
    <w:rPr>
      <w:rFonts w:ascii="Calibri" w:hAnsi="Calibri" w:eastAsia="宋体" w:cs="Times New Roman"/>
      <w:i/>
      <w:iCs/>
      <w:color w:val="F0A22E"/>
      <w:spacing w:val="15"/>
      <w:kern w:val="0"/>
      <w:sz w:val="24"/>
      <w:szCs w:val="24"/>
    </w:rPr>
  </w:style>
  <w:style w:type="character" w:customStyle="1" w:styleId="25">
    <w:name w:val="标题 Char"/>
    <w:basedOn w:val="15"/>
    <w:link w:val="12"/>
    <w:qFormat/>
    <w:locked/>
    <w:uiPriority w:val="99"/>
    <w:rPr>
      <w:rFonts w:ascii="Calibri" w:hAnsi="Calibri" w:eastAsia="宋体" w:cs="Times New Roman"/>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7">
    <w:name w:val="无间隔 Char"/>
    <w:basedOn w:val="15"/>
    <w:link w:val="26"/>
    <w:qFormat/>
    <w:locked/>
    <w:uiPriority w:val="99"/>
    <w:rPr>
      <w:rFonts w:cs="Times New Roman"/>
      <w:sz w:val="22"/>
      <w:szCs w:val="22"/>
      <w:lang w:val="en-US" w:eastAsia="zh-CN" w:bidi="ar-SA"/>
    </w:rPr>
  </w:style>
  <w:style w:type="character" w:customStyle="1" w:styleId="28">
    <w:name w:val="Style1"/>
    <w:basedOn w:val="15"/>
    <w:qFormat/>
    <w:uiPriority w:val="99"/>
    <w:rPr>
      <w:rFonts w:ascii="Cambria" w:hAnsi="黑体" w:eastAsia="黑体" w:cs="Times New Roman"/>
      <w:sz w:val="22"/>
      <w:szCs w:val="22"/>
      <w:lang w:eastAsia="zh-CN"/>
    </w:rPr>
  </w:style>
  <w:style w:type="character" w:customStyle="1" w:styleId="29">
    <w:name w:val="Style2"/>
    <w:basedOn w:val="15"/>
    <w:qFormat/>
    <w:uiPriority w:val="99"/>
    <w:rPr>
      <w:rFonts w:ascii="Cambria" w:hAnsi="黑体" w:eastAsia="黑体" w:cs="Times New Roman"/>
      <w:sz w:val="22"/>
      <w:szCs w:val="22"/>
      <w:lang w:eastAsia="zh-CN"/>
    </w:rPr>
  </w:style>
  <w:style w:type="character" w:customStyle="1" w:styleId="30">
    <w:name w:val="Style3"/>
    <w:basedOn w:val="15"/>
    <w:qFormat/>
    <w:uiPriority w:val="99"/>
    <w:rPr>
      <w:rFonts w:ascii="Cambria" w:hAnsi="黑体" w:eastAsia="黑体" w:cs="Times New Roman"/>
      <w:sz w:val="22"/>
      <w:szCs w:val="22"/>
      <w:lang w:eastAsia="zh-CN"/>
    </w:rPr>
  </w:style>
  <w:style w:type="character" w:customStyle="1" w:styleId="31">
    <w:name w:val="Style4"/>
    <w:basedOn w:val="15"/>
    <w:qFormat/>
    <w:uiPriority w:val="99"/>
    <w:rPr>
      <w:rFonts w:ascii="Cambria" w:hAnsi="黑体" w:eastAsia="黑体" w:cs="Times New Roman"/>
      <w:sz w:val="22"/>
      <w:szCs w:val="22"/>
      <w:lang w:eastAsia="zh-CN"/>
    </w:rPr>
  </w:style>
  <w:style w:type="character" w:customStyle="1" w:styleId="32">
    <w:name w:val="Style5"/>
    <w:basedOn w:val="15"/>
    <w:qFormat/>
    <w:uiPriority w:val="99"/>
    <w:rPr>
      <w:rFonts w:ascii="Cambria" w:hAnsi="黑体" w:eastAsia="黑体" w:cs="Times New Roman"/>
      <w:sz w:val="22"/>
      <w:szCs w:val="22"/>
      <w:lang w:eastAsia="zh-CN"/>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9"/>
    <customShpInfo spid="_x0000_s1030"/>
    <customShpInfo spid="_x0000_s1028"/>
    <customShpInfo spid="_x0000_s1032"/>
    <customShpInfo spid="_x0000_s1033"/>
    <customShpInfo spid="_x0000_s1031"/>
    <customShpInfo spid="_x0000_s1035"/>
    <customShpInfo spid="_x0000_s1037"/>
    <customShpInfo spid="_x0000_s1038"/>
    <customShpInfo spid="_x0000_s1036"/>
    <customShpInfo spid="_x0000_s1040"/>
    <customShpInfo spid="_x0000_s1151"/>
    <customShpInfo spid="_x0000_s1152"/>
    <customShpInfo spid="_x0000_s1150"/>
    <customShpInfo spid="_x0000_s1069"/>
    <customShpInfo spid="_x0000_s1070"/>
    <customShpInfo spid="_x0000_s1068"/>
    <customShpInfo spid="_x0000_s1072"/>
    <customShpInfo spid="_x0000_s1074"/>
    <customShpInfo spid="_x0000_s1075"/>
    <customShpInfo spid="_x0000_s1073"/>
    <customShpInfo spid="_x0000_s1083"/>
    <customShpInfo spid="_x0000_s1084"/>
    <customShpInfo spid="_x0000_s1082"/>
    <customShpInfo spid="_x0000_s1101"/>
    <customShpInfo spid="_x0000_s1102"/>
    <customShpInfo spid="_x0000_s1100"/>
    <customShpInfo spid="_x0000_s1130"/>
    <customShpInfo spid="_x0000_s1131"/>
    <customShpInfo spid="_x0000_s1129"/>
    <customShpInfo spid="_x0000_s1133"/>
    <customShpInfo spid="_x0000_s1134"/>
    <customShpInfo spid="_x0000_s1132"/>
    <customShpInfo spid="_x0000_s1148"/>
    <customShpInfo spid="_x0000_s1149"/>
    <customShpInfo spid="_x0000_s1147"/>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8452</Words>
  <Characters>3432</Characters>
  <Lines>1</Lines>
  <Paragraphs>1</Paragraphs>
  <TotalTime>1</TotalTime>
  <ScaleCrop>false</ScaleCrop>
  <LinksUpToDate>false</LinksUpToDate>
  <CharactersWithSpaces>11861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2021-05-28T07:27:00Z</dcterms:created>
  <dc:creator>User</dc:creator>
  <cp:lastModifiedBy>Dell</cp:lastModifiedBy>
  <cp:lastPrinted>2019-08-02T01:01:00Z</cp:lastPrinted>
  <dcterms:modified xsi:type="dcterms:W3CDTF">2021-06-23T10:13:01Z</dcterms:modified>
  <dc:subject>石家庄市xxx部门</dc:subject>
  <dc:title>2017年度部门决算</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19755D495E59488085810936D01929CF</vt:lpwstr>
  </property>
</Properties>
</file>