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-1009015</wp:posOffset>
            </wp:positionH>
            <wp:positionV relativeFrom="paragraph">
              <wp:posOffset>-1346835</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7564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阜平县政协</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pPr>
      <w:r>
        <w:rPr>
          <w:rFonts w:hint="eastAsia" w:ascii="楷体" w:hAnsi="楷体" w:eastAsia="楷体" w:cs="楷体"/>
          <w:b/>
          <w:sz w:val="44"/>
          <w:szCs w:val="44"/>
        </w:rPr>
        <w:t>（部门公章）</w:t>
      </w: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二〇一九年九月</w:t>
      </w:r>
    </w:p>
    <w:p>
      <w:pPr>
        <w:spacing w:beforeLines="200" w:after="0" w:line="1000" w:lineRule="exact"/>
        <w:jc w:val="center"/>
        <w:rPr>
          <w:rFonts w:ascii="黑体" w:eastAsia="黑体"/>
          <w:sz w:val="48"/>
          <w:szCs w:val="48"/>
        </w:rPr>
      </w:pPr>
      <w:r>
        <w:pict>
          <v:group id="组合 179" o:spid="_x0000_s1064" o:spt="203" style="position:absolute;left:0pt;margin-left:-80.8pt;margin-top:39.95pt;height:46.7pt;width:250.05pt;mso-position-vertical-relative:page;z-index:251682816;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2DzDVNsAAAAL&#10;AQAADwAAAAAAAAABACAAAAAiAAAAZHJzL2Rvd25yZXYueG1sUEsBAhQAFAAAAAgAh07iQOZv70LE&#10;AgAAJwcAAA4AAAAAAAAAAQAgAAAAKgEAAGRycy9lMm9Eb2MueG1sUEsFBgAAAAAGAAYAWQEAAGAG&#10;AAAAAA==&#10;">
            <o:lock v:ext="edit"/>
            <v:rect id="矩形 13" o:spid="_x0000_s106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65"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阜平县政协</w:t>
      </w:r>
      <w:r>
        <w:rPr>
          <w:rFonts w:eastAsia="黑体"/>
          <w:sz w:val="32"/>
          <w:szCs w:val="32"/>
        </w:rPr>
        <w:t>2018</w:t>
      </w:r>
      <w:r>
        <w:rPr>
          <w:rFonts w:hint="eastAsia" w:eastAsia="黑体"/>
          <w:sz w:val="32"/>
          <w:szCs w:val="32"/>
        </w:rPr>
        <w:t>年部门决算情况说明</w:t>
      </w:r>
      <w:r>
        <w:pict>
          <v:group id="组合 176" o:spid="_x0000_s1061" o:spt="203" style="position:absolute;left:0pt;margin-left:-80.8pt;margin-top:38.95pt;height:46.7pt;width:222.8pt;mso-position-vertical-relative:page;z-index:251681792;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Kx5dMECAAAn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3s1cPtsAAAALAQAA&#10;DwAAAAAAAAABACAAAAAiAAAAZHJzL2Rvd25yZXYueG1sUEsBAhQAFAAAAAgAh07iQGSseXTBAgAA&#10;JwcAAA4AAAAAAAAAAQAgAAAAKgEAAGRycy9lMm9Eb2MueG1sUEsFBgAAAAAGAAYAWQEAAF0GAAAA&#10;AA==&#10;">
            <o:lock v:ext="edit"/>
            <v:rect id="矩形 13" o:spid="_x0000_s1063"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w:pict>
          <v:shape id="文本框 118" o:spid="_x0000_s1060" o:spt="202" type="#_x0000_t202" style="position:absolute;left:0pt;margin-left:-97.3pt;margin-top:259.1pt;height:81.7pt;width:613.65pt;z-index:25167974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tD4JlugEAAFsDAAAOAAAAAAAAAAEAIAAAAC0BAABkcnMvZTJvRG9j&#10;LnhtbFBLBQYAAAAABgAGAFkBAABZBQAAAAA=&#1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57" o:spt="203" style="position:absolute;left:0pt;margin-left:-80.8pt;margin-top:39.5pt;height:46.7pt;width:245.25pt;mso-position-vertical-relative:page;z-index:251675648;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v:rect id="矩形 13" o:spid="_x0000_s1059"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8"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3"/>
        <w:widowControl/>
        <w:spacing w:line="600" w:lineRule="exact"/>
        <w:ind w:firstLine="640" w:firstLineChars="200"/>
        <w:rPr>
          <w:rFonts w:ascii="仿宋_GB2312" w:hAnsi="Cambria" w:eastAsia="仿宋_GB2312" w:cs="ArialUnicodeMS"/>
          <w:sz w:val="32"/>
          <w:szCs w:val="32"/>
        </w:rPr>
      </w:pPr>
      <w:r>
        <w:rPr>
          <w:rFonts w:hint="eastAsia" w:ascii="仿宋_GB2312" w:hAnsi="Cambria" w:eastAsia="仿宋_GB2312" w:cs="ArialUnicodeMS"/>
          <w:sz w:val="32"/>
          <w:szCs w:val="32"/>
        </w:rPr>
        <w:t>根据中共阜平县委办公室《关于印发政协阜平县委员会职能配置、内设机构和人员编制规定的通知》（阜办发[2002]52号），现将我单位部门概况说明如下：</w:t>
      </w:r>
    </w:p>
    <w:p>
      <w:pPr>
        <w:spacing w:line="60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w:t>
      </w:r>
      <w:r>
        <w:rPr>
          <w:rFonts w:hint="eastAsia" w:ascii="仿宋_GB2312" w:hAnsi="Cambria" w:eastAsia="仿宋_GB2312" w:cs="ArialUnicodeMS"/>
          <w:b/>
          <w:bCs/>
          <w:kern w:val="0"/>
          <w:sz w:val="32"/>
          <w:szCs w:val="32"/>
        </w:rPr>
        <w:t>人民政协</w:t>
      </w:r>
      <w:r>
        <w:rPr>
          <w:rFonts w:hint="eastAsia" w:ascii="仿宋_GB2312" w:hAnsi="Cambria" w:eastAsia="仿宋_GB2312" w:cs="ArialUnicodeMS"/>
          <w:kern w:val="0"/>
          <w:sz w:val="32"/>
          <w:szCs w:val="32"/>
        </w:rPr>
        <w:t>是爱国统一战线组织，是共产党领导的多党合作和政治协商的重要机构。主要职能是政治协商、民主监督和参政议政。</w:t>
      </w:r>
    </w:p>
    <w:p>
      <w:pPr>
        <w:spacing w:line="60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（二）</w:t>
      </w:r>
      <w:r>
        <w:rPr>
          <w:rFonts w:hint="eastAsia" w:ascii="仿宋_GB2312" w:hAnsi="Cambria" w:eastAsia="仿宋_GB2312" w:cs="ArialUnicodeMS"/>
          <w:b/>
          <w:bCs/>
          <w:kern w:val="0"/>
          <w:sz w:val="32"/>
          <w:szCs w:val="32"/>
        </w:rPr>
        <w:t>政治协商</w:t>
      </w:r>
      <w:r>
        <w:rPr>
          <w:rFonts w:hint="eastAsia" w:ascii="仿宋_GB2312" w:hAnsi="Cambria" w:eastAsia="仿宋_GB2312" w:cs="ArialUnicodeMS"/>
          <w:kern w:val="0"/>
          <w:sz w:val="32"/>
          <w:szCs w:val="32"/>
        </w:rPr>
        <w:t>是对国家和地方的大政方针以及政治、经济、文化和社会生活中的重要问题在决策之前进行协商和就决策执行过程中的重要问题进行协商。</w:t>
      </w:r>
    </w:p>
    <w:p>
      <w:pPr>
        <w:spacing w:line="60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（三）</w:t>
      </w:r>
      <w:r>
        <w:rPr>
          <w:rFonts w:hint="eastAsia" w:ascii="仿宋_GB2312" w:hAnsi="Cambria" w:eastAsia="仿宋_GB2312" w:cs="ArialUnicodeMS"/>
          <w:b/>
          <w:bCs/>
          <w:kern w:val="0"/>
          <w:sz w:val="32"/>
          <w:szCs w:val="32"/>
        </w:rPr>
        <w:t>民主监督</w:t>
      </w:r>
      <w:r>
        <w:rPr>
          <w:rFonts w:hint="eastAsia" w:ascii="仿宋_GB2312" w:hAnsi="Cambria" w:eastAsia="仿宋_GB2312" w:cs="ArialUnicodeMS"/>
          <w:kern w:val="0"/>
          <w:sz w:val="32"/>
          <w:szCs w:val="32"/>
        </w:rPr>
        <w:t>是对国家宪法、法律和法规的实施、重大方针政策的贯彻执行、国家机关及其工作人员的工作，通过建议和批评进行监督。</w:t>
      </w:r>
    </w:p>
    <w:p>
      <w:pPr>
        <w:spacing w:line="60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（四）</w:t>
      </w:r>
      <w:r>
        <w:rPr>
          <w:rFonts w:hint="eastAsia" w:ascii="仿宋_GB2312" w:hAnsi="Cambria" w:eastAsia="仿宋_GB2312" w:cs="ArialUnicodeMS"/>
          <w:b/>
          <w:bCs/>
          <w:kern w:val="0"/>
          <w:sz w:val="32"/>
          <w:szCs w:val="32"/>
        </w:rPr>
        <w:t>参政议政</w:t>
      </w:r>
      <w:r>
        <w:rPr>
          <w:rFonts w:hint="eastAsia" w:ascii="仿宋_GB2312" w:hAnsi="Cambria" w:eastAsia="仿宋_GB2312" w:cs="ArialUnicodeMS"/>
          <w:kern w:val="0"/>
          <w:sz w:val="32"/>
          <w:szCs w:val="32"/>
        </w:rPr>
        <w:t>是组织政协委员，通过调查研究，积极参与各种政治、经济、文化和社会活动，通过多种方式，广开言路，广开才路，充分发表意见，为改革开放和现代化建设发挥作用。</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中国人民政治协商会议河北省阜平县委员会</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56" o:spt="202" type="#_x0000_t202" style="position:absolute;left:0pt;margin-left:-74.2pt;margin-top:120.3pt;height:159.1pt;width:596.2pt;z-index:25167667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9300"/>
      </w:tblGrid>
      <w:tr>
        <w:tblPrEx>
          <w:tblCellMar>
            <w:top w:w="0" w:type="dxa"/>
            <w:left w:w="0" w:type="dxa"/>
            <w:bottom w:w="0" w:type="dxa"/>
            <w:right w:w="0" w:type="dxa"/>
          </w:tblCellMar>
        </w:tblPrEx>
        <w:trPr>
          <w:trHeight w:val="567" w:hRule="atLeast"/>
          <w:jc w:val="center"/>
        </w:trPr>
        <w:tc>
          <w:tcPr>
            <w:tcW w:w="9300" w:type="dxa"/>
            <w:tcBorders>
              <w:top w:val="nil"/>
              <w:left w:val="nil"/>
              <w:bottom w:val="nil"/>
              <w:right w:val="nil"/>
            </w:tcBorders>
            <w:tcMar>
              <w:top w:w="15" w:type="dxa"/>
              <w:left w:w="15" w:type="dxa"/>
              <w:right w:w="15" w:type="dxa"/>
            </w:tcMar>
            <w:vAlign w:val="center"/>
          </w:tcPr>
          <w:tbl>
            <w:tblPr>
              <w:tblStyle w:val="12"/>
              <w:tblW w:w="9300" w:type="dxa"/>
              <w:jc w:val="center"/>
              <w:tblLayout w:type="fixed"/>
              <w:tblCellMar>
                <w:top w:w="0" w:type="dxa"/>
                <w:left w:w="0" w:type="dxa"/>
                <w:bottom w:w="0" w:type="dxa"/>
                <w:right w:w="0" w:type="dxa"/>
              </w:tblCellMar>
            </w:tblPr>
            <w:tblGrid>
              <w:gridCol w:w="9300"/>
            </w:tblGrid>
            <w:tr>
              <w:tblPrEx>
                <w:tblCellMar>
                  <w:top w:w="0" w:type="dxa"/>
                  <w:left w:w="0" w:type="dxa"/>
                  <w:bottom w:w="0" w:type="dxa"/>
                  <w:right w:w="0" w:type="dxa"/>
                </w:tblCellMar>
              </w:tblPrEx>
              <w:trPr>
                <w:trHeight w:val="567" w:hRule="atLeast"/>
                <w:jc w:val="center"/>
              </w:trPr>
              <w:tc>
                <w:tcPr>
                  <w:tcW w:w="9300" w:type="dxa"/>
                  <w:tcBorders>
                    <w:top w:val="nil"/>
                    <w:left w:val="nil"/>
                    <w:bottom w:val="nil"/>
                    <w:right w:val="nil"/>
                  </w:tcBorders>
                  <w:tcMar>
                    <w:top w:w="15" w:type="dxa"/>
                    <w:left w:w="15" w:type="dxa"/>
                    <w:right w:w="15" w:type="dxa"/>
                  </w:tcMar>
                  <w:vAlign w:val="center"/>
                </w:tcPr>
                <w:p>
                  <w:pPr>
                    <w:widowControl/>
                    <w:spacing w:after="0" w:line="440" w:lineRule="exact"/>
                    <w:jc w:val="left"/>
                    <w:textAlignment w:val="center"/>
                    <w:rPr>
                      <w:rFonts w:ascii="黑体" w:hAnsi="宋体" w:eastAsia="黑体" w:cs="黑体"/>
                      <w:color w:val="000000"/>
                      <w:sz w:val="40"/>
                      <w:szCs w:val="40"/>
                    </w:rPr>
                  </w:pPr>
                  <w:r>
                    <w:rPr>
                      <w:sz w:val="32"/>
                      <w:szCs w:val="32"/>
                    </w:rPr>
                    <w:drawing>
                      <wp:anchor distT="0" distB="0" distL="114300" distR="114300" simplePos="0" relativeHeight="251668480" behindDoc="0" locked="0" layoutInCell="1" allowOverlap="1">
                        <wp:simplePos x="0" y="0"/>
                        <wp:positionH relativeFrom="column">
                          <wp:posOffset>40005</wp:posOffset>
                        </wp:positionH>
                        <wp:positionV relativeFrom="paragraph">
                          <wp:posOffset>585470</wp:posOffset>
                        </wp:positionV>
                        <wp:extent cx="5875655" cy="4261485"/>
                        <wp:effectExtent l="0" t="0" r="10795" b="5715"/>
                        <wp:wrapSquare wrapText="bothSides"/>
                        <wp:docPr id="5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9"/>
                                <pic:cNvPicPr>
                                  <a:picLocks noChangeAspect="1"/>
                                </pic:cNvPicPr>
                              </pic:nvPicPr>
                              <pic:blipFill>
                                <a:blip r:embed="rId8"/>
                                <a:stretch>
                                  <a:fillRect/>
                                </a:stretch>
                              </pic:blipFill>
                              <pic:spPr>
                                <a:xfrm>
                                  <a:off x="0" y="0"/>
                                  <a:ext cx="5875655" cy="4261485"/>
                                </a:xfrm>
                                <a:prstGeom prst="rect">
                                  <a:avLst/>
                                </a:prstGeom>
                                <a:noFill/>
                                <a:ln>
                                  <a:noFill/>
                                </a:ln>
                              </pic:spPr>
                            </pic:pic>
                          </a:graphicData>
                        </a:graphic>
                      </wp:anchor>
                    </w:drawing>
                  </w:r>
                  <w:r>
                    <w:rPr>
                      <w:sz w:val="32"/>
                      <w:szCs w:val="32"/>
                    </w:rPr>
                    <w:pict>
                      <v:group id="组合 10" o:spid="_x0000_s1053" o:spt="203" style="position:absolute;left:0pt;margin-left:-70.25pt;margin-top:-81.85pt;height:41.2pt;width:243.2pt;mso-position-vertical-relative:page;z-index:251686912;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CvFSPcAAAADQEAAA8A&#10;AAAAAAAAAQAgAAAAIgAAAGRycy9kb3ducmV2LnhtbFBLAQIUABQAAAAIAIdO4kB32l6IvgIAACYH&#10;AAAOAAAAAAAAAAEAIAAAACsBAABkcnMvZTJvRG9jLnhtbFBLBQYAAAAABgAGAFkBAABbBgAAAAA=&#10;">
                        <o:lock v:ext="edit"/>
                        <v:rect id="矩形 13" o:spid="_x0000_s1055"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4"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sz w:val="32"/>
                      <w:szCs w:val="32"/>
                    </w:rPr>
                    <w:t>一、收入支出决算总表</w:t>
                  </w:r>
                </w:p>
              </w:tc>
            </w:tr>
          </w:tbl>
          <w:p>
            <w:pPr>
              <w:widowControl/>
              <w:spacing w:after="0" w:line="440" w:lineRule="exact"/>
              <w:jc w:val="center"/>
              <w:textAlignment w:val="center"/>
              <w:rPr>
                <w:rFonts w:ascii="黑体" w:hAnsi="宋体" w:eastAsia="黑体" w:cs="黑体"/>
                <w:color w:val="000000"/>
                <w:sz w:val="40"/>
                <w:szCs w:val="40"/>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jc w:val="left"/>
        <w:rPr>
          <w:rFonts w:ascii="黑体" w:hAnsi="黑体" w:eastAsia="黑体" w:cs="黑体"/>
          <w:b/>
          <w:sz w:val="32"/>
          <w:szCs w:val="32"/>
        </w:rPr>
        <w:sectPr>
          <w:pgSz w:w="11906" w:h="16838"/>
          <w:pgMar w:top="2098" w:right="1474" w:bottom="1984" w:left="1588" w:header="851" w:footer="992" w:gutter="0"/>
          <w:cols w:space="0" w:num="1"/>
          <w:docGrid w:type="lines" w:linePitch="312" w:charSpace="0"/>
        </w:sectPr>
      </w:pPr>
      <w:r>
        <w:rPr>
          <w:rFonts w:hint="eastAsia" w:ascii="黑体" w:hAnsi="黑体" w:eastAsia="黑体" w:cs="黑体"/>
          <w:sz w:val="32"/>
          <w:szCs w:val="32"/>
        </w:rPr>
        <w:drawing>
          <wp:anchor distT="0" distB="0" distL="114300" distR="114300" simplePos="0" relativeHeight="251665408" behindDoc="0" locked="0" layoutInCell="1" allowOverlap="1">
            <wp:simplePos x="0" y="0"/>
            <wp:positionH relativeFrom="column">
              <wp:posOffset>34290</wp:posOffset>
            </wp:positionH>
            <wp:positionV relativeFrom="paragraph">
              <wp:posOffset>538480</wp:posOffset>
            </wp:positionV>
            <wp:extent cx="5611495" cy="2404745"/>
            <wp:effectExtent l="0" t="0" r="8255" b="14605"/>
            <wp:wrapSquare wrapText="bothSides"/>
            <wp:docPr id="3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7"/>
                    <pic:cNvPicPr>
                      <a:picLocks noChangeAspect="1"/>
                    </pic:cNvPicPr>
                  </pic:nvPicPr>
                  <pic:blipFill>
                    <a:blip r:embed="rId9"/>
                    <a:stretch>
                      <a:fillRect/>
                    </a:stretch>
                  </pic:blipFill>
                  <pic:spPr>
                    <a:xfrm>
                      <a:off x="0" y="0"/>
                      <a:ext cx="5611495" cy="2404745"/>
                    </a:xfrm>
                    <a:prstGeom prst="rect">
                      <a:avLst/>
                    </a:prstGeom>
                    <a:noFill/>
                    <a:ln>
                      <a:noFill/>
                    </a:ln>
                  </pic:spPr>
                </pic:pic>
              </a:graphicData>
            </a:graphic>
          </wp:anchor>
        </w:drawing>
      </w:r>
      <w:r>
        <w:rPr>
          <w:rFonts w:hint="eastAsia" w:ascii="黑体" w:hAnsi="黑体" w:eastAsia="黑体" w:cs="黑体"/>
          <w:b/>
          <w:sz w:val="32"/>
          <w:szCs w:val="32"/>
        </w:rPr>
        <w:t>二、收入决算表</w:t>
      </w:r>
    </w:p>
    <w:p>
      <w:pPr>
        <w:widowControl/>
        <w:spacing w:after="0" w:line="560" w:lineRule="exact"/>
        <w:jc w:val="left"/>
        <w:rPr>
          <w:rFonts w:ascii="黑体" w:hAnsi="黑体" w:eastAsia="黑体" w:cs="黑体"/>
          <w:b/>
          <w:sz w:val="32"/>
          <w:szCs w:val="32"/>
        </w:rPr>
      </w:pPr>
      <w:r>
        <w:rPr>
          <w:rFonts w:hint="eastAsia" w:ascii="黑体" w:hAnsi="黑体" w:eastAsia="黑体" w:cs="黑体"/>
          <w:b/>
          <w:sz w:val="32"/>
          <w:szCs w:val="32"/>
        </w:rPr>
        <w:t>三、支出决算表</w:t>
      </w: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69504" behindDoc="1" locked="0" layoutInCell="1" allowOverlap="1">
            <wp:simplePos x="0" y="0"/>
            <wp:positionH relativeFrom="column">
              <wp:posOffset>-85725</wp:posOffset>
            </wp:positionH>
            <wp:positionV relativeFrom="paragraph">
              <wp:posOffset>321945</wp:posOffset>
            </wp:positionV>
            <wp:extent cx="5615305" cy="2681605"/>
            <wp:effectExtent l="0" t="0" r="4445" b="4445"/>
            <wp:wrapTight wrapText="bothSides">
              <wp:wrapPolygon>
                <wp:start x="21592" y="-2"/>
                <wp:lineTo x="0" y="0"/>
                <wp:lineTo x="0" y="21600"/>
                <wp:lineTo x="21592" y="21602"/>
                <wp:lineTo x="8" y="21602"/>
                <wp:lineTo x="21600" y="21600"/>
                <wp:lineTo x="21600" y="0"/>
                <wp:lineTo x="8" y="-2"/>
                <wp:lineTo x="21592" y="-2"/>
              </wp:wrapPolygon>
            </wp:wrapTight>
            <wp:docPr id="5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6"/>
                    <pic:cNvPicPr>
                      <a:picLocks noChangeAspect="1"/>
                    </pic:cNvPicPr>
                  </pic:nvPicPr>
                  <pic:blipFill>
                    <a:blip r:embed="rId10"/>
                    <a:stretch>
                      <a:fillRect/>
                    </a:stretch>
                  </pic:blipFill>
                  <pic:spPr>
                    <a:xfrm>
                      <a:off x="0" y="0"/>
                      <a:ext cx="5615305" cy="268160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jc w:val="left"/>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6432" behindDoc="0" locked="0" layoutInCell="1" allowOverlap="1">
            <wp:simplePos x="0" y="0"/>
            <wp:positionH relativeFrom="column">
              <wp:posOffset>86995</wp:posOffset>
            </wp:positionH>
            <wp:positionV relativeFrom="paragraph">
              <wp:posOffset>486410</wp:posOffset>
            </wp:positionV>
            <wp:extent cx="5608320" cy="4153535"/>
            <wp:effectExtent l="0" t="0" r="11430" b="18415"/>
            <wp:wrapSquare wrapText="bothSides"/>
            <wp:docPr id="4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9"/>
                    <pic:cNvPicPr>
                      <a:picLocks noChangeAspect="1"/>
                    </pic:cNvPicPr>
                  </pic:nvPicPr>
                  <pic:blipFill>
                    <a:blip r:embed="rId11"/>
                    <a:stretch>
                      <a:fillRect/>
                    </a:stretch>
                  </pic:blipFill>
                  <pic:spPr>
                    <a:xfrm>
                      <a:off x="0" y="0"/>
                      <a:ext cx="5608320" cy="4153535"/>
                    </a:xfrm>
                    <a:prstGeom prst="rect">
                      <a:avLst/>
                    </a:prstGeom>
                    <a:noFill/>
                    <a:ln>
                      <a:noFill/>
                    </a:ln>
                  </pic:spPr>
                </pic:pic>
              </a:graphicData>
            </a:graphic>
          </wp:anchor>
        </w:drawing>
      </w:r>
      <w:r>
        <w:rPr>
          <w:rFonts w:hint="eastAsia" w:ascii="黑体" w:hAnsi="黑体" w:eastAsia="黑体" w:cs="黑体"/>
          <w:sz w:val="32"/>
          <w:szCs w:val="32"/>
        </w:rPr>
        <w:t>四、财政拨款收入支出决算总表</w:t>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jc w:val="left"/>
        <w:rPr>
          <w:rFonts w:ascii="黑体" w:hAnsi="黑体" w:eastAsia="黑体" w:cs="黑体"/>
          <w:sz w:val="32"/>
          <w:szCs w:val="32"/>
        </w:rPr>
      </w:pPr>
      <w:r>
        <w:drawing>
          <wp:anchor distT="0" distB="0" distL="114300" distR="114300" simplePos="0" relativeHeight="251670528" behindDoc="1" locked="0" layoutInCell="1" allowOverlap="1">
            <wp:simplePos x="0" y="0"/>
            <wp:positionH relativeFrom="column">
              <wp:posOffset>28575</wp:posOffset>
            </wp:positionH>
            <wp:positionV relativeFrom="paragraph">
              <wp:posOffset>687070</wp:posOffset>
            </wp:positionV>
            <wp:extent cx="5609590" cy="3463925"/>
            <wp:effectExtent l="0" t="0" r="10160" b="3175"/>
            <wp:wrapTight wrapText="bothSides">
              <wp:wrapPolygon>
                <wp:start x="21591" y="-2"/>
                <wp:lineTo x="0" y="0"/>
                <wp:lineTo x="0" y="21599"/>
                <wp:lineTo x="21591" y="21601"/>
                <wp:lineTo x="8" y="21601"/>
                <wp:lineTo x="21599" y="21599"/>
                <wp:lineTo x="21599" y="0"/>
                <wp:lineTo x="8" y="-2"/>
                <wp:lineTo x="21591" y="-2"/>
              </wp:wrapPolygon>
            </wp:wrapTight>
            <wp:docPr id="5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7"/>
                    <pic:cNvPicPr>
                      <a:picLocks noChangeAspect="1"/>
                    </pic:cNvPicPr>
                  </pic:nvPicPr>
                  <pic:blipFill>
                    <a:blip r:embed="rId12"/>
                    <a:stretch>
                      <a:fillRect/>
                    </a:stretch>
                  </pic:blipFill>
                  <pic:spPr>
                    <a:xfrm>
                      <a:off x="0" y="0"/>
                      <a:ext cx="5609590" cy="3463925"/>
                    </a:xfrm>
                    <a:prstGeom prst="rect">
                      <a:avLst/>
                    </a:prstGeom>
                    <a:noFill/>
                    <a:ln>
                      <a:noFill/>
                    </a:ln>
                  </pic:spPr>
                </pic:pic>
              </a:graphicData>
            </a:graphic>
          </wp:anchor>
        </w:drawing>
      </w:r>
      <w:r>
        <w:rPr>
          <w:rFonts w:hint="eastAsia" w:ascii="黑体" w:hAnsi="黑体" w:eastAsia="黑体" w:cs="黑体"/>
          <w:sz w:val="32"/>
          <w:szCs w:val="32"/>
        </w:rPr>
        <w:t>五、一般公共预算财政拨款支出决算表</w:t>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numPr>
          <w:ilvl w:val="0"/>
          <w:numId w:val="1"/>
        </w:numPr>
        <w:spacing w:after="0" w:line="560" w:lineRule="exact"/>
        <w:jc w:val="left"/>
        <w:rPr>
          <w:rFonts w:ascii="黑体" w:hAnsi="黑体" w:eastAsia="黑体" w:cs="黑体"/>
          <w:bCs/>
          <w:sz w:val="32"/>
          <w:szCs w:val="32"/>
        </w:rPr>
      </w:pPr>
      <w:r>
        <w:rPr>
          <w:rFonts w:hint="eastAsia" w:ascii="黑体" w:hAnsi="黑体" w:eastAsia="黑体" w:cs="黑体"/>
          <w:bCs/>
          <w:sz w:val="32"/>
          <w:szCs w:val="32"/>
        </w:rPr>
        <w:t>一般公共预算财政拨款基本支出决算表</w:t>
      </w:r>
    </w:p>
    <w:p>
      <w:pPr>
        <w:widowControl/>
        <w:spacing w:after="0" w:line="560" w:lineRule="exact"/>
        <w:jc w:val="left"/>
        <w:rPr>
          <w:rFonts w:ascii="黑体" w:hAnsi="黑体" w:eastAsia="黑体" w:cs="黑体"/>
          <w:bCs/>
          <w:sz w:val="32"/>
          <w:szCs w:val="32"/>
        </w:rPr>
      </w:pPr>
      <w:r>
        <w:drawing>
          <wp:anchor distT="0" distB="0" distL="114300" distR="114300" simplePos="0" relativeHeight="251671552" behindDoc="1" locked="0" layoutInCell="1" allowOverlap="1">
            <wp:simplePos x="0" y="0"/>
            <wp:positionH relativeFrom="column">
              <wp:posOffset>76200</wp:posOffset>
            </wp:positionH>
            <wp:positionV relativeFrom="paragraph">
              <wp:posOffset>350520</wp:posOffset>
            </wp:positionV>
            <wp:extent cx="5607050" cy="3198495"/>
            <wp:effectExtent l="0" t="0" r="12700" b="1905"/>
            <wp:wrapTight wrapText="bothSides">
              <wp:wrapPolygon>
                <wp:start x="21592" y="-2"/>
                <wp:lineTo x="0" y="0"/>
                <wp:lineTo x="0" y="21600"/>
                <wp:lineTo x="21592" y="21602"/>
                <wp:lineTo x="8" y="21602"/>
                <wp:lineTo x="21600" y="21600"/>
                <wp:lineTo x="21600" y="0"/>
                <wp:lineTo x="8" y="-2"/>
                <wp:lineTo x="21592" y="-2"/>
              </wp:wrapPolygon>
            </wp:wrapTight>
            <wp:docPr id="5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8"/>
                    <pic:cNvPicPr>
                      <a:picLocks noChangeAspect="1"/>
                    </pic:cNvPicPr>
                  </pic:nvPicPr>
                  <pic:blipFill>
                    <a:blip r:embed="rId13"/>
                    <a:stretch>
                      <a:fillRect/>
                    </a:stretch>
                  </pic:blipFill>
                  <pic:spPr>
                    <a:xfrm>
                      <a:off x="0" y="0"/>
                      <a:ext cx="5607050" cy="319849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numPr>
          <w:ilvl w:val="0"/>
          <w:numId w:val="1"/>
        </w:numPr>
        <w:spacing w:after="0" w:line="560" w:lineRule="exact"/>
        <w:jc w:val="left"/>
        <w:rPr>
          <w:rFonts w:ascii="黑体" w:hAnsi="黑体" w:eastAsia="黑体" w:cs="黑体"/>
          <w:bCs/>
          <w:sz w:val="32"/>
          <w:szCs w:val="32"/>
        </w:rPr>
      </w:pPr>
      <w:r>
        <w:rPr>
          <w:rFonts w:hint="eastAsia" w:ascii="黑体" w:hAnsi="黑体" w:eastAsia="黑体" w:cs="黑体"/>
          <w:bCs/>
          <w:sz w:val="32"/>
          <w:szCs w:val="32"/>
        </w:rPr>
        <w:t>一般公共预算财政拨款“三公”经费支出决算表</w:t>
      </w:r>
    </w:p>
    <w:p>
      <w:pPr>
        <w:widowControl/>
        <w:spacing w:after="0" w:line="560" w:lineRule="exact"/>
        <w:jc w:val="left"/>
        <w:rPr>
          <w:rFonts w:ascii="黑体" w:hAnsi="黑体" w:eastAsia="黑体" w:cs="黑体"/>
          <w:bCs/>
          <w:sz w:val="32"/>
          <w:szCs w:val="32"/>
        </w:rPr>
      </w:pPr>
      <w:r>
        <w:drawing>
          <wp:anchor distT="0" distB="0" distL="114300" distR="114300" simplePos="0" relativeHeight="251667456" behindDoc="0" locked="0" layoutInCell="1" allowOverlap="1">
            <wp:simplePos x="0" y="0"/>
            <wp:positionH relativeFrom="column">
              <wp:posOffset>25400</wp:posOffset>
            </wp:positionH>
            <wp:positionV relativeFrom="paragraph">
              <wp:posOffset>245745</wp:posOffset>
            </wp:positionV>
            <wp:extent cx="5612765" cy="904875"/>
            <wp:effectExtent l="0" t="0" r="6985" b="9525"/>
            <wp:wrapSquare wrapText="bothSides"/>
            <wp:docPr id="5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2"/>
                    <pic:cNvPicPr>
                      <a:picLocks noChangeAspect="1"/>
                    </pic:cNvPicPr>
                  </pic:nvPicPr>
                  <pic:blipFill>
                    <a:blip r:embed="rId14"/>
                    <a:stretch>
                      <a:fillRect/>
                    </a:stretch>
                  </pic:blipFill>
                  <pic:spPr>
                    <a:xfrm>
                      <a:off x="0" y="0"/>
                      <a:ext cx="5612765" cy="904875"/>
                    </a:xfrm>
                    <a:prstGeom prst="rect">
                      <a:avLst/>
                    </a:prstGeom>
                    <a:noFill/>
                    <a:ln>
                      <a:noFill/>
                    </a:ln>
                  </pic:spPr>
                </pic:pic>
              </a:graphicData>
            </a:graphic>
          </wp:anchor>
        </w:drawing>
      </w:r>
    </w:p>
    <w:p>
      <w:pPr>
        <w:widowControl/>
        <w:spacing w:after="0" w:line="560" w:lineRule="exact"/>
        <w:jc w:val="left"/>
        <w:rPr>
          <w:rFonts w:ascii="黑体" w:hAnsi="黑体" w:eastAsia="黑体" w:cs="黑体"/>
          <w:bCs/>
          <w:sz w:val="32"/>
          <w:szCs w:val="32"/>
        </w:rPr>
        <w:sectPr>
          <w:pgSz w:w="11906" w:h="16838"/>
          <w:pgMar w:top="2098" w:right="1474" w:bottom="1984" w:left="1588" w:header="851" w:footer="992" w:gutter="0"/>
          <w:cols w:space="0" w:num="1"/>
          <w:docGrid w:type="lines" w:linePitch="312" w:charSpace="0"/>
        </w:sectPr>
      </w:pPr>
    </w:p>
    <w:p>
      <w:pPr>
        <w:widowControl/>
        <w:numPr>
          <w:ilvl w:val="0"/>
          <w:numId w:val="1"/>
        </w:numPr>
        <w:spacing w:after="0" w:line="560" w:lineRule="exact"/>
        <w:jc w:val="left"/>
        <w:rPr>
          <w:rFonts w:ascii="黑体" w:hAnsi="黑体" w:eastAsia="黑体" w:cs="黑体"/>
          <w:bCs/>
          <w:sz w:val="32"/>
          <w:szCs w:val="32"/>
        </w:rPr>
      </w:pPr>
      <w:r>
        <w:rPr>
          <w:rFonts w:hint="eastAsia" w:ascii="黑体" w:hAnsi="黑体" w:eastAsia="黑体" w:cs="黑体"/>
          <w:bCs/>
          <w:sz w:val="32"/>
          <w:szCs w:val="32"/>
        </w:rPr>
        <w:t>政府性基金预算财政拨款收入支出决算表</w:t>
      </w:r>
    </w:p>
    <w:p>
      <w:pPr>
        <w:widowControl/>
        <w:spacing w:after="0" w:line="560" w:lineRule="exact"/>
        <w:jc w:val="left"/>
        <w:rPr>
          <w:rFonts w:ascii="黑体" w:hAnsi="黑体" w:eastAsia="黑体" w:cs="黑体"/>
          <w:bCs/>
          <w:sz w:val="32"/>
          <w:szCs w:val="32"/>
        </w:rPr>
      </w:pPr>
    </w:p>
    <w:p>
      <w:pPr>
        <w:widowControl/>
        <w:spacing w:after="0" w:line="560" w:lineRule="exact"/>
        <w:jc w:val="left"/>
        <w:rPr>
          <w:rFonts w:ascii="黑体" w:hAnsi="黑体" w:eastAsia="黑体" w:cs="黑体"/>
          <w:bCs/>
          <w:sz w:val="32"/>
          <w:szCs w:val="32"/>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2576" behindDoc="1" locked="0" layoutInCell="1" allowOverlap="1">
            <wp:simplePos x="0" y="0"/>
            <wp:positionH relativeFrom="column">
              <wp:posOffset>95250</wp:posOffset>
            </wp:positionH>
            <wp:positionV relativeFrom="paragraph">
              <wp:posOffset>5715</wp:posOffset>
            </wp:positionV>
            <wp:extent cx="5615940" cy="1688465"/>
            <wp:effectExtent l="0" t="0" r="3810" b="6985"/>
            <wp:wrapTight wrapText="bothSides">
              <wp:wrapPolygon>
                <wp:start x="21592" y="-2"/>
                <wp:lineTo x="0" y="0"/>
                <wp:lineTo x="0" y="21600"/>
                <wp:lineTo x="21592" y="21602"/>
                <wp:lineTo x="8" y="21602"/>
                <wp:lineTo x="21600" y="21600"/>
                <wp:lineTo x="21600" y="0"/>
                <wp:lineTo x="8" y="-2"/>
                <wp:lineTo x="21592" y="-2"/>
              </wp:wrapPolygon>
            </wp:wrapTight>
            <wp:docPr id="5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0"/>
                    <pic:cNvPicPr>
                      <a:picLocks noChangeAspect="1"/>
                    </pic:cNvPicPr>
                  </pic:nvPicPr>
                  <pic:blipFill>
                    <a:blip r:embed="rId15"/>
                    <a:stretch>
                      <a:fillRect/>
                    </a:stretch>
                  </pic:blipFill>
                  <pic:spPr>
                    <a:xfrm>
                      <a:off x="0" y="0"/>
                      <a:ext cx="5615940" cy="1688465"/>
                    </a:xfrm>
                    <a:prstGeom prst="rect">
                      <a:avLst/>
                    </a:prstGeom>
                    <a:noFill/>
                    <a:ln>
                      <a:noFill/>
                    </a:ln>
                  </pic:spPr>
                </pic:pic>
              </a:graphicData>
            </a:graphic>
          </wp:anchor>
        </w:drawing>
      </w:r>
    </w:p>
    <w:p>
      <w:pPr>
        <w:widowControl/>
        <w:numPr>
          <w:ilvl w:val="0"/>
          <w:numId w:val="1"/>
        </w:numPr>
        <w:spacing w:after="0" w:line="560" w:lineRule="exact"/>
        <w:jc w:val="left"/>
        <w:rPr>
          <w:rFonts w:ascii="黑体" w:hAnsi="黑体" w:eastAsia="黑体" w:cs="黑体"/>
          <w:bCs/>
          <w:sz w:val="32"/>
          <w:szCs w:val="32"/>
        </w:rPr>
      </w:pPr>
      <w:r>
        <w:rPr>
          <w:rFonts w:hint="eastAsia" w:ascii="黑体" w:hAnsi="黑体" w:eastAsia="黑体" w:cs="黑体"/>
          <w:bCs/>
          <w:sz w:val="32"/>
          <w:szCs w:val="32"/>
        </w:rPr>
        <w:t>国有资本经营预算财政拨款支出决算表</w:t>
      </w:r>
    </w:p>
    <w:p>
      <w:pPr>
        <w:widowControl/>
        <w:spacing w:after="0" w:line="560" w:lineRule="exact"/>
        <w:jc w:val="left"/>
        <w:rPr>
          <w:rFonts w:ascii="黑体" w:hAnsi="黑体" w:eastAsia="黑体" w:cs="黑体"/>
          <w:bCs/>
          <w:sz w:val="32"/>
          <w:szCs w:val="32"/>
        </w:rPr>
      </w:pPr>
    </w:p>
    <w:p>
      <w:pPr>
        <w:widowControl/>
        <w:spacing w:after="0" w:line="560" w:lineRule="exact"/>
        <w:jc w:val="left"/>
        <w:rPr>
          <w:rFonts w:ascii="黑体" w:hAnsi="黑体" w:eastAsia="黑体" w:cs="黑体"/>
          <w:bCs/>
          <w:sz w:val="32"/>
          <w:szCs w:val="32"/>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3600" behindDoc="1" locked="0" layoutInCell="1" allowOverlap="1">
            <wp:simplePos x="0" y="0"/>
            <wp:positionH relativeFrom="column">
              <wp:posOffset>95250</wp:posOffset>
            </wp:positionH>
            <wp:positionV relativeFrom="paragraph">
              <wp:posOffset>52070</wp:posOffset>
            </wp:positionV>
            <wp:extent cx="5610860" cy="2705735"/>
            <wp:effectExtent l="0" t="0" r="8890" b="18415"/>
            <wp:wrapTight wrapText="bothSides">
              <wp:wrapPolygon>
                <wp:start x="21592" y="-2"/>
                <wp:lineTo x="0" y="0"/>
                <wp:lineTo x="0" y="21600"/>
                <wp:lineTo x="21592" y="21602"/>
                <wp:lineTo x="8" y="21602"/>
                <wp:lineTo x="21600" y="21600"/>
                <wp:lineTo x="21600" y="0"/>
                <wp:lineTo x="8" y="-2"/>
                <wp:lineTo x="21592" y="-2"/>
              </wp:wrapPolygon>
            </wp:wrapTight>
            <wp:docPr id="5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1"/>
                    <pic:cNvPicPr>
                      <a:picLocks noChangeAspect="1"/>
                    </pic:cNvPicPr>
                  </pic:nvPicPr>
                  <pic:blipFill>
                    <a:blip r:embed="rId16"/>
                    <a:stretch>
                      <a:fillRect/>
                    </a:stretch>
                  </pic:blipFill>
                  <pic:spPr>
                    <a:xfrm>
                      <a:off x="0" y="0"/>
                      <a:ext cx="5610860" cy="2705735"/>
                    </a:xfrm>
                    <a:prstGeom prst="rect">
                      <a:avLst/>
                    </a:prstGeom>
                    <a:noFill/>
                    <a:ln>
                      <a:noFill/>
                    </a:ln>
                  </pic:spPr>
                </pic:pic>
              </a:graphicData>
            </a:graphic>
          </wp:anchor>
        </w:drawing>
      </w:r>
    </w:p>
    <w:p>
      <w:pPr>
        <w:widowControl/>
        <w:numPr>
          <w:ilvl w:val="0"/>
          <w:numId w:val="1"/>
        </w:numPr>
        <w:spacing w:after="0" w:line="560" w:lineRule="exact"/>
        <w:jc w:val="left"/>
        <w:rPr>
          <w:rFonts w:ascii="黑体" w:hAnsi="黑体" w:eastAsia="黑体" w:cs="黑体"/>
          <w:bCs/>
          <w:sz w:val="32"/>
          <w:szCs w:val="32"/>
        </w:rPr>
      </w:pPr>
      <w:r>
        <w:rPr>
          <w:rFonts w:hint="eastAsia" w:ascii="黑体" w:hAnsi="黑体" w:eastAsia="黑体" w:cs="黑体"/>
          <w:bCs/>
          <w:sz w:val="32"/>
          <w:szCs w:val="32"/>
        </w:rPr>
        <w:t>政府采购情况表</w:t>
      </w:r>
    </w:p>
    <w:p>
      <w:pPr>
        <w:widowControl/>
        <w:spacing w:after="0" w:line="560" w:lineRule="exact"/>
        <w:jc w:val="left"/>
        <w:rPr>
          <w:rFonts w:ascii="黑体" w:hAnsi="黑体" w:eastAsia="黑体" w:cs="黑体"/>
          <w:bCs/>
          <w:sz w:val="32"/>
          <w:szCs w:val="32"/>
        </w:rPr>
      </w:pPr>
      <w:r>
        <w:drawing>
          <wp:anchor distT="0" distB="0" distL="114300" distR="114300" simplePos="0" relativeHeight="251674624" behindDoc="1" locked="0" layoutInCell="1" allowOverlap="1">
            <wp:simplePos x="0" y="0"/>
            <wp:positionH relativeFrom="column">
              <wp:posOffset>-76200</wp:posOffset>
            </wp:positionH>
            <wp:positionV relativeFrom="paragraph">
              <wp:posOffset>291465</wp:posOffset>
            </wp:positionV>
            <wp:extent cx="5613400" cy="2379345"/>
            <wp:effectExtent l="0" t="0" r="6350" b="1905"/>
            <wp:wrapTight wrapText="bothSides">
              <wp:wrapPolygon>
                <wp:start x="21592" y="-2"/>
                <wp:lineTo x="0" y="0"/>
                <wp:lineTo x="0" y="21600"/>
                <wp:lineTo x="21592" y="21602"/>
                <wp:lineTo x="8" y="21602"/>
                <wp:lineTo x="21600" y="21600"/>
                <wp:lineTo x="21600" y="0"/>
                <wp:lineTo x="8" y="-2"/>
                <wp:lineTo x="21592" y="-2"/>
              </wp:wrapPolygon>
            </wp:wrapTight>
            <wp:docPr id="57"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2"/>
                    <pic:cNvPicPr>
                      <a:picLocks noChangeAspect="1"/>
                    </pic:cNvPicPr>
                  </pic:nvPicPr>
                  <pic:blipFill>
                    <a:blip r:embed="rId17"/>
                    <a:stretch>
                      <a:fillRect/>
                    </a:stretch>
                  </pic:blipFill>
                  <pic:spPr>
                    <a:xfrm>
                      <a:off x="0" y="0"/>
                      <a:ext cx="5613400" cy="2379345"/>
                    </a:xfrm>
                    <a:prstGeom prst="rect">
                      <a:avLst/>
                    </a:prstGeom>
                    <a:noFill/>
                    <a:ln>
                      <a:noFill/>
                    </a:ln>
                  </pic:spPr>
                </pic:pic>
              </a:graphicData>
            </a:graphic>
          </wp:anchor>
        </w:drawing>
      </w: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5" o:spid="_x0000_s1052" o:spt="202" type="#_x0000_t202" style="position:absolute;left:0pt;margin-left:-78.7pt;margin-top:232.8pt;height:159.1pt;width:596.2pt;z-index:25167769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49" o:spt="203" style="position:absolute;left:0pt;margin-left:-79.5pt;margin-top:29.3pt;height:43.95pt;width:301.85pt;mso-position-vertical-relative:page;z-index:251691008;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AESE4pwgIA&#10;ACYHAAAOAAAAAAAAAAEAIAAAACoBAABkcnMvZTJvRG9jLnhtbFBLBQYAAAAABgAGAFkBAABeBgAA&#10;AAA=&#10;">
            <o:lock v:ext="edit"/>
            <v:rect id="矩形 13" o:spid="_x0000_s1051" o:spt="1" style="position:absolute;left:4551;top:52615;height:1175;width:8546;v-text-anchor:middle;" fillcolor="#96DA9D" filled="t" stroked="f" coordsize="21600,21600" o:gfxdata="UEsDBAoAAAAAAIdO4kAAAAAAAAAAAAAAAAAEAAAAZHJzL1BLAwQUAAAACACHTuJAGnrUoLsAAADb&#10;AAAADwAAAGRycy9kb3ducmV2LnhtbEWPQWsCMRSE74L/ITyht/qyp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Uo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y7J4r74AAADb&#10;AAAADwAAAGRycy9kb3ducmV2LnhtbEWP3WoCMRSE7wXfIZxC7zSrl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4r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年度收入总计（含结转和结余）236.37万元，与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年度决算相比，收入各增加6.76万元，增长2.94</w:t>
      </w:r>
      <w:r>
        <w:rPr>
          <w:rFonts w:ascii="仿宋_GB2312" w:eastAsia="仿宋_GB2312" w:cs="DengXian-Regular"/>
          <w:sz w:val="32"/>
          <w:szCs w:val="32"/>
        </w:rPr>
        <w:t>%</w:t>
      </w:r>
      <w:r>
        <w:rPr>
          <w:rFonts w:hint="eastAsia" w:ascii="仿宋_GB2312" w:eastAsia="仿宋_GB2312" w:cs="DengXian-Regular"/>
          <w:sz w:val="32"/>
          <w:szCs w:val="32"/>
        </w:rPr>
        <w:t>，主要原因是一是增加了扶贫攻坚材料汇编整理、出版印刷、整理历史资料费等项目经费；二是工资普调，增加了人员经费；去世一人，增加了抚恤金。本部门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年度支出总计（含结转和结余）236.37万元。与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年度决算相比，支出各增加6.76万元，增长2.94</w:t>
      </w:r>
      <w:r>
        <w:rPr>
          <w:rFonts w:ascii="仿宋_GB2312" w:eastAsia="仿宋_GB2312" w:cs="DengXian-Regular"/>
          <w:sz w:val="32"/>
          <w:szCs w:val="32"/>
        </w:rPr>
        <w:t>%</w:t>
      </w:r>
      <w:r>
        <w:rPr>
          <w:rFonts w:hint="eastAsia" w:ascii="仿宋_GB2312" w:eastAsia="仿宋_GB2312" w:cs="DengXian-Regular"/>
          <w:sz w:val="32"/>
          <w:szCs w:val="32"/>
        </w:rPr>
        <w:t>，主要原因是一是增加了扶贫攻坚材料汇编整理、出版印刷、整理历史资料费等项目经费；二是工资普调，增加了人员经费；去世一人，增加了抚恤金。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pStyle w:val="3"/>
        <w:spacing w:before="0" w:after="0" w:line="580" w:lineRule="exact"/>
        <w:ind w:firstLine="640" w:firstLineChars="200"/>
        <w:rPr>
          <w:rFonts w:ascii="仿宋_GB2312" w:hAnsi="Times New Roman" w:eastAsia="仿宋_GB2312" w:cs="DengXian-Regular"/>
          <w:b w:val="0"/>
          <w:bCs w:val="0"/>
        </w:rPr>
      </w:pPr>
      <w:r>
        <w:rPr>
          <w:rFonts w:hint="eastAsia" w:ascii="仿宋_GB2312" w:hAnsi="Times New Roman" w:eastAsia="仿宋_GB2312" w:cs="DengXian-Regular"/>
          <w:b w:val="0"/>
          <w:bCs w:val="0"/>
        </w:rPr>
        <w:t>本部门2018年度本年收入合计236.37万元，其中：财政拨款收入236.37万元，占100%；事业收入0万元，占0%；经营收入0万元，占0%，其他收入0万元，占0%。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仿宋_GB2312" w:hAnsi="Times New Roman" w:eastAsia="仿宋_GB2312" w:cs="DengXian-Regular"/>
          <w:b w:val="0"/>
          <w:bCs w:val="0"/>
        </w:rPr>
      </w:pPr>
      <w:r>
        <w:rPr>
          <w:rFonts w:hint="eastAsia" w:ascii="仿宋_GB2312" w:hAnsi="Times New Roman" w:eastAsia="仿宋_GB2312" w:cs="DengXian-Regular"/>
          <w:b w:val="0"/>
          <w:bCs w:val="0"/>
        </w:rPr>
        <w:t>本部门2018年度本年支出合计236.37万元，其中：基本支出193.87万元，占82.02%；项目支出42.50万元，占17.98%；经营收入0万元，占0%。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年度形成的财政拨款收支均为一般公共预算财政拨款，其中一般公共预算财政拨款本年收入236.37万元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年度增加6.76万元，增长2.94</w:t>
      </w:r>
      <w:r>
        <w:rPr>
          <w:rFonts w:ascii="仿宋_GB2312" w:eastAsia="仿宋_GB2312" w:cs="DengXian-Regular"/>
          <w:sz w:val="32"/>
          <w:szCs w:val="32"/>
        </w:rPr>
        <w:t>%</w:t>
      </w:r>
      <w:r>
        <w:rPr>
          <w:rFonts w:hint="eastAsia" w:ascii="仿宋_GB2312" w:eastAsia="仿宋_GB2312" w:cs="DengXian-Regular"/>
          <w:sz w:val="32"/>
          <w:szCs w:val="32"/>
        </w:rPr>
        <w:t>，主要原因是一是增加了扶贫攻坚材料汇编整理、出版印刷、整理历史资料费等项目经费；二是工资普调，增加了人员经费；去世一人，增加了抚恤金；本年支出236.37万元，增加6.76万元，增长2.94</w:t>
      </w:r>
      <w:r>
        <w:rPr>
          <w:rFonts w:ascii="仿宋_GB2312" w:eastAsia="仿宋_GB2312" w:cs="DengXian-Regular"/>
          <w:sz w:val="32"/>
          <w:szCs w:val="32"/>
        </w:rPr>
        <w:t>%</w:t>
      </w:r>
      <w:r>
        <w:rPr>
          <w:rFonts w:hint="eastAsia" w:ascii="仿宋_GB2312" w:eastAsia="仿宋_GB2312" w:cs="DengXian-Regular"/>
          <w:sz w:val="32"/>
          <w:szCs w:val="32"/>
        </w:rPr>
        <w:t>，主要原因是一是增加了扶贫攻坚材料汇编整理、出版印刷、整理历史资料费等项目经费；二是工资普调，增加了人员经费；去世一人，增加了抚恤金。</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年度一般公共预算财政拨款收入236.37万元，完成年初预算的111.09</w:t>
      </w:r>
      <w:r>
        <w:rPr>
          <w:rFonts w:ascii="仿宋_GB2312" w:eastAsia="仿宋_GB2312" w:cs="DengXian-Regular"/>
          <w:sz w:val="32"/>
          <w:szCs w:val="32"/>
        </w:rPr>
        <w:t>%,</w:t>
      </w:r>
      <w:r>
        <w:rPr>
          <w:rFonts w:hint="eastAsia" w:ascii="仿宋_GB2312" w:eastAsia="仿宋_GB2312" w:cs="DengXian-Regular"/>
          <w:sz w:val="32"/>
          <w:szCs w:val="32"/>
        </w:rPr>
        <w:t>比年初预算增加23.59万元，决算数大于预算数主要原因是一是增加了扶贫攻坚材料汇编整理、出版印刷、整理历史资料费等项目经费；二是工资普调，增加了人员经费；去世一人，增加了抚恤金；本年支出236.37万元，完成年初预算的111.09</w:t>
      </w:r>
      <w:r>
        <w:rPr>
          <w:rFonts w:ascii="仿宋_GB2312" w:eastAsia="仿宋_GB2312" w:cs="DengXian-Regular"/>
          <w:sz w:val="32"/>
          <w:szCs w:val="32"/>
        </w:rPr>
        <w:t>%,</w:t>
      </w:r>
      <w:r>
        <w:rPr>
          <w:rFonts w:hint="eastAsia" w:ascii="仿宋_GB2312" w:eastAsia="仿宋_GB2312" w:cs="DengXian-Regular"/>
          <w:sz w:val="32"/>
          <w:szCs w:val="32"/>
        </w:rPr>
        <w:t>比年初预算增加23.59万元，决算数大于预算数主要原因是一是增加了扶贫攻坚材料汇编整理、出版印刷、整理历史资料费等项目经费；二是工资普调，增加了人员经费；去世一人，增加了抚恤金。</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年度财政拨款支出236.37万元，主要用于以下方面：一般公共服务（类）支出195.99万元，占82.91</w:t>
      </w:r>
      <w:r>
        <w:rPr>
          <w:rFonts w:ascii="仿宋_GB2312" w:eastAsia="仿宋_GB2312" w:cs="DengXian-Regular"/>
          <w:sz w:val="32"/>
          <w:szCs w:val="32"/>
        </w:rPr>
        <w:t>%</w:t>
      </w:r>
      <w:r>
        <w:rPr>
          <w:rFonts w:hint="eastAsia" w:ascii="仿宋_GB2312" w:eastAsia="仿宋_GB2312" w:cs="DengXian-Regular"/>
          <w:sz w:val="32"/>
          <w:szCs w:val="32"/>
        </w:rPr>
        <w:t>；社会保障和就业（类）支出26.93万元，占11.39</w:t>
      </w:r>
      <w:r>
        <w:rPr>
          <w:rFonts w:ascii="仿宋_GB2312" w:eastAsia="仿宋_GB2312" w:cs="DengXian-Regular"/>
          <w:sz w:val="32"/>
          <w:szCs w:val="32"/>
        </w:rPr>
        <w:t>%</w:t>
      </w:r>
      <w:r>
        <w:rPr>
          <w:rFonts w:hint="eastAsia" w:ascii="仿宋_GB2312" w:eastAsia="仿宋_GB2312" w:cs="DengXian-Regular"/>
          <w:sz w:val="32"/>
          <w:szCs w:val="32"/>
        </w:rPr>
        <w:t>；医疗卫生和计划生育支出4.96万元，占2.10%；住房保障（类）支出8.50万元，占</w:t>
      </w:r>
      <w:r>
        <w:rPr>
          <w:rFonts w:ascii="仿宋_GB2312" w:eastAsia="仿宋_GB2312" w:cs="DengXian-Regular"/>
          <w:sz w:val="32"/>
          <w:szCs w:val="32"/>
        </w:rPr>
        <w:t xml:space="preserve"> </w:t>
      </w:r>
      <w:r>
        <w:rPr>
          <w:rFonts w:hint="eastAsia" w:ascii="仿宋_GB2312" w:eastAsia="仿宋_GB2312" w:cs="DengXian-Regular"/>
          <w:sz w:val="32"/>
          <w:szCs w:val="32"/>
        </w:rPr>
        <w:t>3.60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46" o:spt="203" style="position:absolute;left:0pt;margin-left:-79.5pt;margin-top:29.3pt;height:43.95pt;width:301.85pt;mso-position-vertical-relative:page;z-index:25168384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NZ&#10;L2nHAgAAJgcAAA4AAAAAAAAAAQAgAAAAKgEAAGRycy9lMm9Eb2MueG1sUEsFBgAAAAAGAAYAWQEA&#10;AGMGAAAAAA==&#10;">
            <o:lock v:ext="edit"/>
            <v:rect id="矩形 13" o:spid="_x0000_s1048"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2018年度一般公共预算财政拨款基本支出</w:t>
      </w:r>
      <w:r>
        <w:rPr>
          <w:rFonts w:hint="eastAsia" w:ascii="仿宋_GB2312" w:eastAsia="仿宋_GB2312" w:cs="DengXian-Regular"/>
          <w:sz w:val="32"/>
          <w:szCs w:val="32"/>
          <w:lang w:val="en-US" w:eastAsia="zh-CN"/>
        </w:rPr>
        <w:t>193.87</w:t>
      </w:r>
      <w:r>
        <w:rPr>
          <w:rFonts w:hint="eastAsia" w:ascii="仿宋_GB2312" w:eastAsia="仿宋_GB2312" w:cs="DengXian-Regular"/>
          <w:sz w:val="32"/>
          <w:szCs w:val="32"/>
        </w:rPr>
        <w:t>万元，其中：人员经费1</w:t>
      </w:r>
      <w:r>
        <w:rPr>
          <w:rFonts w:hint="eastAsia" w:ascii="仿宋_GB2312" w:eastAsia="仿宋_GB2312" w:cs="DengXian-Regular"/>
          <w:sz w:val="32"/>
          <w:szCs w:val="32"/>
          <w:lang w:val="en-US" w:eastAsia="zh-CN"/>
        </w:rPr>
        <w:t>43.9</w:t>
      </w:r>
      <w:r>
        <w:rPr>
          <w:rFonts w:hint="eastAsia" w:ascii="仿宋_GB2312" w:eastAsia="仿宋_GB2312" w:cs="DengXian-Regular"/>
          <w:sz w:val="32"/>
          <w:szCs w:val="32"/>
        </w:rPr>
        <w:t>万元，主要包括基本工资、津贴补贴、奖金、伙食补助费、绩效工资、机关事业单位基本养老保险缴费、职业年金缴费、职工基</w:t>
      </w:r>
      <w:bookmarkStart w:id="1" w:name="_GoBack"/>
      <w:bookmarkEnd w:id="1"/>
      <w:r>
        <w:rPr>
          <w:rFonts w:hint="eastAsia" w:ascii="仿宋_GB2312" w:eastAsia="仿宋_GB2312" w:cs="DengXian-Regular"/>
          <w:sz w:val="32"/>
          <w:szCs w:val="32"/>
        </w:rPr>
        <w:t>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49.97</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“三公”经费支出共计8.60万元，</w:t>
      </w:r>
      <w:r>
        <w:rPr>
          <w:rFonts w:hint="eastAsia" w:ascii="仿宋_GB2312" w:eastAsia="仿宋_GB2312" w:cs="DengXian-Regular"/>
          <w:b w:val="0"/>
          <w:bCs w:val="0"/>
          <w:color w:val="auto"/>
          <w:sz w:val="32"/>
          <w:szCs w:val="32"/>
        </w:rPr>
        <w:t>较年初预算无增减变化，与年初预算持平，较2017年决算减少0.09万元，降低1.04%。主要是我单位认真落实中央“八项规定”精神和厉行节约要求，从严控制“三公”经费开支，全年实际支出有所节</w:t>
      </w:r>
      <w:r>
        <w:rPr>
          <w:rFonts w:hint="eastAsia" w:ascii="仿宋_GB2312" w:eastAsia="仿宋_GB2312" w:cs="DengXian-Regular"/>
          <w:sz w:val="32"/>
          <w:szCs w:val="32"/>
        </w:rPr>
        <w:t>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组合 82" o:spid="_x0000_s1043" o:spt="203" style="position:absolute;left:0pt;margin-left:-79.5pt;margin-top:29.3pt;height:43.95pt;width:301.85pt;mso-position-vertical-relative:page;z-index:25168486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sVsxu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CxWzG5wgIA&#10;ACYHAAAOAAAAAAAAAAEAIAAAACoBAABkcnMvZTJvRG9jLnhtbFBLBQYAAAAABgAGAFkBAABeBgAA&#10;AAA=&#10;">
            <o:lock v:ext="edit"/>
            <v:rect id="矩形 13" o:spid="_x0000_s1045"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无本单位组织的出国（境）团组。因公出国（境）费支出较年初预算无变化，与年初预算持平，与上年决算无变化。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（二）公务用车购置及运行维护费支出8.00万元。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年度公务用车购置及运行维护费较年初预算无变化，</w:t>
      </w:r>
      <w:r>
        <w:rPr>
          <w:rFonts w:hint="eastAsia" w:ascii="仿宋_GB2312" w:eastAsia="仿宋_GB2312" w:cs="DengXian-Regular"/>
          <w:color w:val="000000"/>
          <w:sz w:val="32"/>
          <w:szCs w:val="32"/>
        </w:rPr>
        <w:t>与2017年决算无变化</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楷体_GB2312" w:eastAsia="楷体_GB2312" w:cs="DengXian-Bold"/>
          <w:b/>
          <w:bCs/>
          <w:sz w:val="32"/>
          <w:szCs w:val="32"/>
        </w:rPr>
        <w:t>支出0万元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w:t>
      </w:r>
      <w:r>
        <w:rPr>
          <w:rFonts w:hint="eastAsia" w:ascii="仿宋_GB2312" w:eastAsia="仿宋_GB2312" w:cs="DengXian-Regular"/>
          <w:color w:val="000000"/>
          <w:sz w:val="32"/>
          <w:szCs w:val="32"/>
        </w:rPr>
        <w:t>未发生“公务用车购置”经费支出，与年初预算持平，与2017年决算支出持平。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楷体_GB2312" w:eastAsia="楷体_GB2312" w:cs="DengXian-Bold"/>
          <w:b/>
          <w:bCs/>
          <w:sz w:val="32"/>
          <w:szCs w:val="32"/>
        </w:rPr>
        <w:t>支出8.00万元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年度单位公务用车保有量2辆。公车运行维护费支出8.00万元，</w:t>
      </w:r>
      <w:r>
        <w:rPr>
          <w:rFonts w:hint="eastAsia" w:ascii="仿宋_GB2312" w:eastAsia="仿宋_GB2312" w:cs="DengXian-Regular"/>
          <w:color w:val="000000"/>
          <w:sz w:val="32"/>
          <w:szCs w:val="32"/>
        </w:rPr>
        <w:t>与年初预算持平，与2017年决算支出持平</w:t>
      </w:r>
      <w:r>
        <w:rPr>
          <w:rFonts w:hint="eastAsia" w:ascii="仿宋_GB2312" w:eastAsia="仿宋_GB2312" w:cs="DengXian-Regular"/>
          <w:sz w:val="32"/>
          <w:szCs w:val="32"/>
        </w:rPr>
        <w:t>。</w:t>
      </w:r>
    </w:p>
    <w:p>
      <w:pPr>
        <w:autoSpaceDE w:val="0"/>
        <w:autoSpaceDN w:val="0"/>
        <w:adjustRightInd w:val="0"/>
        <w:spacing w:line="600" w:lineRule="exact"/>
        <w:ind w:firstLine="643" w:firstLineChars="200"/>
        <w:jc w:val="left"/>
        <w:rPr>
          <w:rFonts w:ascii="仿宋_GB2312" w:eastAsia="仿宋_GB2312" w:cs="DengXian-Regular"/>
          <w:color w:val="000000"/>
          <w:sz w:val="32"/>
          <w:szCs w:val="32"/>
        </w:rPr>
      </w:pPr>
      <w:r>
        <w:rPr>
          <w:rFonts w:hint="eastAsia" w:ascii="楷体_GB2312" w:eastAsia="楷体_GB2312" w:cs="DengXian-Bold"/>
          <w:b/>
          <w:bCs/>
          <w:sz w:val="32"/>
          <w:szCs w:val="32"/>
        </w:rPr>
        <w:t>（三）公务接待费支出0.60万元。</w:t>
      </w:r>
      <w:r>
        <w:pict>
          <v:group id="组合 85" o:spid="_x0000_s1040" o:spt="203" style="position:absolute;left:0pt;margin-left:-79.5pt;margin-top:29.3pt;height:43.95pt;width:301.85pt;mso-position-vertical-relative:page;z-index:251685888;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aXTgOsACAAAm&#10;BwAADgAAAAAAAAABACAAAAAqAQAAZHJzL2Uyb0RvYy54bWxQSwUGAAAAAAYABgBZAQAAXAYAAAAA&#10;">
            <o:lock v:ext="edit"/>
            <v:rect id="矩形 13" o:spid="_x0000_s1042"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年度公务接待共2批次、28人次。公务接待费0.60万元，</w:t>
      </w:r>
      <w:r>
        <w:rPr>
          <w:rFonts w:hint="eastAsia" w:ascii="仿宋_GB2312" w:eastAsia="仿宋_GB2312" w:cs="DengXian-Regular"/>
          <w:color w:val="000000"/>
          <w:sz w:val="32"/>
          <w:szCs w:val="32"/>
        </w:rPr>
        <w:t>与年初预算持平，比2017年决算减少0.09万元，降低13.04%。主要原因是响应国家政策较2017年减少了公务接待费用。</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utoSpaceDE w:val="0"/>
        <w:autoSpaceDN w:val="0"/>
        <w:adjustRightInd w:val="0"/>
        <w:spacing w:line="600" w:lineRule="exact"/>
        <w:ind w:firstLine="643" w:firstLineChars="200"/>
        <w:jc w:val="left"/>
        <w:rPr>
          <w:rFonts w:ascii="仿宋_GB2312" w:eastAsia="仿宋_GB2312" w:cs="DengXian-Regular"/>
          <w:b/>
          <w:bCs/>
          <w:sz w:val="32"/>
          <w:szCs w:val="32"/>
        </w:rPr>
      </w:pPr>
      <w:r>
        <w:rPr>
          <w:rFonts w:hint="eastAsia" w:ascii="仿宋_GB2312" w:eastAsia="仿宋_GB2312" w:cs="DengXian-Regular"/>
          <w:b/>
          <w:bCs/>
          <w:sz w:val="32"/>
          <w:szCs w:val="32"/>
        </w:rPr>
        <w:t>（一）预算绩效管理工作开展情况</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根据阜平县政协预算绩效管理要求，阜平县政协部门以“部门职责—工作活动”为依据，确定部门预算项目和预算额度，清晰描述预算项目开支范围和内容，确定预算项目的绩效目标、绩效指标和评价标准，为预算绩效控制、绩效分析、绩效评价打下好的基础。</w:t>
      </w:r>
    </w:p>
    <w:p>
      <w:pPr>
        <w:numPr>
          <w:ilvl w:val="0"/>
          <w:numId w:val="3"/>
        </w:numPr>
        <w:autoSpaceDE w:val="0"/>
        <w:autoSpaceDN w:val="0"/>
        <w:adjustRightInd w:val="0"/>
        <w:spacing w:line="600" w:lineRule="exact"/>
        <w:ind w:firstLine="643" w:firstLineChars="200"/>
        <w:jc w:val="left"/>
        <w:rPr>
          <w:rFonts w:ascii="仿宋_GB2312" w:eastAsia="仿宋_GB2312" w:cs="DengXian-Regular"/>
          <w:b/>
          <w:bCs/>
          <w:sz w:val="32"/>
          <w:szCs w:val="32"/>
        </w:rPr>
      </w:pPr>
      <w:r>
        <w:rPr>
          <w:rFonts w:hint="eastAsia" w:ascii="仿宋_GB2312" w:eastAsia="仿宋_GB2312" w:cs="DengXian-Regular"/>
          <w:b/>
          <w:bCs/>
          <w:sz w:val="32"/>
          <w:szCs w:val="32"/>
        </w:rPr>
        <w:t>项目绩效自评结果</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按照阜平县政协预算绩效管理要求，阜平县政协部门对 2018年初确定的部门一般公共预算支出专项项目全面开展了绩效自评。按照省财政预算绩效管理要求，阜平县政协办公室根据</w:t>
      </w:r>
      <w:bookmarkStart w:id="0" w:name="_Toc477179486"/>
      <w:r>
        <w:rPr>
          <w:rFonts w:hint="eastAsia" w:ascii="仿宋_GB2312" w:eastAsia="仿宋_GB2312" w:cs="DengXian-Regular"/>
          <w:sz w:val="32"/>
          <w:szCs w:val="32"/>
        </w:rPr>
        <w:t>部门职责-工作活动绩效目标</w:t>
      </w:r>
      <w:bookmarkEnd w:id="0"/>
      <w:r>
        <w:rPr>
          <w:rFonts w:hint="eastAsia" w:ascii="仿宋_GB2312" w:eastAsia="仿宋_GB2312" w:cs="DengXian-Regular"/>
          <w:sz w:val="32"/>
          <w:szCs w:val="32"/>
        </w:rPr>
        <w:t>评分，部门整体支出绩效为“优秀”。本部门依法合理有效地使用财政资金，提高财政资金使用效率，在完成部门职能目标中合理分配人、财、物，各个股室之间相配合，互为监督，使之达到较高的使用效率和实施效果。阜平县政协部门决算专项项目5项，共涉及预算资金42.50万元，我部门此项目全面开展了绩效自评，自评成绩为90分，结果为优。较好地实现了预算项目绩效目标，绩效自评覆盖率达到100%。</w:t>
      </w:r>
    </w:p>
    <w:p>
      <w:pPr>
        <w:numPr>
          <w:ilvl w:val="0"/>
          <w:numId w:val="3"/>
        </w:numPr>
        <w:adjustRightInd w:val="0"/>
        <w:snapToGrid w:val="0"/>
        <w:spacing w:after="0" w:line="580" w:lineRule="exact"/>
        <w:ind w:firstLine="643" w:firstLineChars="200"/>
        <w:rPr>
          <w:rFonts w:ascii="仿宋_GB2312" w:eastAsia="仿宋_GB2312" w:cs="DengXian-Regular"/>
          <w:b/>
          <w:bCs/>
          <w:sz w:val="32"/>
          <w:szCs w:val="32"/>
        </w:rPr>
      </w:pPr>
      <w:r>
        <w:rPr>
          <w:rFonts w:hint="eastAsia" w:ascii="仿宋_GB2312" w:eastAsia="仿宋_GB2312" w:cs="DengXian-Regular"/>
          <w:b/>
          <w:bCs/>
          <w:sz w:val="32"/>
          <w:szCs w:val="32"/>
        </w:rPr>
        <w:t>重点项目绩效评价结果</w:t>
      </w:r>
    </w:p>
    <w:p>
      <w:pPr>
        <w:autoSpaceDE w:val="0"/>
        <w:autoSpaceDN w:val="0"/>
        <w:adjustRightInd w:val="0"/>
        <w:spacing w:line="600" w:lineRule="exact"/>
        <w:ind w:firstLine="640" w:firstLineChars="200"/>
        <w:jc w:val="left"/>
        <w:rPr>
          <w:rFonts w:ascii="仿宋_GB2312" w:eastAsia="仿宋_GB2312" w:cs="DengXian-Regular"/>
          <w:sz w:val="32"/>
          <w:szCs w:val="32"/>
          <w:lang w:val="zh-CN"/>
        </w:rPr>
      </w:pPr>
      <w:r>
        <w:rPr>
          <w:rFonts w:hint="eastAsia" w:ascii="仿宋_GB2312" w:eastAsia="仿宋_GB2312" w:cs="DengXian-Regular"/>
          <w:sz w:val="32"/>
          <w:szCs w:val="32"/>
        </w:rPr>
        <w:t>“中国人民政治协商会议河北省阜平县委员会第九届全体会议”项目。《中国人民政治协商会议章程》规定中国人民政治协商会议各级地方委员会的全体会议每年至少举行一次。</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中国人民政治协商会议各级地方委员会全体会议行使下列职权：</w:t>
      </w:r>
      <w:r>
        <w:rPr>
          <w:rFonts w:hint="eastAsia" w:ascii="仿宋_GB2312" w:eastAsia="仿宋_GB2312" w:cs="DengXian-Regular"/>
          <w:sz w:val="32"/>
          <w:szCs w:val="32"/>
        </w:rPr>
        <w:br w:type="textWrapping"/>
      </w:r>
      <w:r>
        <w:rPr>
          <w:rFonts w:hint="eastAsia" w:ascii="仿宋_GB2312" w:eastAsia="仿宋_GB2312" w:cs="DengXian-Regular"/>
          <w:sz w:val="32"/>
          <w:szCs w:val="32"/>
        </w:rPr>
        <w:t xml:space="preserve">    1、 选举地方委员会的主席、副主席、秘书长和常务委员；</w:t>
      </w:r>
      <w:r>
        <w:rPr>
          <w:rFonts w:hint="eastAsia" w:ascii="仿宋_GB2312" w:eastAsia="仿宋_GB2312" w:cs="DengXian-Regular"/>
          <w:sz w:val="32"/>
          <w:szCs w:val="32"/>
        </w:rPr>
        <w:br w:type="textWrapping"/>
      </w:r>
      <w:r>
        <w:rPr>
          <w:rFonts w:hint="eastAsia" w:ascii="仿宋_GB2312" w:eastAsia="仿宋_GB2312" w:cs="DengXian-Regular"/>
          <w:sz w:val="32"/>
          <w:szCs w:val="32"/>
        </w:rPr>
        <w:t xml:space="preserve">    2、听取和审议常务委员会的工作报告；</w:t>
      </w:r>
      <w:r>
        <w:rPr>
          <w:rFonts w:hint="eastAsia" w:ascii="仿宋_GB2312" w:eastAsia="仿宋_GB2312" w:cs="DengXian-Regular"/>
          <w:sz w:val="32"/>
          <w:szCs w:val="32"/>
        </w:rPr>
        <w:br w:type="textWrapping"/>
      </w:r>
      <w:r>
        <w:rPr>
          <w:rFonts w:hint="eastAsia" w:ascii="仿宋_GB2312" w:eastAsia="仿宋_GB2312" w:cs="DengXian-Regular"/>
          <w:sz w:val="32"/>
          <w:szCs w:val="32"/>
        </w:rPr>
        <w:t xml:space="preserve">    3、 讨论并通过有关的决议；</w:t>
      </w:r>
      <w:r>
        <w:rPr>
          <w:rFonts w:hint="eastAsia" w:ascii="仿宋_GB2312" w:eastAsia="仿宋_GB2312" w:cs="DengXian-Regular"/>
          <w:sz w:val="32"/>
          <w:szCs w:val="32"/>
        </w:rPr>
        <w:br w:type="textWrapping"/>
      </w:r>
      <w:r>
        <w:rPr>
          <w:rFonts w:hint="eastAsia" w:ascii="仿宋_GB2312" w:eastAsia="仿宋_GB2312" w:cs="DengXian-Regular"/>
          <w:sz w:val="32"/>
          <w:szCs w:val="32"/>
        </w:rPr>
        <w:t>　　4、参与对国家和地方事务的重要问题的讨论；提出建议和批评。</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会议是人民政协履行职责的主要形式，是开展工作的主体，是委员履行自身职责的主要途径，包括全体会议、常委会议、主席会议、秘书长会议、各专委会会议等。</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按照阜平县政协部门要求和项目实施目的，设定该项目产出指标为会议筹备及会务工作的完成率较上年是否有所提高，提案征集是否及时全面，提案征集是否在95%以上；设定该项目效果指标为政协委员对会议组织召开的满意程度是否超过90%。绩效自评等级为“优”。</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utoSpaceDE w:val="0"/>
        <w:autoSpaceDN w:val="0"/>
        <w:adjustRightInd w:val="0"/>
        <w:spacing w:line="60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49.97万元，比年初预算数无变化。比2017年决算增加2.13万元，增长4.46%。主要原因是增加人员交通补贴和通讯补贴。其中：办公费25.76万元、邮电费5.46万元、会议费0.50万元、公务接待费0.60万元、公务用车运行维护费8.00万元、其他交通费9.65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年度政府采购支出总额0万元，从采购类型来看，</w:t>
      </w:r>
      <w:r>
        <w:rPr>
          <w:rFonts w:hint="eastAsia" w:ascii="仿宋_GB2312" w:hAnsi="仿宋_GB2312" w:eastAsia="仿宋_GB2312" w:cs="仿宋_GB2312"/>
          <w:color w:val="000000"/>
          <w:kern w:val="0"/>
          <w:sz w:val="32"/>
          <w:szCs w:val="32"/>
        </w:rPr>
        <w:t>政府采购货物支出0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万元、政府采购工程支出0万元、政府采购服务支出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2辆，同上年相比无变化。其中，副部（省）级及以上领导用车0辆，主要领导干部用车0辆，机要通信用车0辆，机要通信用车1辆，应急保障用车1辆，执法执勤用车0辆，特种专业技术用车0辆，离退休干部用车0辆，其他用车0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万元以上通用设备0台（套），同上年相比无变化，单位价值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万元以上专用设备0台（套），同上年相比无变化。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spacing w:after="0" w:line="500" w:lineRule="exact"/>
        <w:ind w:firstLine="640" w:firstLineChars="200"/>
        <w:rPr>
          <w:rFonts w:ascii="仿宋" w:hAnsi="仿宋" w:eastAsia="仿宋" w:cs="仿宋_GB2312"/>
          <w:color w:val="000000"/>
          <w:sz w:val="32"/>
          <w:szCs w:val="32"/>
        </w:rPr>
      </w:pPr>
      <w:r>
        <w:rPr>
          <w:rFonts w:ascii="仿宋_GB2312" w:eastAsia="仿宋_GB2312" w:cs="DengXian-Regular"/>
          <w:sz w:val="32"/>
          <w:szCs w:val="32"/>
        </w:rPr>
        <w:t>1</w:t>
      </w:r>
      <w:r>
        <w:rPr>
          <w:rFonts w:hint="eastAsia" w:ascii="仿宋_GB2312" w:eastAsia="仿宋_GB2312" w:cs="DengXian-Regular"/>
          <w:sz w:val="32"/>
          <w:szCs w:val="32"/>
        </w:rPr>
        <w:t>、</w:t>
      </w:r>
      <w:r>
        <w:rPr>
          <w:rFonts w:hint="eastAsia" w:ascii="仿宋" w:hAnsi="仿宋" w:eastAsia="仿宋" w:cs="仿宋_GB2312"/>
          <w:color w:val="000000"/>
          <w:sz w:val="32"/>
          <w:szCs w:val="32"/>
        </w:rPr>
        <w:t>本部门2018年度</w:t>
      </w:r>
      <w:r>
        <w:rPr>
          <w:rFonts w:hint="eastAsia" w:ascii="仿宋" w:hAnsi="仿宋" w:eastAsia="仿宋" w:cs="黑体"/>
          <w:color w:val="000000"/>
          <w:kern w:val="0"/>
          <w:sz w:val="32"/>
          <w:szCs w:val="32"/>
        </w:rPr>
        <w:t>政府性基金预算财政拨款</w:t>
      </w:r>
      <w:r>
        <w:rPr>
          <w:rFonts w:hint="eastAsia" w:ascii="仿宋" w:hAnsi="仿宋" w:eastAsia="仿宋" w:cs="仿宋_GB2312"/>
          <w:color w:val="000000"/>
          <w:sz w:val="32"/>
          <w:szCs w:val="32"/>
        </w:rPr>
        <w:t>无收支及结转结余情况，故“</w:t>
      </w:r>
      <w:r>
        <w:rPr>
          <w:rFonts w:hint="eastAsia" w:ascii="仿宋" w:hAnsi="仿宋" w:eastAsia="仿宋" w:cs="黑体"/>
          <w:color w:val="000000"/>
          <w:kern w:val="0"/>
          <w:sz w:val="32"/>
          <w:szCs w:val="32"/>
        </w:rPr>
        <w:t>政府性基金预算财政拨款收入支出决算表”</w:t>
      </w:r>
      <w:r>
        <w:rPr>
          <w:rFonts w:hint="eastAsia" w:ascii="仿宋" w:hAnsi="仿宋" w:eastAsia="仿宋" w:cs="仿宋_GB2312"/>
          <w:color w:val="000000"/>
          <w:sz w:val="32"/>
          <w:szCs w:val="32"/>
        </w:rPr>
        <w:t>以空表列示。</w:t>
      </w:r>
    </w:p>
    <w:p>
      <w:pPr>
        <w:spacing w:after="0" w:line="500"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本部门2018年度国有资本经营预算财政拨款无收支及结转结余情况，故“国有资本经营预算财政拨款支出决算表”以空表列示。</w:t>
      </w:r>
    </w:p>
    <w:p>
      <w:pPr>
        <w:spacing w:after="0" w:line="500" w:lineRule="exact"/>
        <w:ind w:firstLine="640" w:firstLineChars="200"/>
        <w:rPr>
          <w:rFonts w:ascii="仿宋" w:hAnsi="仿宋" w:eastAsia="仿宋" w:cs="仿宋_GB2312"/>
          <w:color w:val="000000"/>
          <w:sz w:val="32"/>
          <w:szCs w:val="32"/>
        </w:rPr>
      </w:pPr>
      <w:r>
        <w:rPr>
          <w:rFonts w:hint="eastAsia" w:ascii="仿宋" w:hAnsi="仿宋" w:eastAsia="仿宋" w:cs="DengXian-Regular"/>
          <w:sz w:val="32"/>
          <w:szCs w:val="32"/>
        </w:rPr>
        <w:t>本部门</w:t>
      </w:r>
      <w:r>
        <w:rPr>
          <w:rFonts w:ascii="仿宋" w:hAnsi="仿宋" w:eastAsia="仿宋" w:cs="DengXian-Regular"/>
          <w:sz w:val="32"/>
          <w:szCs w:val="32"/>
        </w:rPr>
        <w:t>2018</w:t>
      </w:r>
      <w:r>
        <w:rPr>
          <w:rFonts w:hint="eastAsia" w:ascii="仿宋" w:hAnsi="仿宋" w:eastAsia="仿宋" w:cs="DengXian-Regular"/>
          <w:sz w:val="32"/>
          <w:szCs w:val="32"/>
        </w:rPr>
        <w:t>年度</w:t>
      </w:r>
      <w:r>
        <w:rPr>
          <w:rFonts w:hint="eastAsia" w:ascii="仿宋" w:hAnsi="仿宋" w:eastAsia="仿宋" w:cs="仿宋"/>
          <w:sz w:val="32"/>
          <w:szCs w:val="32"/>
        </w:rPr>
        <w:t>政府采购情况无收支及结转结余情况，故“政府采购情况表”以空表列示。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37" o:spt="203" style="position:absolute;left:0pt;margin-left:-79.5pt;margin-top:29.3pt;height:43.95pt;width:301.85pt;mso-position-vertical-relative:page;z-index:25168793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DXWsG8ACAAAm&#10;BwAADgAAAAAAAAABACAAAAAqAQAAZHJzL2Uyb0RvYy54bWxQSwUGAAAAAAYABgBZAQAAXAYAAAAA&#10;">
            <o:lock v:ext="edit"/>
            <v:rect id="矩形 13" o:spid="_x0000_s1039"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22" o:spid="_x0000_s1036" o:spt="202" type="#_x0000_t202" style="position:absolute;left:0pt;margin-left:-78.7pt;margin-top:232.8pt;height:159.1pt;width:596.2pt;z-index:25167872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8076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Yz8m9sAAAAL&#10;AQAADwAAAAAAAAABACAAAAAiAAAAZHJzL2Rvd25yZXYueG1sUEsBAhQAFAAAAAgAh07iQMpHhHTE&#10;AgAAJwcAAA4AAAAAAAAAAQAgAAAAKgEAAGRycy9lMm9Eb2MueG1sUEsFBgAAAAAGAAYAWQEAAGAG&#10;AAAAAA==&#10;">
            <o:lock v:ext="edit"/>
            <v:rect id="矩形 13" o:spid="_x0000_s1035"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8896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WM/JvbAAAACwEA&#10;AA8AAAAAAAAAAQAgAAAAIgAAAGRycy9kb3ducmV2LnhtbFBLAQIUABQAAAAIAIdO4kC3fkgbwgIA&#10;ACYHAAAOAAAAAAAAAAEAIAAAACoBAABkcnMvZTJvRG9jLnhtbFBLBQYAAAAABgAGAFkBAABeBgAA&#10;AAA=&#10;">
            <o:lock v:ext="edit"/>
            <v:rect id="矩形 13" o:spid="_x0000_s1032"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8998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Fxq088ACAAAm&#10;BwAADgAAAAAAAAABACAAAAAqAQAAZHJzL2Uyb0RvYy54bWxQSwUGAAAAAAYABgBZAQAAXAYAAAAA&#10;">
            <o:lock v:ext="edit"/>
            <v:rect id="矩形 13" o:spid="_x0000_s1029" o:spt="1" style="position:absolute;left:4551;top:52615;height:1175;width:8546;v-text-anchor:middle;" fillcolor="#96DA9D" filled="t" stroked="f" coordsize="21600,21600" o:gfxdata="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13O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O2Dm2L0AAADb&#10;AAAADwAAAGRycy9kb3ducmV2LnhtbEWP3WoCMRSE74W+QzgF7zSry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ObY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3"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3"/>
                    <pic:cNvPicPr>
                      <a:picLocks noChangeAspect="1"/>
                    </pic:cNvPicPr>
                  </pic:nvPicPr>
                  <pic:blipFill>
                    <a:blip r:embed="rId1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38A3E95-9B99-4F17-9AFA-76FCFA831DDF}"/>
  </w:font>
  <w:font w:name="Arial">
    <w:panose1 w:val="020B0604020202020204"/>
    <w:charset w:val="01"/>
    <w:family w:val="swiss"/>
    <w:pitch w:val="default"/>
    <w:sig w:usb0="E0002AFF" w:usb1="C0007843" w:usb2="00000009" w:usb3="00000000" w:csb0="400001FF" w:csb1="FFFF0000"/>
    <w:embedRegular r:id="rId2" w:fontKey="{2B15AF68-BA42-4C23-A813-7AB7511FB445}"/>
  </w:font>
  <w:font w:name="黑体">
    <w:panose1 w:val="02010609060101010101"/>
    <w:charset w:val="86"/>
    <w:family w:val="auto"/>
    <w:pitch w:val="default"/>
    <w:sig w:usb0="800002BF" w:usb1="38CF7CFA" w:usb2="00000016" w:usb3="00000000" w:csb0="00040001" w:csb1="00000000"/>
    <w:embedRegular r:id="rId3" w:fontKey="{EDDFC2A7-6EF0-4164-9553-D36736769F09}"/>
  </w:font>
  <w:font w:name="Courier New">
    <w:panose1 w:val="02070309020205020404"/>
    <w:charset w:val="01"/>
    <w:family w:val="modern"/>
    <w:pitch w:val="default"/>
    <w:sig w:usb0="E0002AFF" w:usb1="C0007843" w:usb2="00000009" w:usb3="00000000" w:csb0="400001FF" w:csb1="FFFF0000"/>
    <w:embedRegular r:id="rId4" w:fontKey="{E9B0CF30-724B-4A1C-8B3B-94AD6CD18732}"/>
  </w:font>
  <w:font w:name="Symbol">
    <w:panose1 w:val="05050102010706020507"/>
    <w:charset w:val="02"/>
    <w:family w:val="roman"/>
    <w:pitch w:val="default"/>
    <w:sig w:usb0="00000000" w:usb1="00000000" w:usb2="00000000" w:usb3="00000000" w:csb0="80000000" w:csb1="00000000"/>
    <w:embedRegular r:id="rId5" w:fontKey="{39D55F6C-14DA-49F5-8A47-6668C7AF5C07}"/>
  </w:font>
  <w:font w:name="Calibri">
    <w:panose1 w:val="020F05020202040A0204"/>
    <w:charset w:val="00"/>
    <w:family w:val="swiss"/>
    <w:pitch w:val="default"/>
    <w:sig w:usb0="E00002FF" w:usb1="4000ACFF" w:usb2="00000001" w:usb3="00000000" w:csb0="2000019F" w:csb1="00000000"/>
    <w:embedRegular r:id="rId6" w:fontKey="{B6DA7C85-83C3-432C-8172-FC62B842C67C}"/>
  </w:font>
  <w:font w:name="Cambria">
    <w:panose1 w:val="02040503050406030204"/>
    <w:charset w:val="00"/>
    <w:family w:val="roman"/>
    <w:pitch w:val="default"/>
    <w:sig w:usb0="E00002FF" w:usb1="400004FF" w:usb2="00000000" w:usb3="00000000" w:csb0="2000019F" w:csb1="00000000"/>
    <w:embedRegular r:id="rId7" w:fontKey="{2420E858-3337-4E3E-B2CA-F8BE1F351E33}"/>
  </w:font>
  <w:font w:name="楷体">
    <w:panose1 w:val="02010609060101010101"/>
    <w:charset w:val="86"/>
    <w:family w:val="modern"/>
    <w:pitch w:val="default"/>
    <w:sig w:usb0="800002BF" w:usb1="38CF7CFA" w:usb2="00000016" w:usb3="00000000" w:csb0="00040001" w:csb1="00000000"/>
    <w:embedRegular r:id="rId8" w:fontKey="{8F12620C-BA82-4938-AA20-BA8426E60BB8}"/>
  </w:font>
  <w:font w:name="MS Gothic">
    <w:panose1 w:val="020B0609070205080204"/>
    <w:charset w:val="80"/>
    <w:family w:val="modern"/>
    <w:pitch w:val="default"/>
    <w:sig w:usb0="E00002FF" w:usb1="6AC7FDFB" w:usb2="00000012" w:usb3="00000000" w:csb0="4002009F" w:csb1="DFD70000"/>
    <w:embedRegular r:id="rId9" w:fontKey="{E46006C6-BDF5-4DAB-BC3B-F84B0A7F808A}"/>
  </w:font>
  <w:font w:name="仿宋_GB2312">
    <w:altName w:val="仿宋"/>
    <w:panose1 w:val="00000000000000000000"/>
    <w:charset w:val="86"/>
    <w:family w:val="modern"/>
    <w:pitch w:val="default"/>
    <w:sig w:usb0="00000000" w:usb1="00000000" w:usb2="00000010" w:usb3="00000000" w:csb0="00040000" w:csb1="00000000"/>
    <w:embedRegular r:id="rId10" w:fontKey="{27ABD725-4CED-48DB-8178-26C899D12980}"/>
  </w:font>
  <w:font w:name="仿宋">
    <w:panose1 w:val="02010609060101010101"/>
    <w:charset w:val="86"/>
    <w:family w:val="auto"/>
    <w:pitch w:val="default"/>
    <w:sig w:usb0="800002BF" w:usb1="38CF7CFA" w:usb2="00000016" w:usb3="00000000" w:csb0="00040001" w:csb1="00000000"/>
    <w:embedRegular r:id="rId11" w:fontKey="{962DBC07-5872-4763-ACF5-9F0CDEA645AA}"/>
  </w:font>
  <w:font w:name="ArialUnicodeMS">
    <w:altName w:val="Malgun Gothic"/>
    <w:panose1 w:val="00000000000000000000"/>
    <w:charset w:val="81"/>
    <w:family w:val="auto"/>
    <w:pitch w:val="default"/>
    <w:sig w:usb0="00000000" w:usb1="00000000" w:usb2="00000010" w:usb3="00000000" w:csb0="00080000" w:csb1="00000000"/>
    <w:embedRegular r:id="rId12" w:fontKey="{CBCBDE4F-7E4B-481F-A0E3-5692F6A55BE9}"/>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6EDF8326-5CAD-43B1-BEB4-BD6C3B8F451B}"/>
  </w:font>
  <w:font w:name="DengXian-Regular">
    <w:altName w:val="宋体"/>
    <w:panose1 w:val="00000000000000000000"/>
    <w:charset w:val="86"/>
    <w:family w:val="auto"/>
    <w:pitch w:val="default"/>
    <w:sig w:usb0="00000000" w:usb1="00000000" w:usb2="00000010" w:usb3="00000000" w:csb0="00040000" w:csb1="00000000"/>
    <w:embedRegular r:id="rId14" w:fontKey="{0AE7174B-BFAE-4E8B-B84C-D70695D806F8}"/>
  </w:font>
  <w:font w:name="楷体_GB2312">
    <w:altName w:val="楷体"/>
    <w:panose1 w:val="00000000000000000000"/>
    <w:charset w:val="86"/>
    <w:family w:val="modern"/>
    <w:pitch w:val="default"/>
    <w:sig w:usb0="00000000" w:usb1="00000000" w:usb2="00000010" w:usb3="00000000" w:csb0="00040000" w:csb1="00000000"/>
    <w:embedRegular r:id="rId15" w:fontKey="{41E9F332-5ADA-4762-BEC5-4EE948382E7E}"/>
  </w:font>
  <w:font w:name="DengXian-Bold">
    <w:altName w:val="宋体"/>
    <w:panose1 w:val="00000000000000000000"/>
    <w:charset w:val="86"/>
    <w:family w:val="auto"/>
    <w:pitch w:val="default"/>
    <w:sig w:usb0="00000000" w:usb1="00000000" w:usb2="00000010" w:usb3="00000000" w:csb0="00040000" w:csb1="00000000"/>
    <w:embedRegular r:id="rId16" w:fontKey="{C8837EEC-465D-483C-B91E-6E4B59F2489E}"/>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69A843"/>
    <w:multiLevelType w:val="singleLevel"/>
    <w:tmpl w:val="C269A843"/>
    <w:lvl w:ilvl="0" w:tentative="0">
      <w:start w:val="6"/>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77D3DE23"/>
    <w:multiLevelType w:val="singleLevel"/>
    <w:tmpl w:val="77D3DE2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26EC"/>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0B13"/>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04035"/>
    <w:rsid w:val="00F679C7"/>
    <w:rsid w:val="00F7711A"/>
    <w:rsid w:val="00FA0D58"/>
    <w:rsid w:val="00FA56F4"/>
    <w:rsid w:val="00FB4EDA"/>
    <w:rsid w:val="00FC4766"/>
    <w:rsid w:val="00FD3BD5"/>
    <w:rsid w:val="00FE3DC8"/>
    <w:rsid w:val="04073F84"/>
    <w:rsid w:val="060F1A3D"/>
    <w:rsid w:val="073726D8"/>
    <w:rsid w:val="0B60750A"/>
    <w:rsid w:val="0DD04FE4"/>
    <w:rsid w:val="0E8864B7"/>
    <w:rsid w:val="10686488"/>
    <w:rsid w:val="10DF728A"/>
    <w:rsid w:val="1264200E"/>
    <w:rsid w:val="141C5B77"/>
    <w:rsid w:val="18D8339D"/>
    <w:rsid w:val="19055EEC"/>
    <w:rsid w:val="1A21388F"/>
    <w:rsid w:val="1A570D2F"/>
    <w:rsid w:val="1A946D51"/>
    <w:rsid w:val="1B9D4C3F"/>
    <w:rsid w:val="1D1D7506"/>
    <w:rsid w:val="21C762FC"/>
    <w:rsid w:val="267F5F49"/>
    <w:rsid w:val="274C3327"/>
    <w:rsid w:val="28FB0B8D"/>
    <w:rsid w:val="29F766D3"/>
    <w:rsid w:val="2D232BB3"/>
    <w:rsid w:val="2D2B7942"/>
    <w:rsid w:val="2D46481D"/>
    <w:rsid w:val="2DDE6898"/>
    <w:rsid w:val="2E733B28"/>
    <w:rsid w:val="31852B5A"/>
    <w:rsid w:val="32D01238"/>
    <w:rsid w:val="354E24DA"/>
    <w:rsid w:val="3A021730"/>
    <w:rsid w:val="3DF67B16"/>
    <w:rsid w:val="3DFC59A8"/>
    <w:rsid w:val="3ECF245E"/>
    <w:rsid w:val="3FB96314"/>
    <w:rsid w:val="422C6B97"/>
    <w:rsid w:val="45FD0F12"/>
    <w:rsid w:val="46B612CF"/>
    <w:rsid w:val="46C92991"/>
    <w:rsid w:val="482D4C6E"/>
    <w:rsid w:val="48777F2B"/>
    <w:rsid w:val="48E30F5A"/>
    <w:rsid w:val="4F475AF1"/>
    <w:rsid w:val="51F35B0A"/>
    <w:rsid w:val="524D43E8"/>
    <w:rsid w:val="528A2A52"/>
    <w:rsid w:val="53A44FAF"/>
    <w:rsid w:val="568D2B66"/>
    <w:rsid w:val="57607630"/>
    <w:rsid w:val="57B457B8"/>
    <w:rsid w:val="57E7211E"/>
    <w:rsid w:val="594329EC"/>
    <w:rsid w:val="5A673D40"/>
    <w:rsid w:val="5BEE1540"/>
    <w:rsid w:val="5C121042"/>
    <w:rsid w:val="5DE61A5D"/>
    <w:rsid w:val="5E150C62"/>
    <w:rsid w:val="62755F8B"/>
    <w:rsid w:val="62DD56D0"/>
    <w:rsid w:val="632D311D"/>
    <w:rsid w:val="63C04243"/>
    <w:rsid w:val="649C01C7"/>
    <w:rsid w:val="67B50A97"/>
    <w:rsid w:val="699A3F60"/>
    <w:rsid w:val="71A44CC7"/>
    <w:rsid w:val="72902E62"/>
    <w:rsid w:val="73C61104"/>
    <w:rsid w:val="745C543D"/>
    <w:rsid w:val="776452EA"/>
    <w:rsid w:val="7AC6006B"/>
    <w:rsid w:val="7C2F049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Normal]"/>
    <w:qFormat/>
    <w:uiPriority w:val="99"/>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871</Words>
  <Characters>4969</Characters>
  <Lines>41</Lines>
  <Paragraphs>11</Paragraphs>
  <TotalTime>1</TotalTime>
  <ScaleCrop>false</ScaleCrop>
  <LinksUpToDate>false</LinksUpToDate>
  <CharactersWithSpaces>5829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2021-06-23T07:00:35Z</dcterms:modified>
  <dc:subject>石家庄市xxx部门</dc:subject>
  <dc:title>2017年度部门决算</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7BB99C3D0E8B4672A7142A8CBDE969D2</vt:lpwstr>
  </property>
</Properties>
</file>