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w="9525">
                      <a:noFill/>
                    </a:ln>
                  </pic:spPr>
                </pic:pic>
              </a:graphicData>
            </a:graphic>
          </wp:anchor>
        </w:drawing>
      </w:r>
    </w:p>
    <w:p>
      <w:pPr>
        <w:widowControl/>
        <w:jc w:val="center"/>
        <w:rPr>
          <w:rFonts w:ascii="黑体" w:hAnsi="宋体" w:eastAsia="黑体"/>
          <w:color w:val="002060"/>
          <w:sz w:val="72"/>
          <w:szCs w:val="72"/>
        </w:rPr>
      </w:pPr>
      <w:r>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cM8NU2wAAAAwBAAAPAAAAAAAAAAEA&#10;IAAAACIAAABkcnMvZG93bnJldi54bWxQSwECFAAUAAAACACHTuJAOMiWT5oBAAAKAwAADgAAAAAA&#10;AAABACAAAAAqAQAAZHJzL2Uyb0RvYy54bWxQSwUGAAAAAAYABgBZAQAANgU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阜平县人大</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二〇一九年九月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88" o:spt="203" style="position:absolute;left:0pt;margin-left:-80.8pt;margin-top:39.95pt;height:46.7pt;width:250.05pt;mso-position-vertical-relative:page;z-index:251672576;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g8w1TbAAAACwEAAA8AAAAAAAAAAQAgAAAAIgAAAGRycy9kb3ducmV2&#10;LnhtbFBLAQIUABQAAAAIAIdO4kBtWC6PpAIAAL0GAAAOAAAAAAAAAAEAIAAAACoBAABkcnMvZTJv&#10;RG9jLnhtbFBLBQYAAAAABgAGAFkBAABABgAAAAA=&#10;">
            <o:lock v:ext="edit"/>
            <v:rect id="矩形 13" o:spid="_x0000_s1090" o:spt="1" style="position:absolute;left:4551;top:52615;height:1175;width:8546;v-text-anchor:middle;" fillcolor="#96DA9D" filled="t" stroked="f" coordsize="21600,21600" o:gfxdata="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spU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89"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阜平县人大</w:t>
      </w:r>
      <w:r>
        <w:rPr>
          <w:rFonts w:eastAsia="黑体"/>
          <w:sz w:val="32"/>
          <w:szCs w:val="32"/>
        </w:rPr>
        <w:t>2018</w:t>
      </w:r>
      <w:r>
        <w:rPr>
          <w:rFonts w:hint="eastAsia" w:eastAsia="黑体"/>
          <w:sz w:val="32"/>
          <w:szCs w:val="32"/>
        </w:rPr>
        <w:t>年部门决算情况说明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w="9525">
                      <a:noFill/>
                    </a:ln>
                  </pic:spPr>
                </pic:pic>
              </a:graphicData>
            </a:graphic>
          </wp:anchor>
        </w:drawing>
      </w:r>
      <w:r>
        <w:pict>
          <v:shape id="文本框 118" o:spid="_x0000_s1087"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IrDqd4AAAANAQAADwAA&#10;AAAAAAABACAAAAAiAAAAZHJzL2Rvd25yZXYueG1sUEsBAhQAFAAAAAgAh07iQJZu50+eAQAADQMA&#10;AA4AAAAAAAAAAQAgAAAALQEAAGRycy9lMm9Eb2MueG1sUEsFBgAAAAAGAAYAWQEAAD0FAAAAAA==&#1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84"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IMnUENsAAAALAQAADwAAAAAAAAABACAAAAAiAAAAZHJzL2Rvd25yZXYu&#10;eG1sUEsBAhQAFAAAAAgAh07iQNK3M12jAgAAuQYAAA4AAAAAAAAAAQAgAAAAKgEAAGRycy9lMm9E&#10;b2MueG1sUEsFBgAAAAAGAAYAWQEAAD8GAAAAAA==&#10;">
            <o:lock v:ext="edit"/>
            <v:rect id="矩形 13" o:spid="_x0000_s108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85"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pStyle w:val="33"/>
        <w:widowControl/>
        <w:spacing w:line="520" w:lineRule="exact"/>
        <w:ind w:firstLine="640" w:firstLineChars="200"/>
        <w:jc w:val="both"/>
        <w:rPr>
          <w:rFonts w:ascii="仿宋" w:hAnsi="仿宋" w:eastAsia="仿宋" w:cs="仿宋"/>
          <w:sz w:val="32"/>
          <w:szCs w:val="32"/>
        </w:rPr>
      </w:pPr>
      <w:r>
        <w:rPr>
          <w:rFonts w:hint="eastAsia" w:ascii="仿宋" w:hAnsi="仿宋" w:eastAsia="仿宋" w:cs="仿宋"/>
          <w:sz w:val="32"/>
          <w:szCs w:val="32"/>
        </w:rPr>
        <w:t>根据中共阜平县委办公室印发的关于《阜平县人民代表大会常务委员会智能配置、内设机构和人员编制》的通知（阜办发[2004]43号文），现将我单位部门职责如下：</w:t>
      </w:r>
    </w:p>
    <w:p>
      <w:pPr>
        <w:widowControl/>
        <w:spacing w:before="100" w:beforeAutospacing="1" w:after="100" w:afterAutospacing="1" w:line="360" w:lineRule="auto"/>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1在本行政区域内，保证宪法、法律、行政法规和上级人民代表大会及其常委会决议的遵守和执行。 </w:t>
      </w:r>
    </w:p>
    <w:p>
      <w:pPr>
        <w:widowControl/>
        <w:spacing w:before="100" w:beforeAutospacing="1" w:after="100" w:afterAutospacing="1" w:line="360" w:lineRule="auto"/>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2领导、主持本级人民代表大会代表的选举。 </w:t>
      </w:r>
    </w:p>
    <w:p>
      <w:pPr>
        <w:widowControl/>
        <w:spacing w:before="100" w:beforeAutospacing="1" w:after="100" w:afterAutospacing="1" w:line="360" w:lineRule="auto"/>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3召集本级人民代表大会会议。 </w:t>
      </w:r>
    </w:p>
    <w:p>
      <w:pPr>
        <w:widowControl/>
        <w:spacing w:before="100" w:beforeAutospacing="1" w:after="100" w:afterAutospacing="1" w:line="360" w:lineRule="auto"/>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4讨论、决定本县内的政治、经济、教育、科学、文化、卫生、环境和资源保护、民政、民族等工作的重大事项。 </w:t>
      </w:r>
    </w:p>
    <w:p>
      <w:pPr>
        <w:widowControl/>
        <w:spacing w:before="100" w:beforeAutospacing="1" w:after="100" w:afterAutospacing="1" w:line="360" w:lineRule="auto"/>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5根据本级人民政府的建议，决定对本县内的国民经济和社会发展计划、预算的部分变更。 </w:t>
      </w:r>
    </w:p>
    <w:p>
      <w:pPr>
        <w:widowControl/>
        <w:spacing w:before="100" w:beforeAutospacing="1" w:after="100" w:afterAutospacing="1" w:line="360" w:lineRule="auto"/>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6监督本级人民政府、人民法院和人民检察院的工作，联系县人民代表大会代表，受理人民群众对上述机关和国家工作人员的申诉和意见。</w:t>
      </w:r>
    </w:p>
    <w:p>
      <w:pPr>
        <w:widowControl/>
        <w:spacing w:before="100" w:beforeAutospacing="1" w:after="100" w:afterAutospacing="1" w:line="360" w:lineRule="auto"/>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7撤销下一级人民代表大会及及其常委会不适当的决定和命令。 </w:t>
      </w:r>
    </w:p>
    <w:p>
      <w:pPr>
        <w:widowControl/>
        <w:spacing w:before="100" w:beforeAutospacing="1" w:after="100" w:afterAutospacing="1" w:line="360" w:lineRule="auto"/>
        <w:ind w:firstLine="640" w:firstLineChars="200"/>
        <w:jc w:val="left"/>
        <w:rPr>
          <w:rFonts w:ascii="仿宋" w:hAnsi="仿宋" w:eastAsia="仿宋" w:cs="仿宋"/>
          <w:kern w:val="0"/>
          <w:sz w:val="32"/>
          <w:szCs w:val="32"/>
        </w:rPr>
      </w:pPr>
      <w:r>
        <w:rPr>
          <w:rFonts w:hint="eastAsia" w:ascii="仿宋" w:hAnsi="仿宋" w:eastAsia="仿宋" w:cs="仿宋"/>
          <w:color w:val="000000"/>
          <w:kern w:val="0"/>
          <w:sz w:val="32"/>
          <w:szCs w:val="32"/>
        </w:rPr>
        <w:t>8在本级人民代表大会闭会期间，决定副县长的个别任免，在县长和人民法院院长、人民检察院检察长因故不能担任职务的时候，</w:t>
      </w:r>
      <w:r>
        <w:rPr>
          <w:rFonts w:hint="eastAsia" w:ascii="仿宋" w:hAnsi="仿宋" w:eastAsia="仿宋" w:cs="仿宋"/>
          <w:kern w:val="0"/>
          <w:sz w:val="32"/>
          <w:szCs w:val="32"/>
        </w:rPr>
        <w:t xml:space="preserve">从县人民政府、人民法院、人民检察院副职领导人员中决定代理的人选。决定代理检察长，须报市人民检察院和人大常委会备案。 </w:t>
      </w:r>
    </w:p>
    <w:p>
      <w:pPr>
        <w:widowControl/>
        <w:spacing w:before="100" w:beforeAutospacing="1" w:after="100" w:afterAutospacing="1"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9根据县长的提名决定本级人民政府秘书长、局长、委员会主任、科长的任免。</w:t>
      </w:r>
    </w:p>
    <w:p>
      <w:pPr>
        <w:widowControl/>
        <w:spacing w:before="100" w:beforeAutospacing="1" w:after="100" w:afterAutospacing="1"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10按照人民法院组织法和人民检察院组织法的规定，任免人民法院副院长、庭长、副庭长、审判委员会委员、审判员，任免人民检察院副检察长、检察委员会委员、检察员。 </w:t>
      </w:r>
    </w:p>
    <w:p>
      <w:pPr>
        <w:widowControl/>
        <w:spacing w:before="100" w:beforeAutospacing="1" w:after="100" w:afterAutospacing="1"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11在本级人民代表大会闭会期间，决定撤销个别副县长的职务，决定撤销由它任命的县人民政府其他组成人员和人民法院副院长、庭长、副庭长、审判委员会委员、审判员，人民检察院副检察长、检察委员会委员、检察员。 </w:t>
      </w:r>
    </w:p>
    <w:p>
      <w:pPr>
        <w:widowControl/>
        <w:spacing w:before="100" w:beforeAutospacing="1" w:after="100" w:afterAutospacing="1"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12在县人民代表大会闭会期间，补选市人民代表大会出缺的代表和罢免个别代表。 </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阜平县人民代表大会常务委员会</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-1033145</wp:posOffset>
            </wp:positionH>
            <wp:positionV relativeFrom="paragraph">
              <wp:posOffset>-1317625</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w="9525">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83"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az3Q3AAAAA0BAAAPAAAAAAAA&#10;AAEAIAAAACIAAABkcnMvZG93bnJldi54bWxQSwECFAAUAAAACACHTuJAoHj19JwBAAALAwAADgAA&#10;AAAAAAABACAAAAArAQAAZHJzL2Uyb0RvYy54bWxQSwUGAAAAAAYABgBZAQAAOQU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9300"/>
      </w:tblGrid>
      <w:tr>
        <w:trPr>
          <w:trHeight w:val="567" w:hRule="atLeast"/>
          <w:jc w:val="center"/>
        </w:trPr>
        <w:tc>
          <w:tcPr>
            <w:tcW w:w="9300" w:type="dxa"/>
            <w:tcBorders>
              <w:top w:val="nil"/>
              <w:left w:val="nil"/>
              <w:bottom w:val="nil"/>
              <w:right w:val="nil"/>
            </w:tcBorders>
            <w:tcMar>
              <w:top w:w="15" w:type="dxa"/>
              <w:left w:w="15" w:type="dxa"/>
              <w:right w:w="15" w:type="dxa"/>
            </w:tcMar>
            <w:vAlign w:val="center"/>
          </w:tcPr>
          <w:p>
            <w:pPr>
              <w:widowControl/>
              <w:spacing w:after="0" w:line="440" w:lineRule="exact"/>
              <w:ind w:firstLine="210" w:firstLineChars="100"/>
              <w:textAlignment w:val="center"/>
              <w:rPr>
                <w:rFonts w:ascii="黑体" w:hAnsi="宋体" w:eastAsia="黑体" w:cs="黑体"/>
                <w:color w:val="000000"/>
                <w:kern w:val="0"/>
                <w:sz w:val="40"/>
                <w:szCs w:val="40"/>
              </w:rPr>
            </w:pPr>
            <w:r>
              <w:pict>
                <v:group id="组合 10" o:spid="_x0000_s1080" o:spt="203" style="position:absolute;left:0pt;margin-left:-63.5pt;margin-top:-85.6pt;height:41.2pt;width:243.2pt;mso-position-vertical-relative:page;z-index:251673600;mso-width-relative:page;mso-height-relative:page;" coordorigin="4551,52615" coordsize="8546,1398203" o:gfxdata="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Cg8Ds3QAAAA0BAAAPAAAAAAAAAAEAIAAAACIAAABkcnMvZG93bnJldi54&#10;bWxQSwECFAAUAAAACACHTuJAV60eSKACAAC8BgAADgAAAAAAAAABACAAAAAsAQAAZHJzL2Uyb0Rv&#10;Yy54bWxQSwUGAAAAAAYABgBZAQAAPgYAAAAA&#10;">
                  <o:lock v:ext="edit"/>
                  <v:rect id="矩形 13" o:spid="_x0000_s1082"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81"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一、收入支出决算总表</w:t>
            </w:r>
          </w:p>
          <w:p>
            <w:pPr>
              <w:widowControl/>
              <w:spacing w:after="0" w:line="440" w:lineRule="exact"/>
              <w:jc w:val="center"/>
              <w:textAlignment w:val="center"/>
              <w:rPr>
                <w:rFonts w:ascii="黑体" w:hAnsi="宋体" w:eastAsia="黑体" w:cs="黑体"/>
                <w:color w:val="000000"/>
                <w:kern w:val="0"/>
                <w:sz w:val="40"/>
                <w:szCs w:val="40"/>
              </w:rPr>
            </w:pPr>
          </w:p>
          <w:p>
            <w:pPr>
              <w:widowControl/>
              <w:spacing w:after="0" w:line="440" w:lineRule="exact"/>
              <w:jc w:val="center"/>
              <w:textAlignment w:val="center"/>
              <w:rPr>
                <w:rFonts w:ascii="黑体" w:hAnsi="宋体" w:eastAsia="黑体" w:cs="黑体"/>
                <w:color w:val="000000"/>
                <w:kern w:val="0"/>
                <w:sz w:val="40"/>
                <w:szCs w:val="40"/>
              </w:rPr>
            </w:pPr>
            <w:r>
              <w:drawing>
                <wp:anchor distT="0" distB="0" distL="114300" distR="114300" simplePos="0" relativeHeight="251691008" behindDoc="0" locked="0" layoutInCell="1" allowOverlap="1">
                  <wp:simplePos x="0" y="0"/>
                  <wp:positionH relativeFrom="column">
                    <wp:posOffset>181610</wp:posOffset>
                  </wp:positionH>
                  <wp:positionV relativeFrom="paragraph">
                    <wp:posOffset>92075</wp:posOffset>
                  </wp:positionV>
                  <wp:extent cx="5524500" cy="4267835"/>
                  <wp:effectExtent l="0" t="0" r="0" b="18415"/>
                  <wp:wrapSquare wrapText="bothSides"/>
                  <wp:docPr id="7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4"/>
                          <pic:cNvPicPr>
                            <a:picLocks noChangeAspect="1"/>
                          </pic:cNvPicPr>
                        </pic:nvPicPr>
                        <pic:blipFill>
                          <a:blip r:embed="rId8"/>
                          <a:stretch>
                            <a:fillRect/>
                          </a:stretch>
                        </pic:blipFill>
                        <pic:spPr>
                          <a:xfrm>
                            <a:off x="0" y="0"/>
                            <a:ext cx="5524500" cy="4267835"/>
                          </a:xfrm>
                          <a:prstGeom prst="rect">
                            <a:avLst/>
                          </a:prstGeom>
                          <a:noFill/>
                          <a:ln w="9525">
                            <a:noFill/>
                          </a:ln>
                        </pic:spPr>
                      </pic:pic>
                    </a:graphicData>
                  </a:graphic>
                </wp:anchor>
              </w:drawing>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8800"/>
      </w:tblGrid>
      <w:tr>
        <w:trPr>
          <w:trHeight w:val="770" w:hRule="atLeast"/>
          <w:jc w:val="center"/>
        </w:trPr>
        <w:tc>
          <w:tcPr>
            <w:tcW w:w="8800" w:type="dxa"/>
            <w:tcBorders>
              <w:top w:val="nil"/>
              <w:left w:val="nil"/>
              <w:bottom w:val="nil"/>
              <w:right w:val="nil"/>
            </w:tcBorders>
            <w:tcMar>
              <w:top w:w="15" w:type="dxa"/>
              <w:left w:w="15" w:type="dxa"/>
              <w:right w:w="15" w:type="dxa"/>
            </w:tcMar>
            <w:vAlign w:val="bottom"/>
          </w:tcPr>
          <w:p>
            <w:pPr>
              <w:widowControl/>
              <w:textAlignment w:val="bottom"/>
              <w:rPr>
                <w:rFonts w:ascii="黑体" w:hAnsi="宋体" w:eastAsia="黑体" w:cs="黑体"/>
                <w:color w:val="000000"/>
                <w:sz w:val="40"/>
                <w:szCs w:val="40"/>
              </w:rPr>
            </w:pPr>
            <w:r>
              <w:drawing>
                <wp:anchor distT="0" distB="0" distL="114300" distR="114300" simplePos="0" relativeHeight="251692032" behindDoc="0" locked="0" layoutInCell="1" allowOverlap="1">
                  <wp:simplePos x="0" y="0"/>
                  <wp:positionH relativeFrom="column">
                    <wp:posOffset>-47625</wp:posOffset>
                  </wp:positionH>
                  <wp:positionV relativeFrom="paragraph">
                    <wp:posOffset>676275</wp:posOffset>
                  </wp:positionV>
                  <wp:extent cx="5536565" cy="3657600"/>
                  <wp:effectExtent l="0" t="0" r="6985" b="0"/>
                  <wp:wrapSquare wrapText="bothSides"/>
                  <wp:docPr id="7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5"/>
                          <pic:cNvPicPr>
                            <a:picLocks noChangeAspect="1"/>
                          </pic:cNvPicPr>
                        </pic:nvPicPr>
                        <pic:blipFill>
                          <a:blip r:embed="rId9"/>
                          <a:stretch>
                            <a:fillRect/>
                          </a:stretch>
                        </pic:blipFill>
                        <pic:spPr>
                          <a:xfrm>
                            <a:off x="0" y="0"/>
                            <a:ext cx="5536565" cy="3657600"/>
                          </a:xfrm>
                          <a:prstGeom prst="rect">
                            <a:avLst/>
                          </a:prstGeom>
                          <a:noFill/>
                          <a:ln w="9525">
                            <a:noFill/>
                          </a:ln>
                        </pic:spPr>
                      </pic:pic>
                    </a:graphicData>
                  </a:graphic>
                </wp:anchor>
              </w:drawing>
            </w:r>
            <w:r>
              <w:rPr>
                <w:rFonts w:hint="eastAsia" w:ascii="黑体" w:hAnsi="宋体" w:eastAsia="黑体" w:cs="黑体"/>
                <w:color w:val="000000"/>
                <w:kern w:val="0"/>
                <w:sz w:val="40"/>
                <w:szCs w:val="40"/>
              </w:rPr>
              <w:t>二、收入决</w:t>
            </w:r>
            <w:r>
              <w:pict>
                <v:group id="组合 34" o:spid="_x0000_s1077" o:spt="203" style="position:absolute;left:0pt;margin-left:-77.5pt;margin-top:-86.35pt;height:41.2pt;width:243.2pt;mso-position-vertical-relative:page;z-index:251674624;mso-width-relative:page;mso-height-relative:page;" coordorigin="4551,52615" coordsize="8546,1398203" o:gfxdata="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Um+qh3QAAAA0BAAAPAAAAAAAAAAEAIAAAACIAAABkcnMvZG93bnJldi54&#10;bWxQSwECFAAUAAAACACHTuJAAGCnA6ACAAC8BgAADgAAAAAAAAABACAAAAAsAQAAZHJzL2Uyb0Rv&#10;Yy54bWxQSwUGAAAAAAYABgBZAQAAPgYAAAAA&#10;">
                  <o:lock v:ext="edit"/>
                  <v:rect id="矩形 13" o:spid="_x0000_s1079"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78"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9000"/>
      </w:tblGrid>
      <w:tr>
        <w:tblPrEx>
          <w:tblCellMar>
            <w:top w:w="0" w:type="dxa"/>
            <w:left w:w="0" w:type="dxa"/>
            <w:bottom w:w="0" w:type="dxa"/>
            <w:right w:w="0" w:type="dxa"/>
          </w:tblCellMar>
        </w:tblPrEx>
        <w:trPr>
          <w:trHeight w:val="798" w:hRule="atLeast"/>
        </w:trPr>
        <w:tc>
          <w:tcPr>
            <w:tcW w:w="9000" w:type="dxa"/>
            <w:tcBorders>
              <w:top w:val="nil"/>
              <w:left w:val="nil"/>
              <w:bottom w:val="nil"/>
              <w:right w:val="nil"/>
            </w:tcBorders>
            <w:tcMar>
              <w:top w:w="15" w:type="dxa"/>
              <w:left w:w="15" w:type="dxa"/>
              <w:right w:w="15" w:type="dxa"/>
            </w:tcMar>
            <w:vAlign w:val="center"/>
          </w:tcPr>
          <w:p>
            <w:pPr>
              <w:widowControl/>
              <w:spacing w:after="0" w:line="240" w:lineRule="atLeast"/>
              <w:rPr>
                <w:rFonts w:ascii="黑体" w:hAnsi="宋体" w:eastAsia="黑体" w:cs="黑体"/>
                <w:color w:val="000000"/>
                <w:sz w:val="40"/>
                <w:szCs w:val="40"/>
              </w:rPr>
            </w:pPr>
            <w:r>
              <w:drawing>
                <wp:anchor distT="0" distB="0" distL="114300" distR="114300" simplePos="0" relativeHeight="251693056" behindDoc="0" locked="0" layoutInCell="1" allowOverlap="1">
                  <wp:simplePos x="0" y="0"/>
                  <wp:positionH relativeFrom="column">
                    <wp:posOffset>38100</wp:posOffset>
                  </wp:positionH>
                  <wp:positionV relativeFrom="paragraph">
                    <wp:posOffset>396240</wp:posOffset>
                  </wp:positionV>
                  <wp:extent cx="5615305" cy="2794000"/>
                  <wp:effectExtent l="0" t="0" r="4445" b="6350"/>
                  <wp:wrapSquare wrapText="bothSides"/>
                  <wp:docPr id="7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7"/>
                          <pic:cNvPicPr>
                            <a:picLocks noChangeAspect="1"/>
                          </pic:cNvPicPr>
                        </pic:nvPicPr>
                        <pic:blipFill>
                          <a:blip r:embed="rId10"/>
                          <a:stretch>
                            <a:fillRect/>
                          </a:stretch>
                        </pic:blipFill>
                        <pic:spPr>
                          <a:xfrm>
                            <a:off x="0" y="0"/>
                            <a:ext cx="5615305" cy="2794000"/>
                          </a:xfrm>
                          <a:prstGeom prst="rect">
                            <a:avLst/>
                          </a:prstGeom>
                          <a:noFill/>
                          <a:ln w="9525">
                            <a:noFill/>
                          </a:ln>
                        </pic:spPr>
                      </pic:pic>
                    </a:graphicData>
                  </a:graphic>
                </wp:anchor>
              </w:drawing>
            </w:r>
            <w:r>
              <w:rPr>
                <w:rFonts w:hint="eastAsia" w:ascii="黑体" w:hAnsi="宋体" w:eastAsia="黑体" w:cs="黑体"/>
                <w:color w:val="000000"/>
                <w:kern w:val="0"/>
                <w:sz w:val="40"/>
                <w:szCs w:val="40"/>
              </w:rPr>
              <w:t>三、支出决算</w:t>
            </w:r>
            <w:r>
              <w:pict>
                <v:group id="组合 38" o:spid="_x0000_s1074" o:spt="203" style="position:absolute;left:0pt;margin-left:-80.9pt;margin-top:-83.35pt;height:41.2pt;width:243.2pt;mso-position-vertical-relative:page;z-index:251675648;mso-width-relative:page;mso-height-relative:page;" coordorigin="4551,52615" coordsize="8546,1398203" o:gfxdata="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DTyL9wAAAANAQAADwAAAAAAAAABACAAAAAiAAAAZHJzL2Rvd25yZXYu&#10;eG1sUEsBAhQAFAAAAAgAh07iQOscUUeiAgAAvAYAAA4AAAAAAAAAAQAgAAAAKwEAAGRycy9lMm9E&#10;b2MueG1sUEsFBgAAAAAGAAYAWQEAAD8GAAAAAA==&#10;">
                  <o:lock v:ext="edit"/>
                  <v:rect id="矩形 13" o:spid="_x0000_s107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75"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8860"/>
        <w:gridCol w:w="80"/>
      </w:tblGrid>
      <w:tr>
        <w:tblPrEx>
          <w:tblCellMar>
            <w:top w:w="0" w:type="dxa"/>
            <w:left w:w="0" w:type="dxa"/>
            <w:bottom w:w="0" w:type="dxa"/>
            <w:right w:w="0" w:type="dxa"/>
          </w:tblCellMar>
        </w:tblPrEx>
        <w:trPr>
          <w:trHeight w:val="152" w:hRule="atLeast"/>
        </w:trPr>
        <w:tc>
          <w:tcPr>
            <w:tcW w:w="8940" w:type="dxa"/>
            <w:gridSpan w:val="2"/>
            <w:tcBorders>
              <w:top w:val="nil"/>
              <w:left w:val="nil"/>
              <w:bottom w:val="nil"/>
              <w:right w:val="nil"/>
            </w:tcBorders>
            <w:tcMar>
              <w:top w:w="15" w:type="dxa"/>
              <w:left w:w="15" w:type="dxa"/>
              <w:right w:w="15" w:type="dxa"/>
            </w:tcMar>
            <w:vAlign w:val="center"/>
          </w:tcPr>
          <w:p>
            <w:pPr>
              <w:widowControl/>
              <w:spacing w:after="0" w:line="240" w:lineRule="atLeast"/>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四、财政拨款收入支出决</w:t>
            </w:r>
            <w:r>
              <w:pict>
                <v:group id="组合 43" o:spid="_x0000_s1071" o:spt="203" style="position:absolute;left:0pt;margin-left:-80.9pt;margin-top:-81.1pt;height:41.2pt;width:243.2pt;mso-position-vertical-relative:page;z-index:25167667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cmlLK3AAAAA0BAAAPAAAAAAAAAAEAIAAAACIAAABkcnMvZG93bnJl&#10;di54bWxQSwECFAAUAAAACACHTuJAk/0bVqQCAAC8BgAADgAAAAAAAAABACAAAAArAQAAZHJzL2Uy&#10;b0RvYy54bWxQSwUGAAAAAAYABgBZAQAAQQYAAAAA&#10;">
                  <o:lock v:ext="edit"/>
                  <v:rect id="矩形 13" o:spid="_x0000_s1073"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72"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gridAfter w:val="1"/>
          <w:wAfter w:w="80" w:type="dxa"/>
          <w:trHeight w:val="600" w:hRule="atLeast"/>
        </w:trPr>
        <w:tc>
          <w:tcPr>
            <w:tcW w:w="8860" w:type="dxa"/>
            <w:tcBorders>
              <w:top w:val="nil"/>
              <w:left w:val="nil"/>
              <w:bottom w:val="nil"/>
              <w:right w:val="nil"/>
            </w:tcBorders>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kern w:val="0"/>
                <w:sz w:val="40"/>
                <w:szCs w:val="40"/>
              </w:rPr>
            </w:pPr>
            <w:r>
              <w:drawing>
                <wp:inline distT="0" distB="0" distL="114300" distR="114300">
                  <wp:extent cx="5600065" cy="4244340"/>
                  <wp:effectExtent l="0" t="0" r="635" b="381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11"/>
                          <a:stretch>
                            <a:fillRect/>
                          </a:stretch>
                        </pic:blipFill>
                        <pic:spPr>
                          <a:xfrm>
                            <a:off x="0" y="0"/>
                            <a:ext cx="5600065" cy="4244340"/>
                          </a:xfrm>
                          <a:prstGeom prst="rect">
                            <a:avLst/>
                          </a:prstGeom>
                          <a:noFill/>
                          <a:ln w="9525">
                            <a:noFill/>
                          </a:ln>
                        </pic:spPr>
                      </pic:pic>
                    </a:graphicData>
                  </a:graphic>
                </wp:inline>
              </w:drawing>
            </w:r>
          </w:p>
          <w:p>
            <w:pPr>
              <w:widowControl/>
              <w:spacing w:after="0" w:line="240" w:lineRule="auto"/>
              <w:jc w:val="center"/>
              <w:textAlignment w:val="bottom"/>
              <w:rPr>
                <w:rFonts w:ascii="黑体" w:hAnsi="宋体" w:eastAsia="黑体" w:cs="黑体"/>
                <w:color w:val="000000"/>
                <w:kern w:val="0"/>
                <w:sz w:val="40"/>
                <w:szCs w:val="40"/>
              </w:rPr>
            </w:pPr>
          </w:p>
          <w:p>
            <w:pPr>
              <w:widowControl/>
              <w:spacing w:after="0" w:line="240" w:lineRule="auto"/>
              <w:jc w:val="center"/>
              <w:textAlignment w:val="bottom"/>
              <w:rPr>
                <w:rFonts w:ascii="黑体" w:hAnsi="宋体" w:eastAsia="黑体" w:cs="黑体"/>
                <w:color w:val="000000"/>
                <w:kern w:val="0"/>
                <w:sz w:val="40"/>
                <w:szCs w:val="40"/>
              </w:rPr>
            </w:pPr>
          </w:p>
          <w:p>
            <w:pPr>
              <w:widowControl/>
              <w:spacing w:after="0" w:line="240" w:lineRule="auto"/>
              <w:jc w:val="center"/>
              <w:textAlignment w:val="bottom"/>
              <w:rPr>
                <w:rFonts w:ascii="黑体" w:hAnsi="宋体" w:eastAsia="黑体" w:cs="黑体"/>
                <w:color w:val="000000"/>
                <w:kern w:val="0"/>
                <w:sz w:val="40"/>
                <w:szCs w:val="40"/>
              </w:rPr>
            </w:pPr>
          </w:p>
          <w:p>
            <w:pPr>
              <w:widowControl/>
              <w:spacing w:after="0" w:line="240" w:lineRule="auto"/>
              <w:jc w:val="center"/>
              <w:textAlignment w:val="bottom"/>
              <w:rPr>
                <w:rFonts w:ascii="黑体" w:hAnsi="宋体" w:eastAsia="黑体" w:cs="黑体"/>
                <w:color w:val="000000"/>
                <w:kern w:val="0"/>
                <w:sz w:val="40"/>
                <w:szCs w:val="40"/>
              </w:rPr>
            </w:pPr>
          </w:p>
          <w:p>
            <w:pPr>
              <w:widowControl/>
              <w:spacing w:after="0" w:line="240" w:lineRule="auto"/>
              <w:jc w:val="center"/>
              <w:textAlignment w:val="bottom"/>
              <w:rPr>
                <w:rFonts w:ascii="黑体" w:hAnsi="宋体" w:eastAsia="黑体" w:cs="黑体"/>
                <w:color w:val="000000"/>
                <w:kern w:val="0"/>
                <w:sz w:val="40"/>
                <w:szCs w:val="40"/>
              </w:rPr>
            </w:pPr>
          </w:p>
          <w:p>
            <w:pPr>
              <w:widowControl/>
              <w:spacing w:after="0" w:line="240" w:lineRule="auto"/>
              <w:jc w:val="center"/>
              <w:textAlignment w:val="bottom"/>
              <w:rPr>
                <w:rFonts w:ascii="黑体" w:hAnsi="宋体" w:eastAsia="黑体" w:cs="黑体"/>
                <w:color w:val="000000"/>
                <w:kern w:val="0"/>
                <w:sz w:val="40"/>
                <w:szCs w:val="40"/>
              </w:rPr>
            </w:pPr>
          </w:p>
          <w:p>
            <w:pPr>
              <w:widowControl/>
              <w:spacing w:after="0" w:line="240" w:lineRule="auto"/>
              <w:jc w:val="center"/>
              <w:textAlignment w:val="bottom"/>
              <w:rPr>
                <w:rFonts w:ascii="黑体" w:hAnsi="宋体" w:eastAsia="黑体" w:cs="黑体"/>
                <w:color w:val="000000"/>
                <w:kern w:val="0"/>
                <w:sz w:val="40"/>
                <w:szCs w:val="40"/>
              </w:rPr>
            </w:pPr>
          </w:p>
          <w:p>
            <w:pPr>
              <w:widowControl/>
              <w:spacing w:after="0" w:line="240" w:lineRule="auto"/>
              <w:jc w:val="center"/>
              <w:textAlignment w:val="bottom"/>
              <w:rPr>
                <w:rFonts w:ascii="黑体" w:hAnsi="宋体" w:eastAsia="黑体" w:cs="黑体"/>
                <w:color w:val="000000"/>
                <w:kern w:val="0"/>
                <w:sz w:val="40"/>
                <w:szCs w:val="40"/>
              </w:rPr>
            </w:pPr>
          </w:p>
          <w:p>
            <w:pPr>
              <w:widowControl/>
              <w:spacing w:after="0" w:line="240" w:lineRule="auto"/>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五、一般公共预算财政拨</w:t>
            </w:r>
            <w:r>
              <w:pict>
                <v:group id="组合 46" o:spid="_x0000_s1068" o:spt="203" style="position:absolute;left:0pt;margin-left:-80.9pt;margin-top:-81.1pt;height:41.2pt;width:243.2pt;mso-position-vertical-relative:page;z-index:2516776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cmlLK3AAAAA0BAAAPAAAAAAAAAAEAIAAAACIAAABkcnMvZG93bnJldi54bWxQ&#10;SwECFAAUAAAACACHTuJAWU6DFZ4CAAC8BgAADgAAAAAAAAABACAAAAArAQAAZHJzL2Uyb0RvYy54&#10;bWxQSwUGAAAAAAYABgBZAQAAOwYAAAAA&#10;">
                  <o:lock v:ext="edit"/>
                  <v:rect id="矩形 13" o:spid="_x0000_s1070"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9"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gridAfter w:val="1"/>
          <w:wAfter w:w="80" w:type="dxa"/>
          <w:trHeight w:val="368" w:hRule="atLeast"/>
        </w:trPr>
        <w:tc>
          <w:tcPr>
            <w:tcW w:w="8860" w:type="dxa"/>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r>
              <w:drawing>
                <wp:inline distT="0" distB="0" distL="114300" distR="114300">
                  <wp:extent cx="5601970" cy="3754120"/>
                  <wp:effectExtent l="0" t="0" r="17780" b="1778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12"/>
                          <a:stretch>
                            <a:fillRect/>
                          </a:stretch>
                        </pic:blipFill>
                        <pic:spPr>
                          <a:xfrm>
                            <a:off x="0" y="0"/>
                            <a:ext cx="5601970" cy="3754120"/>
                          </a:xfrm>
                          <a:prstGeom prst="rect">
                            <a:avLst/>
                          </a:prstGeom>
                          <a:noFill/>
                          <a:ln w="9525">
                            <a:noFill/>
                          </a:ln>
                        </pic:spPr>
                      </pic:pic>
                    </a:graphicData>
                  </a:graphic>
                </wp:inline>
              </w:drawing>
            </w: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hAnsi="宋体" w:cs="宋体"/>
                <w:color w:val="000000"/>
                <w:kern w:val="0"/>
                <w:szCs w:val="21"/>
              </w:rPr>
            </w:pPr>
          </w:p>
          <w:p>
            <w:pPr>
              <w:widowControl/>
              <w:spacing w:after="0" w:line="240" w:lineRule="atLeast"/>
              <w:jc w:val="left"/>
              <w:textAlignment w:val="center"/>
              <w:rPr>
                <w:rFonts w:ascii="宋体" w:cs="宋体"/>
                <w:color w:val="000000"/>
                <w:szCs w:val="21"/>
              </w:rPr>
            </w:pP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9180"/>
      </w:tblGrid>
      <w:tr>
        <w:tblPrEx>
          <w:tblCellMar>
            <w:top w:w="0" w:type="dxa"/>
            <w:left w:w="0" w:type="dxa"/>
            <w:bottom w:w="0" w:type="dxa"/>
            <w:right w:w="0" w:type="dxa"/>
          </w:tblCellMar>
        </w:tblPrEx>
        <w:trPr>
          <w:trHeight w:val="526" w:hRule="atLeast"/>
          <w:jc w:val="center"/>
        </w:trPr>
        <w:tc>
          <w:tcPr>
            <w:tcW w:w="9180" w:type="dxa"/>
            <w:tcBorders>
              <w:top w:val="nil"/>
              <w:left w:val="nil"/>
              <w:bottom w:val="nil"/>
              <w:right w:val="nil"/>
            </w:tcBorders>
            <w:tcMar>
              <w:top w:w="15" w:type="dxa"/>
              <w:left w:w="15" w:type="dxa"/>
              <w:right w:w="15" w:type="dxa"/>
            </w:tcMar>
            <w:vAlign w:val="center"/>
          </w:tcPr>
          <w:p>
            <w:pPr>
              <w:widowControl/>
              <w:spacing w:after="0" w:line="240" w:lineRule="auto"/>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六、一般公共预算财政拨款基本支出决算表</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94080" behindDoc="0" locked="0" layoutInCell="1" allowOverlap="1">
            <wp:simplePos x="0" y="0"/>
            <wp:positionH relativeFrom="column">
              <wp:posOffset>-47625</wp:posOffset>
            </wp:positionH>
            <wp:positionV relativeFrom="paragraph">
              <wp:posOffset>233680</wp:posOffset>
            </wp:positionV>
            <wp:extent cx="5607050" cy="3679825"/>
            <wp:effectExtent l="0" t="0" r="12700" b="15875"/>
            <wp:wrapSquare wrapText="bothSides"/>
            <wp:docPr id="7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8"/>
                    <pic:cNvPicPr>
                      <a:picLocks noChangeAspect="1"/>
                    </pic:cNvPicPr>
                  </pic:nvPicPr>
                  <pic:blipFill>
                    <a:blip r:embed="rId13"/>
                    <a:stretch>
                      <a:fillRect/>
                    </a:stretch>
                  </pic:blipFill>
                  <pic:spPr>
                    <a:xfrm>
                      <a:off x="0" y="0"/>
                      <a:ext cx="5607050" cy="3679825"/>
                    </a:xfrm>
                    <a:prstGeom prst="rect">
                      <a:avLst/>
                    </a:prstGeom>
                    <a:noFill/>
                    <a:ln w="9525">
                      <a:noFill/>
                    </a:ln>
                  </pic:spPr>
                </pic:pic>
              </a:graphicData>
            </a:graphic>
          </wp:anchor>
        </w:drawing>
      </w:r>
    </w:p>
    <w:tbl>
      <w:tblPr>
        <w:tblStyle w:val="12"/>
        <w:tblW w:w="8800" w:type="dxa"/>
        <w:jc w:val="center"/>
        <w:tblLayout w:type="fixed"/>
        <w:tblCellMar>
          <w:top w:w="0" w:type="dxa"/>
          <w:left w:w="0" w:type="dxa"/>
          <w:bottom w:w="0" w:type="dxa"/>
          <w:right w:w="0" w:type="dxa"/>
        </w:tblCellMar>
      </w:tblPr>
      <w:tblGrid>
        <w:gridCol w:w="8800"/>
      </w:tblGrid>
      <w:tr>
        <w:tblPrEx>
          <w:tblCellMar>
            <w:top w:w="0" w:type="dxa"/>
            <w:left w:w="0" w:type="dxa"/>
            <w:bottom w:w="0" w:type="dxa"/>
            <w:right w:w="0" w:type="dxa"/>
          </w:tblCellMar>
        </w:tblPrEx>
        <w:trPr>
          <w:trHeight w:val="584" w:hRule="atLeast"/>
          <w:jc w:val="center"/>
        </w:trPr>
        <w:tc>
          <w:tcPr>
            <w:tcW w:w="880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textAlignment w:val="center"/>
              <w:rPr>
                <w:rFonts w:ascii="黑体" w:hAnsi="宋体" w:eastAsia="黑体" w:cs="黑体"/>
                <w:color w:val="000000"/>
                <w:sz w:val="40"/>
                <w:szCs w:val="40"/>
              </w:rPr>
            </w:pPr>
            <w:r>
              <w:rPr>
                <w:rFonts w:hint="eastAsia" w:ascii="黑体" w:hAnsi="宋体" w:eastAsia="黑体" w:cs="黑体"/>
                <w:color w:val="000000"/>
                <w:kern w:val="0"/>
                <w:sz w:val="36"/>
                <w:szCs w:val="36"/>
              </w:rPr>
              <w:t>七、一般公共预算财政拨款“</w:t>
            </w:r>
            <w:r>
              <w:rPr>
                <w:sz w:val="36"/>
                <w:szCs w:val="36"/>
              </w:rPr>
              <w:pict>
                <v:group id="组合 52" o:spid="_x0000_s1065" o:spt="203" style="position:absolute;left:0pt;margin-left:-82.75pt;margin-top:-81.1pt;height:41.2pt;width:243.2pt;mso-position-vertical-relative:page;z-index:251678720;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HCebiNwAAAANAQAADwAAAAAAAAABACAAAAAiAAAAZHJzL2Rvd25yZXYueG1s&#10;UEsBAhQAFAAAAAgAh07iQFGkvVyfAgAAvAYAAA4AAAAAAAAAAQAgAAAAKwEAAGRycy9lMm9Eb2Mu&#10;eG1sUEsFBgAAAAAGAAYAWQEAADwGAAAAAA==&#10;">
                  <o:lock v:ext="edit"/>
                  <v:rect id="矩形 13" o:spid="_x0000_s1067"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三公”经费支出决算表</w:t>
            </w:r>
          </w:p>
        </w:tc>
      </w:tr>
      <w:tr>
        <w:tblPrEx>
          <w:tblCellMar>
            <w:top w:w="0" w:type="dxa"/>
            <w:left w:w="0" w:type="dxa"/>
            <w:bottom w:w="0" w:type="dxa"/>
            <w:right w:w="0" w:type="dxa"/>
          </w:tblCellMar>
        </w:tblPrEx>
        <w:trPr>
          <w:trHeight w:val="584" w:hRule="atLeast"/>
          <w:jc w:val="center"/>
        </w:trPr>
        <w:tc>
          <w:tcPr>
            <w:tcW w:w="880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textAlignment w:val="center"/>
              <w:rPr>
                <w:rFonts w:ascii="黑体" w:hAnsi="宋体" w:eastAsia="黑体" w:cs="黑体"/>
                <w:color w:val="000000"/>
                <w:kern w:val="0"/>
                <w:sz w:val="36"/>
                <w:szCs w:val="36"/>
              </w:rPr>
            </w:pPr>
            <w:r>
              <w:drawing>
                <wp:anchor distT="0" distB="0" distL="114300" distR="114300" simplePos="0" relativeHeight="251695104" behindDoc="0" locked="0" layoutInCell="1" allowOverlap="1">
                  <wp:simplePos x="0" y="0"/>
                  <wp:positionH relativeFrom="column">
                    <wp:posOffset>28575</wp:posOffset>
                  </wp:positionH>
                  <wp:positionV relativeFrom="paragraph">
                    <wp:posOffset>238125</wp:posOffset>
                  </wp:positionV>
                  <wp:extent cx="5613400" cy="1447800"/>
                  <wp:effectExtent l="0" t="0" r="6350" b="0"/>
                  <wp:wrapSquare wrapText="bothSides"/>
                  <wp:docPr id="7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9"/>
                          <pic:cNvPicPr>
                            <a:picLocks noChangeAspect="1"/>
                          </pic:cNvPicPr>
                        </pic:nvPicPr>
                        <pic:blipFill>
                          <a:blip r:embed="rId14"/>
                          <a:stretch>
                            <a:fillRect/>
                          </a:stretch>
                        </pic:blipFill>
                        <pic:spPr>
                          <a:xfrm>
                            <a:off x="0" y="0"/>
                            <a:ext cx="5613400" cy="1447800"/>
                          </a:xfrm>
                          <a:prstGeom prst="rect">
                            <a:avLst/>
                          </a:prstGeom>
                          <a:noFill/>
                          <a:ln w="9525">
                            <a:noFill/>
                          </a:ln>
                        </pic:spPr>
                      </pic:pic>
                    </a:graphicData>
                  </a:graphic>
                </wp:anchor>
              </w:drawing>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8860"/>
      </w:tblGrid>
      <w:tr>
        <w:tblPrEx>
          <w:tblCellMar>
            <w:top w:w="0" w:type="dxa"/>
            <w:left w:w="0" w:type="dxa"/>
            <w:bottom w:w="0" w:type="dxa"/>
            <w:right w:w="0" w:type="dxa"/>
          </w:tblCellMar>
        </w:tblPrEx>
        <w:trPr>
          <w:trHeight w:val="707" w:hRule="atLeast"/>
        </w:trPr>
        <w:tc>
          <w:tcPr>
            <w:tcW w:w="8860" w:type="dxa"/>
            <w:tcBorders>
              <w:top w:val="nil"/>
              <w:left w:val="nil"/>
              <w:bottom w:val="nil"/>
              <w:right w:val="nil"/>
            </w:tcBorders>
            <w:tcMar>
              <w:top w:w="15" w:type="dxa"/>
              <w:left w:w="15" w:type="dxa"/>
              <w:right w:w="15" w:type="dxa"/>
            </w:tcMar>
            <w:vAlign w:val="center"/>
          </w:tcPr>
          <w:p>
            <w:pPr>
              <w:widowControl/>
              <w:adjustRightInd w:val="0"/>
              <w:spacing w:after="0" w:line="240" w:lineRule="auto"/>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八、政府性基金预算财政拨款</w:t>
            </w:r>
            <w:r>
              <w:pict>
                <v:group id="组合 55" o:spid="_x0000_s1062" o:spt="203" style="position:absolute;left:0pt;margin-left:-80.9pt;margin-top:-81.1pt;height:41.2pt;width:243.2pt;mso-position-vertical-relative:page;z-index:25167974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HJpSytwAAAANAQAADwAAAAAAAAABACAAAAAiAAAAZHJzL2Rvd25yZXYu&#10;eG1sUEsBAhQAFAAAAAgAh07iQAR5KM2iAgAAvAYAAA4AAAAAAAAAAQAgAAAAKwEAAGRycy9lMm9E&#10;b2MueG1sUEsFBgAAAAAGAAYAWQEAAD8GAAAAAA==&#10;">
                  <o:lock v:ext="edit"/>
                  <v:rect id="矩形 13" o:spid="_x0000_s1064"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3"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294" w:hRule="atLeast"/>
        </w:trPr>
        <w:tc>
          <w:tcPr>
            <w:tcW w:w="8860" w:type="dxa"/>
            <w:tcBorders>
              <w:top w:val="nil"/>
              <w:left w:val="nil"/>
              <w:bottom w:val="nil"/>
              <w:right w:val="nil"/>
            </w:tcBorders>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ascii="宋体" w:hAnsi="宋体" w:cs="宋体"/>
                <w:color w:val="000000"/>
                <w:kern w:val="0"/>
                <w:szCs w:val="21"/>
              </w:rPr>
              <w:t xml:space="preserve">       </w:t>
            </w:r>
            <w:r>
              <w:drawing>
                <wp:inline distT="0" distB="0" distL="114300" distR="114300">
                  <wp:extent cx="5606415" cy="2437765"/>
                  <wp:effectExtent l="0" t="0" r="13335" b="63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15"/>
                          <a:stretch>
                            <a:fillRect/>
                          </a:stretch>
                        </pic:blipFill>
                        <pic:spPr>
                          <a:xfrm>
                            <a:off x="0" y="0"/>
                            <a:ext cx="5606415" cy="2437765"/>
                          </a:xfrm>
                          <a:prstGeom prst="rect">
                            <a:avLst/>
                          </a:prstGeom>
                          <a:noFill/>
                          <a:ln w="9525">
                            <a:noFill/>
                          </a:ln>
                        </pic:spPr>
                      </pic:pic>
                    </a:graphicData>
                  </a:graphic>
                </wp:inline>
              </w:drawing>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1168"/>
        <w:gridCol w:w="1035"/>
        <w:gridCol w:w="2005"/>
        <w:gridCol w:w="3438"/>
      </w:tblGrid>
      <w:tr>
        <w:tblPrEx>
          <w:tblCellMar>
            <w:top w:w="0" w:type="dxa"/>
            <w:left w:w="0" w:type="dxa"/>
            <w:bottom w:w="0" w:type="dxa"/>
            <w:right w:w="0" w:type="dxa"/>
          </w:tblCellMar>
        </w:tblPrEx>
        <w:trPr>
          <w:trHeight w:val="656" w:hRule="atLeast"/>
        </w:trPr>
        <w:tc>
          <w:tcPr>
            <w:tcW w:w="8800" w:type="dxa"/>
            <w:gridSpan w:val="7"/>
            <w:tcBorders>
              <w:top w:val="nil"/>
              <w:left w:val="nil"/>
              <w:bottom w:val="nil"/>
              <w:right w:val="nil"/>
            </w:tcBorders>
            <w:tcMar>
              <w:top w:w="15" w:type="dxa"/>
              <w:left w:w="15" w:type="dxa"/>
              <w:right w:w="15" w:type="dxa"/>
            </w:tcMar>
            <w:vAlign w:val="center"/>
          </w:tcPr>
          <w:p>
            <w:pPr>
              <w:widowControl/>
              <w:spacing w:after="0" w:line="240" w:lineRule="auto"/>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九、国有资本经营预算财政拨</w:t>
            </w:r>
            <w:r>
              <w:pict>
                <v:group id="组合 58" o:spid="_x0000_s1059" o:spt="203" style="position:absolute;left:0pt;margin-left:-80.9pt;margin-top:-81.1pt;height:41.2pt;width:243.2pt;mso-position-vertical-relative:page;z-index:25168076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cmlLK3AAAAA0BAAAPAAAAAAAAAAEAIAAAACIAAABkcnMvZG93bnJldi54bWxQ&#10;SwECFAAUAAAACACHTuJArtspO54CAAC8BgAADgAAAAAAAAABACAAAAArAQAAZHJzL2Uyb0RvYy54&#10;bWxQSwUGAAAAAAYABgBZAQAAOwYAAAAA&#10;">
                  <o:lock v:ext="edit"/>
                  <v:rect id="矩形 13" o:spid="_x0000_s1061"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0"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80" w:hRule="atLeast"/>
        </w:trPr>
        <w:tc>
          <w:tcPr>
            <w:tcW w:w="44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7"/>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drawing>
                <wp:inline distT="0" distB="0" distL="114300" distR="114300">
                  <wp:extent cx="5565775" cy="3026410"/>
                  <wp:effectExtent l="0" t="0" r="15875" b="2540"/>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16"/>
                          <a:stretch>
                            <a:fillRect/>
                          </a:stretch>
                        </pic:blipFill>
                        <pic:spPr>
                          <a:xfrm>
                            <a:off x="0" y="0"/>
                            <a:ext cx="5565775" cy="3026410"/>
                          </a:xfrm>
                          <a:prstGeom prst="rect">
                            <a:avLst/>
                          </a:prstGeom>
                          <a:noFill/>
                          <a:ln w="9525">
                            <a:noFill/>
                          </a:ln>
                        </pic:spPr>
                      </pic:pic>
                    </a:graphicData>
                  </a:graphic>
                </wp:inline>
              </w:drawing>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8940"/>
      </w:tblGrid>
      <w:tr>
        <w:tblPrEx>
          <w:tblCellMar>
            <w:top w:w="0" w:type="dxa"/>
            <w:left w:w="0" w:type="dxa"/>
            <w:bottom w:w="0" w:type="dxa"/>
            <w:right w:w="0" w:type="dxa"/>
          </w:tblCellMar>
        </w:tblPrEx>
        <w:trPr>
          <w:trHeight w:val="635" w:hRule="atLeast"/>
        </w:trPr>
        <w:tc>
          <w:tcPr>
            <w:tcW w:w="894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十、政府采购</w:t>
            </w:r>
            <w:r>
              <w:pict>
                <v:group id="组合 61" o:spid="_x0000_s1056" o:spt="203" style="position:absolute;left:0pt;margin-left:-80.9pt;margin-top:-81.1pt;height:41.2pt;width:243.2pt;mso-position-vertical-relative:page;z-index:25168179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HJpSytwAAAANAQAADwAAAAAAAAABACAAAAAiAAAAZHJzL2Rvd25yZXYu&#10;eG1sUEsBAhQAFAAAAAgAh07iQDjA0z2iAgAAvAYAAA4AAAAAAAAAAQAgAAAAKwEAAGRycy9lMm9E&#10;b2MueG1sUEsFBgAAAAAGAAYAWQEAAD8GAAAAAA==&#10;">
                  <o:lock v:ext="edit"/>
                  <v:rect id="矩形 13" o:spid="_x0000_s1058"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7"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bl>
    <w:p>
      <w:r>
        <w:drawing>
          <wp:inline distT="0" distB="0" distL="114300" distR="114300">
            <wp:extent cx="5613400" cy="2798445"/>
            <wp:effectExtent l="0" t="0" r="6350" b="1905"/>
            <wp:docPr id="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pic:cNvPicPr>
                      <a:picLocks noChangeAspect="1"/>
                    </pic:cNvPicPr>
                  </pic:nvPicPr>
                  <pic:blipFill>
                    <a:blip r:embed="rId17"/>
                    <a:stretch>
                      <a:fillRect/>
                    </a:stretch>
                  </pic:blipFill>
                  <pic:spPr>
                    <a:xfrm>
                      <a:off x="0" y="0"/>
                      <a:ext cx="5613400" cy="2798445"/>
                    </a:xfrm>
                    <a:prstGeom prst="rect">
                      <a:avLst/>
                    </a:prstGeom>
                    <a:noFill/>
                    <a:ln w="9525">
                      <a:noFill/>
                    </a:ln>
                  </pic:spPr>
                </pic:pic>
              </a:graphicData>
            </a:graphic>
          </wp:inline>
        </w:drawing>
      </w:r>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w="9525">
                      <a:noFill/>
                    </a:ln>
                  </pic:spPr>
                </pic:pic>
              </a:graphicData>
            </a:graphic>
          </wp:anchor>
        </w:drawing>
      </w:r>
      <w:r>
        <w:pict>
          <v:shape id="文本框 5" o:spid="_x0000_s1055"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ZZp6M3gAAAA0BAAAPAAAAAAAAAAEA&#10;IAAAACIAAABkcnMvZG93bnJldi54bWxQSwECFAAUAAAACACHTuJAXH5Gb5cBAAAKAwAADgAAAAAA&#10;AAABACAAAAAtAQAAZHJzL2Uyb0RvYy54bWxQSwUGAAAAAAYABgBZAQAANgU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52" o:spt="203" style="position:absolute;left:0pt;margin-left:-79.5pt;margin-top:29.3pt;height:43.95pt;width:301.85pt;mso-position-vertical-relative:page;z-index:251689984;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FXqK2wAAAAsBAAAPAAAAAAAAAAEAIAAAACIAAABkcnMvZG93bnJldi54&#10;bWxQSwECFAAUAAAACACHTuJAvHoRdKICAAC8BgAADgAAAAAAAAABACAAAAAqAQAAZHJzL2Uyb0Rv&#10;Yy54bWxQSwUGAAAAAAYABgBZAQAAPgYAAAAA&#10;">
            <o:lock v:ext="edit"/>
            <v:rect id="矩形 13" o:spid="_x0000_s1054"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年度收入总计（含结转和结余）280.17万元。与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年度决算相比，收入减少</w:t>
      </w:r>
      <w:r>
        <w:rPr>
          <w:rFonts w:hint="eastAsia" w:ascii="仿宋" w:hAnsi="仿宋" w:eastAsia="仿宋" w:cs="仿宋"/>
          <w:sz w:val="32"/>
          <w:szCs w:val="32"/>
        </w:rPr>
        <w:t>63.25</w:t>
      </w:r>
      <w:r>
        <w:rPr>
          <w:rFonts w:hint="eastAsia" w:ascii="仿宋_GB2312" w:eastAsia="仿宋_GB2312" w:cs="DengXian-Regular"/>
          <w:sz w:val="32"/>
          <w:szCs w:val="32"/>
        </w:rPr>
        <w:t>万元，下降18.42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 w:hAnsi="仿宋" w:eastAsia="仿宋" w:cs="仿宋"/>
          <w:sz w:val="32"/>
          <w:szCs w:val="32"/>
        </w:rPr>
        <w:t>人员经费减少，退休人员工资纳入社保,只有统筹外部分列入决算</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年度支出总计（含结转和结余）280.17万元。与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年度决算相比，支出减少63.25万元，下降18.42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 w:hAnsi="仿宋" w:eastAsia="仿宋" w:cs="仿宋"/>
          <w:sz w:val="32"/>
          <w:szCs w:val="32"/>
        </w:rPr>
        <w:t>人员经费减少，退休人员工资纳入社保,只有统筹外部分列入决算</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年度本年收入合计280.17万元，其中：财政拨款收入280.17万元，占100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 w:hAnsi="仿宋" w:eastAsia="仿宋" w:cs="DengXian-Regular"/>
          <w:sz w:val="32"/>
          <w:szCs w:val="32"/>
        </w:rPr>
        <w:t>事业收入0万元，占0</w:t>
      </w:r>
      <w:r>
        <w:rPr>
          <w:rFonts w:ascii="仿宋" w:hAnsi="仿宋" w:eastAsia="仿宋" w:cs="DengXian-Regular"/>
          <w:sz w:val="32"/>
          <w:szCs w:val="32"/>
        </w:rPr>
        <w:t>%</w:t>
      </w:r>
      <w:r>
        <w:rPr>
          <w:rFonts w:hint="eastAsia" w:ascii="仿宋" w:hAnsi="仿宋" w:eastAsia="仿宋" w:cs="DengXian-Regular"/>
          <w:sz w:val="32"/>
          <w:szCs w:val="32"/>
        </w:rPr>
        <w:t>；经营收入0万元，占0</w:t>
      </w:r>
      <w:r>
        <w:rPr>
          <w:rFonts w:ascii="仿宋" w:hAnsi="仿宋" w:eastAsia="仿宋" w:cs="DengXian-Regular"/>
          <w:sz w:val="32"/>
          <w:szCs w:val="32"/>
        </w:rPr>
        <w:t>%</w:t>
      </w:r>
      <w:r>
        <w:rPr>
          <w:rFonts w:hint="eastAsia" w:ascii="仿宋" w:hAnsi="仿宋" w:eastAsia="仿宋" w:cs="DengXian-Regular"/>
          <w:sz w:val="32"/>
          <w:szCs w:val="32"/>
        </w:rPr>
        <w:t>；其他收入0万元，占0</w:t>
      </w:r>
      <w:r>
        <w:rPr>
          <w:rFonts w:ascii="仿宋" w:hAnsi="仿宋" w:eastAsia="仿宋" w:cs="DengXian-Regular"/>
          <w:sz w:val="32"/>
          <w:szCs w:val="32"/>
        </w:rPr>
        <w:t>%</w:t>
      </w:r>
      <w:r>
        <w:rPr>
          <w:rFonts w:hint="eastAsia" w:ascii="仿宋" w:hAnsi="仿宋" w:eastAsia="仿宋"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年度本年支出合计280.17万元，其中：基本支出218.11万元，占77.85</w:t>
      </w:r>
      <w:r>
        <w:rPr>
          <w:rFonts w:ascii="仿宋_GB2312" w:eastAsia="仿宋_GB2312" w:cs="DengXian-Regular"/>
          <w:sz w:val="32"/>
          <w:szCs w:val="32"/>
        </w:rPr>
        <w:t>%</w:t>
      </w:r>
      <w:r>
        <w:rPr>
          <w:rFonts w:hint="eastAsia" w:ascii="仿宋_GB2312" w:eastAsia="仿宋_GB2312" w:cs="DengXian-Regular"/>
          <w:sz w:val="32"/>
          <w:szCs w:val="32"/>
        </w:rPr>
        <w:t>；项目支出62.06万元，占22.15</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 w:hAnsi="仿宋" w:eastAsia="仿宋" w:cs="DengXian-Regular"/>
          <w:sz w:val="32"/>
          <w:szCs w:val="32"/>
        </w:rPr>
        <w:t>经营支出0万元，占0</w:t>
      </w:r>
      <w:r>
        <w:rPr>
          <w:rFonts w:ascii="仿宋" w:hAnsi="仿宋" w:eastAsia="仿宋" w:cs="DengXian-Regular"/>
          <w:sz w:val="32"/>
          <w:szCs w:val="32"/>
        </w:rPr>
        <w:t>%</w:t>
      </w:r>
      <w:r>
        <w:rPr>
          <w:rFonts w:hint="eastAsia" w:ascii="仿宋" w:hAnsi="仿宋" w:eastAsia="仿宋" w:cs="DengXian-Regular"/>
          <w:sz w:val="32"/>
          <w:szCs w:val="32"/>
        </w:rPr>
        <w:t>。</w:t>
      </w:r>
      <w:r>
        <w:pict>
          <v:group id="组合 70" o:spid="_x0000_s1049" o:spt="203" style="position:absolute;left:0pt;margin-left:-79.5pt;margin-top:29.3pt;height:43.95pt;width:301.85pt;mso-position-vertical-relative:page;z-index:251682816;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xV6itsAAAALAQAADwAAAAAAAAABACAAAAAiAAAAZHJzL2Rvd25yZXYueG1s&#10;UEsBAhQAFAAAAAgAh07iQATqp46gAgAAvAYAAA4AAAAAAAAAAQAgAAAAKgEAAGRycy9lMm9Eb2Mu&#10;eG1sUEsFBgAAAAAGAAYAWQEAADwGAAAAAA==&#10;">
            <o:lock v:ext="edit"/>
            <v:rect id="矩形 13" o:spid="_x0000_s1051"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年度形成的财政拨款收支均为一般公共预算财政拨款，其中一般公共预算财政拨款本年收入280.17万元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年度减少63.25万元，降低18.42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 w:hAnsi="仿宋" w:eastAsia="仿宋" w:cs="仿宋"/>
          <w:sz w:val="32"/>
          <w:szCs w:val="32"/>
        </w:rPr>
        <w:t>人员经费减少，退休人员工资纳入社保，只有统筹外部分列入决算</w:t>
      </w:r>
      <w:r>
        <w:rPr>
          <w:rFonts w:hint="eastAsia" w:ascii="仿宋_GB2312" w:eastAsia="仿宋_GB2312" w:cs="DengXian-Regular"/>
          <w:sz w:val="32"/>
          <w:szCs w:val="32"/>
        </w:rPr>
        <w:t>；本年支出280.17万元，减少63.25万元，降低18.42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 w:hAnsi="仿宋" w:eastAsia="仿宋" w:cs="仿宋"/>
          <w:sz w:val="32"/>
          <w:szCs w:val="32"/>
        </w:rPr>
        <w:t>人员经费减少，退休人员工资纳入社保，只有统筹外部分列入决算</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年度一般公共预算财政拨款收入280.17万元，完成年初预算的109.30</w:t>
      </w:r>
      <w:r>
        <w:rPr>
          <w:rFonts w:ascii="仿宋_GB2312" w:eastAsia="仿宋_GB2312" w:cs="DengXian-Regular"/>
          <w:sz w:val="32"/>
          <w:szCs w:val="32"/>
        </w:rPr>
        <w:t>%,</w:t>
      </w:r>
      <w:r>
        <w:rPr>
          <w:rFonts w:hint="eastAsia" w:ascii="仿宋_GB2312" w:eastAsia="仿宋_GB2312" w:cs="DengXian-Regular"/>
          <w:sz w:val="32"/>
          <w:szCs w:val="32"/>
        </w:rPr>
        <w:t>比年初预算增加23.84万元，决算数大于预算数主要原因是</w:t>
      </w:r>
      <w:r>
        <w:rPr>
          <w:rFonts w:hint="eastAsia" w:ascii="仿宋" w:hAnsi="仿宋" w:eastAsia="仿宋" w:cs="仿宋"/>
          <w:sz w:val="32"/>
          <w:szCs w:val="32"/>
        </w:rPr>
        <w:t>由于工作需要增加了项目和人员工资调整</w:t>
      </w:r>
      <w:r>
        <w:rPr>
          <w:rFonts w:hint="eastAsia" w:ascii="仿宋_GB2312" w:eastAsia="仿宋_GB2312" w:cs="DengXian-Regular"/>
          <w:sz w:val="32"/>
          <w:szCs w:val="32"/>
        </w:rPr>
        <w:t>；本年支出280.17万元，完成年初预算的109.30</w:t>
      </w:r>
      <w:r>
        <w:rPr>
          <w:rFonts w:ascii="仿宋_GB2312" w:eastAsia="仿宋_GB2312" w:cs="DengXian-Regular"/>
          <w:sz w:val="32"/>
          <w:szCs w:val="32"/>
        </w:rPr>
        <w:t>%,</w:t>
      </w:r>
      <w:r>
        <w:rPr>
          <w:rFonts w:hint="eastAsia" w:ascii="仿宋_GB2312" w:eastAsia="仿宋_GB2312" w:cs="DengXian-Regular"/>
          <w:sz w:val="32"/>
          <w:szCs w:val="32"/>
        </w:rPr>
        <w:t>比年初预算增加23.84万元，决算数大于预算数主要原因是</w:t>
      </w:r>
      <w:r>
        <w:rPr>
          <w:rFonts w:hint="eastAsia" w:ascii="仿宋" w:hAnsi="仿宋" w:eastAsia="仿宋" w:cs="仿宋"/>
          <w:sz w:val="32"/>
          <w:szCs w:val="32"/>
        </w:rPr>
        <w:t>由于工作需要增加了项目和人员工资调整</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年度财政拨款支出280.17万元，主要用于以下方面一般公共服务（类）支出221.58万元，占79.09</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ascii="仿宋_GB2312" w:eastAsia="仿宋_GB2312" w:cs="DengXian-Regular"/>
          <w:sz w:val="32"/>
          <w:szCs w:val="32"/>
        </w:rPr>
        <w:t xml:space="preserve"> </w:t>
      </w:r>
      <w:r>
        <w:rPr>
          <w:rFonts w:hint="eastAsia" w:ascii="仿宋_GB2312" w:eastAsia="仿宋_GB2312" w:cs="DengXian-Regular"/>
          <w:sz w:val="32"/>
          <w:szCs w:val="32"/>
        </w:rPr>
        <w:t>42.55万元，占15.19%；住房保障（类）支出9.78万元，占3.49</w:t>
      </w:r>
      <w:r>
        <w:rPr>
          <w:rFonts w:ascii="仿宋_GB2312" w:eastAsia="仿宋_GB2312" w:cs="DengXian-Regular"/>
          <w:sz w:val="32"/>
          <w:szCs w:val="32"/>
        </w:rPr>
        <w:t>%;</w:t>
      </w:r>
      <w:r>
        <w:rPr>
          <w:rFonts w:hint="eastAsia" w:ascii="仿宋_GB2312" w:eastAsia="仿宋_GB2312" w:cs="DengXian-Regular"/>
          <w:sz w:val="32"/>
          <w:szCs w:val="32"/>
        </w:rPr>
        <w:t>医疗卫生与计划生育（类）支出6.26万元，占2.23%。</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046" o:spt="203" style="position:absolute;left:0pt;margin-left:-79.5pt;margin-top:29.3pt;height:43.95pt;width:301.85pt;mso-position-vertical-relative:page;z-index:251683840;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FXqK2wAAAAsBAAAPAAAAAAAAAAEAIAAAACIAAABkcnMvZG93bnJldi54&#10;bWxQSwECFAAUAAAACACHTuJA2QxYDaICAAC8BgAADgAAAAAAAAABACAAAAAqAQAAZHJzL2Uyb0Rv&#10;Yy54bWxQSwUGAAAAAAYABgBZAQAAPgYAAAAA&#10;">
            <o:lock v:ext="edit"/>
            <v:rect id="矩形 13" o:spid="_x0000_s1048"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bookmarkStart w:id="1" w:name="_GoBack"/>
      <w:bookmarkEnd w:id="1"/>
      <w:r>
        <w:rPr>
          <w:rFonts w:hint="eastAsia" w:ascii="仿宋_GB2312" w:eastAsia="仿宋_GB2312" w:cs="DengXian-Regular"/>
          <w:sz w:val="32"/>
          <w:szCs w:val="32"/>
        </w:rPr>
        <w:pict>
          <v:group id="组合 23" o:spid="_x0000_s1091" o:spt="203" style="position:absolute;left:0pt;margin-left:-79.5pt;margin-top:29.3pt;height:43.95pt;width:301.85pt;mso-position-vertical-relative:page;z-index:251696128;mso-width-relative:page;mso-height-relative:page;" coordorigin="4551,52615" coordsize="8546,1398">
            <o:lock v:ext="edit"/>
            <v:rect id="矩形 13" o:spid="_x0000_s1092" o:spt="1" style="position:absolute;left:4551;top:52615;height:1175;width:8546;v-text-anchor:middle;" fillcolor="#96DA9D" filled="t" stroked="f" coordsize="21600,21600">
              <v:path/>
              <v:fill on="t" focussize="0,0"/>
              <v:stroke on="f" weight="2pt"/>
              <v:imagedata o:title=""/>
              <o:lock v:ext="edit"/>
            </v:rect>
            <v:rect id="矩形 14" o:spid="_x0000_s109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2018年度一般公共预算财政拨款基本支出</w:t>
      </w:r>
      <w:r>
        <w:rPr>
          <w:rFonts w:hint="eastAsia" w:ascii="仿宋_GB2312" w:eastAsia="仿宋_GB2312" w:cs="DengXian-Regular"/>
          <w:sz w:val="32"/>
          <w:szCs w:val="32"/>
          <w:lang w:val="en-US" w:eastAsia="zh-CN"/>
        </w:rPr>
        <w:t>218.11</w:t>
      </w:r>
      <w:r>
        <w:rPr>
          <w:rFonts w:hint="eastAsia" w:ascii="仿宋_GB2312" w:eastAsia="仿宋_GB2312" w:cs="DengXian-Regular"/>
          <w:sz w:val="32"/>
          <w:szCs w:val="32"/>
        </w:rPr>
        <w:t>万元，其中：人员经费1</w:t>
      </w:r>
      <w:r>
        <w:rPr>
          <w:rFonts w:hint="eastAsia" w:ascii="仿宋_GB2312" w:eastAsia="仿宋_GB2312" w:cs="DengXian-Regular"/>
          <w:sz w:val="32"/>
          <w:szCs w:val="32"/>
          <w:lang w:val="en-US" w:eastAsia="zh-CN"/>
        </w:rPr>
        <w:t>62.42</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55.69</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其他资本性支出。</w:t>
      </w:r>
    </w:p>
    <w:p>
      <w:pPr>
        <w:adjustRightInd w:val="0"/>
        <w:snapToGrid w:val="0"/>
        <w:spacing w:after="0" w:line="580" w:lineRule="exact"/>
        <w:ind w:firstLine="640" w:firstLineChars="200"/>
        <w:rPr>
          <w:rFonts w:hint="eastAsia" w:ascii="仿宋_GB2312" w:eastAsia="仿宋_GB2312" w:cs="DengXian-Regular"/>
          <w:color w:val="FF0000"/>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“三公”经费支出共计8.57万元，较年初预算无增减变化，与年初预算持平</w:t>
      </w:r>
      <w:r>
        <w:rPr>
          <w:rFonts w:hint="eastAsia" w:ascii="仿宋_GB2312" w:eastAsia="仿宋_GB2312" w:cs="DengXian-Regular"/>
          <w:b/>
          <w:bCs/>
          <w:sz w:val="32"/>
          <w:szCs w:val="32"/>
        </w:rPr>
        <w:t>。</w:t>
      </w:r>
      <w:r>
        <w:rPr>
          <w:rFonts w:hint="eastAsia" w:ascii="仿宋" w:hAnsi="仿宋" w:eastAsia="仿宋" w:cs="仿宋"/>
          <w:sz w:val="32"/>
          <w:szCs w:val="32"/>
        </w:rPr>
        <w:t>较2017年决算相比无增减变化。</w:t>
      </w:r>
      <w:r>
        <w:rPr>
          <w:rFonts w:hint="eastAsia" w:ascii="仿宋_GB2312" w:eastAsia="仿宋_GB2312" w:cs="DengXian-Regular"/>
          <w:sz w:val="32"/>
          <w:szCs w:val="32"/>
        </w:rPr>
        <w:t>情况如下：</w:t>
      </w:r>
    </w:p>
    <w:p>
      <w:pPr>
        <w:adjustRightInd w:val="0"/>
        <w:snapToGrid w:val="0"/>
        <w:spacing w:after="0" w:line="580" w:lineRule="exact"/>
        <w:ind w:firstLine="643" w:firstLineChars="200"/>
        <w:rPr>
          <w:rFonts w:ascii="仿宋" w:hAnsi="仿宋" w:eastAsia="仿宋"/>
          <w:sz w:val="32"/>
          <w:szCs w:val="32"/>
        </w:rPr>
      </w:pPr>
      <w:r>
        <w:rPr>
          <w:rFonts w:hint="eastAsia" w:ascii="楷体_GB2312" w:eastAsia="楷体_GB2312" w:cs="DengXian-Bold"/>
          <w:b/>
          <w:bCs/>
          <w:sz w:val="32"/>
          <w:szCs w:val="32"/>
        </w:rPr>
        <w:t>（</w:t>
      </w:r>
      <w:r>
        <w:pict>
          <v:group id="组合 82" o:spid="_x0000_s1043" o:spt="203" style="position:absolute;left:0pt;margin-left:-79.5pt;margin-top:29.3pt;height:43.95pt;width:301.85pt;mso-position-vertical-relative:page;z-index:251684864;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xV6itsAAAALAQAADwAAAAAAAAABACAAAAAiAAAAZHJzL2Rvd25yZXYu&#10;eG1sUEsBAhQAFAAAAAgAh07iQG6JcJijAgAAvAYAAA4AAAAAAAAAAQAgAAAAKgEAAGRycy9lMm9E&#10;b2MueG1sUEsFBgAAAAAGAAYAWQEAAD8GAAAAAA==&#10;">
            <o:lock v:ext="edit"/>
            <v:rect id="矩形 13" o:spid="_x0000_s1045"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年度因公出国（境）团组0个、共0人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参加其他单位组织的因公出国（境）团组0个、共0人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无本单位组织的出国（境）团组，未发生因公出国（境）经费支出，与年初预算相比</w:t>
      </w:r>
      <w:r>
        <w:rPr>
          <w:rFonts w:hint="eastAsia" w:ascii="仿宋" w:hAnsi="仿宋" w:eastAsia="仿宋"/>
          <w:sz w:val="32"/>
          <w:szCs w:val="32"/>
        </w:rPr>
        <w:t>增加0万元，增长0%；较2017年决算</w:t>
      </w:r>
      <w:r>
        <w:rPr>
          <w:rFonts w:hint="eastAsia" w:ascii="仿宋_GB2312" w:eastAsia="仿宋_GB2312" w:cs="DengXian-Regular"/>
          <w:sz w:val="32"/>
          <w:szCs w:val="32"/>
        </w:rPr>
        <w:t>相比</w:t>
      </w:r>
      <w:r>
        <w:rPr>
          <w:rFonts w:hint="eastAsia" w:ascii="仿宋" w:hAnsi="仿宋" w:eastAsia="仿宋"/>
          <w:sz w:val="32"/>
          <w:szCs w:val="32"/>
        </w:rPr>
        <w:t>增加0万元，增长0%。</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（二）公务用车购置及运行维护费支出8.00万元。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年度公务用车购置及运行维护费较年初预算相比增加</w:t>
      </w:r>
      <w:r>
        <w:rPr>
          <w:rFonts w:hint="eastAsia" w:ascii="仿宋" w:hAnsi="仿宋" w:eastAsia="仿宋"/>
          <w:sz w:val="32"/>
          <w:szCs w:val="32"/>
        </w:rPr>
        <w:t>0万元，增长0%</w:t>
      </w:r>
      <w:r>
        <w:rPr>
          <w:rFonts w:hint="eastAsia" w:ascii="仿宋_GB2312" w:eastAsia="仿宋_GB2312" w:cs="DengXian-Regular"/>
          <w:sz w:val="32"/>
          <w:szCs w:val="32"/>
        </w:rPr>
        <w:t>，</w:t>
      </w:r>
      <w:r>
        <w:rPr>
          <w:rFonts w:hint="eastAsia" w:ascii="仿宋" w:hAnsi="仿宋" w:eastAsia="仿宋" w:cs="仿宋"/>
          <w:sz w:val="32"/>
          <w:szCs w:val="32"/>
        </w:rPr>
        <w:t>较2017年决算</w:t>
      </w:r>
      <w:r>
        <w:rPr>
          <w:rFonts w:hint="eastAsia" w:ascii="仿宋_GB2312" w:eastAsia="仿宋_GB2312" w:cs="DengXian-Regular"/>
          <w:sz w:val="32"/>
          <w:szCs w:val="32"/>
        </w:rPr>
        <w:t>相比</w:t>
      </w:r>
      <w:r>
        <w:rPr>
          <w:rFonts w:hint="eastAsia" w:ascii="仿宋" w:hAnsi="仿宋" w:eastAsia="仿宋"/>
          <w:sz w:val="32"/>
          <w:szCs w:val="32"/>
        </w:rPr>
        <w:t>增加0万元，增长0%</w:t>
      </w:r>
      <w:r>
        <w:rPr>
          <w:rFonts w:hint="eastAsia" w:ascii="仿宋" w:hAnsi="仿宋" w:eastAsia="仿宋" w:cs="仿宋"/>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 w:hAnsi="仿宋" w:eastAsia="仿宋" w:cs="仿宋"/>
          <w:sz w:val="32"/>
          <w:szCs w:val="32"/>
        </w:rPr>
      </w:pPr>
      <w:r>
        <w:rPr>
          <w:rFonts w:hint="eastAsia" w:ascii="仿宋_GB2312" w:eastAsia="仿宋_GB2312" w:cs="DengXian-Regular"/>
          <w:b/>
          <w:sz w:val="32"/>
          <w:szCs w:val="32"/>
        </w:rPr>
        <w:t>公务用车购置费</w:t>
      </w:r>
      <w:r>
        <w:rPr>
          <w:rFonts w:hint="eastAsia" w:ascii="楷体_GB2312" w:eastAsia="楷体_GB2312" w:cs="DengXian-Bold"/>
          <w:b/>
          <w:bCs/>
          <w:sz w:val="32"/>
          <w:szCs w:val="32"/>
        </w:rPr>
        <w:t>支出0万元</w:t>
      </w:r>
      <w:r>
        <w:rPr>
          <w:rFonts w:hint="eastAsia" w:ascii="仿宋_GB2312" w:eastAsia="仿宋_GB2312" w:cs="DengXian-Regular"/>
          <w:b/>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年度本部门</w:t>
      </w:r>
      <w:r>
        <w:rPr>
          <w:rFonts w:ascii="仿宋_GB2312" w:eastAsia="仿宋_GB2312" w:cs="DengXian-Regular"/>
          <w:sz w:val="32"/>
          <w:szCs w:val="32"/>
        </w:rPr>
        <w:t>2019</w:t>
      </w:r>
      <w:r>
        <w:rPr>
          <w:rFonts w:hint="eastAsia" w:ascii="仿宋_GB2312" w:eastAsia="仿宋_GB2312" w:cs="DengXian-Regular"/>
          <w:sz w:val="32"/>
          <w:szCs w:val="32"/>
        </w:rPr>
        <w:t>年度公务用车购置量0辆,</w:t>
      </w:r>
      <w:r>
        <w:rPr>
          <w:rFonts w:hint="eastAsia" w:ascii="仿宋_GB2312" w:eastAsia="仿宋_GB2312" w:cs="DengXian-Regular"/>
          <w:color w:val="000000"/>
          <w:sz w:val="32"/>
          <w:szCs w:val="32"/>
        </w:rPr>
        <w:t>未发生公务用车购置经费支出，与年初预算</w:t>
      </w:r>
      <w:r>
        <w:rPr>
          <w:rFonts w:hint="eastAsia" w:ascii="仿宋_GB2312" w:eastAsia="仿宋_GB2312" w:cs="DengXian-Regular"/>
          <w:sz w:val="32"/>
          <w:szCs w:val="32"/>
        </w:rPr>
        <w:t>相比</w:t>
      </w:r>
      <w:r>
        <w:rPr>
          <w:rFonts w:hint="eastAsia" w:ascii="仿宋" w:hAnsi="仿宋" w:eastAsia="仿宋"/>
          <w:sz w:val="32"/>
          <w:szCs w:val="32"/>
        </w:rPr>
        <w:t>增加0万元，增长0%</w:t>
      </w:r>
      <w:r>
        <w:rPr>
          <w:rFonts w:hint="eastAsia" w:ascii="仿宋_GB2312" w:eastAsia="仿宋_GB2312" w:cs="DengXian-Regular"/>
          <w:color w:val="000000"/>
          <w:sz w:val="32"/>
          <w:szCs w:val="32"/>
        </w:rPr>
        <w:t>，</w:t>
      </w:r>
      <w:r>
        <w:rPr>
          <w:rFonts w:hint="eastAsia" w:ascii="仿宋" w:hAnsi="仿宋" w:eastAsia="仿宋" w:cs="仿宋"/>
          <w:sz w:val="32"/>
          <w:szCs w:val="32"/>
        </w:rPr>
        <w:t>较2017年决算</w:t>
      </w:r>
      <w:r>
        <w:rPr>
          <w:rFonts w:hint="eastAsia" w:ascii="仿宋_GB2312" w:eastAsia="仿宋_GB2312" w:cs="DengXian-Regular"/>
          <w:sz w:val="32"/>
          <w:szCs w:val="32"/>
        </w:rPr>
        <w:t>相比</w:t>
      </w:r>
      <w:r>
        <w:rPr>
          <w:rFonts w:hint="eastAsia" w:ascii="仿宋" w:hAnsi="仿宋" w:eastAsia="仿宋"/>
          <w:sz w:val="32"/>
          <w:szCs w:val="32"/>
        </w:rPr>
        <w:t>增加0万元，增长0%</w:t>
      </w:r>
      <w:r>
        <w:rPr>
          <w:rFonts w:hint="eastAsia" w:ascii="仿宋" w:hAnsi="仿宋" w:eastAsia="仿宋" w:cs="仿宋"/>
          <w:sz w:val="32"/>
          <w:szCs w:val="32"/>
        </w:rPr>
        <w:t>。</w:t>
      </w:r>
    </w:p>
    <w:p>
      <w:pPr>
        <w:adjustRightInd w:val="0"/>
        <w:snapToGrid w:val="0"/>
        <w:spacing w:after="0" w:line="580" w:lineRule="exact"/>
        <w:ind w:firstLine="643" w:firstLineChars="200"/>
        <w:rPr>
          <w:rFonts w:ascii="仿宋" w:hAnsi="仿宋" w:eastAsia="仿宋" w:cs="仿宋"/>
          <w:sz w:val="32"/>
          <w:szCs w:val="32"/>
        </w:rPr>
      </w:pPr>
      <w:r>
        <w:rPr>
          <w:rFonts w:hint="eastAsia" w:ascii="仿宋_GB2312" w:eastAsia="仿宋_GB2312" w:cs="DengXian-Regular"/>
          <w:b/>
          <w:sz w:val="32"/>
          <w:szCs w:val="32"/>
        </w:rPr>
        <w:t>公务用车运行维护费</w:t>
      </w:r>
      <w:r>
        <w:rPr>
          <w:rFonts w:hint="eastAsia" w:ascii="楷体_GB2312" w:eastAsia="楷体_GB2312" w:cs="DengXian-Bold"/>
          <w:b/>
          <w:bCs/>
          <w:sz w:val="32"/>
          <w:szCs w:val="32"/>
        </w:rPr>
        <w:t>支出8.00万元</w:t>
      </w:r>
      <w:r>
        <w:rPr>
          <w:rFonts w:hint="eastAsia" w:ascii="仿宋_GB2312" w:eastAsia="仿宋_GB2312" w:cs="DengXian-Regular"/>
          <w:b/>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w:t>
      </w:r>
      <w:r>
        <w:rPr>
          <w:rFonts w:hint="eastAsia" w:ascii="仿宋_GB2312" w:eastAsia="仿宋_GB2312" w:cs="DengXian-Regular"/>
          <w:color w:val="auto"/>
          <w:sz w:val="32"/>
          <w:szCs w:val="32"/>
        </w:rPr>
        <w:t>保有</w:t>
      </w:r>
      <w:r>
        <w:rPr>
          <w:rFonts w:hint="eastAsia" w:ascii="仿宋" w:hAnsi="仿宋" w:eastAsia="仿宋" w:cs="仿宋"/>
          <w:color w:val="auto"/>
          <w:sz w:val="32"/>
          <w:szCs w:val="32"/>
        </w:rPr>
        <w:t>量2辆，公务用车运行</w:t>
      </w:r>
      <w:r>
        <w:rPr>
          <w:rFonts w:hint="eastAsia" w:ascii="仿宋" w:hAnsi="仿宋" w:eastAsia="仿宋" w:cs="仿宋"/>
          <w:sz w:val="32"/>
          <w:szCs w:val="32"/>
        </w:rPr>
        <w:t>维护费</w:t>
      </w:r>
      <w:r>
        <w:rPr>
          <w:rFonts w:hint="eastAsia" w:ascii="仿宋_GB2312" w:eastAsia="仿宋_GB2312" w:cs="DengXian-Regular"/>
          <w:color w:val="000000"/>
          <w:sz w:val="32"/>
          <w:szCs w:val="32"/>
        </w:rPr>
        <w:t>与年初预算</w:t>
      </w:r>
      <w:r>
        <w:rPr>
          <w:rFonts w:hint="eastAsia" w:ascii="仿宋_GB2312" w:eastAsia="仿宋_GB2312" w:cs="DengXian-Regular"/>
          <w:sz w:val="32"/>
          <w:szCs w:val="32"/>
        </w:rPr>
        <w:t>相比</w:t>
      </w:r>
      <w:r>
        <w:rPr>
          <w:rFonts w:hint="eastAsia" w:ascii="仿宋" w:hAnsi="仿宋" w:eastAsia="仿宋"/>
          <w:sz w:val="32"/>
          <w:szCs w:val="32"/>
        </w:rPr>
        <w:t>增加0万元，增长0%</w:t>
      </w:r>
      <w:r>
        <w:rPr>
          <w:rFonts w:hint="eastAsia" w:ascii="仿宋_GB2312" w:eastAsia="仿宋_GB2312" w:cs="DengXian-Regular"/>
          <w:color w:val="000000"/>
          <w:sz w:val="32"/>
          <w:szCs w:val="32"/>
        </w:rPr>
        <w:t>，较</w:t>
      </w:r>
      <w:r>
        <w:rPr>
          <w:rFonts w:hint="eastAsia" w:ascii="仿宋" w:hAnsi="仿宋" w:eastAsia="仿宋" w:cs="仿宋"/>
          <w:sz w:val="32"/>
          <w:szCs w:val="32"/>
        </w:rPr>
        <w:t>2017年决算</w:t>
      </w:r>
      <w:r>
        <w:rPr>
          <w:rFonts w:hint="eastAsia" w:ascii="仿宋_GB2312" w:eastAsia="仿宋_GB2312" w:cs="DengXian-Regular"/>
          <w:sz w:val="32"/>
          <w:szCs w:val="32"/>
        </w:rPr>
        <w:t>相比</w:t>
      </w:r>
      <w:r>
        <w:rPr>
          <w:rFonts w:hint="eastAsia" w:ascii="仿宋" w:hAnsi="仿宋" w:eastAsia="仿宋"/>
          <w:sz w:val="32"/>
          <w:szCs w:val="32"/>
        </w:rPr>
        <w:t>增加0万元，增长0%</w:t>
      </w:r>
      <w:r>
        <w:rPr>
          <w:rFonts w:hint="eastAsia" w:ascii="仿宋" w:hAnsi="仿宋" w:eastAsia="仿宋" w:cs="仿宋"/>
          <w:sz w:val="32"/>
          <w:szCs w:val="32"/>
        </w:rPr>
        <w:t>。</w:t>
      </w:r>
    </w:p>
    <w:p>
      <w:pPr>
        <w:adjustRightInd w:val="0"/>
        <w:snapToGrid w:val="0"/>
        <w:spacing w:after="0" w:line="580" w:lineRule="exact"/>
        <w:ind w:firstLine="643" w:firstLineChars="200"/>
        <w:rPr>
          <w:rFonts w:ascii="仿宋_GB2312" w:eastAsia="仿宋" w:cs="DengXian-Regular"/>
          <w:sz w:val="32"/>
          <w:szCs w:val="32"/>
        </w:rPr>
      </w:pPr>
      <w:r>
        <w:rPr>
          <w:rFonts w:hint="eastAsia" w:ascii="楷体_GB2312" w:eastAsia="楷体_GB2312" w:cs="DengXian-Bold"/>
          <w:b/>
          <w:bCs/>
          <w:sz w:val="32"/>
          <w:szCs w:val="32"/>
        </w:rPr>
        <w:t>（三）公务接待费支出0.57万元。</w:t>
      </w:r>
      <w:r>
        <w:pict>
          <v:group id="组合 85" o:spid="_x0000_s1040" o:spt="203" style="position:absolute;left:0pt;margin-left:-14.55pt;margin-top:109.3pt;height:43.95pt;width:301.85pt;mso-position-vertical-relative:page;z-index:251685888;mso-width-relative:page;mso-height-relative:page;" coordorigin="4551,52615" coordsize="8546,1398203" o:gfxdata="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iNJGWtwAAAALAQAADwAAAAAAAAABACAAAAAiAAAAZHJzL2Rvd25yZXYu&#10;eG1sUEsBAhQAFAAAAAgAh07iQLPhuNWiAgAAvAYAAA4AAAAAAAAAAQAgAAAAKwEAAGRycy9lMm9E&#10;b2MueG1sUEsFBgAAAAAGAAYAWQEAAD8GAAAAAA==&#10;">
            <o:lock v:ext="edit"/>
            <v:rect id="矩形 13" o:spid="_x0000_s1042"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年度公务接待共2批次29人次。公务接待费支出较年初预算相比</w:t>
      </w:r>
      <w:r>
        <w:rPr>
          <w:rFonts w:hint="eastAsia" w:ascii="仿宋" w:hAnsi="仿宋" w:eastAsia="仿宋"/>
          <w:sz w:val="32"/>
          <w:szCs w:val="32"/>
        </w:rPr>
        <w:t>增加0万元，增长0%</w:t>
      </w:r>
      <w:r>
        <w:rPr>
          <w:rFonts w:hint="eastAsia" w:ascii="仿宋_GB2312" w:eastAsia="仿宋_GB2312" w:cs="DengXian-Regular"/>
          <w:sz w:val="32"/>
          <w:szCs w:val="32"/>
        </w:rPr>
        <w:t>，</w:t>
      </w:r>
      <w:r>
        <w:rPr>
          <w:rFonts w:hint="eastAsia" w:ascii="仿宋" w:hAnsi="仿宋" w:eastAsia="仿宋" w:cs="仿宋"/>
          <w:sz w:val="32"/>
          <w:szCs w:val="32"/>
        </w:rPr>
        <w:t>较2017年决算</w:t>
      </w:r>
      <w:r>
        <w:rPr>
          <w:rFonts w:hint="eastAsia" w:ascii="仿宋_GB2312" w:eastAsia="仿宋_GB2312" w:cs="DengXian-Regular"/>
          <w:sz w:val="32"/>
          <w:szCs w:val="32"/>
        </w:rPr>
        <w:t>相比</w:t>
      </w:r>
      <w:r>
        <w:rPr>
          <w:rFonts w:hint="eastAsia" w:ascii="仿宋" w:hAnsi="仿宋" w:eastAsia="仿宋"/>
          <w:sz w:val="32"/>
          <w:szCs w:val="32"/>
        </w:rPr>
        <w:t>增加0万元，增长0%</w:t>
      </w:r>
      <w:r>
        <w:rPr>
          <w:rFonts w:hint="eastAsia" w:ascii="仿宋" w:hAnsi="仿宋" w:eastAsia="仿宋" w:cs="仿宋"/>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黑体" w:eastAsia="黑体"/>
          <w:sz w:val="32"/>
          <w:szCs w:val="40"/>
        </w:rPr>
        <w:t>六、预算绩效情况说明</w:t>
      </w:r>
    </w:p>
    <w:p>
      <w:pPr>
        <w:spacing w:line="6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spacing w:line="600" w:lineRule="exact"/>
        <w:ind w:firstLine="640" w:firstLineChars="200"/>
        <w:rPr>
          <w:rFonts w:ascii="仿宋_GB2312" w:eastAsia="仿宋_GB2312" w:cs="DengXian-Regular"/>
          <w:sz w:val="32"/>
          <w:szCs w:val="32"/>
          <w:highlight w:val="yellow"/>
        </w:rPr>
      </w:pPr>
      <w:r>
        <w:rPr>
          <w:rFonts w:hint="eastAsia" w:ascii="仿宋" w:hAnsi="仿宋" w:eastAsia="仿宋" w:cs="仿宋"/>
          <w:sz w:val="32"/>
          <w:szCs w:val="32"/>
        </w:rPr>
        <w:t>根据省财政预算绩效管理要求，阜平县人大以“部门职责—工作活动”为依据，确定部门预算项目和预算额度，清晰描述预算项目开支范围和内容，确定预算项目的绩效目标、绩效指标和评价标准，为预算绩效控制、绩效分析、绩效评价打下好的基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按照省财政预算绩效管理要求，阜平县人大根据</w:t>
      </w:r>
      <w:bookmarkStart w:id="0" w:name="_Toc477179486"/>
      <w:r>
        <w:rPr>
          <w:rFonts w:hint="eastAsia" w:ascii="仿宋" w:hAnsi="仿宋" w:eastAsia="仿宋" w:cs="仿宋"/>
          <w:sz w:val="32"/>
          <w:szCs w:val="32"/>
        </w:rPr>
        <w:t>部门职责-工作活动绩效目标</w:t>
      </w:r>
      <w:bookmarkEnd w:id="0"/>
      <w:r>
        <w:rPr>
          <w:rFonts w:hint="eastAsia" w:ascii="仿宋" w:hAnsi="仿宋" w:eastAsia="仿宋" w:cs="仿宋"/>
          <w:sz w:val="32"/>
          <w:szCs w:val="32"/>
        </w:rPr>
        <w:t>评分，</w:t>
      </w:r>
      <w:r>
        <w:rPr>
          <w:rFonts w:ascii="仿宋" w:hAnsi="仿宋" w:eastAsia="仿宋"/>
          <w:sz w:val="32"/>
          <w:szCs w:val="32"/>
        </w:rPr>
        <w:t>对 201</w:t>
      </w:r>
      <w:r>
        <w:rPr>
          <w:rFonts w:hint="eastAsia" w:ascii="仿宋" w:hAnsi="仿宋" w:eastAsia="仿宋"/>
          <w:sz w:val="32"/>
          <w:szCs w:val="32"/>
        </w:rPr>
        <w:t>8</w:t>
      </w:r>
      <w:r>
        <w:rPr>
          <w:rFonts w:ascii="仿宋" w:hAnsi="仿宋" w:eastAsia="仿宋"/>
          <w:sz w:val="32"/>
          <w:szCs w:val="32"/>
        </w:rPr>
        <w:t>年初确定的一般公共预算支出专项项目全面开展了绩效自评。</w:t>
      </w:r>
      <w:r>
        <w:rPr>
          <w:rFonts w:hint="eastAsia" w:ascii="仿宋" w:hAnsi="仿宋" w:eastAsia="仿宋" w:cs="仿宋"/>
          <w:sz w:val="32"/>
          <w:szCs w:val="32"/>
        </w:rPr>
        <w:t>本部门依法合理有效地使用财政资金，提高财政资金使用效率，在完成部门职能目标中合理分配人、财、物，各个部门之间相配合，互为监督，使之达到较高的使用效率和实施效果，好地实现了预算项目绩效目标，绩效自评覆盖率达到100%，</w:t>
      </w:r>
      <w:r>
        <w:rPr>
          <w:rFonts w:hint="eastAsia" w:ascii="仿宋_GB2312" w:hAnsi="Cambria" w:eastAsia="仿宋_GB2312" w:cs="ArialUnicodeMS"/>
          <w:kern w:val="0"/>
          <w:sz w:val="32"/>
          <w:szCs w:val="32"/>
        </w:rPr>
        <w:t>自评成绩为95分，结果为优。</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w:t>
      </w:r>
    </w:p>
    <w:p>
      <w:pPr>
        <w:spacing w:line="600" w:lineRule="exact"/>
        <w:ind w:firstLine="640" w:firstLineChars="200"/>
        <w:rPr>
          <w:rFonts w:ascii="仿宋_GB2312" w:eastAsia="仿宋_GB2312" w:cs="DengXian-Regular"/>
          <w:sz w:val="32"/>
          <w:szCs w:val="32"/>
        </w:rPr>
      </w:pPr>
      <w:r>
        <w:rPr>
          <w:rFonts w:ascii="仿宋_GB2312" w:eastAsia="仿宋_GB2312" w:cs="DengXian-Regular"/>
          <w:sz w:val="32"/>
          <w:szCs w:val="32"/>
        </w:rPr>
        <w:t>“</w:t>
      </w:r>
      <w:r>
        <w:rPr>
          <w:rFonts w:hint="eastAsia" w:ascii="仿宋" w:hAnsi="仿宋" w:eastAsia="仿宋" w:cs="仿宋"/>
          <w:sz w:val="32"/>
          <w:szCs w:val="32"/>
        </w:rPr>
        <w:t>人大会议</w:t>
      </w:r>
      <w:r>
        <w:rPr>
          <w:rFonts w:ascii="仿宋" w:hAnsi="仿宋" w:eastAsia="仿宋" w:cs="仿宋"/>
          <w:sz w:val="32"/>
          <w:szCs w:val="32"/>
        </w:rPr>
        <w:t>”</w:t>
      </w:r>
      <w:r>
        <w:rPr>
          <w:rFonts w:hint="eastAsia" w:ascii="仿宋" w:hAnsi="仿宋" w:eastAsia="仿宋" w:cs="仿宋"/>
          <w:sz w:val="32"/>
          <w:szCs w:val="32"/>
        </w:rPr>
        <w:t>项目</w:t>
      </w:r>
      <w:r>
        <w:rPr>
          <w:rFonts w:hint="eastAsia" w:ascii="仿宋" w:hAnsi="仿宋" w:eastAsia="仿宋" w:cs="仿宋"/>
          <w:sz w:val="32"/>
          <w:szCs w:val="32"/>
          <w:lang w:val="zh-CN"/>
        </w:rPr>
        <w:t>按照《中华人民共和国地方各级人民代表大会和地方各级人民政府组织法》的有关规定，每年举行一次。大会以科学发展观为指导，抓住历史机遇，继续解放思想，进一步坚持和完善人民代表大会制度，加强社会主义法治建设，促进全县经济又好又快发展。</w:t>
      </w:r>
      <w:r>
        <w:rPr>
          <w:rFonts w:hint="eastAsia" w:ascii="仿宋_GB2312" w:hAnsi="仿宋_GB2312" w:eastAsia="仿宋_GB2312" w:cs="仿宋_GB2312"/>
          <w:sz w:val="32"/>
          <w:szCs w:val="32"/>
        </w:rPr>
        <w:t>项目绩效目标完成情况：一是按照会议安排，做好各环节具体工作，人大会议圆满结束；二是按时按质完成各项会议议程，完整了会议制度，规范了会议程序，提高了会议质量，并充分发挥了代表的主体作用，为全县的各项重点工作保驾护航。本项目各项设定的绩效目标完成率超过95.00%，</w:t>
      </w:r>
      <w:r>
        <w:rPr>
          <w:rFonts w:hint="eastAsia" w:ascii="仿宋_GB2312" w:hAnsi="宋体" w:eastAsia="仿宋_GB2312"/>
          <w:color w:val="000000"/>
          <w:kern w:val="0"/>
          <w:sz w:val="32"/>
          <w:szCs w:val="32"/>
        </w:rPr>
        <w:t>绩效自评等级为“优”。</w:t>
      </w:r>
    </w:p>
    <w:p>
      <w:pPr>
        <w:pStyle w:val="3"/>
        <w:spacing w:before="0" w:after="0" w:line="580" w:lineRule="exact"/>
        <w:ind w:firstLine="960" w:firstLineChars="3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spacing w:line="600" w:lineRule="exact"/>
        <w:ind w:firstLine="640" w:firstLineChars="200"/>
        <w:rPr>
          <w:rFonts w:ascii="仿宋_GB2312" w:eastAsia="仿宋"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年度机关运行经费支出55.69万元，比年初预算数减少0.02万元，降低0.04</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 w:hAnsi="仿宋" w:eastAsia="仿宋" w:cs="仿宋"/>
          <w:sz w:val="32"/>
          <w:szCs w:val="32"/>
        </w:rPr>
        <w:t>我单位认真落实党中央的“八项规定”，</w:t>
      </w:r>
      <w:r>
        <w:rPr>
          <w:rFonts w:hint="eastAsia" w:ascii="仿宋" w:hAnsi="仿宋" w:eastAsia="仿宋" w:cs="仿宋"/>
        </w:rPr>
        <w:t xml:space="preserve"> </w:t>
      </w:r>
      <w:r>
        <w:rPr>
          <w:rFonts w:hint="eastAsia" w:ascii="仿宋" w:hAnsi="仿宋" w:eastAsia="仿宋" w:cs="仿宋"/>
          <w:sz w:val="32"/>
          <w:szCs w:val="32"/>
        </w:rPr>
        <w:t>厉行节约，缩减经费，三公经费得到有效控制 。与2017年度决算相比增加2.09万元，增加3.90%，主要原因：一是增加了公务人员交通补贴和通讯补贴。二是增加了工会经费。主要包括办公费26.02万元、邮电费7.80万元、差旅费0.50万元、维修（护）费0.75万元、公务接待费0.57万元、工会经费0.54万元、公务用车运行维护费8.00万元、其他交通费11.51万元.与年初预算55.69万元相比较，减少了0.002万</w:t>
      </w:r>
      <w:r>
        <w:rPr>
          <w:rFonts w:hint="eastAsia" w:ascii="仿宋" w:hAnsi="仿宋" w:eastAsia="仿宋" w:cs="仿宋"/>
          <w:color w:val="auto"/>
          <w:sz w:val="32"/>
          <w:szCs w:val="32"/>
        </w:rPr>
        <w:t>元，主要原因是</w:t>
      </w:r>
      <w:r>
        <w:rPr>
          <w:rFonts w:hint="eastAsia" w:ascii="仿宋" w:hAnsi="仿宋" w:eastAsia="仿宋" w:cs="仿宋"/>
          <w:sz w:val="32"/>
          <w:szCs w:val="32"/>
        </w:rPr>
        <w:t>提倡节俭，压缩开支。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 xml:space="preserve">（二）政府采购情况 </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年度政府采购支出总额11.39万元，从采购类型来看，</w:t>
      </w:r>
      <w:r>
        <w:rPr>
          <w:rFonts w:hint="eastAsia" w:ascii="仿宋_GB2312" w:hAnsi="仿宋_GB2312" w:eastAsia="仿宋_GB2312" w:cs="仿宋_GB2312"/>
          <w:color w:val="000000"/>
          <w:kern w:val="0"/>
          <w:sz w:val="32"/>
          <w:szCs w:val="32"/>
        </w:rPr>
        <w:t>政府采购货物支出11.39</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万元、政府采购工程支出0万元、政府采购服务支出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，其中授予小微企业合同金额11.39万元，占政府采购支出总额的100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2辆，比上年无增减变化。其中，副部（省）级及以上领导用车0辆，主要领导干部用车0辆，机要通信用车1辆，应急保障用车1辆，执法执勤用车0辆，特种专业技术用车0辆，离退休干部用车0辆，其他用车0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万元以上通用设备0台（套），较上年决算数无变化。单位价值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万元以上专用设备0台（套）较上年决算数无变化。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spacing w:after="0" w:line="500" w:lineRule="exact"/>
        <w:ind w:firstLine="320" w:firstLineChars="100"/>
        <w:rPr>
          <w:rFonts w:ascii="仿宋" w:hAnsi="仿宋" w:eastAsia="仿宋" w:cs="仿宋_GB2312"/>
          <w:color w:val="000000"/>
          <w:sz w:val="32"/>
          <w:szCs w:val="32"/>
        </w:rPr>
      </w:pPr>
      <w:r>
        <w:rPr>
          <w:rFonts w:hint="eastAsia" w:ascii="仿宋" w:hAnsi="仿宋" w:eastAsia="仿宋" w:cs="仿宋_GB2312"/>
          <w:color w:val="000000"/>
          <w:sz w:val="32"/>
          <w:szCs w:val="32"/>
        </w:rPr>
        <w:t>1、本部门2018年度</w:t>
      </w:r>
      <w:r>
        <w:rPr>
          <w:rFonts w:hint="eastAsia" w:ascii="仿宋" w:hAnsi="仿宋" w:eastAsia="仿宋" w:cs="黑体"/>
          <w:color w:val="000000"/>
          <w:kern w:val="0"/>
          <w:sz w:val="32"/>
          <w:szCs w:val="32"/>
        </w:rPr>
        <w:t>政府性基金预算财政拨款</w:t>
      </w:r>
      <w:r>
        <w:rPr>
          <w:rFonts w:hint="eastAsia" w:ascii="仿宋" w:hAnsi="仿宋" w:eastAsia="仿宋" w:cs="仿宋_GB2312"/>
          <w:color w:val="000000"/>
          <w:sz w:val="32"/>
          <w:szCs w:val="32"/>
        </w:rPr>
        <w:t>无收支及结转结余情况，故“</w:t>
      </w:r>
      <w:r>
        <w:rPr>
          <w:rFonts w:hint="eastAsia" w:ascii="仿宋" w:hAnsi="仿宋" w:eastAsia="仿宋" w:cs="黑体"/>
          <w:color w:val="000000"/>
          <w:kern w:val="0"/>
          <w:sz w:val="32"/>
          <w:szCs w:val="32"/>
        </w:rPr>
        <w:t>政府性基金预算财政拨款收入支出决算表”按要求</w:t>
      </w:r>
      <w:r>
        <w:rPr>
          <w:rFonts w:hint="eastAsia" w:ascii="仿宋" w:hAnsi="仿宋" w:eastAsia="仿宋" w:cs="仿宋_GB2312"/>
          <w:color w:val="000000"/>
          <w:sz w:val="32"/>
          <w:szCs w:val="32"/>
        </w:rPr>
        <w:t>以空表列示。</w:t>
      </w:r>
    </w:p>
    <w:p>
      <w:pPr>
        <w:spacing w:after="0" w:line="500" w:lineRule="exact"/>
        <w:ind w:firstLine="320" w:firstLineChars="100"/>
        <w:rPr>
          <w:rFonts w:ascii="仿宋" w:hAnsi="仿宋" w:eastAsia="仿宋" w:cs="仿宋_GB2312"/>
          <w:color w:val="000000"/>
          <w:sz w:val="32"/>
          <w:szCs w:val="32"/>
        </w:rPr>
      </w:pPr>
      <w:r>
        <w:rPr>
          <w:rFonts w:hint="eastAsia" w:ascii="仿宋" w:hAnsi="仿宋" w:eastAsia="仿宋" w:cs="仿宋_GB2312"/>
          <w:color w:val="000000"/>
          <w:sz w:val="32"/>
          <w:szCs w:val="32"/>
        </w:rPr>
        <w:t>本部门2018年度国有资本经营预算财政拨款无收支及结转结余情况，故 “国有资本经营预算财政拨款支出决算表”按要求以空表列示</w:t>
      </w:r>
    </w:p>
    <w:p>
      <w:pPr>
        <w:spacing w:after="0" w:line="500" w:lineRule="exact"/>
        <w:ind w:firstLine="800" w:firstLineChars="250"/>
        <w:rPr>
          <w:rFonts w:ascii="仿宋" w:hAnsi="仿宋" w:eastAsia="仿宋" w:cs="仿宋_GB2312"/>
          <w:color w:val="000000"/>
          <w:sz w:val="32"/>
          <w:szCs w:val="32"/>
        </w:rPr>
      </w:pPr>
      <w:r>
        <w:rPr>
          <w:rFonts w:hint="eastAsia" w:ascii="仿宋" w:hAnsi="仿宋" w:eastAsia="仿宋" w:cs="DengXian-Regular"/>
          <w:sz w:val="32"/>
          <w:szCs w:val="32"/>
        </w:rPr>
        <w:t>本部门</w:t>
      </w:r>
      <w:r>
        <w:rPr>
          <w:rFonts w:ascii="仿宋" w:hAnsi="仿宋" w:eastAsia="仿宋" w:cs="DengXian-Regular"/>
          <w:sz w:val="32"/>
          <w:szCs w:val="32"/>
        </w:rPr>
        <w:t>2018</w:t>
      </w:r>
      <w:r>
        <w:rPr>
          <w:rFonts w:hint="eastAsia" w:ascii="仿宋" w:hAnsi="仿宋" w:eastAsia="仿宋" w:cs="DengXian-Regular"/>
          <w:sz w:val="32"/>
          <w:szCs w:val="32"/>
        </w:rPr>
        <w:t>年度</w:t>
      </w:r>
      <w:r>
        <w:rPr>
          <w:rFonts w:hint="eastAsia" w:ascii="仿宋" w:hAnsi="仿宋" w:eastAsia="仿宋" w:cs="仿宋"/>
          <w:sz w:val="32"/>
          <w:szCs w:val="32"/>
        </w:rPr>
        <w:t>政府采购情况无收支及结转结余情况，故“政府采购情况表”，按要求以空表列示。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组合 91" o:spid="_x0000_s1037" o:spt="203" style="position:absolute;left:0pt;margin-left:-88.5pt;margin-top:29.3pt;height:43.95pt;width:301.85pt;mso-position-vertical-relative:page;z-index:251686912;mso-width-relative:page;mso-height-relative:page;" coordorigin="4551,52615" coordsize="8546,1398203" o:gfxdata="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x0r4TbAAAACwEAAA8AAAAAAAAAAQAgAAAAIgAAAGRycy9kb3ducmV2Lnht&#10;bFBLAQIUABQAAAAIAIdO4kDkf8vaoQIAALwGAAAOAAAAAAAAAAEAIAAAACoBAABkcnMvZTJvRG9j&#10;LnhtbFBLBQYAAAAABgAGAFkBAAA9BgAAAAA=&#10;">
            <o:lock v:ext="edit"/>
            <v:rect id="矩形 13" o:spid="_x0000_s1039"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-1094740</wp:posOffset>
            </wp:positionH>
            <wp:positionV relativeFrom="paragraph">
              <wp:posOffset>-1766570</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w="9525">
                      <a:noFill/>
                    </a:ln>
                  </pic:spPr>
                </pic:pic>
              </a:graphicData>
            </a:graphic>
          </wp:anchor>
        </w:drawing>
      </w:r>
      <w:r>
        <w:pict>
          <v:shape id="文本框 22"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ZZp6M3gAAAA0BAAAPAAAAAAAA&#10;AAEAIAAAACIAAABkcnMvZG93bnJldi54bWxQSwECFAAUAAAACACHTuJAHq/dGJoBAAAMAwAADgAA&#10;AAAAAAABACAAAAAtAQAAZHJzL2Uyb0RvYy54bWxQSwUGAAAAAAYABgBZAQAAOQU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033" o:spt="203" style="position:absolute;left:0pt;margin-left:-81.05pt;margin-top:39.65pt;height:43.95pt;width:264.85pt;mso-position-vertical-relative:page;z-index:25167155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FjPyb2wAAAAsBAAAPAAAAAAAAAAEAIAAAACIAAABkcnMvZG93bnJl&#10;di54bWxQSwECFAAUAAAACACHTuJAWnCjqqUCAAC9BgAADgAAAAAAAAABACAAAAAqAQAAZHJzL2Uy&#10;b0RvYy54bWxQSwUGAAAAAAYABgBZAQAAQQYAAAAA&#10;">
            <o:lock v:ext="edit"/>
            <v:rect id="矩形 13" o:spid="_x0000_s1035" o:spt="1" style="position:absolute;left:4551;top:52615;height:1175;width:8546;v-text-anchor:middle;" fillcolor="#96DA9D" filled="t" stroked="f" coordsize="21600,21600" o:gfxdata="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ly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t03yKboAAADb&#10;AAAADwAAAGRycy9kb3ducmV2LnhtbEVPS4vCMBC+L/gfwgjeNHUPZalGEUF0BZHVingbmrEpNpPS&#10;xOev3ywIe5uP7znj6cPW4katrxwrGA4SEMSF0xWXCvL9ov8FwgdkjbVjUvAkD9NJ52OMmXZ3/qHb&#10;LpQihrDPUIEJocmk9IUhi37gGuLInV1rMUTYllK3eI/htpafSZJKixXHBoMNzQ0Vl93VKtjm5rTE&#10;NR3tZn055LMK09d3qlSvO0xGIAI9wr/47V7pOD+Fv1/iAX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TfIp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030" o:spt="203" style="position:absolute;left:0pt;margin-left:-81.05pt;margin-top:39.65pt;height:43.95pt;width:264.85pt;mso-position-vertical-relative:page;z-index:25168793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FjPyb2wAAAAsBAAAPAAAAAAAAAAEAIAAAACIAAABkcnMvZG93bnJldi54bWxQ&#10;SwECFAAUAAAACACHTuJAClNVGp8CAAC8BgAADgAAAAAAAAABACAAAAAqAQAAZHJzL2Uyb0RvYy54&#10;bWxQSwUGAAAAAAYABgBZAQAAOwYAAAAA&#10;">
            <o:lock v:ext="edit"/>
            <v:rect id="矩形 13" o:spid="_x0000_s1032" o:spt="1" style="position:absolute;left:4551;top:52615;height:1175;width:8546;v-text-anchor:middle;" fillcolor="#96DA9D" filled="t" stroked="f" coordsize="21600,21600" o:gfxdata="UEsDBAoAAAAAAIdO4kAAAAAAAAAAAAAAAAAEAAAAZHJzL1BLAwQUAAAACACHTuJAQbgrWLsAAADb&#10;AAAADwAAAGRycy9kb3ducmV2LnhtbEWPQWsCMRSE74L/ITyht/qyL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rW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027" o:spt="203" style="position:absolute;left:0pt;margin-left:-81.05pt;margin-top:39.65pt;height:43.95pt;width:264.85pt;mso-position-vertical-relative:page;z-index:25168896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hYz8m9sAAAALAQAADwAAAAAAAAABACAAAAAiAAAAZHJzL2Rvd25yZXYueG1s&#10;UEsBAhQAFAAAAAgAh07iQFQfw72gAgAAvAYAAA4AAAAAAAAAAQAgAAAAKgEAAGRycy9lMm9Eb2Mu&#10;eG1sUEsFBgAAAAAGAAYAWQEAADwGAAAAAA==&#10;">
            <o:lock v:ext="edit"/>
            <v:rect id="矩形 13" o:spid="_x0000_s1029" o:spt="1" style="position:absolute;left:4551;top:52615;height:1175;width:8546;v-text-anchor:middle;" fillcolor="#96DA9D" filled="t" stroked="f" coordsize="21600,21600" o:gfxdata="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4jA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3"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3"/>
                    <pic:cNvPicPr>
                      <a:picLocks noChangeAspect="1"/>
                    </pic:cNvPicPr>
                  </pic:nvPicPr>
                  <pic:blipFill>
                    <a:blip r:embed="rId18"/>
                    <a:stretch>
                      <a:fillRect/>
                    </a:stretch>
                  </pic:blipFill>
                  <pic:spPr>
                    <a:xfrm>
                      <a:off x="0" y="0"/>
                      <a:ext cx="7590155" cy="10735945"/>
                    </a:xfrm>
                    <a:prstGeom prst="rect">
                      <a:avLst/>
                    </a:prstGeom>
                    <a:noFill/>
                    <a:ln w="9525">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2EA7DF-F039-4BC3-9578-80495118C9CD}"/>
  </w:font>
  <w:font w:name="Arial">
    <w:panose1 w:val="020B0604020202020204"/>
    <w:charset w:val="01"/>
    <w:family w:val="swiss"/>
    <w:pitch w:val="default"/>
    <w:sig w:usb0="E0002AFF" w:usb1="C0007843" w:usb2="00000009" w:usb3="00000000" w:csb0="400001FF" w:csb1="FFFF0000"/>
    <w:embedRegular r:id="rId2" w:fontKey="{36B833C7-58F5-478F-9B2E-44534E8BC8D9}"/>
  </w:font>
  <w:font w:name="黑体">
    <w:panose1 w:val="02010609060101010101"/>
    <w:charset w:val="86"/>
    <w:family w:val="auto"/>
    <w:pitch w:val="default"/>
    <w:sig w:usb0="800002BF" w:usb1="38CF7CFA" w:usb2="00000016" w:usb3="00000000" w:csb0="00040001" w:csb1="00000000"/>
    <w:embedRegular r:id="rId3" w:fontKey="{F2649677-34D4-4147-935D-17F7A24EA516}"/>
  </w:font>
  <w:font w:name="Courier New">
    <w:panose1 w:val="02070309020205020404"/>
    <w:charset w:val="01"/>
    <w:family w:val="modern"/>
    <w:pitch w:val="default"/>
    <w:sig w:usb0="E0002AFF" w:usb1="C0007843" w:usb2="00000009" w:usb3="00000000" w:csb0="400001FF" w:csb1="FFFF0000"/>
    <w:embedRegular r:id="rId4" w:fontKey="{70CE7F56-4EC9-487B-BF1F-048DD4320B4D}"/>
  </w:font>
  <w:font w:name="Symbol">
    <w:panose1 w:val="05050102010706020507"/>
    <w:charset w:val="02"/>
    <w:family w:val="roman"/>
    <w:pitch w:val="default"/>
    <w:sig w:usb0="00000000" w:usb1="00000000" w:usb2="00000000" w:usb3="00000000" w:csb0="80000000" w:csb1="00000000"/>
    <w:embedRegular r:id="rId5" w:fontKey="{76C04454-5722-4E0C-85E9-430CEA192B15}"/>
  </w:font>
  <w:font w:name="Calibri">
    <w:panose1 w:val="020F05020202040A0204"/>
    <w:charset w:val="00"/>
    <w:family w:val="swiss"/>
    <w:pitch w:val="default"/>
    <w:sig w:usb0="E00002FF" w:usb1="4000ACFF" w:usb2="00000001" w:usb3="00000000" w:csb0="2000019F" w:csb1="00000000"/>
    <w:embedRegular r:id="rId6" w:fontKey="{1DC93A2D-4256-459A-A76B-3B2F6A3401D6}"/>
  </w:font>
  <w:font w:name="Cambria">
    <w:panose1 w:val="02040503050406030204"/>
    <w:charset w:val="00"/>
    <w:family w:val="roman"/>
    <w:pitch w:val="default"/>
    <w:sig w:usb0="E00002FF" w:usb1="400004FF" w:usb2="00000000" w:usb3="00000000" w:csb0="2000019F" w:csb1="00000000"/>
    <w:embedRegular r:id="rId7" w:fontKey="{AB069C8B-9299-4BEA-8603-87E4C54C2AAA}"/>
  </w:font>
  <w:font w:name="楷体">
    <w:panose1 w:val="02010609060101010101"/>
    <w:charset w:val="86"/>
    <w:family w:val="modern"/>
    <w:pitch w:val="default"/>
    <w:sig w:usb0="800002BF" w:usb1="38CF7CFA" w:usb2="00000016" w:usb3="00000000" w:csb0="00040001" w:csb1="00000000"/>
    <w:embedRegular r:id="rId8" w:fontKey="{60A0BF0B-A38A-43F9-8ABA-413425B6F9E1}"/>
  </w:font>
  <w:font w:name="MS Gothic">
    <w:panose1 w:val="020B0609070205080204"/>
    <w:charset w:val="80"/>
    <w:family w:val="modern"/>
    <w:pitch w:val="default"/>
    <w:sig w:usb0="E00002FF" w:usb1="6AC7FDFB" w:usb2="00000012" w:usb3="00000000" w:csb0="4002009F" w:csb1="DFD70000"/>
    <w:embedRegular r:id="rId9" w:fontKey="{92DB798B-FB03-44BB-93AA-7A229DDBFE98}"/>
  </w:font>
  <w:font w:name="仿宋_GB2312">
    <w:altName w:val="仿宋"/>
    <w:panose1 w:val="00000000000000000000"/>
    <w:charset w:val="86"/>
    <w:family w:val="modern"/>
    <w:pitch w:val="default"/>
    <w:sig w:usb0="00000000" w:usb1="00000000" w:usb2="00000010" w:usb3="00000000" w:csb0="00040000" w:csb1="00000000"/>
    <w:embedRegular r:id="rId10" w:fontKey="{F059ADF2-62AB-4E36-B99A-554FFC1A1F8B}"/>
  </w:font>
  <w:font w:name="仿宋">
    <w:panose1 w:val="02010609060101010101"/>
    <w:charset w:val="86"/>
    <w:family w:val="auto"/>
    <w:pitch w:val="default"/>
    <w:sig w:usb0="800002BF" w:usb1="38CF7CFA" w:usb2="00000016" w:usb3="00000000" w:csb0="00040001" w:csb1="00000000"/>
    <w:embedRegular r:id="rId11" w:fontKey="{EB920626-19FD-412C-96A3-59320273B5A1}"/>
  </w:font>
  <w:font w:name="ArialUnicodeMS">
    <w:altName w:val="Malgun Gothic"/>
    <w:panose1 w:val="00000000000000000000"/>
    <w:charset w:val="81"/>
    <w:family w:val="auto"/>
    <w:pitch w:val="default"/>
    <w:sig w:usb0="00000000" w:usb1="00000000" w:usb2="00000010" w:usb3="00000000" w:csb0="00080000" w:csb1="00000000"/>
    <w:embedRegular r:id="rId12" w:fontKey="{99027DDE-9228-4F78-92D5-7A2A6378E171}"/>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B2907CAC-4FEA-47A0-9FF6-D7DB8118C993}"/>
  </w:font>
  <w:font w:name="DengXian-Regular">
    <w:altName w:val="宋体"/>
    <w:panose1 w:val="00000000000000000000"/>
    <w:charset w:val="86"/>
    <w:family w:val="auto"/>
    <w:pitch w:val="default"/>
    <w:sig w:usb0="00000000" w:usb1="00000000" w:usb2="00000010" w:usb3="00000000" w:csb0="00040000" w:csb1="00000000"/>
    <w:embedRegular r:id="rId14" w:fontKey="{24F3BF49-1076-4797-ABE8-A386BB0192FF}"/>
  </w:font>
  <w:font w:name="楷体_GB2312">
    <w:altName w:val="楷体"/>
    <w:panose1 w:val="00000000000000000000"/>
    <w:charset w:val="86"/>
    <w:family w:val="modern"/>
    <w:pitch w:val="default"/>
    <w:sig w:usb0="00000000" w:usb1="00000000" w:usb2="00000010" w:usb3="00000000" w:csb0="00040000" w:csb1="00000000"/>
    <w:embedRegular r:id="rId15" w:fontKey="{A9CE7B68-C622-4725-BD80-B83CC0ACA778}"/>
  </w:font>
  <w:font w:name="DengXian-Bold">
    <w:altName w:val="宋体"/>
    <w:panose1 w:val="00000000000000000000"/>
    <w:charset w:val="86"/>
    <w:family w:val="auto"/>
    <w:pitch w:val="default"/>
    <w:sig w:usb0="00000000" w:usb1="00000000" w:usb2="00000010" w:usb3="00000000" w:csb0="00040000" w:csb1="00000000"/>
    <w:embedRegular r:id="rId16" w:fontKey="{ACB5458C-20F4-4AAA-BB81-5E2BF3F1A39C}"/>
  </w:font>
  <w:font w:name="TimesNewRomanPSMT">
    <w:altName w:val="Arial"/>
    <w:panose1 w:val="00000000000000000000"/>
    <w:charset w:val="00"/>
    <w:family w:val="swiss"/>
    <w:pitch w:val="default"/>
    <w:sig w:usb0="00000000" w:usb1="00000000" w:usb2="00000000" w:usb3="00000000" w:csb0="0000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3C1413"/>
    <w:rsid w:val="00024E7F"/>
    <w:rsid w:val="00034D5B"/>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1A2"/>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066F0"/>
    <w:rsid w:val="00623803"/>
    <w:rsid w:val="00641318"/>
    <w:rsid w:val="0064405D"/>
    <w:rsid w:val="00671A81"/>
    <w:rsid w:val="00693264"/>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85A22"/>
    <w:rsid w:val="00DB35AF"/>
    <w:rsid w:val="00DD72D7"/>
    <w:rsid w:val="00DF5B88"/>
    <w:rsid w:val="00E0589E"/>
    <w:rsid w:val="00E241FA"/>
    <w:rsid w:val="00E2595E"/>
    <w:rsid w:val="00E35374"/>
    <w:rsid w:val="00E50C19"/>
    <w:rsid w:val="00E64655"/>
    <w:rsid w:val="00E66CF5"/>
    <w:rsid w:val="00E73081"/>
    <w:rsid w:val="00E856C9"/>
    <w:rsid w:val="00EB1EB7"/>
    <w:rsid w:val="00EB6A8B"/>
    <w:rsid w:val="00EF38C6"/>
    <w:rsid w:val="00F679C7"/>
    <w:rsid w:val="00F7711A"/>
    <w:rsid w:val="00FA0D58"/>
    <w:rsid w:val="00FA56F4"/>
    <w:rsid w:val="00FB4EDA"/>
    <w:rsid w:val="00FC4766"/>
    <w:rsid w:val="00FD3BD5"/>
    <w:rsid w:val="00FE3DC8"/>
    <w:rsid w:val="01180A2B"/>
    <w:rsid w:val="02570CCA"/>
    <w:rsid w:val="032C5ACF"/>
    <w:rsid w:val="03FD485B"/>
    <w:rsid w:val="04073F84"/>
    <w:rsid w:val="04085652"/>
    <w:rsid w:val="066F205D"/>
    <w:rsid w:val="06F51B1E"/>
    <w:rsid w:val="07470A1E"/>
    <w:rsid w:val="076516FD"/>
    <w:rsid w:val="07A54CD0"/>
    <w:rsid w:val="07B84AFF"/>
    <w:rsid w:val="08406324"/>
    <w:rsid w:val="086F7F9E"/>
    <w:rsid w:val="08720EBC"/>
    <w:rsid w:val="08C92951"/>
    <w:rsid w:val="09AB3653"/>
    <w:rsid w:val="09E61947"/>
    <w:rsid w:val="09F23141"/>
    <w:rsid w:val="0A586B84"/>
    <w:rsid w:val="0A9A2B1A"/>
    <w:rsid w:val="0AEA2334"/>
    <w:rsid w:val="0B5A01BA"/>
    <w:rsid w:val="0B60750A"/>
    <w:rsid w:val="0C323535"/>
    <w:rsid w:val="0CB33D0E"/>
    <w:rsid w:val="0D905BEB"/>
    <w:rsid w:val="0DFD230C"/>
    <w:rsid w:val="0E3A2B5C"/>
    <w:rsid w:val="10686488"/>
    <w:rsid w:val="10DF728A"/>
    <w:rsid w:val="11AF5A44"/>
    <w:rsid w:val="12452BAB"/>
    <w:rsid w:val="125476CC"/>
    <w:rsid w:val="1264200E"/>
    <w:rsid w:val="133F4BD0"/>
    <w:rsid w:val="13FB5680"/>
    <w:rsid w:val="141C5B77"/>
    <w:rsid w:val="142561EB"/>
    <w:rsid w:val="15366A2C"/>
    <w:rsid w:val="155A43B2"/>
    <w:rsid w:val="15C83018"/>
    <w:rsid w:val="15D7651D"/>
    <w:rsid w:val="16560828"/>
    <w:rsid w:val="16806E21"/>
    <w:rsid w:val="169B4232"/>
    <w:rsid w:val="16BD002A"/>
    <w:rsid w:val="17B14BF0"/>
    <w:rsid w:val="17B84F13"/>
    <w:rsid w:val="18943AAD"/>
    <w:rsid w:val="18D8339D"/>
    <w:rsid w:val="18FE191E"/>
    <w:rsid w:val="19221809"/>
    <w:rsid w:val="199E7305"/>
    <w:rsid w:val="19B97141"/>
    <w:rsid w:val="1A21388F"/>
    <w:rsid w:val="1A570D2F"/>
    <w:rsid w:val="1AD65C60"/>
    <w:rsid w:val="1AFC2136"/>
    <w:rsid w:val="1B492B6D"/>
    <w:rsid w:val="1CE2420C"/>
    <w:rsid w:val="1D794FC5"/>
    <w:rsid w:val="1D812DA5"/>
    <w:rsid w:val="1EFB3954"/>
    <w:rsid w:val="1F871288"/>
    <w:rsid w:val="1FA35D94"/>
    <w:rsid w:val="20115CC6"/>
    <w:rsid w:val="20926EDE"/>
    <w:rsid w:val="21B60A63"/>
    <w:rsid w:val="227C31AE"/>
    <w:rsid w:val="240C7706"/>
    <w:rsid w:val="24665B3F"/>
    <w:rsid w:val="2639008A"/>
    <w:rsid w:val="268867C8"/>
    <w:rsid w:val="2730040C"/>
    <w:rsid w:val="27C7023C"/>
    <w:rsid w:val="28571CF1"/>
    <w:rsid w:val="28FB0B8D"/>
    <w:rsid w:val="29441A35"/>
    <w:rsid w:val="2A2622C4"/>
    <w:rsid w:val="2BA76B07"/>
    <w:rsid w:val="2BE37A47"/>
    <w:rsid w:val="2BF51D49"/>
    <w:rsid w:val="2BFA12C5"/>
    <w:rsid w:val="2C54665C"/>
    <w:rsid w:val="2C8755D7"/>
    <w:rsid w:val="2D2B7942"/>
    <w:rsid w:val="2D46481D"/>
    <w:rsid w:val="2E6E2E7E"/>
    <w:rsid w:val="2E733B28"/>
    <w:rsid w:val="2EAC6B91"/>
    <w:rsid w:val="2EEF78C0"/>
    <w:rsid w:val="2F061652"/>
    <w:rsid w:val="2FAE10DD"/>
    <w:rsid w:val="2FBC47F6"/>
    <w:rsid w:val="2FD4124C"/>
    <w:rsid w:val="30081DC0"/>
    <w:rsid w:val="30C10C47"/>
    <w:rsid w:val="30C56C83"/>
    <w:rsid w:val="31852B5A"/>
    <w:rsid w:val="324A219F"/>
    <w:rsid w:val="328E4BB9"/>
    <w:rsid w:val="32D01238"/>
    <w:rsid w:val="32E545A8"/>
    <w:rsid w:val="33487368"/>
    <w:rsid w:val="33746BAC"/>
    <w:rsid w:val="340453A3"/>
    <w:rsid w:val="344A5BA5"/>
    <w:rsid w:val="350A275C"/>
    <w:rsid w:val="35DF3D40"/>
    <w:rsid w:val="35FC5B44"/>
    <w:rsid w:val="368A4030"/>
    <w:rsid w:val="368D23A4"/>
    <w:rsid w:val="36993FDF"/>
    <w:rsid w:val="36A67A38"/>
    <w:rsid w:val="36AC53C0"/>
    <w:rsid w:val="36D21EEA"/>
    <w:rsid w:val="37A14EFA"/>
    <w:rsid w:val="37FD4145"/>
    <w:rsid w:val="38351457"/>
    <w:rsid w:val="383923A9"/>
    <w:rsid w:val="38BB5204"/>
    <w:rsid w:val="38ED7AEA"/>
    <w:rsid w:val="39C209F6"/>
    <w:rsid w:val="39FE1CE7"/>
    <w:rsid w:val="3A351DD5"/>
    <w:rsid w:val="3A3723EC"/>
    <w:rsid w:val="3A453197"/>
    <w:rsid w:val="3A693B86"/>
    <w:rsid w:val="3B327FBB"/>
    <w:rsid w:val="3B373759"/>
    <w:rsid w:val="3B6D0185"/>
    <w:rsid w:val="3CA76C94"/>
    <w:rsid w:val="3CFC4EBF"/>
    <w:rsid w:val="3D464227"/>
    <w:rsid w:val="3DFC59A8"/>
    <w:rsid w:val="3E965D03"/>
    <w:rsid w:val="3ECF245E"/>
    <w:rsid w:val="3FB96314"/>
    <w:rsid w:val="3FBF6807"/>
    <w:rsid w:val="3FC737EE"/>
    <w:rsid w:val="408A7098"/>
    <w:rsid w:val="419331A9"/>
    <w:rsid w:val="42DF7A90"/>
    <w:rsid w:val="436908E5"/>
    <w:rsid w:val="441C4C67"/>
    <w:rsid w:val="4430384E"/>
    <w:rsid w:val="44E072F2"/>
    <w:rsid w:val="44F1397F"/>
    <w:rsid w:val="45EB6E94"/>
    <w:rsid w:val="461D0BC4"/>
    <w:rsid w:val="464C605D"/>
    <w:rsid w:val="469251B3"/>
    <w:rsid w:val="476830C4"/>
    <w:rsid w:val="48F3787C"/>
    <w:rsid w:val="493B411D"/>
    <w:rsid w:val="496F0770"/>
    <w:rsid w:val="49FB20F1"/>
    <w:rsid w:val="4AAD5202"/>
    <w:rsid w:val="4C8B2717"/>
    <w:rsid w:val="4D1936CC"/>
    <w:rsid w:val="4DE53D93"/>
    <w:rsid w:val="4DFD30C4"/>
    <w:rsid w:val="4E2D0B82"/>
    <w:rsid w:val="4ED30C9C"/>
    <w:rsid w:val="4F6274B5"/>
    <w:rsid w:val="50D50CE8"/>
    <w:rsid w:val="51550A55"/>
    <w:rsid w:val="51665B9B"/>
    <w:rsid w:val="51B820F4"/>
    <w:rsid w:val="528C7A4B"/>
    <w:rsid w:val="52900BA7"/>
    <w:rsid w:val="52B00011"/>
    <w:rsid w:val="52EE109A"/>
    <w:rsid w:val="532A5C56"/>
    <w:rsid w:val="53A44FAF"/>
    <w:rsid w:val="54185C47"/>
    <w:rsid w:val="543E2AE2"/>
    <w:rsid w:val="546C1E61"/>
    <w:rsid w:val="54BC76DB"/>
    <w:rsid w:val="55323C0F"/>
    <w:rsid w:val="5574225E"/>
    <w:rsid w:val="56AB00AE"/>
    <w:rsid w:val="5714063A"/>
    <w:rsid w:val="579F1D3E"/>
    <w:rsid w:val="57BC2006"/>
    <w:rsid w:val="588D170F"/>
    <w:rsid w:val="58DE2E0D"/>
    <w:rsid w:val="594329EC"/>
    <w:rsid w:val="59B2427E"/>
    <w:rsid w:val="5A40664E"/>
    <w:rsid w:val="5B3E3504"/>
    <w:rsid w:val="5B831B47"/>
    <w:rsid w:val="5BE278A4"/>
    <w:rsid w:val="5BE96830"/>
    <w:rsid w:val="5BEE1540"/>
    <w:rsid w:val="5C873807"/>
    <w:rsid w:val="5CB912DE"/>
    <w:rsid w:val="5CDE7CA1"/>
    <w:rsid w:val="5CEC1357"/>
    <w:rsid w:val="5DE61A5D"/>
    <w:rsid w:val="5FC3414F"/>
    <w:rsid w:val="61213643"/>
    <w:rsid w:val="616364E2"/>
    <w:rsid w:val="61A66FB0"/>
    <w:rsid w:val="62930C2C"/>
    <w:rsid w:val="63C04243"/>
    <w:rsid w:val="640A619C"/>
    <w:rsid w:val="643D02AA"/>
    <w:rsid w:val="64830041"/>
    <w:rsid w:val="649C01C7"/>
    <w:rsid w:val="64B1174B"/>
    <w:rsid w:val="64CD31FB"/>
    <w:rsid w:val="657E1DD5"/>
    <w:rsid w:val="65887B5D"/>
    <w:rsid w:val="65F94F67"/>
    <w:rsid w:val="67CD3FBA"/>
    <w:rsid w:val="68017C5C"/>
    <w:rsid w:val="693B4466"/>
    <w:rsid w:val="695D32BC"/>
    <w:rsid w:val="699A3F60"/>
    <w:rsid w:val="6ACA4E77"/>
    <w:rsid w:val="6B0803C9"/>
    <w:rsid w:val="6B543BE9"/>
    <w:rsid w:val="6BD17E17"/>
    <w:rsid w:val="6C14432B"/>
    <w:rsid w:val="6C7D67F2"/>
    <w:rsid w:val="6D892E71"/>
    <w:rsid w:val="6EBC16EF"/>
    <w:rsid w:val="6F0C72FC"/>
    <w:rsid w:val="6F8F5D16"/>
    <w:rsid w:val="704F3969"/>
    <w:rsid w:val="70831178"/>
    <w:rsid w:val="708F745A"/>
    <w:rsid w:val="71190EFE"/>
    <w:rsid w:val="7185295E"/>
    <w:rsid w:val="72902E62"/>
    <w:rsid w:val="72A02941"/>
    <w:rsid w:val="72F2180E"/>
    <w:rsid w:val="7370488B"/>
    <w:rsid w:val="73C61104"/>
    <w:rsid w:val="7438144D"/>
    <w:rsid w:val="76092544"/>
    <w:rsid w:val="773E117F"/>
    <w:rsid w:val="776452EA"/>
    <w:rsid w:val="77BA1558"/>
    <w:rsid w:val="77C653EB"/>
    <w:rsid w:val="791D4297"/>
    <w:rsid w:val="794E699A"/>
    <w:rsid w:val="7B393EA5"/>
    <w:rsid w:val="7BD84C0B"/>
    <w:rsid w:val="7D35621D"/>
    <w:rsid w:val="7D5A51D2"/>
    <w:rsid w:val="7D6F7B2E"/>
    <w:rsid w:val="7DC663B9"/>
    <w:rsid w:val="7E2767E3"/>
    <w:rsid w:val="7F564CCB"/>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92"/>
    <customShpInfo spid="_x0000_s1093"/>
    <customShpInfo spid="_x0000_s1091"/>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899</Words>
  <Characters>5130</Characters>
  <Lines>42</Lines>
  <Paragraphs>12</Paragraphs>
  <TotalTime>0</TotalTime>
  <ScaleCrop>false</ScaleCrop>
  <LinksUpToDate>false</LinksUpToDate>
  <CharactersWithSpaces>6017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2021-06-23T07:07:58Z</dcterms:modified>
  <dc:subject>石家庄市xxx部门</dc:subject>
  <dc:title>2017年度部门决算</dc:title>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12E38788E9C64EBE8BA479BB959610E7</vt:lpwstr>
  </property>
</Properties>
</file>