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04" w:rsidRDefault="00C73804" w:rsidP="00C73804">
      <w:pPr>
        <w:spacing w:line="520" w:lineRule="exact"/>
        <w:jc w:val="center"/>
        <w:rPr>
          <w:rFonts w:ascii="黑体" w:eastAsia="黑体" w:hAnsi="黑体" w:cs="黑体"/>
          <w:sz w:val="44"/>
          <w:szCs w:val="44"/>
        </w:rPr>
      </w:pPr>
      <w:r>
        <w:rPr>
          <w:rFonts w:ascii="黑体" w:eastAsia="黑体" w:hAnsi="黑体" w:cs="黑体" w:hint="eastAsia"/>
          <w:sz w:val="44"/>
          <w:szCs w:val="44"/>
        </w:rPr>
        <w:t>人民调解服务办事指南</w:t>
      </w:r>
    </w:p>
    <w:p w:rsidR="00C73804" w:rsidRDefault="00C73804" w:rsidP="00C73804">
      <w:pPr>
        <w:pStyle w:val="a5"/>
        <w:widowControl/>
        <w:spacing w:beforeAutospacing="0" w:afterAutospacing="0" w:line="520" w:lineRule="exact"/>
        <w:rPr>
          <w:rStyle w:val="a6"/>
          <w:rFonts w:ascii="黑体" w:eastAsia="黑体" w:hAnsi="黑体" w:cs="黑体"/>
          <w:b w:val="0"/>
          <w:bCs w:val="0"/>
          <w:color w:val="000000"/>
          <w:sz w:val="44"/>
          <w:szCs w:val="44"/>
          <w:shd w:val="clear" w:color="auto" w:fill="FFFFFF"/>
        </w:rPr>
      </w:pPr>
    </w:p>
    <w:p w:rsidR="00C73804" w:rsidRDefault="00C73804" w:rsidP="00C73804">
      <w:pPr>
        <w:pStyle w:val="a5"/>
        <w:widowControl/>
        <w:spacing w:beforeAutospacing="0" w:afterAutospacing="0" w:line="52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shd w:val="clear" w:color="auto" w:fill="FFFFFF"/>
        </w:rPr>
        <w:t>一、受理范围</w:t>
      </w:r>
    </w:p>
    <w:p w:rsidR="00C73804" w:rsidRDefault="00C73804" w:rsidP="00C73804">
      <w:pPr>
        <w:pStyle w:val="a5"/>
        <w:widowControl/>
        <w:spacing w:beforeAutospacing="0" w:afterAutospacing="0" w:line="520" w:lineRule="exact"/>
        <w:ind w:firstLineChars="200" w:firstLine="640"/>
        <w:rPr>
          <w:rFonts w:ascii="仿宋" w:eastAsia="仿宋" w:hAnsi="仿宋" w:cs="仿宋"/>
          <w:sz w:val="32"/>
          <w:szCs w:val="32"/>
        </w:rPr>
      </w:pPr>
      <w:r>
        <w:rPr>
          <w:rFonts w:ascii="仿宋" w:eastAsia="仿宋" w:hAnsi="仿宋" w:cs="仿宋"/>
          <w:color w:val="000000"/>
          <w:sz w:val="32"/>
          <w:szCs w:val="32"/>
          <w:shd w:val="clear" w:color="auto" w:fill="FFFFFF"/>
        </w:rPr>
        <w:t>适用于</w:t>
      </w:r>
      <w:r>
        <w:rPr>
          <w:rFonts w:ascii="仿宋" w:eastAsia="仿宋" w:hAnsi="仿宋" w:cs="仿宋"/>
          <w:sz w:val="32"/>
          <w:szCs w:val="32"/>
        </w:rPr>
        <w:t xml:space="preserve">公民、法人和其他组织 </w:t>
      </w:r>
    </w:p>
    <w:p w:rsidR="00C73804" w:rsidRDefault="00C73804" w:rsidP="00C73804">
      <w:pPr>
        <w:pStyle w:val="a5"/>
        <w:widowControl/>
        <w:spacing w:beforeAutospacing="0" w:afterAutospacing="0" w:line="52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shd w:val="clear" w:color="auto" w:fill="FFFFFF"/>
        </w:rPr>
        <w:t>二、办理依据</w:t>
      </w:r>
    </w:p>
    <w:p w:rsidR="00C73804" w:rsidRDefault="00C73804" w:rsidP="00C73804">
      <w:pPr>
        <w:pStyle w:val="a5"/>
        <w:widowControl/>
        <w:spacing w:beforeAutospacing="0" w:afterAutospacing="0" w:line="520" w:lineRule="exact"/>
        <w:ind w:firstLine="42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《中华人民共和国人民调解法》第五条 国务院司法行政部门负责指导全国的人民调解工作，县级以上地方人民政府司法行政部门负责指导本行政区域的人民调解工作。基层人民法院对人民调解委员会调解民间纠纷进行业务指导。</w:t>
      </w:r>
    </w:p>
    <w:p w:rsidR="00C73804" w:rsidRDefault="00C73804" w:rsidP="00C73804">
      <w:pPr>
        <w:pStyle w:val="a5"/>
        <w:widowControl/>
        <w:spacing w:beforeAutospacing="0" w:afterAutospacing="0"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第七条  人民调解委员会是依法设立的调解民间纠纷的群众性组织。</w:t>
      </w:r>
    </w:p>
    <w:p w:rsidR="00C73804" w:rsidRDefault="00C73804" w:rsidP="00C73804">
      <w:pPr>
        <w:pStyle w:val="a5"/>
        <w:widowControl/>
        <w:spacing w:beforeAutospacing="0" w:afterAutospacing="0"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第八条 村民委员会、居民委员会设立人民调解委员会。企业事业单位根据需要设立人民调解委员会。</w:t>
      </w:r>
    </w:p>
    <w:p w:rsidR="00C73804" w:rsidRDefault="00C73804" w:rsidP="00C73804">
      <w:pPr>
        <w:pStyle w:val="a5"/>
        <w:widowControl/>
        <w:spacing w:beforeAutospacing="0" w:afterAutospacing="0"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司法部关于印发〈公共法律服务事项清单〉的通知》（司发通〔2019〕97号）附件第14项服务项目：人民调解；服务对象：矛盾纠纷当事人；服务内容：人民调解组织依申请进行调解，或主动调解，对民间纠纷当事人进行说服、疏导，促使当事人自愿达成调解协议；服务提供主体：人民调解组织。按照《中华人民共和国人民调解法》第六条国家鼓励和支持人民调解工作。县级以上地方人民政府对人民调解工作所需经费应当给予必要的支持和保障。第十六条人民调解员从事调解工作，应当给予适当的误工补贴；因从事调解调解工作致伤致残，生活发生困难的，当地人民政府应当提供必要的医疗、生活救助；在人民调解工作</w:t>
      </w:r>
      <w:r>
        <w:rPr>
          <w:rFonts w:ascii="仿宋" w:eastAsia="仿宋" w:hAnsi="仿宋" w:cs="仿宋"/>
          <w:color w:val="000000"/>
          <w:sz w:val="32"/>
          <w:szCs w:val="32"/>
          <w:shd w:val="clear" w:color="auto" w:fill="FFFFFF"/>
        </w:rPr>
        <w:lastRenderedPageBreak/>
        <w:t>岗位上牺牲的人民调解员，其配偶、子女按照国家规定享受抚恤和优待。</w:t>
      </w:r>
    </w:p>
    <w:p w:rsidR="00C73804" w:rsidRDefault="00C73804" w:rsidP="00C73804">
      <w:pPr>
        <w:pStyle w:val="a5"/>
        <w:widowControl/>
        <w:spacing w:beforeAutospacing="0" w:afterAutospacing="0"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sz w:val="32"/>
          <w:szCs w:val="32"/>
        </w:rPr>
        <w:t>《人民调解工作若干规定》第九条 司法行政机关依照本办法对人民调解工作进行指导和管理。指导和管理人民调解委员会的日常工作，由乡镇、街道司法所(科)负责。</w:t>
      </w:r>
    </w:p>
    <w:p w:rsidR="00C73804" w:rsidRDefault="00C73804" w:rsidP="00C73804">
      <w:pPr>
        <w:pStyle w:val="a5"/>
        <w:widowControl/>
        <w:numPr>
          <w:ilvl w:val="0"/>
          <w:numId w:val="1"/>
        </w:numPr>
        <w:spacing w:beforeAutospacing="0" w:afterAutospacing="0" w:line="520" w:lineRule="exact"/>
        <w:ind w:firstLineChars="200" w:firstLine="643"/>
        <w:rPr>
          <w:rStyle w:val="a6"/>
          <w:rFonts w:ascii="黑体" w:eastAsia="黑体" w:hAnsi="黑体" w:cs="黑体"/>
          <w:b w:val="0"/>
          <w:bCs w:val="0"/>
          <w:color w:val="000000"/>
          <w:sz w:val="32"/>
          <w:szCs w:val="32"/>
          <w:shd w:val="clear" w:color="auto" w:fill="FFFFFF"/>
        </w:rPr>
      </w:pPr>
      <w:r>
        <w:rPr>
          <w:rStyle w:val="a6"/>
          <w:rFonts w:ascii="黑体" w:eastAsia="黑体" w:hAnsi="黑体" w:cs="黑体" w:hint="eastAsia"/>
          <w:color w:val="000000"/>
          <w:sz w:val="32"/>
          <w:szCs w:val="32"/>
          <w:shd w:val="clear" w:color="auto" w:fill="FFFFFF"/>
        </w:rPr>
        <w:t>实施机关</w:t>
      </w:r>
    </w:p>
    <w:p w:rsidR="00C73804" w:rsidRDefault="00C73804" w:rsidP="00C73804">
      <w:pPr>
        <w:pStyle w:val="a5"/>
        <w:widowControl/>
        <w:spacing w:beforeAutospacing="0" w:afterAutospacing="0"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村综合服务站</w:t>
      </w:r>
    </w:p>
    <w:p w:rsidR="00C73804" w:rsidRDefault="00C73804" w:rsidP="00C73804">
      <w:pPr>
        <w:pStyle w:val="a5"/>
        <w:widowControl/>
        <w:spacing w:beforeAutospacing="0" w:afterAutospacing="0" w:line="52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shd w:val="clear" w:color="auto" w:fill="FFFFFF"/>
        </w:rPr>
        <w:t>四、审批条件</w:t>
      </w:r>
    </w:p>
    <w:p w:rsidR="00C73804" w:rsidRDefault="00C73804" w:rsidP="00C73804">
      <w:pPr>
        <w:pStyle w:val="a5"/>
        <w:widowControl/>
        <w:spacing w:beforeAutospacing="0" w:afterAutospacing="0" w:line="520" w:lineRule="exact"/>
        <w:ind w:firstLineChars="200" w:firstLine="640"/>
        <w:rPr>
          <w:rFonts w:ascii="仿宋" w:eastAsia="仿宋" w:hAnsi="仿宋" w:cs="仿宋"/>
          <w:sz w:val="32"/>
          <w:szCs w:val="32"/>
        </w:rPr>
      </w:pPr>
      <w:r>
        <w:rPr>
          <w:rFonts w:ascii="仿宋" w:eastAsia="仿宋" w:hAnsi="仿宋" w:cs="仿宋"/>
          <w:color w:val="000000"/>
          <w:sz w:val="32"/>
          <w:szCs w:val="32"/>
          <w:shd w:val="clear" w:color="auto" w:fill="FFFFFF"/>
        </w:rPr>
        <w:t>按照《中华人民共和国人民调解法》规定：第十七条　当事人可以向人民调解委员会申请调解；人民调解委员会也可以主动调解。当事人一方明确拒绝调解的，不得调解。</w:t>
      </w:r>
      <w:r>
        <w:rPr>
          <w:rFonts w:ascii="仿宋" w:eastAsia="仿宋" w:hAnsi="仿宋" w:cs="仿宋"/>
          <w:color w:val="000000"/>
          <w:sz w:val="32"/>
          <w:szCs w:val="32"/>
          <w:shd w:val="clear" w:color="auto" w:fill="FFFFFF"/>
        </w:rPr>
        <w:br/>
        <w:t>第十八条　基层人民法院、公安机关对适宜通过人民调解方式解决的纠纷，可以在受理前告知当事人向人民调解委员会申请调解。</w:t>
      </w:r>
    </w:p>
    <w:p w:rsidR="00C73804" w:rsidRDefault="00C73804" w:rsidP="00C73804">
      <w:pPr>
        <w:pStyle w:val="a5"/>
        <w:widowControl/>
        <w:spacing w:beforeAutospacing="0" w:afterAutospacing="0" w:line="52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shd w:val="clear" w:color="auto" w:fill="FFFFFF"/>
        </w:rPr>
        <w:t>五、受理地点</w:t>
      </w:r>
      <w:r>
        <w:rPr>
          <w:rFonts w:ascii="黑体" w:eastAsia="黑体" w:hAnsi="黑体" w:cs="黑体" w:hint="eastAsia"/>
          <w:color w:val="000000"/>
          <w:sz w:val="32"/>
          <w:szCs w:val="32"/>
          <w:shd w:val="clear" w:color="auto" w:fill="FFFFFF"/>
        </w:rPr>
        <w:t> </w:t>
      </w:r>
    </w:p>
    <w:p w:rsidR="00C73804" w:rsidRDefault="00C73804" w:rsidP="00C73804">
      <w:pPr>
        <w:pStyle w:val="a5"/>
        <w:widowControl/>
        <w:spacing w:beforeAutospacing="0" w:afterAutospacing="0"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受理地点：村综合服务站</w:t>
      </w:r>
    </w:p>
    <w:p w:rsidR="00C73804" w:rsidRDefault="00C73804" w:rsidP="00C73804">
      <w:pPr>
        <w:pStyle w:val="a5"/>
        <w:widowControl/>
        <w:spacing w:beforeAutospacing="0" w:afterAutospacing="0" w:line="520" w:lineRule="exact"/>
        <w:ind w:firstLineChars="200" w:firstLine="640"/>
        <w:rPr>
          <w:rFonts w:ascii="仿宋" w:eastAsia="仿宋" w:hAnsi="仿宋" w:cs="仿宋"/>
          <w:sz w:val="32"/>
          <w:szCs w:val="32"/>
        </w:rPr>
      </w:pPr>
      <w:r>
        <w:rPr>
          <w:rFonts w:ascii="仿宋" w:eastAsia="仿宋" w:hAnsi="仿宋" w:cs="仿宋"/>
          <w:color w:val="000000"/>
          <w:sz w:val="32"/>
          <w:szCs w:val="32"/>
          <w:shd w:val="clear" w:color="auto" w:fill="FFFFFF"/>
        </w:rPr>
        <w:t>办事窗口：公共服务窗口</w:t>
      </w:r>
    </w:p>
    <w:p w:rsidR="00C73804" w:rsidRDefault="00C73804" w:rsidP="00C73804">
      <w:pPr>
        <w:pStyle w:val="a5"/>
        <w:widowControl/>
        <w:spacing w:beforeAutospacing="0" w:afterAutospacing="0" w:line="52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shd w:val="clear" w:color="auto" w:fill="FFFFFF"/>
        </w:rPr>
        <w:t>六、申请材料</w:t>
      </w:r>
    </w:p>
    <w:p w:rsidR="00C73804" w:rsidRDefault="00C73804" w:rsidP="00C73804">
      <w:pPr>
        <w:pStyle w:val="a5"/>
        <w:widowControl/>
        <w:spacing w:beforeAutospacing="0" w:afterAutospacing="0" w:line="520" w:lineRule="exact"/>
        <w:ind w:firstLineChars="200" w:firstLine="640"/>
        <w:rPr>
          <w:rFonts w:ascii="仿宋" w:eastAsia="仿宋" w:hAnsi="仿宋" w:cs="仿宋"/>
          <w:sz w:val="32"/>
          <w:szCs w:val="32"/>
        </w:rPr>
      </w:pPr>
      <w:r>
        <w:rPr>
          <w:rFonts w:ascii="仿宋" w:eastAsia="仿宋" w:hAnsi="仿宋" w:cs="仿宋"/>
          <w:color w:val="000000"/>
          <w:sz w:val="32"/>
          <w:szCs w:val="32"/>
          <w:shd w:val="clear" w:color="auto" w:fill="FFFFFF"/>
        </w:rPr>
        <w:t>无</w:t>
      </w:r>
    </w:p>
    <w:p w:rsidR="00C73804" w:rsidRDefault="00C73804" w:rsidP="00C73804">
      <w:pPr>
        <w:pStyle w:val="a5"/>
        <w:widowControl/>
        <w:spacing w:beforeAutospacing="0" w:afterAutospacing="0" w:line="52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shd w:val="clear" w:color="auto" w:fill="FFFFFF"/>
        </w:rPr>
        <w:t>七、办结时限</w:t>
      </w:r>
    </w:p>
    <w:p w:rsidR="00C73804" w:rsidRDefault="00C73804" w:rsidP="00C73804">
      <w:pPr>
        <w:pStyle w:val="a5"/>
        <w:widowControl/>
        <w:spacing w:beforeAutospacing="0" w:afterAutospacing="0" w:line="520" w:lineRule="exact"/>
        <w:ind w:firstLineChars="200"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即时办理</w:t>
      </w:r>
    </w:p>
    <w:p w:rsidR="00C73804" w:rsidRDefault="00C73804" w:rsidP="00C73804">
      <w:pPr>
        <w:pStyle w:val="a5"/>
        <w:widowControl/>
        <w:spacing w:beforeAutospacing="0" w:afterAutospacing="0" w:line="520" w:lineRule="exact"/>
        <w:ind w:firstLineChars="200" w:firstLine="643"/>
        <w:rPr>
          <w:rFonts w:ascii="黑体" w:eastAsia="黑体" w:hAnsi="黑体" w:cs="黑体"/>
          <w:sz w:val="32"/>
          <w:szCs w:val="32"/>
        </w:rPr>
      </w:pPr>
      <w:r>
        <w:rPr>
          <w:rStyle w:val="a6"/>
          <w:rFonts w:ascii="黑体" w:eastAsia="黑体" w:hAnsi="黑体" w:cs="黑体" w:hint="eastAsia"/>
          <w:color w:val="000000"/>
          <w:sz w:val="32"/>
          <w:szCs w:val="32"/>
          <w:shd w:val="clear" w:color="auto" w:fill="FFFFFF"/>
        </w:rPr>
        <w:t>八、审批收费</w:t>
      </w:r>
    </w:p>
    <w:p w:rsidR="00C73804" w:rsidRDefault="00C73804" w:rsidP="00C73804">
      <w:pPr>
        <w:pStyle w:val="a5"/>
        <w:widowControl/>
        <w:spacing w:beforeAutospacing="0" w:afterAutospacing="0" w:line="520" w:lineRule="exact"/>
        <w:ind w:firstLineChars="200" w:firstLine="640"/>
        <w:rPr>
          <w:rFonts w:ascii="仿宋" w:eastAsia="仿宋" w:hAnsi="仿宋" w:cs="仿宋"/>
          <w:sz w:val="32"/>
          <w:szCs w:val="32"/>
        </w:rPr>
      </w:pPr>
      <w:r>
        <w:rPr>
          <w:rFonts w:ascii="仿宋" w:eastAsia="仿宋" w:hAnsi="仿宋" w:cs="仿宋"/>
          <w:color w:val="000000"/>
          <w:sz w:val="32"/>
          <w:szCs w:val="32"/>
          <w:shd w:val="clear" w:color="auto" w:fill="FFFFFF"/>
        </w:rPr>
        <w:t>免费</w:t>
      </w:r>
    </w:p>
    <w:p w:rsidR="00C73804" w:rsidRDefault="00C73804" w:rsidP="00C73804">
      <w:pPr>
        <w:pStyle w:val="a5"/>
        <w:widowControl/>
        <w:spacing w:beforeAutospacing="0" w:afterAutospacing="0" w:line="52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九、服务流程 </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t xml:space="preserve">（1）宣读调解纪律、告知当事人的权利义务； </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t xml:space="preserve">（2）双方当事人陈述案件的事实与理由； </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lastRenderedPageBreak/>
        <w:t xml:space="preserve">（3）调解员归纳当事人争议的焦点； </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t xml:space="preserve">（4）当事人对争议焦点进行举证、质证、辩论； </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t xml:space="preserve">（5）学习法律、法规、政策、社会公德，当事人教育，调解员对当事人进行耐心细致的说服、教育和疏导，帮助当事人提高认识，解开思想上的问题，消除对立情绪，引导当事人对纠纷事实和所需要承担的责任及各自权利义务达成一致意见。 </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t xml:space="preserve">（6）达成调解协议，由双方当事人平等协商后，达成一致意见或由人民调解委员会提出解决纠纷的建议，由双方当事人认可达成调解协议。 </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t>（7）调解不成立的。对于一次调解不成立的，可以中止调解，告知当事人延期另定时间继续调解；对于经多次调解无法达成协议的，在做好双方当事人稳定工作的基础上，终结调解，告知当事人向有关部门申请处理或人民法院起诉。</w:t>
      </w:r>
    </w:p>
    <w:p w:rsidR="00C73804" w:rsidRDefault="00C73804" w:rsidP="00C73804">
      <w:pPr>
        <w:pStyle w:val="a5"/>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sz w:val="32"/>
          <w:szCs w:val="32"/>
        </w:rPr>
        <w:t xml:space="preserve">（8）调解委员会回访当事人。调解结案后应及时回访当事人，听取当事人和群众意见，巩固调解成果。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AC" w:rsidRDefault="005A3FAC" w:rsidP="00C73804">
      <w:pPr>
        <w:spacing w:after="0"/>
      </w:pPr>
      <w:r>
        <w:separator/>
      </w:r>
    </w:p>
  </w:endnote>
  <w:endnote w:type="continuationSeparator" w:id="0">
    <w:p w:rsidR="005A3FAC" w:rsidRDefault="005A3FAC" w:rsidP="00C738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AC" w:rsidRDefault="005A3FAC" w:rsidP="00C73804">
      <w:pPr>
        <w:spacing w:after="0"/>
      </w:pPr>
      <w:r>
        <w:separator/>
      </w:r>
    </w:p>
  </w:footnote>
  <w:footnote w:type="continuationSeparator" w:id="0">
    <w:p w:rsidR="005A3FAC" w:rsidRDefault="005A3FAC" w:rsidP="00C7380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7D99D"/>
    <w:multiLevelType w:val="singleLevel"/>
    <w:tmpl w:val="2EF7D99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A3FAC"/>
    <w:rsid w:val="0079470D"/>
    <w:rsid w:val="008B7726"/>
    <w:rsid w:val="00C7380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80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73804"/>
    <w:rPr>
      <w:rFonts w:ascii="Tahoma" w:hAnsi="Tahoma"/>
      <w:sz w:val="18"/>
      <w:szCs w:val="18"/>
    </w:rPr>
  </w:style>
  <w:style w:type="paragraph" w:styleId="a4">
    <w:name w:val="footer"/>
    <w:basedOn w:val="a"/>
    <w:link w:val="Char0"/>
    <w:uiPriority w:val="99"/>
    <w:semiHidden/>
    <w:unhideWhenUsed/>
    <w:rsid w:val="00C73804"/>
    <w:pPr>
      <w:tabs>
        <w:tab w:val="center" w:pos="4153"/>
        <w:tab w:val="right" w:pos="8306"/>
      </w:tabs>
    </w:pPr>
    <w:rPr>
      <w:sz w:val="18"/>
      <w:szCs w:val="18"/>
    </w:rPr>
  </w:style>
  <w:style w:type="character" w:customStyle="1" w:styleId="Char0">
    <w:name w:val="页脚 Char"/>
    <w:basedOn w:val="a0"/>
    <w:link w:val="a4"/>
    <w:uiPriority w:val="99"/>
    <w:semiHidden/>
    <w:rsid w:val="00C73804"/>
    <w:rPr>
      <w:rFonts w:ascii="Tahoma" w:hAnsi="Tahoma"/>
      <w:sz w:val="18"/>
      <w:szCs w:val="18"/>
    </w:rPr>
  </w:style>
  <w:style w:type="paragraph" w:styleId="a5">
    <w:name w:val="Normal (Web)"/>
    <w:basedOn w:val="a"/>
    <w:qFormat/>
    <w:rsid w:val="00C73804"/>
    <w:pPr>
      <w:widowControl w:val="0"/>
      <w:adjustRightInd/>
      <w:snapToGrid/>
      <w:spacing w:beforeAutospacing="1" w:after="0" w:afterAutospacing="1"/>
    </w:pPr>
    <w:rPr>
      <w:rFonts w:asciiTheme="minorHAnsi" w:eastAsiaTheme="minorEastAsia" w:hAnsiTheme="minorHAnsi" w:cs="Times New Roman"/>
      <w:sz w:val="24"/>
      <w:szCs w:val="24"/>
    </w:rPr>
  </w:style>
  <w:style w:type="character" w:styleId="a6">
    <w:name w:val="Strong"/>
    <w:basedOn w:val="a0"/>
    <w:qFormat/>
    <w:rsid w:val="00C738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2021-08-31T07:57:00Z</dcterms:modified>
</cp:coreProperties>
</file>