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医疗救助申请审核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办事指南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numPr>
          <w:numId w:val="0"/>
        </w:num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设立依据：</w:t>
      </w:r>
    </w:p>
    <w:p>
      <w:pPr>
        <w:numPr>
          <w:numId w:val="0"/>
        </w:num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冀医保字﹝2020﹞36号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保医保发﹝2019﹞17号</w:t>
      </w:r>
    </w:p>
    <w:p>
      <w:pPr>
        <w:numPr>
          <w:numId w:val="0"/>
        </w:numPr>
        <w:spacing w:after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二、办理材料: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一、收人困难对象：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1、身份证或社保卡。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2、基本医保、大病保险报销后的结算单、定点医疗机构处方底及购药发票。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3、《医疗救助申请卡》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二、医疗支出困难对象：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1、身份证或社保卡。</w:t>
      </w:r>
    </w:p>
    <w:p>
      <w:pPr>
        <w:spacing w:after="0" w:line="520" w:lineRule="exact"/>
        <w:ind w:left="638" w:leftChars="29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2、基本医保、大病保险报销后的结算单、定点医疗机构处方底及购药发票。</w:t>
      </w:r>
    </w:p>
    <w:p>
      <w:pPr>
        <w:spacing w:after="0" w:line="520" w:lineRule="exact"/>
        <w:ind w:left="638" w:leftChars="29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3、《医疗救助申请卡》  </w:t>
      </w:r>
    </w:p>
    <w:p>
      <w:pPr>
        <w:spacing w:after="0" w:line="520" w:lineRule="exact"/>
        <w:ind w:firstLine="640" w:firstLineChars="200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三、办理机构：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乡镇综合服务中心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四、办理时间：</w:t>
      </w:r>
      <w:r>
        <w:rPr>
          <w:rFonts w:hint="eastAsia" w:ascii="仿宋" w:hAnsi="仿宋" w:eastAsia="仿宋" w:cs="仿宋"/>
          <w:sz w:val="32"/>
          <w:szCs w:val="32"/>
        </w:rPr>
        <w:t>不超过30个工作日</w:t>
      </w:r>
    </w:p>
    <w:p>
      <w:pPr>
        <w:spacing w:after="0"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五、办理流程：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村（居）委会、乡镇审核符合条件后上报，医保局审核并向财政申请资金予以拨付到本人银行账号，办结。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村（居）委会、乡镇、单位根据申请救助对象的家庭状况和患病情况，出具医疗支出困难认定材料（人口、收支、财产状况等）并进行公示后，上报医保局审核，符合救助条件的向财政申请资金予以拨付到本人银行账号，办结。不符合救助条件的将材料通过原渠道退回，并委托乡（镇）政府、社管会书面告知申请人说明理由。</w:t>
      </w:r>
    </w:p>
    <w:p>
      <w:pPr>
        <w:spacing w:after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六、办理方式：</w:t>
      </w:r>
    </w:p>
    <w:p>
      <w:p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乡镇综合服务大厅</w:t>
      </w:r>
      <w:r>
        <w:rPr>
          <w:rFonts w:hint="eastAsia" w:ascii="仿宋" w:hAnsi="仿宋" w:eastAsia="仿宋" w:cs="仿宋"/>
          <w:sz w:val="32"/>
          <w:szCs w:val="32"/>
        </w:rPr>
        <w:t>现场办理</w:t>
      </w:r>
    </w:p>
    <w:p>
      <w:p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七、收费标准：</w:t>
      </w:r>
      <w:r>
        <w:rPr>
          <w:rFonts w:hint="eastAsia" w:ascii="仿宋" w:hAnsi="仿宋" w:eastAsia="仿宋" w:cs="仿宋"/>
          <w:sz w:val="32"/>
          <w:szCs w:val="32"/>
        </w:rPr>
        <w:t>不收费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1E0968"/>
    <w:rsid w:val="00323B43"/>
    <w:rsid w:val="003D37D8"/>
    <w:rsid w:val="00426133"/>
    <w:rsid w:val="004358AB"/>
    <w:rsid w:val="008B7726"/>
    <w:rsid w:val="00C36746"/>
    <w:rsid w:val="00D31D50"/>
    <w:rsid w:val="00F84768"/>
    <w:rsid w:val="0A995FD0"/>
    <w:rsid w:val="453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9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2022-03-14T08:19:26Z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9E537D6935DD427D9D6511B0E3B517F5</vt:lpwstr>
  </property>
</Properties>
</file>