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5D" w:rsidRDefault="009A186B">
      <w:pPr>
        <w:jc w:val="center"/>
        <w:rPr>
          <w:rFonts w:ascii="黑体" w:eastAsia="黑体" w:hAnsi="黑体" w:cs="黑体"/>
          <w:sz w:val="44"/>
          <w:szCs w:val="44"/>
        </w:rPr>
      </w:pPr>
      <w:r>
        <w:rPr>
          <w:rFonts w:ascii="黑体" w:eastAsia="黑体" w:hAnsi="黑体" w:cs="黑体" w:hint="eastAsia"/>
          <w:sz w:val="44"/>
          <w:szCs w:val="44"/>
        </w:rPr>
        <w:t>城乡居民基本养老保险参保登记办事指南</w:t>
      </w:r>
    </w:p>
    <w:p w:rsidR="007E265D" w:rsidRPr="009A186B" w:rsidRDefault="009A186B" w:rsidP="009A186B">
      <w:pPr>
        <w:pStyle w:val="a4"/>
        <w:numPr>
          <w:ilvl w:val="0"/>
          <w:numId w:val="2"/>
        </w:numPr>
        <w:spacing w:line="520" w:lineRule="exact"/>
        <w:ind w:firstLineChars="0"/>
        <w:jc w:val="left"/>
        <w:rPr>
          <w:rFonts w:ascii="仿宋" w:eastAsia="仿宋" w:hAnsi="仿宋" w:cs="仿宋"/>
          <w:sz w:val="32"/>
          <w:szCs w:val="32"/>
        </w:rPr>
      </w:pPr>
      <w:r w:rsidRPr="009A186B">
        <w:rPr>
          <w:rFonts w:ascii="仿宋" w:eastAsia="仿宋" w:hAnsi="仿宋" w:cs="仿宋" w:hint="eastAsia"/>
          <w:sz w:val="32"/>
          <w:szCs w:val="32"/>
        </w:rPr>
        <w:t>受理条件</w:t>
      </w:r>
      <w:r w:rsidRPr="009A186B">
        <w:rPr>
          <w:rFonts w:ascii="仿宋" w:eastAsia="仿宋" w:hAnsi="仿宋" w:cs="仿宋" w:hint="eastAsia"/>
          <w:sz w:val="32"/>
          <w:szCs w:val="32"/>
        </w:rPr>
        <w:t xml:space="preserve"> </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参保人员向城镇职工养老保险待遇领取地社会保险机构提入转申请，出示户籍关系转移证明、或居民身份证、户口簿原件复印件</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、参保范围</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年满</w:t>
      </w:r>
      <w:r>
        <w:rPr>
          <w:rFonts w:ascii="仿宋" w:eastAsia="仿宋" w:hAnsi="仿宋" w:cs="仿宋" w:hint="eastAsia"/>
          <w:sz w:val="32"/>
          <w:szCs w:val="32"/>
        </w:rPr>
        <w:t>16</w:t>
      </w:r>
      <w:r>
        <w:rPr>
          <w:rFonts w:ascii="仿宋" w:eastAsia="仿宋" w:hAnsi="仿宋" w:cs="仿宋" w:hint="eastAsia"/>
          <w:sz w:val="32"/>
          <w:szCs w:val="32"/>
        </w:rPr>
        <w:t>周岁（不含在校学生），</w:t>
      </w:r>
      <w:r>
        <w:rPr>
          <w:rFonts w:ascii="仿宋" w:eastAsia="仿宋" w:hAnsi="仿宋" w:cs="仿宋" w:hint="eastAsia"/>
          <w:sz w:val="32"/>
          <w:szCs w:val="32"/>
        </w:rPr>
        <w:t xml:space="preserve"> </w:t>
      </w:r>
      <w:r>
        <w:rPr>
          <w:rFonts w:ascii="仿宋" w:eastAsia="仿宋" w:hAnsi="仿宋" w:cs="仿宋" w:hint="eastAsia"/>
          <w:sz w:val="32"/>
          <w:szCs w:val="32"/>
        </w:rPr>
        <w:t>非国家机关和事业单位工作人员及不属于职工基本养老保险制度覆盖范围的城乡居民</w:t>
      </w:r>
      <w:r>
        <w:rPr>
          <w:rFonts w:ascii="仿宋" w:eastAsia="仿宋" w:hAnsi="仿宋" w:cs="仿宋" w:hint="eastAsia"/>
          <w:sz w:val="32"/>
          <w:szCs w:val="32"/>
        </w:rPr>
        <w:t xml:space="preserve"> </w:t>
      </w:r>
      <w:r>
        <w:rPr>
          <w:rFonts w:ascii="仿宋" w:eastAsia="仿宋" w:hAnsi="仿宋" w:cs="仿宋" w:hint="eastAsia"/>
          <w:sz w:val="32"/>
          <w:szCs w:val="32"/>
        </w:rPr>
        <w:t>，可以在户籍地参加城乡居民养老保险。</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、基金筹集</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城乡居民养老保险基金由个人缴费、集体补助、政府补贴构成。</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（一）个人缴费。</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参加城乡居民养老保险的人员应当按规定缴纳养老保险费。缴费标准目前设为每年</w:t>
      </w:r>
      <w:r>
        <w:rPr>
          <w:rFonts w:ascii="仿宋" w:eastAsia="仿宋" w:hAnsi="仿宋" w:cs="仿宋" w:hint="eastAsia"/>
          <w:sz w:val="32"/>
          <w:szCs w:val="32"/>
        </w:rPr>
        <w:t>100</w:t>
      </w:r>
      <w:r>
        <w:rPr>
          <w:rFonts w:ascii="仿宋" w:eastAsia="仿宋" w:hAnsi="仿宋" w:cs="仿宋" w:hint="eastAsia"/>
          <w:sz w:val="32"/>
          <w:szCs w:val="32"/>
        </w:rPr>
        <w:t>元。</w:t>
      </w:r>
      <w:r>
        <w:rPr>
          <w:rFonts w:ascii="仿宋" w:eastAsia="仿宋" w:hAnsi="仿宋" w:cs="仿宋" w:hint="eastAsia"/>
          <w:sz w:val="32"/>
          <w:szCs w:val="32"/>
        </w:rPr>
        <w:t>200</w:t>
      </w:r>
      <w:r>
        <w:rPr>
          <w:rFonts w:ascii="仿宋" w:eastAsia="仿宋" w:hAnsi="仿宋" w:cs="仿宋" w:hint="eastAsia"/>
          <w:sz w:val="32"/>
          <w:szCs w:val="32"/>
        </w:rPr>
        <w:t>元。</w:t>
      </w:r>
      <w:r>
        <w:rPr>
          <w:rFonts w:ascii="仿宋" w:eastAsia="仿宋" w:hAnsi="仿宋" w:cs="仿宋" w:hint="eastAsia"/>
          <w:sz w:val="32"/>
          <w:szCs w:val="32"/>
        </w:rPr>
        <w:t>300</w:t>
      </w:r>
      <w:r>
        <w:rPr>
          <w:rFonts w:ascii="仿宋" w:eastAsia="仿宋" w:hAnsi="仿宋" w:cs="仿宋" w:hint="eastAsia"/>
          <w:sz w:val="32"/>
          <w:szCs w:val="32"/>
        </w:rPr>
        <w:t>元</w:t>
      </w:r>
      <w:r>
        <w:rPr>
          <w:rFonts w:ascii="仿宋" w:eastAsia="仿宋" w:hAnsi="仿宋" w:cs="仿宋" w:hint="eastAsia"/>
          <w:sz w:val="32"/>
          <w:szCs w:val="32"/>
        </w:rPr>
        <w:t xml:space="preserve"> 400</w:t>
      </w:r>
      <w:r>
        <w:rPr>
          <w:rFonts w:ascii="仿宋" w:eastAsia="仿宋" w:hAnsi="仿宋" w:cs="仿宋" w:hint="eastAsia"/>
          <w:sz w:val="32"/>
          <w:szCs w:val="32"/>
        </w:rPr>
        <w:t>元。</w:t>
      </w:r>
      <w:r>
        <w:rPr>
          <w:rFonts w:ascii="仿宋" w:eastAsia="仿宋" w:hAnsi="仿宋" w:cs="仿宋" w:hint="eastAsia"/>
          <w:sz w:val="32"/>
          <w:szCs w:val="32"/>
        </w:rPr>
        <w:t>500</w:t>
      </w:r>
      <w:r>
        <w:rPr>
          <w:rFonts w:ascii="仿宋" w:eastAsia="仿宋" w:hAnsi="仿宋" w:cs="仿宋" w:hint="eastAsia"/>
          <w:sz w:val="32"/>
          <w:szCs w:val="32"/>
        </w:rPr>
        <w:t>元。</w:t>
      </w:r>
      <w:r>
        <w:rPr>
          <w:rFonts w:ascii="仿宋" w:eastAsia="仿宋" w:hAnsi="仿宋" w:cs="仿宋" w:hint="eastAsia"/>
          <w:sz w:val="32"/>
          <w:szCs w:val="32"/>
        </w:rPr>
        <w:t>600</w:t>
      </w:r>
      <w:r>
        <w:rPr>
          <w:rFonts w:ascii="仿宋" w:eastAsia="仿宋" w:hAnsi="仿宋" w:cs="仿宋" w:hint="eastAsia"/>
          <w:sz w:val="32"/>
          <w:szCs w:val="32"/>
        </w:rPr>
        <w:t>元</w:t>
      </w:r>
      <w:r>
        <w:rPr>
          <w:rFonts w:ascii="仿宋" w:eastAsia="仿宋" w:hAnsi="仿宋" w:cs="仿宋" w:hint="eastAsia"/>
          <w:sz w:val="32"/>
          <w:szCs w:val="32"/>
        </w:rPr>
        <w:t>700</w:t>
      </w:r>
      <w:r>
        <w:rPr>
          <w:rFonts w:ascii="仿宋" w:eastAsia="仿宋" w:hAnsi="仿宋" w:cs="仿宋" w:hint="eastAsia"/>
          <w:sz w:val="32"/>
          <w:szCs w:val="32"/>
        </w:rPr>
        <w:t>元</w:t>
      </w:r>
      <w:r>
        <w:rPr>
          <w:rFonts w:ascii="仿宋" w:eastAsia="仿宋" w:hAnsi="仿宋" w:cs="仿宋" w:hint="eastAsia"/>
          <w:sz w:val="32"/>
          <w:szCs w:val="32"/>
        </w:rPr>
        <w:t xml:space="preserve"> 800</w:t>
      </w:r>
      <w:r>
        <w:rPr>
          <w:rFonts w:ascii="仿宋" w:eastAsia="仿宋" w:hAnsi="仿宋" w:cs="仿宋" w:hint="eastAsia"/>
          <w:sz w:val="32"/>
          <w:szCs w:val="32"/>
        </w:rPr>
        <w:t>元</w:t>
      </w:r>
      <w:r>
        <w:rPr>
          <w:rFonts w:ascii="仿宋" w:eastAsia="仿宋" w:hAnsi="仿宋" w:cs="仿宋" w:hint="eastAsia"/>
          <w:sz w:val="32"/>
          <w:szCs w:val="32"/>
        </w:rPr>
        <w:t xml:space="preserve"> 900</w:t>
      </w:r>
      <w:r>
        <w:rPr>
          <w:rFonts w:ascii="仿宋" w:eastAsia="仿宋" w:hAnsi="仿宋" w:cs="仿宋" w:hint="eastAsia"/>
          <w:sz w:val="32"/>
          <w:szCs w:val="32"/>
        </w:rPr>
        <w:t>元</w:t>
      </w:r>
      <w:r>
        <w:rPr>
          <w:rFonts w:ascii="仿宋" w:eastAsia="仿宋" w:hAnsi="仿宋" w:cs="仿宋" w:hint="eastAsia"/>
          <w:sz w:val="32"/>
          <w:szCs w:val="32"/>
        </w:rPr>
        <w:t>1000</w:t>
      </w:r>
      <w:r>
        <w:rPr>
          <w:rFonts w:ascii="仿宋" w:eastAsia="仿宋" w:hAnsi="仿宋" w:cs="仿宋" w:hint="eastAsia"/>
          <w:sz w:val="32"/>
          <w:szCs w:val="32"/>
        </w:rPr>
        <w:t>元、</w:t>
      </w:r>
      <w:r>
        <w:rPr>
          <w:rFonts w:ascii="仿宋" w:eastAsia="仿宋" w:hAnsi="仿宋" w:cs="仿宋" w:hint="eastAsia"/>
          <w:sz w:val="32"/>
          <w:szCs w:val="32"/>
        </w:rPr>
        <w:t>1500</w:t>
      </w:r>
      <w:r>
        <w:rPr>
          <w:rFonts w:ascii="仿宋" w:eastAsia="仿宋" w:hAnsi="仿宋" w:cs="仿宋" w:hint="eastAsia"/>
          <w:sz w:val="32"/>
          <w:szCs w:val="32"/>
        </w:rPr>
        <w:t>元、</w:t>
      </w:r>
      <w:r>
        <w:rPr>
          <w:rFonts w:ascii="仿宋" w:eastAsia="仿宋" w:hAnsi="仿宋" w:cs="仿宋" w:hint="eastAsia"/>
          <w:sz w:val="32"/>
          <w:szCs w:val="32"/>
        </w:rPr>
        <w:t>2000</w:t>
      </w:r>
      <w:r>
        <w:rPr>
          <w:rFonts w:ascii="仿宋" w:eastAsia="仿宋" w:hAnsi="仿宋" w:cs="仿宋" w:hint="eastAsia"/>
          <w:sz w:val="32"/>
          <w:szCs w:val="32"/>
        </w:rPr>
        <w:t>元</w:t>
      </w:r>
      <w:r>
        <w:rPr>
          <w:rFonts w:ascii="仿宋" w:eastAsia="仿宋" w:hAnsi="仿宋" w:cs="仿宋" w:hint="eastAsia"/>
          <w:sz w:val="32"/>
          <w:szCs w:val="32"/>
        </w:rPr>
        <w:t>12</w:t>
      </w:r>
      <w:r>
        <w:rPr>
          <w:rFonts w:ascii="仿宋" w:eastAsia="仿宋" w:hAnsi="仿宋" w:cs="仿宋" w:hint="eastAsia"/>
          <w:sz w:val="32"/>
          <w:szCs w:val="32"/>
        </w:rPr>
        <w:t>个档次，省（区、市）人民政府可以根据实际情况增设缴费档次，最高</w:t>
      </w:r>
      <w:r>
        <w:rPr>
          <w:rFonts w:ascii="仿宋" w:eastAsia="仿宋" w:hAnsi="仿宋" w:cs="仿宋" w:hint="eastAsia"/>
          <w:sz w:val="32"/>
          <w:szCs w:val="32"/>
        </w:rPr>
        <w:t>缴费档次标准原则上不超过当地灵活就业人员参加职工基本养老保险的年缴费额，并报人力资源社会保障部备案。人力资源社会保障部会同财政部依据城乡居民收入增长等情况适时调整缴费档次标准。参保人自主选择档次缴费，多缴多得。</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（二）集体补助。</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有条件的村集体经济组织应当对参保人缴费给予补助，补助标准由村民委员会召开村民会议民主确定，鼓励有条件的社区将集体补助纳入社区公益事业资金筹集</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lastRenderedPageBreak/>
        <w:t>范围。鼓励其他社会经济组织、公益慈善组织、个人为参保人缴费提供资助。补助、资助金额不超过当地设定的最高缴费档次标准。</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（三）政府补贴。</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政府对符合领取城乡居民养老保险待遇条件的参保人全额支付基础养老金，其中，中央财政对中西部地区按中央确定的基础养老金标准给予全额补助，对东部地区给予</w:t>
      </w:r>
      <w:r>
        <w:rPr>
          <w:rFonts w:ascii="仿宋" w:eastAsia="仿宋" w:hAnsi="仿宋" w:cs="仿宋" w:hint="eastAsia"/>
          <w:sz w:val="32"/>
          <w:szCs w:val="32"/>
        </w:rPr>
        <w:t>50%</w:t>
      </w:r>
      <w:r>
        <w:rPr>
          <w:rFonts w:ascii="仿宋" w:eastAsia="仿宋" w:hAnsi="仿宋" w:cs="仿宋" w:hint="eastAsia"/>
          <w:sz w:val="32"/>
          <w:szCs w:val="32"/>
        </w:rPr>
        <w:t>的补助。</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地方人民政府应当对参保人缴费给予补贴，对选择最低档次标准缴费的，补贴标准不低于每人每年</w:t>
      </w:r>
      <w:r>
        <w:rPr>
          <w:rFonts w:ascii="仿宋" w:eastAsia="仿宋" w:hAnsi="仿宋" w:cs="仿宋" w:hint="eastAsia"/>
          <w:sz w:val="32"/>
          <w:szCs w:val="32"/>
        </w:rPr>
        <w:t>30</w:t>
      </w:r>
      <w:r>
        <w:rPr>
          <w:rFonts w:ascii="仿宋" w:eastAsia="仿宋" w:hAnsi="仿宋" w:cs="仿宋" w:hint="eastAsia"/>
          <w:sz w:val="32"/>
          <w:szCs w:val="32"/>
        </w:rPr>
        <w:t>元对选择较高档次标准约费的，适当增加补贴全额对选择</w:t>
      </w:r>
      <w:r>
        <w:rPr>
          <w:rFonts w:ascii="仿宋" w:eastAsia="仿宋" w:hAnsi="仿宋" w:cs="仿宋" w:hint="eastAsia"/>
          <w:sz w:val="32"/>
          <w:szCs w:val="32"/>
        </w:rPr>
        <w:t>500</w:t>
      </w:r>
      <w:r>
        <w:rPr>
          <w:rFonts w:ascii="仿宋" w:eastAsia="仿宋" w:hAnsi="仿宋" w:cs="仿宋" w:hint="eastAsia"/>
          <w:sz w:val="32"/>
          <w:szCs w:val="32"/>
        </w:rPr>
        <w:t>元及以上档次标准缴费的，补贴标准不低于每人每年</w:t>
      </w:r>
      <w:r>
        <w:rPr>
          <w:rFonts w:ascii="仿宋" w:eastAsia="仿宋" w:hAnsi="仿宋" w:cs="仿宋" w:hint="eastAsia"/>
          <w:sz w:val="32"/>
          <w:szCs w:val="32"/>
        </w:rPr>
        <w:t>60</w:t>
      </w:r>
      <w:r>
        <w:rPr>
          <w:rFonts w:ascii="仿宋" w:eastAsia="仿宋" w:hAnsi="仿宋" w:cs="仿宋" w:hint="eastAsia"/>
          <w:sz w:val="32"/>
          <w:szCs w:val="32"/>
        </w:rPr>
        <w:t>元，具体标准和办法由省（区、市）人民政府确定。对重度残疾人等缴费困难群体，地方人民政府为其代缴部分或全部最低标准的养老保险费。</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五、建立个人账户</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国家为</w:t>
      </w:r>
      <w:r>
        <w:rPr>
          <w:rFonts w:ascii="仿宋" w:eastAsia="仿宋" w:hAnsi="仿宋" w:cs="仿宋" w:hint="eastAsia"/>
          <w:sz w:val="32"/>
          <w:szCs w:val="32"/>
        </w:rPr>
        <w:t>每个参保人员建立终身记录的养老保险个人账户，个人缴费、地方人民政府对参保人的缴费补贴、集体补助及其他社会经济组织、公益慈善组织、个人对</w:t>
      </w:r>
      <w:r>
        <w:rPr>
          <w:rFonts w:ascii="仿宋" w:eastAsia="仿宋" w:hAnsi="仿宋" w:cs="仿宋" w:hint="eastAsia"/>
          <w:sz w:val="32"/>
          <w:szCs w:val="32"/>
        </w:rPr>
        <w:t>参保人的缴费资助，全部记入个人账户。个人账户储存额按国家规定计息。</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六、养老保险待遇及调整</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城乡居民养老保险待遇由基础养老金和个人账户养老金构成，支付终身。</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（一）基础养老金。中央确定基础养老金最低标准，建立基础养老金最低标准正常调整机制，根据经济发展和物价变动等情况，适时调整全国基础养老金最低标</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lastRenderedPageBreak/>
        <w:t>准。地方人民政府可以根据实际情况适当提高基础养老金标准</w:t>
      </w:r>
      <w:r>
        <w:rPr>
          <w:rFonts w:ascii="仿宋" w:eastAsia="仿宋" w:hAnsi="仿宋" w:cs="仿宋" w:hint="eastAsia"/>
          <w:sz w:val="32"/>
          <w:szCs w:val="32"/>
        </w:rPr>
        <w:t>;</w:t>
      </w:r>
      <w:r>
        <w:rPr>
          <w:rFonts w:ascii="仿宋" w:eastAsia="仿宋" w:hAnsi="仿宋" w:cs="仿宋" w:hint="eastAsia"/>
          <w:sz w:val="32"/>
          <w:szCs w:val="32"/>
        </w:rPr>
        <w:t>对长期缴费的，可适当加发基础养老金，提高和加发部分的资金由地方人民政府支出</w:t>
      </w:r>
      <w:r>
        <w:rPr>
          <w:rFonts w:ascii="仿宋" w:eastAsia="仿宋" w:hAnsi="仿宋" w:cs="仿宋" w:hint="eastAsia"/>
          <w:sz w:val="32"/>
          <w:szCs w:val="32"/>
        </w:rPr>
        <w:t xml:space="preserve"> </w:t>
      </w:r>
      <w:r>
        <w:rPr>
          <w:rFonts w:ascii="仿宋" w:eastAsia="仿宋" w:hAnsi="仿宋" w:cs="仿宋" w:hint="eastAsia"/>
          <w:sz w:val="32"/>
          <w:szCs w:val="32"/>
        </w:rPr>
        <w:t>，具体办法由省（区、市）人民政府规定，并报人力资源社会保障部备案。</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（二）个人账户养老金。个人账户养老金的月计发标准，目前为个人账户全部储存额除以</w:t>
      </w:r>
      <w:r>
        <w:rPr>
          <w:rFonts w:ascii="仿宋" w:eastAsia="仿宋" w:hAnsi="仿宋" w:cs="仿宋" w:hint="eastAsia"/>
          <w:sz w:val="32"/>
          <w:szCs w:val="32"/>
        </w:rPr>
        <w:t>139</w:t>
      </w:r>
      <w:r>
        <w:rPr>
          <w:rFonts w:ascii="仿宋" w:eastAsia="仿宋" w:hAnsi="仿宋" w:cs="仿宋" w:hint="eastAsia"/>
          <w:sz w:val="32"/>
          <w:szCs w:val="32"/>
        </w:rPr>
        <w:t>（与现行职工基本养老保险个人账户养老金计发系数相同）。参保人死亡，个人账户资金余额可以依法继承。</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七、养老保险待遇领取条件</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参加城乡居民养老保险的个人，年满</w:t>
      </w:r>
      <w:r>
        <w:rPr>
          <w:rFonts w:ascii="仿宋" w:eastAsia="仿宋" w:hAnsi="仿宋" w:cs="仿宋" w:hint="eastAsia"/>
          <w:sz w:val="32"/>
          <w:szCs w:val="32"/>
        </w:rPr>
        <w:t>60</w:t>
      </w:r>
      <w:r>
        <w:rPr>
          <w:rFonts w:ascii="仿宋" w:eastAsia="仿宋" w:hAnsi="仿宋" w:cs="仿宋" w:hint="eastAsia"/>
          <w:sz w:val="32"/>
          <w:szCs w:val="32"/>
        </w:rPr>
        <w:t>周岁、累计缴费满</w:t>
      </w:r>
      <w:r>
        <w:rPr>
          <w:rFonts w:ascii="仿宋" w:eastAsia="仿宋" w:hAnsi="仿宋" w:cs="仿宋" w:hint="eastAsia"/>
          <w:sz w:val="32"/>
          <w:szCs w:val="32"/>
        </w:rPr>
        <w:t>15</w:t>
      </w:r>
      <w:r>
        <w:rPr>
          <w:rFonts w:ascii="仿宋" w:eastAsia="仿宋" w:hAnsi="仿宋" w:cs="仿宋" w:hint="eastAsia"/>
          <w:sz w:val="32"/>
          <w:szCs w:val="32"/>
        </w:rPr>
        <w:t>年，且未领取国家规定的基本养老保障待遇的，可以按</w:t>
      </w:r>
      <w:r>
        <w:rPr>
          <w:rFonts w:ascii="仿宋" w:eastAsia="仿宋" w:hAnsi="仿宋" w:cs="仿宋" w:hint="eastAsia"/>
          <w:sz w:val="32"/>
          <w:szCs w:val="32"/>
        </w:rPr>
        <w:t>月领取城乡居民养老保险待遇。</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新农保或城居保制度实施时已年满</w:t>
      </w:r>
      <w:r>
        <w:rPr>
          <w:rFonts w:ascii="仿宋" w:eastAsia="仿宋" w:hAnsi="仿宋" w:cs="仿宋" w:hint="eastAsia"/>
          <w:sz w:val="32"/>
          <w:szCs w:val="32"/>
        </w:rPr>
        <w:t>60</w:t>
      </w:r>
      <w:r>
        <w:rPr>
          <w:rFonts w:ascii="仿宋" w:eastAsia="仿宋" w:hAnsi="仿宋" w:cs="仿宋" w:hint="eastAsia"/>
          <w:sz w:val="32"/>
          <w:szCs w:val="32"/>
        </w:rPr>
        <w:t>周岁</w:t>
      </w:r>
      <w:r>
        <w:rPr>
          <w:rFonts w:ascii="仿宋" w:eastAsia="仿宋" w:hAnsi="仿宋" w:cs="仿宋" w:hint="eastAsia"/>
          <w:sz w:val="32"/>
          <w:szCs w:val="32"/>
        </w:rPr>
        <w:t xml:space="preserve"> </w:t>
      </w:r>
      <w:r>
        <w:rPr>
          <w:rFonts w:ascii="仿宋" w:eastAsia="仿宋" w:hAnsi="仿宋" w:cs="仿宋" w:hint="eastAsia"/>
          <w:sz w:val="32"/>
          <w:szCs w:val="32"/>
        </w:rPr>
        <w:t>，在本意见印发之日前未领取国家规定的基本养老保障待遇的，不用缴费，自本意见实施之月起</w:t>
      </w:r>
      <w:r>
        <w:rPr>
          <w:rFonts w:ascii="仿宋" w:eastAsia="仿宋" w:hAnsi="仿宋" w:cs="仿宋" w:hint="eastAsia"/>
          <w:sz w:val="32"/>
          <w:szCs w:val="32"/>
        </w:rPr>
        <w:t xml:space="preserve"> </w:t>
      </w:r>
      <w:r>
        <w:rPr>
          <w:rFonts w:ascii="仿宋" w:eastAsia="仿宋" w:hAnsi="仿宋" w:cs="仿宋" w:hint="eastAsia"/>
          <w:sz w:val="32"/>
          <w:szCs w:val="32"/>
        </w:rPr>
        <w:t>，可以按月领取城乡居</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民养老保险基础养老金</w:t>
      </w:r>
      <w:r>
        <w:rPr>
          <w:rFonts w:ascii="仿宋" w:eastAsia="仿宋" w:hAnsi="仿宋" w:cs="仿宋" w:hint="eastAsia"/>
          <w:sz w:val="32"/>
          <w:szCs w:val="32"/>
        </w:rPr>
        <w:t>;</w:t>
      </w:r>
      <w:r>
        <w:rPr>
          <w:rFonts w:ascii="仿宋" w:eastAsia="仿宋" w:hAnsi="仿宋" w:cs="仿宋" w:hint="eastAsia"/>
          <w:sz w:val="32"/>
          <w:szCs w:val="32"/>
        </w:rPr>
        <w:t>距规定领取年龄不足</w:t>
      </w:r>
      <w:r>
        <w:rPr>
          <w:rFonts w:ascii="仿宋" w:eastAsia="仿宋" w:hAnsi="仿宋" w:cs="仿宋" w:hint="eastAsia"/>
          <w:sz w:val="32"/>
          <w:szCs w:val="32"/>
        </w:rPr>
        <w:t>15</w:t>
      </w:r>
      <w:r>
        <w:rPr>
          <w:rFonts w:ascii="仿宋" w:eastAsia="仿宋" w:hAnsi="仿宋" w:cs="仿宋" w:hint="eastAsia"/>
          <w:sz w:val="32"/>
          <w:szCs w:val="32"/>
        </w:rPr>
        <w:t>年的，应逐年缴费，也允许补缴，累计缴费不超过</w:t>
      </w:r>
      <w:r>
        <w:rPr>
          <w:rFonts w:ascii="仿宋" w:eastAsia="仿宋" w:hAnsi="仿宋" w:cs="仿宋" w:hint="eastAsia"/>
          <w:sz w:val="32"/>
          <w:szCs w:val="32"/>
        </w:rPr>
        <w:t>15</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距规定领取年龄超过</w:t>
      </w:r>
      <w:r>
        <w:rPr>
          <w:rFonts w:ascii="仿宋" w:eastAsia="仿宋" w:hAnsi="仿宋" w:cs="仿宋" w:hint="eastAsia"/>
          <w:sz w:val="32"/>
          <w:szCs w:val="32"/>
        </w:rPr>
        <w:t>15</w:t>
      </w:r>
      <w:r>
        <w:rPr>
          <w:rFonts w:ascii="仿宋" w:eastAsia="仿宋" w:hAnsi="仿宋" w:cs="仿宋" w:hint="eastAsia"/>
          <w:sz w:val="32"/>
          <w:szCs w:val="32"/>
        </w:rPr>
        <w:t>年的，应按年缴费，累计缴费不少于</w:t>
      </w:r>
      <w:r>
        <w:rPr>
          <w:rFonts w:ascii="仿宋" w:eastAsia="仿宋" w:hAnsi="仿宋" w:cs="仿宋" w:hint="eastAsia"/>
          <w:sz w:val="32"/>
          <w:szCs w:val="32"/>
        </w:rPr>
        <w:t>15</w:t>
      </w:r>
      <w:r>
        <w:rPr>
          <w:rFonts w:ascii="仿宋" w:eastAsia="仿宋" w:hAnsi="仿宋" w:cs="仿宋" w:hint="eastAsia"/>
          <w:sz w:val="32"/>
          <w:szCs w:val="32"/>
        </w:rPr>
        <w:t>年。</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城乡居民养老保险待遇领取人员死亡的</w:t>
      </w:r>
      <w:r>
        <w:rPr>
          <w:rFonts w:ascii="仿宋" w:eastAsia="仿宋" w:hAnsi="仿宋" w:cs="仿宋" w:hint="eastAsia"/>
          <w:sz w:val="32"/>
          <w:szCs w:val="32"/>
        </w:rPr>
        <w:t xml:space="preserve"> </w:t>
      </w:r>
      <w:r>
        <w:rPr>
          <w:rFonts w:ascii="仿宋" w:eastAsia="仿宋" w:hAnsi="仿宋" w:cs="仿宋" w:hint="eastAsia"/>
          <w:sz w:val="32"/>
          <w:szCs w:val="32"/>
        </w:rPr>
        <w:t>，从次月起停止支付其养老金。有条件的地方人民政府可以结合本地实际探索建立丧葬补助金制度。社会保险经办机构应每年对城乡居民养老保险待遇领取人</w:t>
      </w:r>
      <w:r>
        <w:rPr>
          <w:rFonts w:ascii="仿宋" w:eastAsia="仿宋" w:hAnsi="仿宋" w:cs="仿宋" w:hint="eastAsia"/>
          <w:sz w:val="32"/>
          <w:szCs w:val="32"/>
        </w:rPr>
        <w:t>员进行核对</w:t>
      </w:r>
      <w:r>
        <w:rPr>
          <w:rFonts w:ascii="仿宋" w:eastAsia="仿宋" w:hAnsi="仿宋" w:cs="仿宋" w:hint="eastAsia"/>
          <w:sz w:val="32"/>
          <w:szCs w:val="32"/>
        </w:rPr>
        <w:t>;</w:t>
      </w:r>
      <w:r>
        <w:rPr>
          <w:rFonts w:ascii="仿宋" w:eastAsia="仿宋" w:hAnsi="仿宋" w:cs="仿宋" w:hint="eastAsia"/>
          <w:sz w:val="32"/>
          <w:szCs w:val="32"/>
        </w:rPr>
        <w:t>村（居）民委员会要协助社会保险经办机构开展工作，在行政村（社区）范围内对参保人待遇领取资格进行公示，并与职工基本养老保险待遇等领取记录进行比对</w:t>
      </w:r>
      <w:r>
        <w:rPr>
          <w:rFonts w:ascii="仿宋" w:eastAsia="仿宋" w:hAnsi="仿宋" w:cs="仿宋" w:hint="eastAsia"/>
          <w:sz w:val="32"/>
          <w:szCs w:val="32"/>
        </w:rPr>
        <w:t xml:space="preserve"> </w:t>
      </w:r>
      <w:r>
        <w:rPr>
          <w:rFonts w:ascii="仿宋" w:eastAsia="仿宋" w:hAnsi="仿宋" w:cs="仿宋" w:hint="eastAsia"/>
          <w:sz w:val="32"/>
          <w:szCs w:val="32"/>
        </w:rPr>
        <w:t>，确保不重、不漏、不错。</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八、转移接续与制度衔接</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lastRenderedPageBreak/>
        <w:t>参加城乡居民养老保险的人员，在缴费期间户籍迁移、需要跨地区转移城乡居民养老保险关系的，可在迁入地申请转移养老保险关系，一次性转移个人账户全部</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储存额，并按迁入地规定继续保缴费</w:t>
      </w:r>
      <w:r>
        <w:rPr>
          <w:rFonts w:ascii="仿宋" w:eastAsia="仿宋" w:hAnsi="仿宋" w:cs="仿宋" w:hint="eastAsia"/>
          <w:sz w:val="32"/>
          <w:szCs w:val="32"/>
        </w:rPr>
        <w:t xml:space="preserve"> </w:t>
      </w:r>
      <w:r>
        <w:rPr>
          <w:rFonts w:ascii="仿宋" w:eastAsia="仿宋" w:hAnsi="仿宋" w:cs="仿宋" w:hint="eastAsia"/>
          <w:sz w:val="32"/>
          <w:szCs w:val="32"/>
        </w:rPr>
        <w:t>，缴费年限累计计算∶已经按规定领取城乡居民养老保险待遇的，无论户籍是否计移。其养老保险关系不</w:t>
      </w:r>
      <w:r>
        <w:rPr>
          <w:rFonts w:ascii="仿宋" w:eastAsia="仿宋" w:hAnsi="仿宋" w:cs="仿宋" w:hint="eastAsia"/>
          <w:sz w:val="32"/>
          <w:szCs w:val="32"/>
        </w:rPr>
        <w:t>转</w:t>
      </w:r>
      <w:r>
        <w:rPr>
          <w:rFonts w:ascii="仿宋" w:eastAsia="仿宋" w:hAnsi="仿宋" w:cs="仿宋" w:hint="eastAsia"/>
          <w:sz w:val="32"/>
          <w:szCs w:val="32"/>
        </w:rPr>
        <w:t>移</w:t>
      </w:r>
      <w:r>
        <w:rPr>
          <w:rFonts w:ascii="仿宋" w:eastAsia="仿宋" w:hAnsi="仿宋" w:cs="仿宋" w:hint="eastAsia"/>
          <w:sz w:val="32"/>
          <w:szCs w:val="32"/>
        </w:rPr>
        <w:t>。</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城乡居民养老保险制度与职工基本</w:t>
      </w:r>
      <w:r>
        <w:rPr>
          <w:rFonts w:ascii="仿宋" w:eastAsia="仿宋" w:hAnsi="仿宋" w:cs="仿宋" w:hint="eastAsia"/>
          <w:sz w:val="32"/>
          <w:szCs w:val="32"/>
        </w:rPr>
        <w:t>养老保险、</w:t>
      </w:r>
      <w:r>
        <w:rPr>
          <w:rFonts w:ascii="仿宋" w:eastAsia="仿宋" w:hAnsi="仿宋" w:cs="仿宋" w:hint="eastAsia"/>
          <w:sz w:val="32"/>
          <w:szCs w:val="32"/>
        </w:rPr>
        <w:t xml:space="preserve"> </w:t>
      </w:r>
      <w:r>
        <w:rPr>
          <w:rFonts w:ascii="仿宋" w:eastAsia="仿宋" w:hAnsi="仿宋" w:cs="仿宋" w:hint="eastAsia"/>
          <w:sz w:val="32"/>
          <w:szCs w:val="32"/>
        </w:rPr>
        <w:t>优抚安置、城乡居民最低生活保障、农村五保供养等社会保障制度以及农村部分计划生育家庭奖励扶助制度的衔</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接，按有关规定执行。</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九、基金管理和运营</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将新农保基金和城居保基金合并为城乡居民养老保险基金，完善城乡居民养老保险基金财务会计制度和各项业务管理规章制度。城乡居民养老保险基金纳内入社会保障基金财政专户，实行收支两条线管理，单独记账、独立核算，任何地区、部门、单位和个人均不得挤占挪用、虚报冒领。各地要在整合城乡居民养老保险制度的基础上，逐步推进城乡居民养老保险基金省级管理。</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城乡居民养老保险基金按照</w:t>
      </w:r>
      <w:r>
        <w:rPr>
          <w:rFonts w:ascii="仿宋" w:eastAsia="仿宋" w:hAnsi="仿宋" w:cs="仿宋" w:hint="eastAsia"/>
          <w:sz w:val="32"/>
          <w:szCs w:val="32"/>
        </w:rPr>
        <w:t>国家统一规定投资运营，实现保值增值。</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十、基金监督</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各级人力资源社会保障部门要会同有关部门认真履行监管职责，建立健全内控制度和基金稽核监督制度，对基金的筹集、上解、划拨、发放、存储、管理等进行监控和检查，并按规定披露信息，接受社会监督。财政部门、审计部门按各</w:t>
      </w:r>
      <w:r>
        <w:rPr>
          <w:rFonts w:ascii="仿宋" w:eastAsia="仿宋" w:hAnsi="仿宋" w:cs="仿宋" w:hint="eastAsia"/>
          <w:sz w:val="32"/>
          <w:szCs w:val="32"/>
        </w:rPr>
        <w:lastRenderedPageBreak/>
        <w:t>自职责，对基金的收支、管理和投资运营情况实施监督。对虚报冒领、挤占挪用、贪</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污浪费等违纪违法行为，有关部门按国家有关法律法规严肃处理。要积极探索有村（居）民代表参加的社会监督的有效方式，做到基金公开透明，制度在阳光下运</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行。</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十一、经办管理服务与信息化建设</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省（区、市）人民政府要切实加强城乡居民养老保险经办能力建设，结合本地实际，科学整合现有公共服务资源和社会保险经办管理资源，充实加强基层经办力</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量，做到精确管理、便捷服务。要注重运用现代管理方式和政府购买服务方式</w:t>
      </w:r>
      <w:r>
        <w:rPr>
          <w:rFonts w:ascii="仿宋" w:eastAsia="仿宋" w:hAnsi="仿宋" w:cs="仿宋" w:hint="eastAsia"/>
          <w:sz w:val="32"/>
          <w:szCs w:val="32"/>
        </w:rPr>
        <w:t xml:space="preserve"> </w:t>
      </w:r>
      <w:r>
        <w:rPr>
          <w:rFonts w:ascii="仿宋" w:eastAsia="仿宋" w:hAnsi="仿宋" w:cs="仿宋" w:hint="eastAsia"/>
          <w:sz w:val="32"/>
          <w:szCs w:val="32"/>
        </w:rPr>
        <w:t>，降低行政成本，提高工作效率。要加强城乡居民养老保险工作人员专业培训，不</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断提高公共服务水平。社会保险经办机构要认真记录参保人费和领取待遇情况，建立参保档案</w:t>
      </w:r>
      <w:r>
        <w:rPr>
          <w:rFonts w:ascii="仿宋" w:eastAsia="仿宋" w:hAnsi="仿宋" w:cs="仿宋" w:hint="eastAsia"/>
          <w:sz w:val="32"/>
          <w:szCs w:val="32"/>
        </w:rPr>
        <w:t xml:space="preserve"> </w:t>
      </w:r>
      <w:r>
        <w:rPr>
          <w:rFonts w:ascii="仿宋" w:eastAsia="仿宋" w:hAnsi="仿宋" w:cs="仿宋" w:hint="eastAsia"/>
          <w:sz w:val="32"/>
          <w:szCs w:val="32"/>
        </w:rPr>
        <w:t>，按规定妥善保存。地方人民政府要为经力机构提供少必要的工作场地、设施设备、经费保障。城乡居民养老保险工作经费纳</w:t>
      </w:r>
      <w:r>
        <w:rPr>
          <w:rFonts w:ascii="仿宋" w:eastAsia="仿宋" w:hAnsi="仿宋" w:cs="仿宋" w:hint="eastAsia"/>
          <w:sz w:val="32"/>
          <w:szCs w:val="32"/>
        </w:rPr>
        <w:t>入同级财政预算，不得从城乡居民养老保险基金中开支。基层财政确有困难的地区，省市级财政可给予适当补助。</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各地要在现有新农保和城居保业务管理系统基础上，整合形成省级集中的城乡居民养老保险信息管理系统，纳入</w:t>
      </w:r>
      <w:r>
        <w:rPr>
          <w:rFonts w:ascii="仿宋" w:eastAsia="仿宋" w:hAnsi="仿宋" w:cs="仿宋" w:hint="eastAsia"/>
          <w:sz w:val="32"/>
          <w:szCs w:val="32"/>
        </w:rPr>
        <w:t>"</w:t>
      </w:r>
      <w:r>
        <w:rPr>
          <w:rFonts w:ascii="仿宋" w:eastAsia="仿宋" w:hAnsi="仿宋" w:cs="仿宋" w:hint="eastAsia"/>
          <w:sz w:val="32"/>
          <w:szCs w:val="32"/>
        </w:rPr>
        <w:t>金保工程</w:t>
      </w:r>
      <w:r>
        <w:rPr>
          <w:rFonts w:ascii="仿宋" w:eastAsia="仿宋" w:hAnsi="仿宋" w:cs="仿宋" w:hint="eastAsia"/>
          <w:sz w:val="32"/>
          <w:szCs w:val="32"/>
        </w:rPr>
        <w:t>"</w:t>
      </w:r>
      <w:r>
        <w:rPr>
          <w:rFonts w:ascii="仿宋" w:eastAsia="仿宋" w:hAnsi="仿宋" w:cs="仿宋" w:hint="eastAsia"/>
          <w:sz w:val="32"/>
          <w:szCs w:val="32"/>
        </w:rPr>
        <w:t>建设，并与其他公民信息管理系统</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实现信息资源共享</w:t>
      </w:r>
      <w:r>
        <w:rPr>
          <w:rFonts w:ascii="仿宋" w:eastAsia="仿宋" w:hAnsi="仿宋" w:cs="仿宋" w:hint="eastAsia"/>
          <w:sz w:val="32"/>
          <w:szCs w:val="32"/>
        </w:rPr>
        <w:t>;</w:t>
      </w:r>
      <w:r>
        <w:rPr>
          <w:rFonts w:ascii="仿宋" w:eastAsia="仿宋" w:hAnsi="仿宋" w:cs="仿宋" w:hint="eastAsia"/>
          <w:sz w:val="32"/>
          <w:szCs w:val="32"/>
        </w:rPr>
        <w:t>要将信息网络向基层延伸，实现省、市、县、乡镇（街道）、社区实时联网，有条件的地区可延伸到行政村</w:t>
      </w:r>
      <w:r>
        <w:rPr>
          <w:rFonts w:ascii="仿宋" w:eastAsia="仿宋" w:hAnsi="仿宋" w:cs="仿宋" w:hint="eastAsia"/>
          <w:sz w:val="32"/>
          <w:szCs w:val="32"/>
        </w:rPr>
        <w:t>;</w:t>
      </w:r>
      <w:r>
        <w:rPr>
          <w:rFonts w:ascii="仿宋" w:eastAsia="仿宋" w:hAnsi="仿宋" w:cs="仿宋" w:hint="eastAsia"/>
          <w:sz w:val="32"/>
          <w:szCs w:val="32"/>
        </w:rPr>
        <w:t>要大力推行全国统一的社会保障卡，方便参保人持卡缴费、领取待遇和查询本人参保信息。</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lastRenderedPageBreak/>
        <w:t>十二、加强组织领导和政策宣传</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地方各级人民政府要充分认识建立城乡居民养老</w:t>
      </w:r>
      <w:r>
        <w:rPr>
          <w:rFonts w:ascii="仿宋" w:eastAsia="仿宋" w:hAnsi="仿宋" w:cs="仿宋" w:hint="eastAsia"/>
          <w:sz w:val="32"/>
          <w:szCs w:val="32"/>
        </w:rPr>
        <w:t>保险制度的重要性，将其列入当地经济社会发展规划和年度目标管理考核体系，切实加强组织领导</w:t>
      </w:r>
      <w:r>
        <w:rPr>
          <w:rFonts w:ascii="仿宋" w:eastAsia="仿宋" w:hAnsi="仿宋" w:cs="仿宋" w:hint="eastAsia"/>
          <w:sz w:val="32"/>
          <w:szCs w:val="32"/>
        </w:rPr>
        <w:t>;</w:t>
      </w:r>
      <w:r>
        <w:rPr>
          <w:rFonts w:ascii="仿宋" w:eastAsia="仿宋" w:hAnsi="仿宋" w:cs="仿宋" w:hint="eastAsia"/>
          <w:sz w:val="32"/>
          <w:szCs w:val="32"/>
        </w:rPr>
        <w:t>要优化财政支出结构，加大财政投入，为城乡居民养老保险制度建设提供必要的财力保障。各级人力资源社会保障部门要切实履行主管部门职责，会同有关部门做好城乡居民养老保险工作的统筹规划和政策制定、统一管理、综合协调、监督检查等工作。</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各地区和有关部门要认真做好城乡居民养老保险政策宣传工作</w:t>
      </w:r>
      <w:r>
        <w:rPr>
          <w:rFonts w:ascii="仿宋" w:eastAsia="仿宋" w:hAnsi="仿宋" w:cs="仿宋" w:hint="eastAsia"/>
          <w:sz w:val="32"/>
          <w:szCs w:val="32"/>
        </w:rPr>
        <w:t xml:space="preserve"> </w:t>
      </w:r>
      <w:r>
        <w:rPr>
          <w:rFonts w:ascii="仿宋" w:eastAsia="仿宋" w:hAnsi="仿宋" w:cs="仿宋" w:hint="eastAsia"/>
          <w:sz w:val="32"/>
          <w:szCs w:val="32"/>
        </w:rPr>
        <w:t>，全面准确地宣传解读政策，正确把握集论导向</w:t>
      </w:r>
      <w:r>
        <w:rPr>
          <w:rFonts w:ascii="仿宋" w:eastAsia="仿宋" w:hAnsi="仿宋" w:cs="仿宋" w:hint="eastAsia"/>
          <w:sz w:val="32"/>
          <w:szCs w:val="32"/>
        </w:rPr>
        <w:t xml:space="preserve"> </w:t>
      </w:r>
      <w:r>
        <w:rPr>
          <w:rFonts w:ascii="仿宋" w:eastAsia="仿宋" w:hAnsi="仿宋" w:cs="仿宋" w:hint="eastAsia"/>
          <w:sz w:val="32"/>
          <w:szCs w:val="32"/>
        </w:rPr>
        <w:t>，重运用通俗易懂的语言和群众易干接受的方式，深入基层开展宣传活动，引导城乡居民踊跃参保、持续缴费、增</w:t>
      </w:r>
      <w:r>
        <w:rPr>
          <w:rFonts w:ascii="仿宋" w:eastAsia="仿宋" w:hAnsi="仿宋" w:cs="仿宋" w:hint="eastAsia"/>
          <w:sz w:val="32"/>
          <w:szCs w:val="32"/>
        </w:rPr>
        <w:t>加积累，保障参保人的合法权益。</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各省（区、市）人民政府要根据本意见</w:t>
      </w:r>
      <w:r>
        <w:rPr>
          <w:rFonts w:ascii="仿宋" w:eastAsia="仿宋" w:hAnsi="仿宋" w:cs="仿宋" w:hint="eastAsia"/>
          <w:sz w:val="32"/>
          <w:szCs w:val="32"/>
        </w:rPr>
        <w:t xml:space="preserve"> </w:t>
      </w:r>
      <w:r>
        <w:rPr>
          <w:rFonts w:ascii="仿宋" w:eastAsia="仿宋" w:hAnsi="仿宋" w:cs="仿宋" w:hint="eastAsia"/>
          <w:sz w:val="32"/>
          <w:szCs w:val="32"/>
        </w:rPr>
        <w:t>，结合本地区实际情况，制定具体实施办法，并报人力资源社会保障部备案。</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本意见自印发之日起实施，已有规定与本意见不一致的，按本意见执行。</w:t>
      </w:r>
    </w:p>
    <w:p w:rsidR="007E265D" w:rsidRDefault="009A186B">
      <w:pPr>
        <w:pStyle w:val="a3"/>
        <w:widowControl/>
        <w:spacing w:beforeAutospacing="0" w:afterAutospacing="0" w:line="520" w:lineRule="exact"/>
        <w:rPr>
          <w:rFonts w:ascii="仿宋" w:eastAsia="仿宋" w:hAnsi="仿宋" w:cs="仿宋"/>
          <w:sz w:val="32"/>
          <w:szCs w:val="32"/>
        </w:rPr>
      </w:pPr>
      <w:r>
        <w:rPr>
          <w:rFonts w:ascii="仿宋" w:eastAsia="仿宋" w:hAnsi="仿宋" w:cs="仿宋" w:hint="eastAsia"/>
          <w:sz w:val="32"/>
          <w:szCs w:val="32"/>
        </w:rPr>
        <w:t>国务院</w:t>
      </w:r>
      <w:r>
        <w:rPr>
          <w:rFonts w:ascii="仿宋" w:eastAsia="仿宋" w:hAnsi="仿宋" w:cs="仿宋" w:hint="eastAsia"/>
          <w:sz w:val="32"/>
          <w:szCs w:val="32"/>
        </w:rPr>
        <w:t>2014</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颁布机关∶国务院</w:t>
      </w:r>
      <w:r>
        <w:rPr>
          <w:rFonts w:ascii="仿宋" w:eastAsia="仿宋" w:hAnsi="仿宋" w:cs="仿宋" w:hint="eastAsia"/>
          <w:sz w:val="32"/>
          <w:szCs w:val="32"/>
        </w:rPr>
        <w:t>;</w:t>
      </w:r>
      <w:r>
        <w:rPr>
          <w:rFonts w:ascii="仿宋" w:eastAsia="仿宋" w:hAnsi="仿宋" w:cs="仿宋" w:hint="eastAsia"/>
          <w:sz w:val="32"/>
          <w:szCs w:val="32"/>
        </w:rPr>
        <w:t>实施日期∶</w:t>
      </w:r>
      <w:r>
        <w:rPr>
          <w:rFonts w:ascii="仿宋" w:eastAsia="仿宋" w:hAnsi="仿宋" w:cs="仿宋" w:hint="eastAsia"/>
          <w:sz w:val="32"/>
          <w:szCs w:val="32"/>
        </w:rPr>
        <w:t>2014-02-21;5</w:t>
      </w:r>
      <w:r>
        <w:rPr>
          <w:rFonts w:ascii="仿宋" w:eastAsia="仿宋" w:hAnsi="仿宋" w:cs="仿宋" w:hint="eastAsia"/>
          <w:sz w:val="32"/>
          <w:szCs w:val="32"/>
        </w:rPr>
        <w:t>∶法律法规名称∶中华人民共和国社会保险法</w:t>
      </w:r>
      <w:r>
        <w:rPr>
          <w:rFonts w:ascii="仿宋" w:eastAsia="仿宋" w:hAnsi="仿宋" w:cs="仿宋" w:hint="eastAsia"/>
          <w:sz w:val="32"/>
          <w:szCs w:val="32"/>
        </w:rPr>
        <w:t>;</w:t>
      </w:r>
      <w:r>
        <w:rPr>
          <w:rFonts w:ascii="仿宋" w:eastAsia="仿宋" w:hAnsi="仿宋" w:cs="仿宋" w:hint="eastAsia"/>
          <w:sz w:val="32"/>
          <w:szCs w:val="32"/>
        </w:rPr>
        <w:t>依据文号∶中华人民共和国主席令第二十五号</w:t>
      </w:r>
      <w:r>
        <w:rPr>
          <w:rFonts w:ascii="仿宋" w:eastAsia="仿宋" w:hAnsi="仿宋" w:cs="仿宋" w:hint="eastAsia"/>
          <w:sz w:val="32"/>
          <w:szCs w:val="32"/>
        </w:rPr>
        <w:t>;</w:t>
      </w:r>
      <w:r>
        <w:rPr>
          <w:rFonts w:ascii="仿宋" w:eastAsia="仿宋" w:hAnsi="仿宋" w:cs="仿宋" w:hint="eastAsia"/>
          <w:sz w:val="32"/>
          <w:szCs w:val="32"/>
        </w:rPr>
        <w:t>条款号</w:t>
      </w:r>
      <w:r>
        <w:rPr>
          <w:rFonts w:ascii="仿宋" w:eastAsia="仿宋" w:hAnsi="仿宋" w:cs="仿宋" w:hint="eastAsia"/>
          <w:sz w:val="32"/>
          <w:szCs w:val="32"/>
        </w:rPr>
        <w:t>;</w:t>
      </w:r>
      <w:r>
        <w:rPr>
          <w:rFonts w:ascii="仿宋" w:eastAsia="仿宋" w:hAnsi="仿宋" w:cs="仿宋" w:hint="eastAsia"/>
          <w:sz w:val="32"/>
          <w:szCs w:val="32"/>
        </w:rPr>
        <w:t>第二十二条</w:t>
      </w:r>
      <w:r>
        <w:rPr>
          <w:rFonts w:ascii="仿宋" w:eastAsia="仿宋" w:hAnsi="仿宋" w:cs="仿宋" w:hint="eastAsia"/>
          <w:sz w:val="32"/>
          <w:szCs w:val="32"/>
        </w:rPr>
        <w:t>;</w:t>
      </w:r>
      <w:r>
        <w:rPr>
          <w:rFonts w:ascii="仿宋" w:eastAsia="仿宋" w:hAnsi="仿宋" w:cs="仿宋" w:hint="eastAsia"/>
          <w:sz w:val="32"/>
          <w:szCs w:val="32"/>
        </w:rPr>
        <w:t>条款内容∶国家建立和完善城镇居民社会养老保险制度。</w:t>
      </w:r>
      <w:r>
        <w:rPr>
          <w:rFonts w:ascii="仿宋" w:eastAsia="仿宋" w:hAnsi="仿宋" w:cs="仿宋" w:hint="eastAsia"/>
          <w:sz w:val="32"/>
          <w:szCs w:val="32"/>
        </w:rPr>
        <w:t xml:space="preserve"> </w:t>
      </w:r>
      <w:r>
        <w:rPr>
          <w:rFonts w:ascii="仿宋" w:eastAsia="仿宋" w:hAnsi="仿宋" w:cs="仿宋" w:hint="eastAsia"/>
          <w:sz w:val="32"/>
          <w:szCs w:val="32"/>
        </w:rPr>
        <w:t>省、自治区、直辖市人民政府根据实际情况，可以将城镇居民社会养老保险和新型</w:t>
      </w:r>
      <w:r>
        <w:rPr>
          <w:rFonts w:ascii="仿宋" w:eastAsia="仿宋" w:hAnsi="仿宋" w:cs="仿宋" w:hint="eastAsia"/>
          <w:sz w:val="32"/>
          <w:szCs w:val="32"/>
        </w:rPr>
        <w:t>农村社会养老保险合并实施。</w:t>
      </w:r>
      <w:r>
        <w:rPr>
          <w:rFonts w:ascii="仿宋" w:eastAsia="仿宋" w:hAnsi="仿宋" w:cs="仿宋" w:hint="eastAsia"/>
          <w:sz w:val="32"/>
          <w:szCs w:val="32"/>
        </w:rPr>
        <w:t>;</w:t>
      </w:r>
      <w:r>
        <w:rPr>
          <w:rFonts w:ascii="仿宋" w:eastAsia="仿宋" w:hAnsi="仿宋" w:cs="仿宋" w:hint="eastAsia"/>
          <w:sz w:val="32"/>
          <w:szCs w:val="32"/>
        </w:rPr>
        <w:t>颁布机关∶全国人大常委会</w:t>
      </w:r>
      <w:r>
        <w:rPr>
          <w:rFonts w:ascii="仿宋" w:eastAsia="仿宋" w:hAnsi="仿宋" w:cs="仿宋" w:hint="eastAsia"/>
          <w:sz w:val="32"/>
          <w:szCs w:val="32"/>
        </w:rPr>
        <w:t>;</w:t>
      </w:r>
      <w:r>
        <w:rPr>
          <w:rFonts w:ascii="仿宋" w:eastAsia="仿宋" w:hAnsi="仿宋" w:cs="仿宋" w:hint="eastAsia"/>
          <w:sz w:val="32"/>
          <w:szCs w:val="32"/>
        </w:rPr>
        <w:t>实施</w:t>
      </w:r>
      <w:r>
        <w:rPr>
          <w:rFonts w:ascii="仿宋" w:eastAsia="仿宋" w:hAnsi="仿宋" w:cs="仿宋" w:hint="eastAsia"/>
          <w:sz w:val="32"/>
          <w:szCs w:val="32"/>
        </w:rPr>
        <w:t>日</w:t>
      </w:r>
      <w:r>
        <w:rPr>
          <w:rFonts w:ascii="仿宋" w:eastAsia="仿宋" w:hAnsi="仿宋" w:cs="仿宋" w:hint="eastAsia"/>
          <w:sz w:val="32"/>
          <w:szCs w:val="32"/>
        </w:rPr>
        <w:t>期∶</w:t>
      </w:r>
      <w:r>
        <w:rPr>
          <w:rFonts w:ascii="仿宋" w:eastAsia="仿宋" w:hAnsi="仿宋" w:cs="仿宋" w:hint="eastAsia"/>
          <w:sz w:val="32"/>
          <w:szCs w:val="32"/>
        </w:rPr>
        <w:t>2018-12-29;</w:t>
      </w:r>
    </w:p>
    <w:p w:rsidR="007E265D" w:rsidRDefault="009A186B">
      <w:pPr>
        <w:numPr>
          <w:ilvl w:val="0"/>
          <w:numId w:val="1"/>
        </w:numPr>
        <w:spacing w:line="520" w:lineRule="exact"/>
        <w:jc w:val="left"/>
        <w:rPr>
          <w:rFonts w:ascii="仿宋" w:eastAsia="仿宋" w:hAnsi="仿宋" w:cs="仿宋"/>
          <w:sz w:val="32"/>
          <w:szCs w:val="32"/>
        </w:rPr>
      </w:pPr>
      <w:r>
        <w:rPr>
          <w:rFonts w:ascii="仿宋" w:eastAsia="仿宋" w:hAnsi="仿宋" w:cs="仿宋" w:hint="eastAsia"/>
          <w:sz w:val="32"/>
          <w:szCs w:val="32"/>
        </w:rPr>
        <w:t>办理流程</w:t>
      </w:r>
    </w:p>
    <w:p w:rsidR="007E265D" w:rsidRDefault="009A186B">
      <w:pPr>
        <w:pStyle w:val="a3"/>
        <w:widowControl/>
        <w:spacing w:beforeAutospacing="0" w:afterAutospacing="0"/>
        <w:rPr>
          <w:b/>
          <w:bCs/>
          <w:sz w:val="52"/>
          <w:szCs w:val="52"/>
        </w:rPr>
      </w:pPr>
      <w:r>
        <w:rPr>
          <w:rFonts w:hint="eastAsia"/>
          <w:noProof/>
        </w:rPr>
        <w:lastRenderedPageBreak/>
        <w:drawing>
          <wp:inline distT="0" distB="0" distL="114300" distR="114300">
            <wp:extent cx="5266690" cy="5266690"/>
            <wp:effectExtent l="0" t="0" r="10160" b="10160"/>
            <wp:docPr id="1" name="图片 1" descr="衔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衔接"/>
                    <pic:cNvPicPr>
                      <a:picLocks noChangeAspect="1"/>
                    </pic:cNvPicPr>
                  </pic:nvPicPr>
                  <pic:blipFill>
                    <a:blip r:embed="rId6" cstate="print"/>
                    <a:stretch>
                      <a:fillRect/>
                    </a:stretch>
                  </pic:blipFill>
                  <pic:spPr>
                    <a:xfrm>
                      <a:off x="0" y="0"/>
                      <a:ext cx="5266690" cy="5266690"/>
                    </a:xfrm>
                    <a:prstGeom prst="rect">
                      <a:avLst/>
                    </a:prstGeom>
                  </pic:spPr>
                </pic:pic>
              </a:graphicData>
            </a:graphic>
          </wp:inline>
        </w:drawing>
      </w:r>
      <w:bookmarkStart w:id="0" w:name="_GoBack"/>
      <w:bookmarkEnd w:id="0"/>
    </w:p>
    <w:sectPr w:rsidR="007E265D" w:rsidSect="007E26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F55B"/>
    <w:multiLevelType w:val="singleLevel"/>
    <w:tmpl w:val="0F2EF55B"/>
    <w:lvl w:ilvl="0">
      <w:start w:val="1"/>
      <w:numFmt w:val="decimal"/>
      <w:suff w:val="nothing"/>
      <w:lvlText w:val="%1、"/>
      <w:lvlJc w:val="left"/>
    </w:lvl>
  </w:abstractNum>
  <w:abstractNum w:abstractNumId="1">
    <w:nsid w:val="6CDE492A"/>
    <w:multiLevelType w:val="hybridMultilevel"/>
    <w:tmpl w:val="51FEE128"/>
    <w:lvl w:ilvl="0" w:tplc="99DC1E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265D"/>
    <w:rsid w:val="007E265D"/>
    <w:rsid w:val="009A186B"/>
    <w:rsid w:val="0E104457"/>
    <w:rsid w:val="29172BD7"/>
    <w:rsid w:val="48D37A77"/>
    <w:rsid w:val="502C1AA9"/>
    <w:rsid w:val="6DEB2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65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E265D"/>
    <w:pPr>
      <w:spacing w:beforeAutospacing="1" w:afterAutospacing="1"/>
      <w:jc w:val="left"/>
    </w:pPr>
    <w:rPr>
      <w:rFonts w:cs="Times New Roman"/>
      <w:kern w:val="0"/>
      <w:sz w:val="24"/>
    </w:rPr>
  </w:style>
  <w:style w:type="paragraph" w:styleId="a4">
    <w:name w:val="List Paragraph"/>
    <w:basedOn w:val="a"/>
    <w:uiPriority w:val="99"/>
    <w:unhideWhenUsed/>
    <w:rsid w:val="009A18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2021-09-06T06:32:00Z</dcterms:created>
  <dcterms:modified xsi:type="dcterms:W3CDTF">2021-10-16T08:12:00Z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4D44250414674182BF3766F1A1EF905F</vt:lpwstr>
  </property>
</Properties>
</file>