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941B" w14:textId="77777777" w:rsidR="00564322" w:rsidRPr="00564322" w:rsidRDefault="00564322" w:rsidP="00564322">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564322">
        <w:rPr>
          <w:rFonts w:ascii="微软雅黑" w:eastAsia="微软雅黑" w:hAnsi="微软雅黑" w:cs="宋体" w:hint="eastAsia"/>
          <w:b/>
          <w:bCs/>
          <w:color w:val="333333"/>
          <w:kern w:val="0"/>
          <w:sz w:val="36"/>
          <w:szCs w:val="36"/>
        </w:rPr>
        <w:t>财政部资产管理司有关负责人就印发《关于加强数据资产管理的指导意见》答记者问</w:t>
      </w:r>
    </w:p>
    <w:p w14:paraId="0D9DC6A6" w14:textId="77777777" w:rsidR="00564322" w:rsidRPr="00564322" w:rsidRDefault="00564322" w:rsidP="00564322">
      <w:pPr>
        <w:widowControl/>
        <w:shd w:val="clear" w:color="auto" w:fill="FFFFFF"/>
        <w:spacing w:after="105"/>
        <w:jc w:val="center"/>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2024年1月11日 来源：资产管理司 </w:t>
      </w:r>
    </w:p>
    <w:p w14:paraId="78DA84ED"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为深入贯彻落实党中央决策部署，规范和加强数据资产管理，更好推动数字经济发展，近日，财政部制定印发了《关于加强数据资产管理的指导意见》（财资〔2023〕141号，以下简称《指导意见》）。财政部资产管理司有关负责人就《指导意见》有关问题回答了记者提问。 </w:t>
      </w:r>
    </w:p>
    <w:p w14:paraId="722A61E5"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问：请简要介绍《指导意见》出台的背景？ </w:t>
      </w:r>
    </w:p>
    <w:p w14:paraId="5EFA7A50"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答：</w:t>
      </w:r>
      <w:r w:rsidRPr="00564322">
        <w:rPr>
          <w:rFonts w:ascii="宋体" w:eastAsia="宋体" w:hAnsi="宋体" w:cs="宋体" w:hint="eastAsia"/>
          <w:color w:val="333333"/>
          <w:kern w:val="0"/>
          <w:sz w:val="24"/>
          <w:szCs w:val="24"/>
        </w:rPr>
        <w:t>中国是全球数字经济发展最快的国家之一。《数字中国发展报告（2022年）》显示，2022年我国数字经济规模已超过50</w:t>
      </w:r>
      <w:proofErr w:type="gramStart"/>
      <w:r w:rsidRPr="00564322">
        <w:rPr>
          <w:rFonts w:ascii="宋体" w:eastAsia="宋体" w:hAnsi="宋体" w:cs="宋体" w:hint="eastAsia"/>
          <w:color w:val="333333"/>
          <w:kern w:val="0"/>
          <w:sz w:val="24"/>
          <w:szCs w:val="24"/>
        </w:rPr>
        <w:t>万亿</w:t>
      </w:r>
      <w:proofErr w:type="gramEnd"/>
      <w:r w:rsidRPr="00564322">
        <w:rPr>
          <w:rFonts w:ascii="宋体" w:eastAsia="宋体" w:hAnsi="宋体" w:cs="宋体" w:hint="eastAsia"/>
          <w:color w:val="333333"/>
          <w:kern w:val="0"/>
          <w:sz w:val="24"/>
          <w:szCs w:val="24"/>
        </w:rPr>
        <w:t>元，数字经济占GDP比重达到41.5%，位居世界第二位。数据已成为第五大生产要素。数据资产，作为经济社会数字化</w:t>
      </w:r>
      <w:proofErr w:type="gramStart"/>
      <w:r w:rsidRPr="00564322">
        <w:rPr>
          <w:rFonts w:ascii="宋体" w:eastAsia="宋体" w:hAnsi="宋体" w:cs="宋体" w:hint="eastAsia"/>
          <w:color w:val="333333"/>
          <w:kern w:val="0"/>
          <w:sz w:val="24"/>
          <w:szCs w:val="24"/>
        </w:rPr>
        <w:t>转型进程</w:t>
      </w:r>
      <w:proofErr w:type="gramEnd"/>
      <w:r w:rsidRPr="00564322">
        <w:rPr>
          <w:rFonts w:ascii="宋体" w:eastAsia="宋体" w:hAnsi="宋体" w:cs="宋体" w:hint="eastAsia"/>
          <w:color w:val="333333"/>
          <w:kern w:val="0"/>
          <w:sz w:val="24"/>
          <w:szCs w:val="24"/>
        </w:rPr>
        <w:t>中的新兴资产类型，正日益成为推动数字中国建设和加快数字经济发展的重要战略资源。党中央高度重视数字中国建设和数字经济发展，</w:t>
      </w:r>
      <w:proofErr w:type="gramStart"/>
      <w:r w:rsidRPr="00564322">
        <w:rPr>
          <w:rFonts w:ascii="宋体" w:eastAsia="宋体" w:hAnsi="宋体" w:cs="宋体" w:hint="eastAsia"/>
          <w:color w:val="333333"/>
          <w:kern w:val="0"/>
          <w:sz w:val="24"/>
          <w:szCs w:val="24"/>
        </w:rPr>
        <w:t>作出</w:t>
      </w:r>
      <w:proofErr w:type="gramEnd"/>
      <w:r w:rsidRPr="00564322">
        <w:rPr>
          <w:rFonts w:ascii="宋体" w:eastAsia="宋体" w:hAnsi="宋体" w:cs="宋体" w:hint="eastAsia"/>
          <w:color w:val="333333"/>
          <w:kern w:val="0"/>
          <w:sz w:val="24"/>
          <w:szCs w:val="24"/>
        </w:rPr>
        <w:t>一系列重要决策部署。2022年，中共中央、国务院印发《关于构建数据基础制度更好发挥数据要素作用的意见》（以下简称“数据二十条”），对构建数据基础制度作了全面部署，明确提出推进数据资产合</w:t>
      </w:r>
      <w:proofErr w:type="gramStart"/>
      <w:r w:rsidRPr="00564322">
        <w:rPr>
          <w:rFonts w:ascii="宋体" w:eastAsia="宋体" w:hAnsi="宋体" w:cs="宋体" w:hint="eastAsia"/>
          <w:color w:val="333333"/>
          <w:kern w:val="0"/>
          <w:sz w:val="24"/>
          <w:szCs w:val="24"/>
        </w:rPr>
        <w:t>规化</w:t>
      </w:r>
      <w:proofErr w:type="gramEnd"/>
      <w:r w:rsidRPr="00564322">
        <w:rPr>
          <w:rFonts w:ascii="宋体" w:eastAsia="宋体" w:hAnsi="宋体" w:cs="宋体" w:hint="eastAsia"/>
          <w:color w:val="333333"/>
          <w:kern w:val="0"/>
          <w:sz w:val="24"/>
          <w:szCs w:val="24"/>
        </w:rPr>
        <w:t>、标准化、增值化，有序培育数据资产评估等第三</w:t>
      </w:r>
      <w:proofErr w:type="gramStart"/>
      <w:r w:rsidRPr="00564322">
        <w:rPr>
          <w:rFonts w:ascii="宋体" w:eastAsia="宋体" w:hAnsi="宋体" w:cs="宋体" w:hint="eastAsia"/>
          <w:color w:val="333333"/>
          <w:kern w:val="0"/>
          <w:sz w:val="24"/>
          <w:szCs w:val="24"/>
        </w:rPr>
        <w:t>方专业</w:t>
      </w:r>
      <w:proofErr w:type="gramEnd"/>
      <w:r w:rsidRPr="00564322">
        <w:rPr>
          <w:rFonts w:ascii="宋体" w:eastAsia="宋体" w:hAnsi="宋体" w:cs="宋体" w:hint="eastAsia"/>
          <w:color w:val="333333"/>
          <w:kern w:val="0"/>
          <w:sz w:val="24"/>
          <w:szCs w:val="24"/>
        </w:rPr>
        <w:t>服务机构，依法依规维护数据资源资产权益，探索数据资产入表新模式等要求。2023年，中共中央、国务院印发《数字中国建设整体布局规划》，进一步指出要加快建立数据产权制度，开展数据资产计价研究等。党中央、国务院的部署要求，为数据资产管理研究工作的开展指明了方向、提供了遵循。 </w:t>
      </w:r>
    </w:p>
    <w:p w14:paraId="4A332D19"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财政部高度重视数据资产管理，认真贯彻落实党中央、国务院决策部署，积极推进数据资产管理工作，印发了《企业数据资源相关会计处理暂行规定》，出台了《数据资产评估指导意见》，数据资产作为经济社会数字化转型中的新兴资产类型，已在社会上形成广泛共识。但数据资产仍面临高质量供给明显不足、合</w:t>
      </w:r>
      <w:proofErr w:type="gramStart"/>
      <w:r w:rsidRPr="00564322">
        <w:rPr>
          <w:rFonts w:ascii="宋体" w:eastAsia="宋体" w:hAnsi="宋体" w:cs="宋体" w:hint="eastAsia"/>
          <w:color w:val="333333"/>
          <w:kern w:val="0"/>
          <w:sz w:val="24"/>
          <w:szCs w:val="24"/>
        </w:rPr>
        <w:t>规化</w:t>
      </w:r>
      <w:proofErr w:type="gramEnd"/>
      <w:r w:rsidRPr="00564322">
        <w:rPr>
          <w:rFonts w:ascii="宋体" w:eastAsia="宋体" w:hAnsi="宋体" w:cs="宋体" w:hint="eastAsia"/>
          <w:color w:val="333333"/>
          <w:kern w:val="0"/>
          <w:sz w:val="24"/>
          <w:szCs w:val="24"/>
        </w:rPr>
        <w:t>使用路径不清晰、应用赋能增值不充分等难点，亟需进一步完善制度体系，通过出台指导性文件对数据资产管理进行引导规范。 </w:t>
      </w:r>
    </w:p>
    <w:p w14:paraId="2855F059"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为促进数据合</w:t>
      </w:r>
      <w:proofErr w:type="gramStart"/>
      <w:r w:rsidRPr="00564322">
        <w:rPr>
          <w:rFonts w:ascii="宋体" w:eastAsia="宋体" w:hAnsi="宋体" w:cs="宋体" w:hint="eastAsia"/>
          <w:color w:val="333333"/>
          <w:kern w:val="0"/>
          <w:sz w:val="24"/>
          <w:szCs w:val="24"/>
        </w:rPr>
        <w:t>规</w:t>
      </w:r>
      <w:proofErr w:type="gramEnd"/>
      <w:r w:rsidRPr="00564322">
        <w:rPr>
          <w:rFonts w:ascii="宋体" w:eastAsia="宋体" w:hAnsi="宋体" w:cs="宋体" w:hint="eastAsia"/>
          <w:color w:val="333333"/>
          <w:kern w:val="0"/>
          <w:sz w:val="24"/>
          <w:szCs w:val="24"/>
        </w:rPr>
        <w:t>高效流通使用，财政部制定《指导意见》，明确了数据的资产属性，提出依法合</w:t>
      </w:r>
      <w:proofErr w:type="gramStart"/>
      <w:r w:rsidRPr="00564322">
        <w:rPr>
          <w:rFonts w:ascii="宋体" w:eastAsia="宋体" w:hAnsi="宋体" w:cs="宋体" w:hint="eastAsia"/>
          <w:color w:val="333333"/>
          <w:kern w:val="0"/>
          <w:sz w:val="24"/>
          <w:szCs w:val="24"/>
        </w:rPr>
        <w:t>规</w:t>
      </w:r>
      <w:proofErr w:type="gramEnd"/>
      <w:r w:rsidRPr="00564322">
        <w:rPr>
          <w:rFonts w:ascii="宋体" w:eastAsia="宋体" w:hAnsi="宋体" w:cs="宋体" w:hint="eastAsia"/>
          <w:color w:val="333333"/>
          <w:kern w:val="0"/>
          <w:sz w:val="24"/>
          <w:szCs w:val="24"/>
        </w:rPr>
        <w:t>推动数据资产化，平等保护各类主体数据资产合法权益，鼓励公共服务机构将依法合</w:t>
      </w:r>
      <w:proofErr w:type="gramStart"/>
      <w:r w:rsidRPr="00564322">
        <w:rPr>
          <w:rFonts w:ascii="宋体" w:eastAsia="宋体" w:hAnsi="宋体" w:cs="宋体" w:hint="eastAsia"/>
          <w:color w:val="333333"/>
          <w:kern w:val="0"/>
          <w:sz w:val="24"/>
          <w:szCs w:val="24"/>
        </w:rPr>
        <w:t>规</w:t>
      </w:r>
      <w:proofErr w:type="gramEnd"/>
      <w:r w:rsidRPr="00564322">
        <w:rPr>
          <w:rFonts w:ascii="宋体" w:eastAsia="宋体" w:hAnsi="宋体" w:cs="宋体" w:hint="eastAsia"/>
          <w:color w:val="333333"/>
          <w:kern w:val="0"/>
          <w:sz w:val="24"/>
          <w:szCs w:val="24"/>
        </w:rPr>
        <w:t>持有或控制的、具有资产属性的公共数据资源纳入资产管理范畴，进一步创新数据资产管理方式方法，加强数据资产全流程管理，严防数据资产应用风险等，更好促进数字经济高质量发展。可以说，制定《指导意见》既是促进数字经济发展的客观需要，也是加强数据资产管理的现实要求。 </w:t>
      </w:r>
    </w:p>
    <w:p w14:paraId="03F25F20"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问：《指导意见》主要遵循哪些原则？ </w:t>
      </w:r>
    </w:p>
    <w:p w14:paraId="04380B79"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答：</w:t>
      </w:r>
      <w:r w:rsidRPr="00564322">
        <w:rPr>
          <w:rFonts w:ascii="宋体" w:eastAsia="宋体" w:hAnsi="宋体" w:cs="宋体" w:hint="eastAsia"/>
          <w:color w:val="333333"/>
          <w:kern w:val="0"/>
          <w:sz w:val="24"/>
          <w:szCs w:val="24"/>
        </w:rPr>
        <w:t>《指导意见》主要遵循以下原则： </w:t>
      </w:r>
    </w:p>
    <w:p w14:paraId="751CC0F3"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一是坚持确保安全与合</w:t>
      </w:r>
      <w:proofErr w:type="gramStart"/>
      <w:r w:rsidRPr="00564322">
        <w:rPr>
          <w:rFonts w:ascii="宋体" w:eastAsia="宋体" w:hAnsi="宋体" w:cs="宋体" w:hint="eastAsia"/>
          <w:b/>
          <w:bCs/>
          <w:color w:val="333333"/>
          <w:kern w:val="0"/>
          <w:sz w:val="24"/>
          <w:szCs w:val="24"/>
        </w:rPr>
        <w:t>规</w:t>
      </w:r>
      <w:proofErr w:type="gramEnd"/>
      <w:r w:rsidRPr="00564322">
        <w:rPr>
          <w:rFonts w:ascii="宋体" w:eastAsia="宋体" w:hAnsi="宋体" w:cs="宋体" w:hint="eastAsia"/>
          <w:b/>
          <w:bCs/>
          <w:color w:val="333333"/>
          <w:kern w:val="0"/>
          <w:sz w:val="24"/>
          <w:szCs w:val="24"/>
        </w:rPr>
        <w:t>利用相结合。</w:t>
      </w:r>
      <w:r w:rsidRPr="00564322">
        <w:rPr>
          <w:rFonts w:ascii="宋体" w:eastAsia="宋体" w:hAnsi="宋体" w:cs="宋体" w:hint="eastAsia"/>
          <w:color w:val="333333"/>
          <w:kern w:val="0"/>
          <w:sz w:val="24"/>
          <w:szCs w:val="24"/>
        </w:rPr>
        <w:t>统筹发展和安全，正确处理数据资产安全、个人信息保护与数据资产开发利用的关系。以保障数据安全为前提，对需要严格保护的数据，审慎推进数据资产化；对可开发利用的数据，支持合</w:t>
      </w:r>
      <w:proofErr w:type="gramStart"/>
      <w:r w:rsidRPr="00564322">
        <w:rPr>
          <w:rFonts w:ascii="宋体" w:eastAsia="宋体" w:hAnsi="宋体" w:cs="宋体" w:hint="eastAsia"/>
          <w:color w:val="333333"/>
          <w:kern w:val="0"/>
          <w:sz w:val="24"/>
          <w:szCs w:val="24"/>
        </w:rPr>
        <w:t>规</w:t>
      </w:r>
      <w:proofErr w:type="gramEnd"/>
      <w:r w:rsidRPr="00564322">
        <w:rPr>
          <w:rFonts w:ascii="宋体" w:eastAsia="宋体" w:hAnsi="宋体" w:cs="宋体" w:hint="eastAsia"/>
          <w:color w:val="333333"/>
          <w:kern w:val="0"/>
          <w:sz w:val="24"/>
          <w:szCs w:val="24"/>
        </w:rPr>
        <w:t>推进数据资产化，进一步发挥数据资产价值。 </w:t>
      </w:r>
    </w:p>
    <w:p w14:paraId="6B23199E"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二是坚持权利分置与赋能增值相结合。</w:t>
      </w:r>
      <w:r w:rsidRPr="00564322">
        <w:rPr>
          <w:rFonts w:ascii="宋体" w:eastAsia="宋体" w:hAnsi="宋体" w:cs="宋体" w:hint="eastAsia"/>
          <w:color w:val="333333"/>
          <w:kern w:val="0"/>
          <w:sz w:val="24"/>
          <w:szCs w:val="24"/>
        </w:rPr>
        <w:t>适应数据资产多用途属性，按照“权责匹配、保护严格、流转顺畅、利用充分”原则，明确数据资产管理各方</w:t>
      </w:r>
      <w:r w:rsidRPr="00564322">
        <w:rPr>
          <w:rFonts w:ascii="宋体" w:eastAsia="宋体" w:hAnsi="宋体" w:cs="宋体" w:hint="eastAsia"/>
          <w:color w:val="333333"/>
          <w:kern w:val="0"/>
          <w:sz w:val="24"/>
          <w:szCs w:val="24"/>
        </w:rPr>
        <w:lastRenderedPageBreak/>
        <w:t>权利义务，推动数据资产权利分置，完善数据资产权利体系，丰富权利类型，有效赋能增值，夯实开发利用基础。 </w:t>
      </w:r>
    </w:p>
    <w:p w14:paraId="3C9ABF9B"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三是坚持分类分级与平等保护相结合。</w:t>
      </w:r>
      <w:r w:rsidRPr="00564322">
        <w:rPr>
          <w:rFonts w:ascii="宋体" w:eastAsia="宋体" w:hAnsi="宋体" w:cs="宋体" w:hint="eastAsia"/>
          <w:color w:val="333333"/>
          <w:kern w:val="0"/>
          <w:sz w:val="24"/>
          <w:szCs w:val="24"/>
        </w:rPr>
        <w:t>加强数据分类分级管理，建立数据资产分类分级授权使用规范。</w:t>
      </w:r>
      <w:proofErr w:type="gramStart"/>
      <w:r w:rsidRPr="00564322">
        <w:rPr>
          <w:rFonts w:ascii="宋体" w:eastAsia="宋体" w:hAnsi="宋体" w:cs="宋体" w:hint="eastAsia"/>
          <w:color w:val="333333"/>
          <w:kern w:val="0"/>
          <w:sz w:val="24"/>
          <w:szCs w:val="24"/>
        </w:rPr>
        <w:t>鼓励按</w:t>
      </w:r>
      <w:proofErr w:type="gramEnd"/>
      <w:r w:rsidRPr="00564322">
        <w:rPr>
          <w:rFonts w:ascii="宋体" w:eastAsia="宋体" w:hAnsi="宋体" w:cs="宋体" w:hint="eastAsia"/>
          <w:color w:val="333333"/>
          <w:kern w:val="0"/>
          <w:sz w:val="24"/>
          <w:szCs w:val="24"/>
        </w:rPr>
        <w:t>用途增加公共数据资产供给，推动用于公共治理、公益事业的公共数据资产有条件无偿使用，平等保护各类数据资产权利主体合法权益。 </w:t>
      </w:r>
    </w:p>
    <w:p w14:paraId="17B564DE"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四是坚持有效市场与有为政府相结合。</w:t>
      </w:r>
      <w:r w:rsidRPr="00564322">
        <w:rPr>
          <w:rFonts w:ascii="宋体" w:eastAsia="宋体" w:hAnsi="宋体" w:cs="宋体" w:hint="eastAsia"/>
          <w:color w:val="333333"/>
          <w:kern w:val="0"/>
          <w:sz w:val="24"/>
          <w:szCs w:val="24"/>
        </w:rPr>
        <w:t>充分发挥市场配置资源的决定性作用，探索多样化有偿使用方式。支持用于产业发展、行业发展的公共数据资产有条件有偿使用。加大政府引导调节力度，探索建立公共数据资产开发利用和收益分配机制。强化政府对数据资产全过程监管，加强数据资产全过程管理。 </w:t>
      </w:r>
    </w:p>
    <w:p w14:paraId="24EB5E09"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五是坚持创新方式与试点先行相结合。</w:t>
      </w:r>
      <w:r w:rsidRPr="00564322">
        <w:rPr>
          <w:rFonts w:ascii="宋体" w:eastAsia="宋体" w:hAnsi="宋体" w:cs="宋体" w:hint="eastAsia"/>
          <w:color w:val="333333"/>
          <w:kern w:val="0"/>
          <w:sz w:val="24"/>
          <w:szCs w:val="24"/>
        </w:rPr>
        <w:t>强化部门协同联动，完善数据资产管理体制机制。坚持顶层设计与基层探索相结合，坚持改革于法有据，既要发挥顶层设计指导作用，又要鼓励支持各方因地制宜、大胆探索。 </w:t>
      </w:r>
    </w:p>
    <w:p w14:paraId="74833A63"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问：《指导意见》的主要内容是什么？ </w:t>
      </w:r>
    </w:p>
    <w:p w14:paraId="6963CDDD"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答：</w:t>
      </w:r>
      <w:r w:rsidRPr="00564322">
        <w:rPr>
          <w:rFonts w:ascii="宋体" w:eastAsia="宋体" w:hAnsi="宋体" w:cs="宋体" w:hint="eastAsia"/>
          <w:color w:val="333333"/>
          <w:kern w:val="0"/>
          <w:sz w:val="24"/>
          <w:szCs w:val="24"/>
        </w:rPr>
        <w:t>针对当前数据资产管理存在的问题，《指导意见》明确，要以促进全体人民共享数字经济红利、充分释放数据资产价值为目标，以推动数据资产合</w:t>
      </w:r>
      <w:proofErr w:type="gramStart"/>
      <w:r w:rsidRPr="00564322">
        <w:rPr>
          <w:rFonts w:ascii="宋体" w:eastAsia="宋体" w:hAnsi="宋体" w:cs="宋体" w:hint="eastAsia"/>
          <w:color w:val="333333"/>
          <w:kern w:val="0"/>
          <w:sz w:val="24"/>
          <w:szCs w:val="24"/>
        </w:rPr>
        <w:t>规</w:t>
      </w:r>
      <w:proofErr w:type="gramEnd"/>
      <w:r w:rsidRPr="00564322">
        <w:rPr>
          <w:rFonts w:ascii="宋体" w:eastAsia="宋体" w:hAnsi="宋体" w:cs="宋体" w:hint="eastAsia"/>
          <w:color w:val="333333"/>
          <w:kern w:val="0"/>
          <w:sz w:val="24"/>
          <w:szCs w:val="24"/>
        </w:rPr>
        <w:t>高效流通使用为主线，有序推进数据资产化，加强数据资产全过程管理，更好发挥数据资产价值。《指导意见》主要包括总体要求、主要任务、实施保障等三方面十八条内容。 </w:t>
      </w:r>
    </w:p>
    <w:p w14:paraId="34DD98B0"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一是明确工作原则，</w:t>
      </w:r>
      <w:r w:rsidRPr="00564322">
        <w:rPr>
          <w:rFonts w:ascii="宋体" w:eastAsia="宋体" w:hAnsi="宋体" w:cs="宋体" w:hint="eastAsia"/>
          <w:color w:val="333333"/>
          <w:kern w:val="0"/>
          <w:sz w:val="24"/>
          <w:szCs w:val="24"/>
        </w:rPr>
        <w:t>即坚持确保安全与合</w:t>
      </w:r>
      <w:proofErr w:type="gramStart"/>
      <w:r w:rsidRPr="00564322">
        <w:rPr>
          <w:rFonts w:ascii="宋体" w:eastAsia="宋体" w:hAnsi="宋体" w:cs="宋体" w:hint="eastAsia"/>
          <w:color w:val="333333"/>
          <w:kern w:val="0"/>
          <w:sz w:val="24"/>
          <w:szCs w:val="24"/>
        </w:rPr>
        <w:t>规</w:t>
      </w:r>
      <w:proofErr w:type="gramEnd"/>
      <w:r w:rsidRPr="00564322">
        <w:rPr>
          <w:rFonts w:ascii="宋体" w:eastAsia="宋体" w:hAnsi="宋体" w:cs="宋体" w:hint="eastAsia"/>
          <w:color w:val="333333"/>
          <w:kern w:val="0"/>
          <w:sz w:val="24"/>
          <w:szCs w:val="24"/>
        </w:rPr>
        <w:t>利用相结合、坚持权利分置与赋能增值相结合、坚持分类分级与平等保护相结合、坚持有效市场与有为政府相结合、坚持创新方式与试点先行相结合。 </w:t>
      </w:r>
    </w:p>
    <w:p w14:paraId="34376604"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二是确定主要任务，</w:t>
      </w:r>
      <w:r w:rsidRPr="00564322">
        <w:rPr>
          <w:rFonts w:ascii="宋体" w:eastAsia="宋体" w:hAnsi="宋体" w:cs="宋体" w:hint="eastAsia"/>
          <w:color w:val="333333"/>
          <w:kern w:val="0"/>
          <w:sz w:val="24"/>
          <w:szCs w:val="24"/>
        </w:rPr>
        <w:t>包括依法合</w:t>
      </w:r>
      <w:proofErr w:type="gramStart"/>
      <w:r w:rsidRPr="00564322">
        <w:rPr>
          <w:rFonts w:ascii="宋体" w:eastAsia="宋体" w:hAnsi="宋体" w:cs="宋体" w:hint="eastAsia"/>
          <w:color w:val="333333"/>
          <w:kern w:val="0"/>
          <w:sz w:val="24"/>
          <w:szCs w:val="24"/>
        </w:rPr>
        <w:t>规</w:t>
      </w:r>
      <w:proofErr w:type="gramEnd"/>
      <w:r w:rsidRPr="00564322">
        <w:rPr>
          <w:rFonts w:ascii="宋体" w:eastAsia="宋体" w:hAnsi="宋体" w:cs="宋体" w:hint="eastAsia"/>
          <w:color w:val="333333"/>
          <w:kern w:val="0"/>
          <w:sz w:val="24"/>
          <w:szCs w:val="24"/>
        </w:rPr>
        <w:t>管理数据资产、明晰数据资产权责关系、完善数据资产相关标准、加强数据资产使用管理、稳妥推动数据资产开发利用、健全数据资产价值评估体系、畅通数据资产收益分配机制、规范数据资产销毁处置、强化数据资产过程监测、加强数据资产应急管理、完善数据资产信息披露和报告、严防数据资产价值应用风险等12方面内容。特别对具有国有属性的公共数据资产管理</w:t>
      </w:r>
      <w:proofErr w:type="gramStart"/>
      <w:r w:rsidRPr="00564322">
        <w:rPr>
          <w:rFonts w:ascii="宋体" w:eastAsia="宋体" w:hAnsi="宋体" w:cs="宋体" w:hint="eastAsia"/>
          <w:color w:val="333333"/>
          <w:kern w:val="0"/>
          <w:sz w:val="24"/>
          <w:szCs w:val="24"/>
        </w:rPr>
        <w:t>作出</w:t>
      </w:r>
      <w:proofErr w:type="gramEnd"/>
      <w:r w:rsidRPr="00564322">
        <w:rPr>
          <w:rFonts w:ascii="宋体" w:eastAsia="宋体" w:hAnsi="宋体" w:cs="宋体" w:hint="eastAsia"/>
          <w:color w:val="333333"/>
          <w:kern w:val="0"/>
          <w:sz w:val="24"/>
          <w:szCs w:val="24"/>
        </w:rPr>
        <w:t>针对性规定，更好对相关主体管好用好公共数据资产提供政策指导。 </w:t>
      </w:r>
    </w:p>
    <w:p w14:paraId="4C516545"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三是强化实施保障，</w:t>
      </w:r>
      <w:r w:rsidRPr="00564322">
        <w:rPr>
          <w:rFonts w:ascii="宋体" w:eastAsia="宋体" w:hAnsi="宋体" w:cs="宋体" w:hint="eastAsia"/>
          <w:color w:val="333333"/>
          <w:kern w:val="0"/>
          <w:sz w:val="24"/>
          <w:szCs w:val="24"/>
        </w:rPr>
        <w:t>包括加强组织实施、加大政策支持、积极鼓励试点等。 </w:t>
      </w:r>
    </w:p>
    <w:p w14:paraId="69A6DC49"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问：关于《指导意见》有哪些需要说明的事项？ </w:t>
      </w:r>
    </w:p>
    <w:p w14:paraId="415DBCA7"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答</w:t>
      </w:r>
      <w:r w:rsidRPr="00564322">
        <w:rPr>
          <w:rFonts w:ascii="宋体" w:eastAsia="宋体" w:hAnsi="宋体" w:cs="宋体" w:hint="eastAsia"/>
          <w:color w:val="333333"/>
          <w:kern w:val="0"/>
          <w:sz w:val="24"/>
          <w:szCs w:val="24"/>
        </w:rPr>
        <w:t>：</w:t>
      </w:r>
      <w:r w:rsidRPr="00564322">
        <w:rPr>
          <w:rFonts w:ascii="宋体" w:eastAsia="宋体" w:hAnsi="宋体" w:cs="宋体" w:hint="eastAsia"/>
          <w:b/>
          <w:bCs/>
          <w:color w:val="333333"/>
          <w:kern w:val="0"/>
          <w:sz w:val="24"/>
          <w:szCs w:val="24"/>
        </w:rPr>
        <w:t>一是关于《指导意见》的范围。</w:t>
      </w:r>
      <w:r w:rsidRPr="00564322">
        <w:rPr>
          <w:rFonts w:ascii="宋体" w:eastAsia="宋体" w:hAnsi="宋体" w:cs="宋体" w:hint="eastAsia"/>
          <w:color w:val="333333"/>
          <w:kern w:val="0"/>
          <w:sz w:val="24"/>
          <w:szCs w:val="24"/>
        </w:rPr>
        <w:t>《指导意见》是针对数据资产这一大类资产</w:t>
      </w:r>
      <w:proofErr w:type="gramStart"/>
      <w:r w:rsidRPr="00564322">
        <w:rPr>
          <w:rFonts w:ascii="宋体" w:eastAsia="宋体" w:hAnsi="宋体" w:cs="宋体" w:hint="eastAsia"/>
          <w:color w:val="333333"/>
          <w:kern w:val="0"/>
          <w:sz w:val="24"/>
          <w:szCs w:val="24"/>
        </w:rPr>
        <w:t>作出</w:t>
      </w:r>
      <w:proofErr w:type="gramEnd"/>
      <w:r w:rsidRPr="00564322">
        <w:rPr>
          <w:rFonts w:ascii="宋体" w:eastAsia="宋体" w:hAnsi="宋体" w:cs="宋体" w:hint="eastAsia"/>
          <w:color w:val="333333"/>
          <w:kern w:val="0"/>
          <w:sz w:val="24"/>
          <w:szCs w:val="24"/>
        </w:rPr>
        <w:t>的指导性规定，不区分持有主体。当前，数据要素、数据资源、数据资产、数据产品等概念使用较为混乱，存在不规范、不统一问题。数据资产区别于普通资产，在管理模式上与数据的管理有所差别。要管好用好数据资产，首先要对数据资产进行统一界定并提出总体指导要求。无论持有数据资产的主体是企业还是行政事业单位，都应在数据安全法和个人信息保护法等基础上，需遵循财务会计管理、资产评估管理等共性要求，对其持有的数据资产进行规范管理。考虑到公共数据资产具有国有或公共属性，为避免资产流失和公共安全风险，《指导意见》在对全口径数据资产</w:t>
      </w:r>
      <w:proofErr w:type="gramStart"/>
      <w:r w:rsidRPr="00564322">
        <w:rPr>
          <w:rFonts w:ascii="宋体" w:eastAsia="宋体" w:hAnsi="宋体" w:cs="宋体" w:hint="eastAsia"/>
          <w:color w:val="333333"/>
          <w:kern w:val="0"/>
          <w:sz w:val="24"/>
          <w:szCs w:val="24"/>
        </w:rPr>
        <w:t>作出</w:t>
      </w:r>
      <w:proofErr w:type="gramEnd"/>
      <w:r w:rsidRPr="00564322">
        <w:rPr>
          <w:rFonts w:ascii="宋体" w:eastAsia="宋体" w:hAnsi="宋体" w:cs="宋体" w:hint="eastAsia"/>
          <w:color w:val="333333"/>
          <w:kern w:val="0"/>
          <w:sz w:val="24"/>
          <w:szCs w:val="24"/>
        </w:rPr>
        <w:t>共性指导的基础上，有侧重地针对公共数据资产管理</w:t>
      </w:r>
      <w:proofErr w:type="gramStart"/>
      <w:r w:rsidRPr="00564322">
        <w:rPr>
          <w:rFonts w:ascii="宋体" w:eastAsia="宋体" w:hAnsi="宋体" w:cs="宋体" w:hint="eastAsia"/>
          <w:color w:val="333333"/>
          <w:kern w:val="0"/>
          <w:sz w:val="24"/>
          <w:szCs w:val="24"/>
        </w:rPr>
        <w:t>作出</w:t>
      </w:r>
      <w:proofErr w:type="gramEnd"/>
      <w:r w:rsidRPr="00564322">
        <w:rPr>
          <w:rFonts w:ascii="宋体" w:eastAsia="宋体" w:hAnsi="宋体" w:cs="宋体" w:hint="eastAsia"/>
          <w:color w:val="333333"/>
          <w:kern w:val="0"/>
          <w:sz w:val="24"/>
          <w:szCs w:val="24"/>
        </w:rPr>
        <w:t>单独规范要求。 </w:t>
      </w:r>
    </w:p>
    <w:p w14:paraId="441B2E3B"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lastRenderedPageBreak/>
        <w:t xml:space="preserve">　　</w:t>
      </w:r>
      <w:r w:rsidRPr="00564322">
        <w:rPr>
          <w:rFonts w:ascii="宋体" w:eastAsia="宋体" w:hAnsi="宋体" w:cs="宋体" w:hint="eastAsia"/>
          <w:b/>
          <w:bCs/>
          <w:color w:val="333333"/>
          <w:kern w:val="0"/>
          <w:sz w:val="24"/>
          <w:szCs w:val="24"/>
        </w:rPr>
        <w:t>二是关于数据资产的权益保护。</w:t>
      </w:r>
      <w:r w:rsidRPr="00564322">
        <w:rPr>
          <w:rFonts w:ascii="宋体" w:eastAsia="宋体" w:hAnsi="宋体" w:cs="宋体" w:hint="eastAsia"/>
          <w:color w:val="333333"/>
          <w:kern w:val="0"/>
          <w:sz w:val="24"/>
          <w:szCs w:val="24"/>
        </w:rPr>
        <w:t>《民法典》明确规定数据、网络虚拟财产按规定受到保护；《数据安全法》提出国家保护个人、组织与数据有关的权益。各类主体依法依规采集加工的各类数据形成的数据资产，由于前期投入了大量成本，要保护其在依法收集、生成、存储、管理数据资产过程中的相关权益。涉及个人信息的，要依法保障个人信息安全，保护个人隐私。“数据二十条”提出，建立数据资源持有权、数据加工使用权、数据产品经营权等分置的产权运行机制。为此，《指导意见》进一步明确，保护各类主体在依法收集、生成、存储、管理数据资产过程中的相关权益。落实数据资源持有权、数据加工使用权和数据产品经营权权利分置要求，加快构建分类科学的数据资产产权体系。 </w:t>
      </w:r>
    </w:p>
    <w:p w14:paraId="61C965EC"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三是关于加强数据资产全流程管理。</w:t>
      </w:r>
      <w:r w:rsidRPr="00564322">
        <w:rPr>
          <w:rFonts w:ascii="宋体" w:eastAsia="宋体" w:hAnsi="宋体" w:cs="宋体" w:hint="eastAsia"/>
          <w:color w:val="333333"/>
          <w:kern w:val="0"/>
          <w:sz w:val="24"/>
          <w:szCs w:val="24"/>
        </w:rPr>
        <w:t>创新数据资产管理方式方法，既能更好保护各方权益，也有利于进一步推动数字经济和实体经济融合发展，更好统筹发展和安全。《指导意见》基于全链条管理理念和资产管理共性要求，明确了数据资产管理内容，主要包括明晰数据资产权责关系、加强使用管理、健全价值评估、畅通收益分配、规范销毁处置以及完善披露报告等。针对数据资产可复制、非排他、边际报酬递增等特性，将数据资产开发利用、更新维护、授权运营、完善定价、过程监测、应急管理等要求，嵌入数据资产管理全流程。 </w:t>
      </w:r>
    </w:p>
    <w:p w14:paraId="0657FC6F"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四是关于公共数据资产开发利用。</w:t>
      </w:r>
      <w:r w:rsidRPr="00564322">
        <w:rPr>
          <w:rFonts w:ascii="宋体" w:eastAsia="宋体" w:hAnsi="宋体" w:cs="宋体" w:hint="eastAsia"/>
          <w:color w:val="333333"/>
          <w:kern w:val="0"/>
          <w:sz w:val="24"/>
          <w:szCs w:val="24"/>
        </w:rPr>
        <w:t>党中央、国务院高度重视公共数据开发利用，提出有序推动公共数据资源开发利用，开展政府数据授权运营试点，鼓励第三</w:t>
      </w:r>
      <w:proofErr w:type="gramStart"/>
      <w:r w:rsidRPr="00564322">
        <w:rPr>
          <w:rFonts w:ascii="宋体" w:eastAsia="宋体" w:hAnsi="宋体" w:cs="宋体" w:hint="eastAsia"/>
          <w:color w:val="333333"/>
          <w:kern w:val="0"/>
          <w:sz w:val="24"/>
          <w:szCs w:val="24"/>
        </w:rPr>
        <w:t>方深化</w:t>
      </w:r>
      <w:proofErr w:type="gramEnd"/>
      <w:r w:rsidRPr="00564322">
        <w:rPr>
          <w:rFonts w:ascii="宋体" w:eastAsia="宋体" w:hAnsi="宋体" w:cs="宋体" w:hint="eastAsia"/>
          <w:color w:val="333333"/>
          <w:kern w:val="0"/>
          <w:sz w:val="24"/>
          <w:szCs w:val="24"/>
        </w:rPr>
        <w:t>对公共数据进行增值开发利用，提升各行业各领域运用公共数据推动经济社会发展的能力等部署要求。公共数据是数据资源的重要组成部分，关乎国民经济发展方方面面，蕴藏着巨大的经济社会价值，其开发利用以及市场化配置意义重大。2022年以来，随着数据要素市场化配置改革、数据安全、网络安全、个人信息保护等法律法规颁布实施，公共数据开发利用由研究部署迈入落地实施阶段。按照党中央有关决策部署，《指导意见》提出，支持公共管理和服务机构为提升</w:t>
      </w:r>
      <w:proofErr w:type="gramStart"/>
      <w:r w:rsidRPr="00564322">
        <w:rPr>
          <w:rFonts w:ascii="宋体" w:eastAsia="宋体" w:hAnsi="宋体" w:cs="宋体" w:hint="eastAsia"/>
          <w:color w:val="333333"/>
          <w:kern w:val="0"/>
          <w:sz w:val="24"/>
          <w:szCs w:val="24"/>
        </w:rPr>
        <w:t>履</w:t>
      </w:r>
      <w:proofErr w:type="gramEnd"/>
      <w:r w:rsidRPr="00564322">
        <w:rPr>
          <w:rFonts w:ascii="宋体" w:eastAsia="宋体" w:hAnsi="宋体" w:cs="宋体" w:hint="eastAsia"/>
          <w:color w:val="333333"/>
          <w:kern w:val="0"/>
          <w:sz w:val="24"/>
          <w:szCs w:val="24"/>
        </w:rPr>
        <w:t>职能力和公共服务水平，强化公共数据资产授权运营和使用管理。严格按照“原始数据不出域、数据可用不可见”要求和资产管理制度规定，公共管理和服务机构可授权运营主体对其持有或控制的公共数据资产进行运营。 </w:t>
      </w:r>
    </w:p>
    <w:p w14:paraId="787BDECD" w14:textId="77777777" w:rsidR="00564322" w:rsidRPr="00564322" w:rsidRDefault="00564322" w:rsidP="00564322">
      <w:pPr>
        <w:widowControl/>
        <w:shd w:val="clear" w:color="auto" w:fill="FFFFFF"/>
        <w:jc w:val="left"/>
        <w:rPr>
          <w:rFonts w:ascii="宋体" w:eastAsia="宋体" w:hAnsi="宋体" w:cs="宋体" w:hint="eastAsia"/>
          <w:color w:val="333333"/>
          <w:kern w:val="0"/>
          <w:sz w:val="24"/>
          <w:szCs w:val="24"/>
        </w:rPr>
      </w:pPr>
      <w:r w:rsidRPr="00564322">
        <w:rPr>
          <w:rFonts w:ascii="宋体" w:eastAsia="宋体" w:hAnsi="宋体" w:cs="宋体" w:hint="eastAsia"/>
          <w:color w:val="333333"/>
          <w:kern w:val="0"/>
          <w:sz w:val="24"/>
          <w:szCs w:val="24"/>
        </w:rPr>
        <w:t xml:space="preserve">　　</w:t>
      </w:r>
      <w:r w:rsidRPr="00564322">
        <w:rPr>
          <w:rFonts w:ascii="宋体" w:eastAsia="宋体" w:hAnsi="宋体" w:cs="宋体" w:hint="eastAsia"/>
          <w:b/>
          <w:bCs/>
          <w:color w:val="333333"/>
          <w:kern w:val="0"/>
          <w:sz w:val="24"/>
          <w:szCs w:val="24"/>
        </w:rPr>
        <w:t>五是关于严防数据资产管理潜在风险。</w:t>
      </w:r>
      <w:r w:rsidRPr="00564322">
        <w:rPr>
          <w:rFonts w:ascii="宋体" w:eastAsia="宋体" w:hAnsi="宋体" w:cs="宋体" w:hint="eastAsia"/>
          <w:color w:val="333333"/>
          <w:kern w:val="0"/>
          <w:sz w:val="24"/>
          <w:szCs w:val="24"/>
        </w:rPr>
        <w:t>统筹发展和安全，安全是发展的基础和前提。《指导意见》明确将安全贯穿数据资产管理全过程，涉及处理国家安全、商业秘密和个人隐私的，应当依照法律、行政法规规定的权限、程序进行，不得超出履行法定职责所必需的范围和限度；提出数据资产权利主体要在遵循数据安全法、个人信息保护法等基础上，严格按照“原始数据不出域、数据可用不可见”要求和资产管理制度规定，稳妥推进数据资产化以及公共数据资产开发利用。在价值应用方面，进一步提出要通过合理程序避免虚增公共数据资产价值，在推进有条件有偿使用过程中，不得影响用于公共治理、公益事业的公共数据有条件无偿使用，相关方要依法依规采取合理措施获取收益，避免向社会公众转嫁不合理成本等要求。 </w:t>
      </w:r>
    </w:p>
    <w:p w14:paraId="431F4C51" w14:textId="77777777" w:rsidR="00564322" w:rsidRPr="00564322" w:rsidRDefault="00564322" w:rsidP="00564322">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564322">
        <w:rPr>
          <w:rFonts w:ascii="微软雅黑" w:eastAsia="微软雅黑" w:hAnsi="微软雅黑" w:cs="宋体" w:hint="eastAsia"/>
          <w:color w:val="333333"/>
          <w:kern w:val="0"/>
          <w:sz w:val="24"/>
          <w:szCs w:val="24"/>
        </w:rPr>
        <w:t>相关文章：</w:t>
      </w:r>
    </w:p>
    <w:p w14:paraId="22BFA45B" w14:textId="77777777" w:rsidR="00564322" w:rsidRPr="00564322" w:rsidRDefault="00564322" w:rsidP="00564322">
      <w:pPr>
        <w:widowControl/>
        <w:numPr>
          <w:ilvl w:val="0"/>
          <w:numId w:val="1"/>
        </w:numPr>
        <w:shd w:val="clear" w:color="auto" w:fill="FFFFFF"/>
        <w:spacing w:line="420" w:lineRule="atLeast"/>
        <w:jc w:val="left"/>
        <w:rPr>
          <w:rFonts w:ascii="微软雅黑" w:eastAsia="微软雅黑" w:hAnsi="微软雅黑" w:cs="宋体" w:hint="eastAsia"/>
          <w:color w:val="333333"/>
          <w:kern w:val="0"/>
          <w:sz w:val="23"/>
          <w:szCs w:val="23"/>
        </w:rPr>
      </w:pPr>
      <w:hyperlink r:id="rId5" w:history="1">
        <w:r w:rsidRPr="00564322">
          <w:rPr>
            <w:rFonts w:ascii="微软雅黑" w:eastAsia="微软雅黑" w:hAnsi="微软雅黑" w:cs="宋体" w:hint="eastAsia"/>
            <w:color w:val="2B50A8"/>
            <w:kern w:val="0"/>
            <w:sz w:val="23"/>
            <w:szCs w:val="23"/>
            <w:u w:val="single"/>
          </w:rPr>
          <w:t>关于印发《关于加强数据资产管理的指导意见》的通知</w:t>
        </w:r>
      </w:hyperlink>
    </w:p>
    <w:p w14:paraId="2D11043C" w14:textId="77777777" w:rsidR="00564322" w:rsidRPr="00564322" w:rsidRDefault="00564322" w:rsidP="00564322">
      <w:pPr>
        <w:widowControl/>
        <w:shd w:val="clear" w:color="auto" w:fill="FFFFFF"/>
        <w:jc w:val="left"/>
        <w:rPr>
          <w:rFonts w:ascii="微软雅黑" w:eastAsia="微软雅黑" w:hAnsi="微软雅黑" w:cs="宋体" w:hint="eastAsia"/>
          <w:color w:val="333333"/>
          <w:kern w:val="0"/>
          <w:szCs w:val="21"/>
        </w:rPr>
      </w:pPr>
      <w:r w:rsidRPr="00564322">
        <w:rPr>
          <w:rFonts w:ascii="微软雅黑" w:eastAsia="微软雅黑" w:hAnsi="微软雅黑" w:cs="宋体" w:hint="eastAsia"/>
          <w:color w:val="333333"/>
          <w:kern w:val="0"/>
          <w:szCs w:val="21"/>
        </w:rPr>
        <w:lastRenderedPageBreak/>
        <w:t>发布日期：2024年01月11日</w:t>
      </w:r>
    </w:p>
    <w:p w14:paraId="73C4A07B" w14:textId="77777777" w:rsidR="00464719" w:rsidRPr="00564322" w:rsidRDefault="00464719"/>
    <w:sectPr w:rsidR="00464719" w:rsidRPr="005643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A09EC"/>
    <w:multiLevelType w:val="multilevel"/>
    <w:tmpl w:val="B680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6439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F9"/>
    <w:rsid w:val="00464719"/>
    <w:rsid w:val="004C0CF9"/>
    <w:rsid w:val="00564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44F6E-79AB-49C9-B7E0-6CE2E91C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C0CF9"/>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unhideWhenUsed/>
    <w:qFormat/>
    <w:rsid w:val="004C0CF9"/>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4C0CF9"/>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4C0CF9"/>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4C0CF9"/>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4C0CF9"/>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4C0CF9"/>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4C0CF9"/>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4C0CF9"/>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C0CF9"/>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rsid w:val="004C0CF9"/>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4C0CF9"/>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4C0CF9"/>
    <w:rPr>
      <w:rFonts w:cstheme="majorBidi"/>
      <w:color w:val="0F4761" w:themeColor="accent1" w:themeShade="BF"/>
      <w:sz w:val="28"/>
      <w:szCs w:val="28"/>
    </w:rPr>
  </w:style>
  <w:style w:type="character" w:customStyle="1" w:styleId="50">
    <w:name w:val="标题 5 字符"/>
    <w:basedOn w:val="a0"/>
    <w:link w:val="5"/>
    <w:uiPriority w:val="9"/>
    <w:semiHidden/>
    <w:rsid w:val="004C0CF9"/>
    <w:rPr>
      <w:rFonts w:cstheme="majorBidi"/>
      <w:color w:val="0F4761" w:themeColor="accent1" w:themeShade="BF"/>
      <w:sz w:val="24"/>
      <w:szCs w:val="24"/>
    </w:rPr>
  </w:style>
  <w:style w:type="character" w:customStyle="1" w:styleId="60">
    <w:name w:val="标题 6 字符"/>
    <w:basedOn w:val="a0"/>
    <w:link w:val="6"/>
    <w:uiPriority w:val="9"/>
    <w:semiHidden/>
    <w:rsid w:val="004C0CF9"/>
    <w:rPr>
      <w:rFonts w:cstheme="majorBidi"/>
      <w:b/>
      <w:bCs/>
      <w:color w:val="0F4761" w:themeColor="accent1" w:themeShade="BF"/>
    </w:rPr>
  </w:style>
  <w:style w:type="character" w:customStyle="1" w:styleId="70">
    <w:name w:val="标题 7 字符"/>
    <w:basedOn w:val="a0"/>
    <w:link w:val="7"/>
    <w:uiPriority w:val="9"/>
    <w:semiHidden/>
    <w:rsid w:val="004C0CF9"/>
    <w:rPr>
      <w:rFonts w:cstheme="majorBidi"/>
      <w:b/>
      <w:bCs/>
      <w:color w:val="595959" w:themeColor="text1" w:themeTint="A6"/>
    </w:rPr>
  </w:style>
  <w:style w:type="character" w:customStyle="1" w:styleId="80">
    <w:name w:val="标题 8 字符"/>
    <w:basedOn w:val="a0"/>
    <w:link w:val="8"/>
    <w:uiPriority w:val="9"/>
    <w:semiHidden/>
    <w:rsid w:val="004C0CF9"/>
    <w:rPr>
      <w:rFonts w:cstheme="majorBidi"/>
      <w:color w:val="595959" w:themeColor="text1" w:themeTint="A6"/>
    </w:rPr>
  </w:style>
  <w:style w:type="character" w:customStyle="1" w:styleId="90">
    <w:name w:val="标题 9 字符"/>
    <w:basedOn w:val="a0"/>
    <w:link w:val="9"/>
    <w:uiPriority w:val="9"/>
    <w:semiHidden/>
    <w:rsid w:val="004C0CF9"/>
    <w:rPr>
      <w:rFonts w:eastAsiaTheme="majorEastAsia" w:cstheme="majorBidi"/>
      <w:color w:val="595959" w:themeColor="text1" w:themeTint="A6"/>
    </w:rPr>
  </w:style>
  <w:style w:type="paragraph" w:styleId="a3">
    <w:name w:val="Title"/>
    <w:basedOn w:val="a"/>
    <w:next w:val="a"/>
    <w:link w:val="a4"/>
    <w:uiPriority w:val="10"/>
    <w:qFormat/>
    <w:rsid w:val="004C0CF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4C0CF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C0CF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4C0CF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C0CF9"/>
    <w:pPr>
      <w:spacing w:before="160" w:after="160"/>
      <w:jc w:val="center"/>
    </w:pPr>
    <w:rPr>
      <w:i/>
      <w:iCs/>
      <w:color w:val="404040" w:themeColor="text1" w:themeTint="BF"/>
    </w:rPr>
  </w:style>
  <w:style w:type="character" w:customStyle="1" w:styleId="a8">
    <w:name w:val="引用 字符"/>
    <w:basedOn w:val="a0"/>
    <w:link w:val="a7"/>
    <w:uiPriority w:val="29"/>
    <w:rsid w:val="004C0CF9"/>
    <w:rPr>
      <w:i/>
      <w:iCs/>
      <w:color w:val="404040" w:themeColor="text1" w:themeTint="BF"/>
    </w:rPr>
  </w:style>
  <w:style w:type="paragraph" w:styleId="a9">
    <w:name w:val="List Paragraph"/>
    <w:basedOn w:val="a"/>
    <w:uiPriority w:val="34"/>
    <w:qFormat/>
    <w:rsid w:val="004C0CF9"/>
    <w:pPr>
      <w:ind w:left="720"/>
      <w:contextualSpacing/>
    </w:pPr>
  </w:style>
  <w:style w:type="character" w:styleId="aa">
    <w:name w:val="Intense Emphasis"/>
    <w:basedOn w:val="a0"/>
    <w:uiPriority w:val="21"/>
    <w:qFormat/>
    <w:rsid w:val="004C0CF9"/>
    <w:rPr>
      <w:i/>
      <w:iCs/>
      <w:color w:val="0F4761" w:themeColor="accent1" w:themeShade="BF"/>
    </w:rPr>
  </w:style>
  <w:style w:type="paragraph" w:styleId="ab">
    <w:name w:val="Intense Quote"/>
    <w:basedOn w:val="a"/>
    <w:next w:val="a"/>
    <w:link w:val="ac"/>
    <w:uiPriority w:val="30"/>
    <w:qFormat/>
    <w:rsid w:val="004C0C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4C0CF9"/>
    <w:rPr>
      <w:i/>
      <w:iCs/>
      <w:color w:val="0F4761" w:themeColor="accent1" w:themeShade="BF"/>
    </w:rPr>
  </w:style>
  <w:style w:type="character" w:styleId="ad">
    <w:name w:val="Intense Reference"/>
    <w:basedOn w:val="a0"/>
    <w:uiPriority w:val="32"/>
    <w:qFormat/>
    <w:rsid w:val="004C0CF9"/>
    <w:rPr>
      <w:b/>
      <w:bCs/>
      <w:smallCaps/>
      <w:color w:val="0F4761" w:themeColor="accent1" w:themeShade="BF"/>
      <w:spacing w:val="5"/>
    </w:rPr>
  </w:style>
  <w:style w:type="paragraph" w:styleId="ae">
    <w:name w:val="Normal (Web)"/>
    <w:basedOn w:val="a"/>
    <w:uiPriority w:val="99"/>
    <w:semiHidden/>
    <w:unhideWhenUsed/>
    <w:rsid w:val="00564322"/>
    <w:pPr>
      <w:widowControl/>
      <w:spacing w:before="100" w:beforeAutospacing="1" w:after="100" w:afterAutospacing="1"/>
      <w:jc w:val="left"/>
    </w:pPr>
    <w:rPr>
      <w:rFonts w:ascii="宋体" w:eastAsia="宋体" w:hAnsi="宋体" w:cs="宋体"/>
      <w:kern w:val="0"/>
      <w:sz w:val="24"/>
      <w:szCs w:val="24"/>
    </w:rPr>
  </w:style>
  <w:style w:type="character" w:styleId="af">
    <w:name w:val="Hyperlink"/>
    <w:basedOn w:val="a0"/>
    <w:uiPriority w:val="99"/>
    <w:semiHidden/>
    <w:unhideWhenUsed/>
    <w:rsid w:val="00564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6179">
      <w:bodyDiv w:val="1"/>
      <w:marLeft w:val="0"/>
      <w:marRight w:val="0"/>
      <w:marTop w:val="0"/>
      <w:marBottom w:val="0"/>
      <w:divBdr>
        <w:top w:val="none" w:sz="0" w:space="0" w:color="auto"/>
        <w:left w:val="none" w:sz="0" w:space="0" w:color="auto"/>
        <w:bottom w:val="none" w:sz="0" w:space="0" w:color="auto"/>
        <w:right w:val="none" w:sz="0" w:space="0" w:color="auto"/>
      </w:divBdr>
      <w:divsChild>
        <w:div w:id="637029841">
          <w:marLeft w:val="0"/>
          <w:marRight w:val="0"/>
          <w:marTop w:val="0"/>
          <w:marBottom w:val="0"/>
          <w:divBdr>
            <w:top w:val="none" w:sz="0" w:space="0" w:color="auto"/>
            <w:left w:val="none" w:sz="0" w:space="0" w:color="auto"/>
            <w:bottom w:val="none" w:sz="0" w:space="0" w:color="auto"/>
            <w:right w:val="none" w:sz="0" w:space="0" w:color="auto"/>
          </w:divBdr>
          <w:divsChild>
            <w:div w:id="2025012968">
              <w:marLeft w:val="0"/>
              <w:marRight w:val="0"/>
              <w:marTop w:val="0"/>
              <w:marBottom w:val="0"/>
              <w:divBdr>
                <w:top w:val="none" w:sz="0" w:space="0" w:color="auto"/>
                <w:left w:val="none" w:sz="0" w:space="0" w:color="auto"/>
                <w:bottom w:val="none" w:sz="0" w:space="0" w:color="auto"/>
                <w:right w:val="none" w:sz="0" w:space="0" w:color="auto"/>
              </w:divBdr>
              <w:divsChild>
                <w:div w:id="393312591">
                  <w:marLeft w:val="0"/>
                  <w:marRight w:val="0"/>
                  <w:marTop w:val="0"/>
                  <w:marBottom w:val="0"/>
                  <w:divBdr>
                    <w:top w:val="none" w:sz="0" w:space="0" w:color="auto"/>
                    <w:left w:val="none" w:sz="0" w:space="0" w:color="auto"/>
                    <w:bottom w:val="none" w:sz="0" w:space="0" w:color="auto"/>
                    <w:right w:val="none" w:sz="0" w:space="0" w:color="auto"/>
                  </w:divBdr>
                  <w:divsChild>
                    <w:div w:id="189152779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55230304">
              <w:marLeft w:val="0"/>
              <w:marRight w:val="0"/>
              <w:marTop w:val="0"/>
              <w:marBottom w:val="0"/>
              <w:divBdr>
                <w:top w:val="none" w:sz="0" w:space="0" w:color="auto"/>
                <w:left w:val="none" w:sz="0" w:space="0" w:color="auto"/>
                <w:bottom w:val="none" w:sz="0" w:space="0" w:color="auto"/>
                <w:right w:val="none" w:sz="0" w:space="0" w:color="auto"/>
              </w:divBdr>
            </w:div>
          </w:divsChild>
        </w:div>
        <w:div w:id="1869101130">
          <w:marLeft w:val="0"/>
          <w:marRight w:val="0"/>
          <w:marTop w:val="0"/>
          <w:marBottom w:val="0"/>
          <w:divBdr>
            <w:top w:val="none" w:sz="0" w:space="0" w:color="auto"/>
            <w:left w:val="none" w:sz="0" w:space="0" w:color="auto"/>
            <w:bottom w:val="none" w:sz="0" w:space="0" w:color="auto"/>
            <w:right w:val="none" w:sz="0" w:space="0" w:color="auto"/>
          </w:divBdr>
          <w:divsChild>
            <w:div w:id="20049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60022">
      <w:bodyDiv w:val="1"/>
      <w:marLeft w:val="0"/>
      <w:marRight w:val="0"/>
      <w:marTop w:val="0"/>
      <w:marBottom w:val="0"/>
      <w:divBdr>
        <w:top w:val="none" w:sz="0" w:space="0" w:color="auto"/>
        <w:left w:val="none" w:sz="0" w:space="0" w:color="auto"/>
        <w:bottom w:val="none" w:sz="0" w:space="0" w:color="auto"/>
        <w:right w:val="none" w:sz="0" w:space="0" w:color="auto"/>
      </w:divBdr>
      <w:divsChild>
        <w:div w:id="822501122">
          <w:marLeft w:val="0"/>
          <w:marRight w:val="0"/>
          <w:marTop w:val="0"/>
          <w:marBottom w:val="0"/>
          <w:divBdr>
            <w:top w:val="none" w:sz="0" w:space="0" w:color="auto"/>
            <w:left w:val="none" w:sz="0" w:space="0" w:color="auto"/>
            <w:bottom w:val="none" w:sz="0" w:space="0" w:color="auto"/>
            <w:right w:val="none" w:sz="0" w:space="0" w:color="auto"/>
          </w:divBdr>
          <w:divsChild>
            <w:div w:id="464272112">
              <w:marLeft w:val="0"/>
              <w:marRight w:val="0"/>
              <w:marTop w:val="0"/>
              <w:marBottom w:val="0"/>
              <w:divBdr>
                <w:top w:val="none" w:sz="0" w:space="0" w:color="auto"/>
                <w:left w:val="none" w:sz="0" w:space="0" w:color="auto"/>
                <w:bottom w:val="none" w:sz="0" w:space="0" w:color="auto"/>
                <w:right w:val="none" w:sz="0" w:space="0" w:color="auto"/>
              </w:divBdr>
              <w:divsChild>
                <w:div w:id="943659014">
                  <w:marLeft w:val="0"/>
                  <w:marRight w:val="0"/>
                  <w:marTop w:val="0"/>
                  <w:marBottom w:val="0"/>
                  <w:divBdr>
                    <w:top w:val="none" w:sz="0" w:space="0" w:color="auto"/>
                    <w:left w:val="none" w:sz="0" w:space="0" w:color="auto"/>
                    <w:bottom w:val="none" w:sz="0" w:space="0" w:color="auto"/>
                    <w:right w:val="none" w:sz="0" w:space="0" w:color="auto"/>
                  </w:divBdr>
                  <w:divsChild>
                    <w:div w:id="28686274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102489377">
              <w:marLeft w:val="0"/>
              <w:marRight w:val="0"/>
              <w:marTop w:val="0"/>
              <w:marBottom w:val="0"/>
              <w:divBdr>
                <w:top w:val="none" w:sz="0" w:space="0" w:color="auto"/>
                <w:left w:val="none" w:sz="0" w:space="0" w:color="auto"/>
                <w:bottom w:val="none" w:sz="0" w:space="0" w:color="auto"/>
                <w:right w:val="none" w:sz="0" w:space="0" w:color="auto"/>
              </w:divBdr>
            </w:div>
          </w:divsChild>
        </w:div>
        <w:div w:id="1779521903">
          <w:marLeft w:val="0"/>
          <w:marRight w:val="0"/>
          <w:marTop w:val="0"/>
          <w:marBottom w:val="0"/>
          <w:divBdr>
            <w:top w:val="none" w:sz="0" w:space="0" w:color="auto"/>
            <w:left w:val="none" w:sz="0" w:space="0" w:color="auto"/>
            <w:bottom w:val="none" w:sz="0" w:space="0" w:color="auto"/>
            <w:right w:val="none" w:sz="0" w:space="0" w:color="auto"/>
          </w:divBdr>
          <w:divsChild>
            <w:div w:id="18569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cgls.mof.gov.cn/zhengcefabu/202401/t20240111_392571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JONTEN JONTEN</dc:creator>
  <cp:keywords/>
  <dc:description/>
  <cp:lastModifiedBy>JONTEN JONTEN</cp:lastModifiedBy>
  <cp:revision>3</cp:revision>
  <dcterms:created xsi:type="dcterms:W3CDTF">2024-01-12T02:58:00Z</dcterms:created>
  <dcterms:modified xsi:type="dcterms:W3CDTF">2024-01-12T02:59:00Z</dcterms:modified>
</cp:coreProperties>
</file>