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B21C0B" w14:textId="77777777" w:rsidR="00C44F40" w:rsidRPr="00C44F40" w:rsidRDefault="00C44F40" w:rsidP="00C44F40">
      <w:pPr>
        <w:widowControl/>
        <w:shd w:val="clear" w:color="auto" w:fill="FFFFFF"/>
        <w:spacing w:line="675" w:lineRule="atLeast"/>
        <w:jc w:val="center"/>
        <w:outlineLvl w:val="1"/>
        <w:rPr>
          <w:rFonts w:ascii="微软雅黑" w:eastAsia="微软雅黑" w:hAnsi="微软雅黑" w:cs="宋体"/>
          <w:b/>
          <w:bCs/>
          <w:color w:val="333333"/>
          <w:kern w:val="0"/>
          <w:sz w:val="36"/>
          <w:szCs w:val="36"/>
        </w:rPr>
      </w:pPr>
      <w:r w:rsidRPr="00C44F40">
        <w:rPr>
          <w:rFonts w:ascii="微软雅黑" w:eastAsia="微软雅黑" w:hAnsi="微软雅黑" w:cs="宋体" w:hint="eastAsia"/>
          <w:b/>
          <w:bCs/>
          <w:color w:val="333333"/>
          <w:kern w:val="0"/>
          <w:sz w:val="36"/>
          <w:szCs w:val="36"/>
        </w:rPr>
        <w:t>问：在计量金融工具的预期信用损失时，应当如何考虑财务担保合同等信用增级所产生的现金流量？</w:t>
      </w:r>
    </w:p>
    <w:p w14:paraId="28EA8A58" w14:textId="77777777" w:rsidR="00C44F40" w:rsidRPr="00C44F40" w:rsidRDefault="00C44F40" w:rsidP="00C44F40">
      <w:pPr>
        <w:widowControl/>
        <w:shd w:val="clear" w:color="auto" w:fill="FFFFFF"/>
        <w:spacing w:line="420" w:lineRule="atLeast"/>
        <w:jc w:val="left"/>
        <w:rPr>
          <w:rFonts w:ascii="微软雅黑" w:eastAsia="微软雅黑" w:hAnsi="微软雅黑" w:cs="宋体" w:hint="eastAsia"/>
          <w:color w:val="333333"/>
          <w:kern w:val="0"/>
          <w:szCs w:val="21"/>
        </w:rPr>
      </w:pPr>
      <w:r w:rsidRPr="00C44F40">
        <w:rPr>
          <w:rFonts w:ascii="微软雅黑" w:eastAsia="微软雅黑" w:hAnsi="微软雅黑" w:cs="宋体" w:hint="eastAsia"/>
          <w:color w:val="333333"/>
          <w:kern w:val="0"/>
          <w:szCs w:val="21"/>
        </w:rPr>
        <w:t> 答：根据《企业会计准则第22号——金融工具确认和计量》第四十七条，信用损失是指企业按照</w:t>
      </w:r>
      <w:proofErr w:type="gramStart"/>
      <w:r w:rsidRPr="00C44F40">
        <w:rPr>
          <w:rFonts w:ascii="微软雅黑" w:eastAsia="微软雅黑" w:hAnsi="微软雅黑" w:cs="宋体" w:hint="eastAsia"/>
          <w:color w:val="333333"/>
          <w:kern w:val="0"/>
          <w:szCs w:val="21"/>
        </w:rPr>
        <w:t>原实际</w:t>
      </w:r>
      <w:proofErr w:type="gramEnd"/>
      <w:r w:rsidRPr="00C44F40">
        <w:rPr>
          <w:rFonts w:ascii="微软雅黑" w:eastAsia="微软雅黑" w:hAnsi="微软雅黑" w:cs="宋体" w:hint="eastAsia"/>
          <w:color w:val="333333"/>
          <w:kern w:val="0"/>
          <w:szCs w:val="21"/>
        </w:rPr>
        <w:t>利率折现的、根据合同应收的所有合同现金流量与预期收取的所有现金流量之间的差额，即全部现金短缺的现值。预期收取的所有现金流量不限于合同明确载明的条款所产生的现金流量，还应当包括出售所持担保</w:t>
      </w:r>
      <w:proofErr w:type="gramStart"/>
      <w:r w:rsidRPr="00C44F40">
        <w:rPr>
          <w:rFonts w:ascii="微软雅黑" w:eastAsia="微软雅黑" w:hAnsi="微软雅黑" w:cs="宋体" w:hint="eastAsia"/>
          <w:color w:val="333333"/>
          <w:kern w:val="0"/>
          <w:szCs w:val="21"/>
        </w:rPr>
        <w:t>品获得</w:t>
      </w:r>
      <w:proofErr w:type="gramEnd"/>
      <w:r w:rsidRPr="00C44F40">
        <w:rPr>
          <w:rFonts w:ascii="微软雅黑" w:eastAsia="微软雅黑" w:hAnsi="微软雅黑" w:cs="宋体" w:hint="eastAsia"/>
          <w:color w:val="333333"/>
          <w:kern w:val="0"/>
          <w:szCs w:val="21"/>
        </w:rPr>
        <w:t>的现金流量以及属于合同条款组成部分的其他信用增级所产生的现金流量。其中，“属于合同条款组成部分的其他信用增级”包括未与金融工具载明于同一合同、但实质上与金融工具的合同构成一个整体的其他信用增级条款。企业在计量金融工具的预期信用损失时，应当考虑属于合同条款组成部分的财务担保合同等信用增级所产生的现金流量，但该信用增级相关现金流量已单独确认的，则在计量预期信用损失时不可重复考虑。</w:t>
      </w:r>
    </w:p>
    <w:p w14:paraId="48CA1C3A" w14:textId="77777777" w:rsidR="00C44F40" w:rsidRPr="00C44F40" w:rsidRDefault="00C44F40" w:rsidP="00C44F40">
      <w:pPr>
        <w:widowControl/>
        <w:shd w:val="clear" w:color="auto" w:fill="FFFFFF"/>
        <w:jc w:val="left"/>
        <w:rPr>
          <w:rFonts w:ascii="微软雅黑" w:eastAsia="微软雅黑" w:hAnsi="微软雅黑" w:cs="宋体" w:hint="eastAsia"/>
          <w:color w:val="333333"/>
          <w:kern w:val="0"/>
          <w:szCs w:val="21"/>
        </w:rPr>
      </w:pPr>
      <w:r w:rsidRPr="00C44F40">
        <w:rPr>
          <w:rFonts w:ascii="微软雅黑" w:eastAsia="微软雅黑" w:hAnsi="微软雅黑" w:cs="宋体" w:hint="eastAsia"/>
          <w:color w:val="333333"/>
          <w:kern w:val="0"/>
          <w:szCs w:val="21"/>
        </w:rPr>
        <w:t>发布日期：2023年07月17日</w:t>
      </w:r>
    </w:p>
    <w:p w14:paraId="0CA9A7C7" w14:textId="61A73F9B" w:rsidR="00C44F40" w:rsidRPr="00C44F40" w:rsidRDefault="00C44F40" w:rsidP="00C44F40">
      <w:pPr>
        <w:widowControl/>
        <w:shd w:val="clear" w:color="auto" w:fill="FFFFFF"/>
        <w:jc w:val="left"/>
        <w:rPr>
          <w:rFonts w:ascii="微软雅黑" w:eastAsia="微软雅黑" w:hAnsi="微软雅黑" w:cs="宋体" w:hint="eastAsia"/>
          <w:color w:val="333333"/>
          <w:kern w:val="0"/>
          <w:szCs w:val="21"/>
        </w:rPr>
      </w:pPr>
      <w:r w:rsidRPr="00C44F40">
        <w:rPr>
          <w:rFonts w:ascii="微软雅黑" w:eastAsia="微软雅黑" w:hAnsi="微软雅黑" w:cs="宋体"/>
          <w:noProof/>
          <w:color w:val="333333"/>
          <w:kern w:val="0"/>
          <w:szCs w:val="21"/>
        </w:rPr>
        <w:drawing>
          <wp:inline distT="0" distB="0" distL="0" distR="0" wp14:anchorId="4603F96F" wp14:editId="1925FEA8">
            <wp:extent cx="209550" cy="209550"/>
            <wp:effectExtent l="0" t="0" r="0" b="0"/>
            <wp:docPr id="1654840960"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sidRPr="00C44F40">
        <w:rPr>
          <w:rFonts w:ascii="微软雅黑" w:eastAsia="微软雅黑" w:hAnsi="微软雅黑" w:cs="宋体"/>
          <w:noProof/>
          <w:color w:val="333333"/>
          <w:kern w:val="0"/>
          <w:szCs w:val="21"/>
        </w:rPr>
        <w:drawing>
          <wp:inline distT="0" distB="0" distL="0" distR="0" wp14:anchorId="2184F476" wp14:editId="41EAA46A">
            <wp:extent cx="247650" cy="247650"/>
            <wp:effectExtent l="0" t="0" r="0" b="0"/>
            <wp:docPr id="2014665786"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r w:rsidRPr="00C44F40">
        <w:rPr>
          <w:rFonts w:ascii="微软雅黑" w:eastAsia="微软雅黑" w:hAnsi="微软雅黑" w:cs="宋体" w:hint="eastAsia"/>
          <w:color w:val="333333"/>
          <w:kern w:val="0"/>
          <w:szCs w:val="21"/>
        </w:rPr>
        <w:t> </w:t>
      </w:r>
      <w:r w:rsidRPr="00C44F40">
        <w:rPr>
          <w:rFonts w:ascii="微软雅黑" w:eastAsia="微软雅黑" w:hAnsi="微软雅黑" w:cs="宋体"/>
          <w:noProof/>
          <w:color w:val="333333"/>
          <w:kern w:val="0"/>
          <w:szCs w:val="21"/>
        </w:rPr>
        <w:drawing>
          <wp:inline distT="0" distB="0" distL="0" distR="0" wp14:anchorId="04A3243E" wp14:editId="2E307162">
            <wp:extent cx="247650" cy="247650"/>
            <wp:effectExtent l="0" t="0" r="0" b="0"/>
            <wp:docPr id="2091639610"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p w14:paraId="727A5A95" w14:textId="77777777" w:rsidR="00ED1CF5" w:rsidRDefault="00ED1CF5"/>
    <w:sectPr w:rsidR="00ED1CF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4F40"/>
    <w:rsid w:val="00C44F40"/>
    <w:rsid w:val="00ED1C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6B4252"/>
  <w15:chartTrackingRefBased/>
  <w15:docId w15:val="{40DE9650-99E3-4611-9BC0-97361D116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2">
    <w:name w:val="heading 2"/>
    <w:basedOn w:val="a"/>
    <w:link w:val="20"/>
    <w:uiPriority w:val="9"/>
    <w:qFormat/>
    <w:rsid w:val="00C44F40"/>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标题 2 字符"/>
    <w:basedOn w:val="a0"/>
    <w:link w:val="2"/>
    <w:uiPriority w:val="9"/>
    <w:rsid w:val="00C44F40"/>
    <w:rPr>
      <w:rFonts w:ascii="宋体" w:eastAsia="宋体" w:hAnsi="宋体" w:cs="宋体"/>
      <w:b/>
      <w:bCs/>
      <w:kern w:val="0"/>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5662923">
      <w:bodyDiv w:val="1"/>
      <w:marLeft w:val="0"/>
      <w:marRight w:val="0"/>
      <w:marTop w:val="0"/>
      <w:marBottom w:val="0"/>
      <w:divBdr>
        <w:top w:val="none" w:sz="0" w:space="0" w:color="auto"/>
        <w:left w:val="none" w:sz="0" w:space="0" w:color="auto"/>
        <w:bottom w:val="none" w:sz="0" w:space="0" w:color="auto"/>
        <w:right w:val="none" w:sz="0" w:space="0" w:color="auto"/>
      </w:divBdr>
      <w:divsChild>
        <w:div w:id="1382707396">
          <w:marLeft w:val="0"/>
          <w:marRight w:val="0"/>
          <w:marTop w:val="0"/>
          <w:marBottom w:val="0"/>
          <w:divBdr>
            <w:top w:val="none" w:sz="0" w:space="0" w:color="auto"/>
            <w:left w:val="none" w:sz="0" w:space="0" w:color="auto"/>
            <w:bottom w:val="none" w:sz="0" w:space="0" w:color="auto"/>
            <w:right w:val="none" w:sz="0" w:space="0" w:color="auto"/>
          </w:divBdr>
          <w:divsChild>
            <w:div w:id="1866214155">
              <w:marLeft w:val="0"/>
              <w:marRight w:val="0"/>
              <w:marTop w:val="0"/>
              <w:marBottom w:val="0"/>
              <w:divBdr>
                <w:top w:val="none" w:sz="0" w:space="0" w:color="auto"/>
                <w:left w:val="none" w:sz="0" w:space="0" w:color="auto"/>
                <w:bottom w:val="none" w:sz="0" w:space="0" w:color="auto"/>
                <w:right w:val="none" w:sz="0" w:space="0" w:color="auto"/>
              </w:divBdr>
              <w:divsChild>
                <w:div w:id="1503157154">
                  <w:marLeft w:val="0"/>
                  <w:marRight w:val="0"/>
                  <w:marTop w:val="0"/>
                  <w:marBottom w:val="0"/>
                  <w:divBdr>
                    <w:top w:val="none" w:sz="0" w:space="0" w:color="auto"/>
                    <w:left w:val="none" w:sz="0" w:space="0" w:color="auto"/>
                    <w:bottom w:val="none" w:sz="0" w:space="0" w:color="auto"/>
                    <w:right w:val="none" w:sz="0" w:space="0" w:color="auto"/>
                  </w:divBdr>
                  <w:divsChild>
                    <w:div w:id="22218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3396058">
          <w:marLeft w:val="0"/>
          <w:marRight w:val="0"/>
          <w:marTop w:val="0"/>
          <w:marBottom w:val="0"/>
          <w:divBdr>
            <w:top w:val="none" w:sz="0" w:space="0" w:color="auto"/>
            <w:left w:val="none" w:sz="0" w:space="0" w:color="auto"/>
            <w:bottom w:val="none" w:sz="0" w:space="0" w:color="auto"/>
            <w:right w:val="none" w:sz="0" w:space="0" w:color="auto"/>
          </w:divBdr>
          <w:divsChild>
            <w:div w:id="697631713">
              <w:marLeft w:val="0"/>
              <w:marRight w:val="0"/>
              <w:marTop w:val="0"/>
              <w:marBottom w:val="0"/>
              <w:divBdr>
                <w:top w:val="none" w:sz="0" w:space="0" w:color="auto"/>
                <w:left w:val="none" w:sz="0" w:space="0" w:color="auto"/>
                <w:bottom w:val="none" w:sz="0" w:space="0" w:color="auto"/>
                <w:right w:val="none" w:sz="0" w:space="0" w:color="auto"/>
              </w:divBdr>
            </w:div>
            <w:div w:id="1237790112">
              <w:marLeft w:val="0"/>
              <w:marRight w:val="0"/>
              <w:marTop w:val="0"/>
              <w:marBottom w:val="225"/>
              <w:divBdr>
                <w:top w:val="none" w:sz="0" w:space="0" w:color="auto"/>
                <w:left w:val="none" w:sz="0" w:space="0" w:color="auto"/>
                <w:bottom w:val="none" w:sz="0" w:space="0" w:color="auto"/>
                <w:right w:val="none" w:sz="0" w:space="0" w:color="auto"/>
              </w:divBdr>
              <w:divsChild>
                <w:div w:id="150990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59</Words>
  <Characters>342</Characters>
  <Application>Microsoft Office Word</Application>
  <DocSecurity>0</DocSecurity>
  <Lines>2</Lines>
  <Paragraphs>1</Paragraphs>
  <ScaleCrop>false</ScaleCrop>
  <Company/>
  <LinksUpToDate>false</LinksUpToDate>
  <CharactersWithSpaces>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小明</dc:creator>
  <cp:keywords/>
  <dc:description/>
  <cp:lastModifiedBy>小明</cp:lastModifiedBy>
  <cp:revision>1</cp:revision>
  <dcterms:created xsi:type="dcterms:W3CDTF">2023-07-25T02:07:00Z</dcterms:created>
  <dcterms:modified xsi:type="dcterms:W3CDTF">2023-07-25T02:08:00Z</dcterms:modified>
</cp:coreProperties>
</file>