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3AA0" w14:textId="77777777" w:rsidR="0053554E" w:rsidRPr="0053554E" w:rsidRDefault="0053554E" w:rsidP="0053554E">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53554E">
        <w:rPr>
          <w:rFonts w:ascii="微软雅黑" w:eastAsia="微软雅黑" w:hAnsi="微软雅黑" w:cs="宋体" w:hint="eastAsia"/>
          <w:b/>
          <w:bCs/>
          <w:color w:val="333333"/>
          <w:kern w:val="0"/>
          <w:sz w:val="36"/>
          <w:szCs w:val="36"/>
        </w:rPr>
        <w:t>问：对于满足《企业会计准则第24号——套期会计》规定条件的套期关系，企业应当如何认定套</w:t>
      </w:r>
      <w:proofErr w:type="gramStart"/>
      <w:r w:rsidRPr="0053554E">
        <w:rPr>
          <w:rFonts w:ascii="微软雅黑" w:eastAsia="微软雅黑" w:hAnsi="微软雅黑" w:cs="宋体" w:hint="eastAsia"/>
          <w:b/>
          <w:bCs/>
          <w:color w:val="333333"/>
          <w:kern w:val="0"/>
          <w:sz w:val="36"/>
          <w:szCs w:val="36"/>
        </w:rPr>
        <w:t>期关系</w:t>
      </w:r>
      <w:proofErr w:type="gramEnd"/>
      <w:r w:rsidRPr="0053554E">
        <w:rPr>
          <w:rFonts w:ascii="微软雅黑" w:eastAsia="微软雅黑" w:hAnsi="微软雅黑" w:cs="宋体" w:hint="eastAsia"/>
          <w:b/>
          <w:bCs/>
          <w:color w:val="333333"/>
          <w:kern w:val="0"/>
          <w:sz w:val="36"/>
          <w:szCs w:val="36"/>
        </w:rPr>
        <w:t>符合套期有效性要求？</w:t>
      </w:r>
    </w:p>
    <w:p w14:paraId="6FC1F000" w14:textId="77777777" w:rsidR="0053554E" w:rsidRPr="0053554E" w:rsidRDefault="0053554E" w:rsidP="0053554E">
      <w:pPr>
        <w:widowControl/>
        <w:shd w:val="clear" w:color="auto" w:fill="FFFFFF"/>
        <w:spacing w:line="420" w:lineRule="atLeast"/>
        <w:jc w:val="left"/>
        <w:rPr>
          <w:rFonts w:ascii="微软雅黑" w:eastAsia="微软雅黑" w:hAnsi="微软雅黑" w:cs="宋体" w:hint="eastAsia"/>
          <w:color w:val="333333"/>
          <w:kern w:val="0"/>
          <w:szCs w:val="21"/>
        </w:rPr>
      </w:pPr>
    </w:p>
    <w:p w14:paraId="7E213512" w14:textId="77777777" w:rsidR="0053554E" w:rsidRPr="0053554E" w:rsidRDefault="0053554E" w:rsidP="0053554E">
      <w:pPr>
        <w:widowControl/>
        <w:shd w:val="clear" w:color="auto" w:fill="FFFFFF"/>
        <w:spacing w:line="420" w:lineRule="atLeast"/>
        <w:jc w:val="left"/>
        <w:rPr>
          <w:rFonts w:ascii="微软雅黑" w:eastAsia="微软雅黑" w:hAnsi="微软雅黑" w:cs="宋体" w:hint="eastAsia"/>
          <w:color w:val="333333"/>
          <w:kern w:val="0"/>
          <w:szCs w:val="21"/>
        </w:rPr>
      </w:pPr>
      <w:r w:rsidRPr="0053554E">
        <w:rPr>
          <w:rFonts w:ascii="Arial" w:eastAsia="微软雅黑" w:hAnsi="Arial" w:cs="Arial"/>
          <w:color w:val="333333"/>
          <w:kern w:val="0"/>
          <w:sz w:val="24"/>
          <w:szCs w:val="24"/>
        </w:rPr>
        <w:t xml:space="preserve">　　</w:t>
      </w:r>
      <w:r w:rsidRPr="0053554E">
        <w:rPr>
          <w:rFonts w:ascii="微软雅黑" w:eastAsia="微软雅黑" w:hAnsi="微软雅黑" w:cs="宋体" w:hint="eastAsia"/>
          <w:color w:val="333333"/>
          <w:kern w:val="0"/>
          <w:szCs w:val="21"/>
        </w:rPr>
        <w:t>答：企业应当在套期开始日及以后期间持续地对套</w:t>
      </w:r>
      <w:proofErr w:type="gramStart"/>
      <w:r w:rsidRPr="0053554E">
        <w:rPr>
          <w:rFonts w:ascii="微软雅黑" w:eastAsia="微软雅黑" w:hAnsi="微软雅黑" w:cs="宋体" w:hint="eastAsia"/>
          <w:color w:val="333333"/>
          <w:kern w:val="0"/>
          <w:szCs w:val="21"/>
        </w:rPr>
        <w:t>期关系</w:t>
      </w:r>
      <w:proofErr w:type="gramEnd"/>
      <w:r w:rsidRPr="0053554E">
        <w:rPr>
          <w:rFonts w:ascii="微软雅黑" w:eastAsia="微软雅黑" w:hAnsi="微软雅黑" w:cs="宋体" w:hint="eastAsia"/>
          <w:color w:val="333333"/>
          <w:kern w:val="0"/>
          <w:szCs w:val="21"/>
        </w:rPr>
        <w:t>是否符合套期有效性要求进行评估。套</w:t>
      </w:r>
      <w:proofErr w:type="gramStart"/>
      <w:r w:rsidRPr="0053554E">
        <w:rPr>
          <w:rFonts w:ascii="微软雅黑" w:eastAsia="微软雅黑" w:hAnsi="微软雅黑" w:cs="宋体" w:hint="eastAsia"/>
          <w:color w:val="333333"/>
          <w:kern w:val="0"/>
          <w:szCs w:val="21"/>
        </w:rPr>
        <w:t>期同时</w:t>
      </w:r>
      <w:proofErr w:type="gramEnd"/>
      <w:r w:rsidRPr="0053554E">
        <w:rPr>
          <w:rFonts w:ascii="微软雅黑" w:eastAsia="微软雅黑" w:hAnsi="微软雅黑" w:cs="宋体" w:hint="eastAsia"/>
          <w:color w:val="333333"/>
          <w:kern w:val="0"/>
          <w:szCs w:val="21"/>
        </w:rPr>
        <w:t>满足下列条件的，企业应当认定套</w:t>
      </w:r>
      <w:proofErr w:type="gramStart"/>
      <w:r w:rsidRPr="0053554E">
        <w:rPr>
          <w:rFonts w:ascii="微软雅黑" w:eastAsia="微软雅黑" w:hAnsi="微软雅黑" w:cs="宋体" w:hint="eastAsia"/>
          <w:color w:val="333333"/>
          <w:kern w:val="0"/>
          <w:szCs w:val="21"/>
        </w:rPr>
        <w:t>期关系</w:t>
      </w:r>
      <w:proofErr w:type="gramEnd"/>
      <w:r w:rsidRPr="0053554E">
        <w:rPr>
          <w:rFonts w:ascii="微软雅黑" w:eastAsia="微软雅黑" w:hAnsi="微软雅黑" w:cs="宋体" w:hint="eastAsia"/>
          <w:color w:val="333333"/>
          <w:kern w:val="0"/>
          <w:szCs w:val="21"/>
        </w:rPr>
        <w:t>符合套期有效性要求：</w:t>
      </w:r>
    </w:p>
    <w:p w14:paraId="5AFDE428"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（一）被套</w:t>
      </w:r>
      <w:proofErr w:type="gramStart"/>
      <w:r w:rsidRPr="0053554E">
        <w:rPr>
          <w:rFonts w:ascii="微软雅黑" w:eastAsia="微软雅黑" w:hAnsi="微软雅黑" w:cs="宋体" w:hint="eastAsia"/>
          <w:color w:val="333333"/>
          <w:kern w:val="0"/>
          <w:szCs w:val="21"/>
        </w:rPr>
        <w:t>期项目</w:t>
      </w:r>
      <w:proofErr w:type="gramEnd"/>
      <w:r w:rsidRPr="0053554E">
        <w:rPr>
          <w:rFonts w:ascii="微软雅黑" w:eastAsia="微软雅黑" w:hAnsi="微软雅黑" w:cs="宋体" w:hint="eastAsia"/>
          <w:color w:val="333333"/>
          <w:kern w:val="0"/>
          <w:szCs w:val="21"/>
        </w:rPr>
        <w:t>和套</w:t>
      </w:r>
      <w:proofErr w:type="gramStart"/>
      <w:r w:rsidRPr="0053554E">
        <w:rPr>
          <w:rFonts w:ascii="微软雅黑" w:eastAsia="微软雅黑" w:hAnsi="微软雅黑" w:cs="宋体" w:hint="eastAsia"/>
          <w:color w:val="333333"/>
          <w:kern w:val="0"/>
          <w:szCs w:val="21"/>
        </w:rPr>
        <w:t>期工具</w:t>
      </w:r>
      <w:proofErr w:type="gramEnd"/>
      <w:r w:rsidRPr="0053554E">
        <w:rPr>
          <w:rFonts w:ascii="微软雅黑" w:eastAsia="微软雅黑" w:hAnsi="微软雅黑" w:cs="宋体" w:hint="eastAsia"/>
          <w:color w:val="333333"/>
          <w:kern w:val="0"/>
          <w:szCs w:val="21"/>
        </w:rPr>
        <w:t>之间存在经济关系。该经济关系使得套</w:t>
      </w:r>
      <w:proofErr w:type="gramStart"/>
      <w:r w:rsidRPr="0053554E">
        <w:rPr>
          <w:rFonts w:ascii="微软雅黑" w:eastAsia="微软雅黑" w:hAnsi="微软雅黑" w:cs="宋体" w:hint="eastAsia"/>
          <w:color w:val="333333"/>
          <w:kern w:val="0"/>
          <w:szCs w:val="21"/>
        </w:rPr>
        <w:t>期工具</w:t>
      </w:r>
      <w:proofErr w:type="gramEnd"/>
      <w:r w:rsidRPr="0053554E">
        <w:rPr>
          <w:rFonts w:ascii="微软雅黑" w:eastAsia="微软雅黑" w:hAnsi="微软雅黑" w:cs="宋体" w:hint="eastAsia"/>
          <w:color w:val="333333"/>
          <w:kern w:val="0"/>
          <w:szCs w:val="21"/>
        </w:rPr>
        <w:t>和被套</w:t>
      </w:r>
      <w:proofErr w:type="gramStart"/>
      <w:r w:rsidRPr="0053554E">
        <w:rPr>
          <w:rFonts w:ascii="微软雅黑" w:eastAsia="微软雅黑" w:hAnsi="微软雅黑" w:cs="宋体" w:hint="eastAsia"/>
          <w:color w:val="333333"/>
          <w:kern w:val="0"/>
          <w:szCs w:val="21"/>
        </w:rPr>
        <w:t>期项目</w:t>
      </w:r>
      <w:proofErr w:type="gramEnd"/>
      <w:r w:rsidRPr="0053554E">
        <w:rPr>
          <w:rFonts w:ascii="微软雅黑" w:eastAsia="微软雅黑" w:hAnsi="微软雅黑" w:cs="宋体" w:hint="eastAsia"/>
          <w:color w:val="333333"/>
          <w:kern w:val="0"/>
          <w:szCs w:val="21"/>
        </w:rPr>
        <w:t>的价值因面临相同的被套期风险而发生方向相反的变动。</w:t>
      </w:r>
    </w:p>
    <w:p w14:paraId="5926ACAB"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（二）被套</w:t>
      </w:r>
      <w:proofErr w:type="gramStart"/>
      <w:r w:rsidRPr="0053554E">
        <w:rPr>
          <w:rFonts w:ascii="微软雅黑" w:eastAsia="微软雅黑" w:hAnsi="微软雅黑" w:cs="宋体" w:hint="eastAsia"/>
          <w:color w:val="333333"/>
          <w:kern w:val="0"/>
          <w:szCs w:val="21"/>
        </w:rPr>
        <w:t>期项目</w:t>
      </w:r>
      <w:proofErr w:type="gramEnd"/>
      <w:r w:rsidRPr="0053554E">
        <w:rPr>
          <w:rFonts w:ascii="微软雅黑" w:eastAsia="微软雅黑" w:hAnsi="微软雅黑" w:cs="宋体" w:hint="eastAsia"/>
          <w:color w:val="333333"/>
          <w:kern w:val="0"/>
          <w:szCs w:val="21"/>
        </w:rPr>
        <w:t>和套</w:t>
      </w:r>
      <w:proofErr w:type="gramStart"/>
      <w:r w:rsidRPr="0053554E">
        <w:rPr>
          <w:rFonts w:ascii="微软雅黑" w:eastAsia="微软雅黑" w:hAnsi="微软雅黑" w:cs="宋体" w:hint="eastAsia"/>
          <w:color w:val="333333"/>
          <w:kern w:val="0"/>
          <w:szCs w:val="21"/>
        </w:rPr>
        <w:t>期工具</w:t>
      </w:r>
      <w:proofErr w:type="gramEnd"/>
      <w:r w:rsidRPr="0053554E">
        <w:rPr>
          <w:rFonts w:ascii="微软雅黑" w:eastAsia="微软雅黑" w:hAnsi="微软雅黑" w:cs="宋体" w:hint="eastAsia"/>
          <w:color w:val="333333"/>
          <w:kern w:val="0"/>
          <w:szCs w:val="21"/>
        </w:rPr>
        <w:t>经济关系产生的价值变动中，信用风险的影响不占主导地位。</w:t>
      </w:r>
    </w:p>
    <w:p w14:paraId="3BBB09AB"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（三）套</w:t>
      </w:r>
      <w:proofErr w:type="gramStart"/>
      <w:r w:rsidRPr="0053554E">
        <w:rPr>
          <w:rFonts w:ascii="微软雅黑" w:eastAsia="微软雅黑" w:hAnsi="微软雅黑" w:cs="宋体" w:hint="eastAsia"/>
          <w:color w:val="333333"/>
          <w:kern w:val="0"/>
          <w:szCs w:val="21"/>
        </w:rPr>
        <w:t>期关系</w:t>
      </w:r>
      <w:proofErr w:type="gramEnd"/>
      <w:r w:rsidRPr="0053554E">
        <w:rPr>
          <w:rFonts w:ascii="微软雅黑" w:eastAsia="微软雅黑" w:hAnsi="微软雅黑" w:cs="宋体" w:hint="eastAsia"/>
          <w:color w:val="333333"/>
          <w:kern w:val="0"/>
          <w:szCs w:val="21"/>
        </w:rPr>
        <w:t>的套期比率，应当等于企业实际套期的被套</w:t>
      </w:r>
      <w:proofErr w:type="gramStart"/>
      <w:r w:rsidRPr="0053554E">
        <w:rPr>
          <w:rFonts w:ascii="微软雅黑" w:eastAsia="微软雅黑" w:hAnsi="微软雅黑" w:cs="宋体" w:hint="eastAsia"/>
          <w:color w:val="333333"/>
          <w:kern w:val="0"/>
          <w:szCs w:val="21"/>
        </w:rPr>
        <w:t>期项目</w:t>
      </w:r>
      <w:proofErr w:type="gramEnd"/>
      <w:r w:rsidRPr="0053554E">
        <w:rPr>
          <w:rFonts w:ascii="微软雅黑" w:eastAsia="微软雅黑" w:hAnsi="微软雅黑" w:cs="宋体" w:hint="eastAsia"/>
          <w:color w:val="333333"/>
          <w:kern w:val="0"/>
          <w:szCs w:val="21"/>
        </w:rPr>
        <w:t>数量与对其进行套期的套</w:t>
      </w:r>
      <w:proofErr w:type="gramStart"/>
      <w:r w:rsidRPr="0053554E">
        <w:rPr>
          <w:rFonts w:ascii="微软雅黑" w:eastAsia="微软雅黑" w:hAnsi="微软雅黑" w:cs="宋体" w:hint="eastAsia"/>
          <w:color w:val="333333"/>
          <w:kern w:val="0"/>
          <w:szCs w:val="21"/>
        </w:rPr>
        <w:t>期工具</w:t>
      </w:r>
      <w:proofErr w:type="gramEnd"/>
      <w:r w:rsidRPr="0053554E">
        <w:rPr>
          <w:rFonts w:ascii="微软雅黑" w:eastAsia="微软雅黑" w:hAnsi="微软雅黑" w:cs="宋体" w:hint="eastAsia"/>
          <w:color w:val="333333"/>
          <w:kern w:val="0"/>
          <w:szCs w:val="21"/>
        </w:rPr>
        <w:t>实际数量之比，但不应当反映被套</w:t>
      </w:r>
      <w:proofErr w:type="gramStart"/>
      <w:r w:rsidRPr="0053554E">
        <w:rPr>
          <w:rFonts w:ascii="微软雅黑" w:eastAsia="微软雅黑" w:hAnsi="微软雅黑" w:cs="宋体" w:hint="eastAsia"/>
          <w:color w:val="333333"/>
          <w:kern w:val="0"/>
          <w:szCs w:val="21"/>
        </w:rPr>
        <w:t>期项目</w:t>
      </w:r>
      <w:proofErr w:type="gramEnd"/>
      <w:r w:rsidRPr="0053554E">
        <w:rPr>
          <w:rFonts w:ascii="微软雅黑" w:eastAsia="微软雅黑" w:hAnsi="微软雅黑" w:cs="宋体" w:hint="eastAsia"/>
          <w:color w:val="333333"/>
          <w:kern w:val="0"/>
          <w:szCs w:val="21"/>
        </w:rPr>
        <w:t>和套</w:t>
      </w:r>
      <w:proofErr w:type="gramStart"/>
      <w:r w:rsidRPr="0053554E">
        <w:rPr>
          <w:rFonts w:ascii="微软雅黑" w:eastAsia="微软雅黑" w:hAnsi="微软雅黑" w:cs="宋体" w:hint="eastAsia"/>
          <w:color w:val="333333"/>
          <w:kern w:val="0"/>
          <w:szCs w:val="21"/>
        </w:rPr>
        <w:t>期工具</w:t>
      </w:r>
      <w:proofErr w:type="gramEnd"/>
      <w:r w:rsidRPr="0053554E">
        <w:rPr>
          <w:rFonts w:ascii="微软雅黑" w:eastAsia="微软雅黑" w:hAnsi="微软雅黑" w:cs="宋体" w:hint="eastAsia"/>
          <w:color w:val="333333"/>
          <w:kern w:val="0"/>
          <w:szCs w:val="21"/>
        </w:rPr>
        <w:t>相对权重的失衡，这种失衡会导致套期无效，并可能产生与套期会计目标不一致的会计结果。例如，企业确定拟采用的套期比率是为了避免确认现金流量套期的套期无效部分，或是为了创造更多的被套</w:t>
      </w:r>
      <w:proofErr w:type="gramStart"/>
      <w:r w:rsidRPr="0053554E">
        <w:rPr>
          <w:rFonts w:ascii="微软雅黑" w:eastAsia="微软雅黑" w:hAnsi="微软雅黑" w:cs="宋体" w:hint="eastAsia"/>
          <w:color w:val="333333"/>
          <w:kern w:val="0"/>
          <w:szCs w:val="21"/>
        </w:rPr>
        <w:t>期项目</w:t>
      </w:r>
      <w:proofErr w:type="gramEnd"/>
      <w:r w:rsidRPr="0053554E">
        <w:rPr>
          <w:rFonts w:ascii="微软雅黑" w:eastAsia="微软雅黑" w:hAnsi="微软雅黑" w:cs="宋体" w:hint="eastAsia"/>
          <w:color w:val="333333"/>
          <w:kern w:val="0"/>
          <w:szCs w:val="21"/>
        </w:rPr>
        <w:t>进行公允价值调整以达到增加使用公允价值会计的目的，可能会产生与套期会计目标不一致的会计结果。</w:t>
      </w:r>
    </w:p>
    <w:p w14:paraId="116EAE08"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企业在认定套</w:t>
      </w:r>
      <w:proofErr w:type="gramStart"/>
      <w:r w:rsidRPr="0053554E">
        <w:rPr>
          <w:rFonts w:ascii="微软雅黑" w:eastAsia="微软雅黑" w:hAnsi="微软雅黑" w:cs="宋体" w:hint="eastAsia"/>
          <w:color w:val="333333"/>
          <w:kern w:val="0"/>
          <w:szCs w:val="21"/>
        </w:rPr>
        <w:t>期关系</w:t>
      </w:r>
      <w:proofErr w:type="gramEnd"/>
      <w:r w:rsidRPr="0053554E">
        <w:rPr>
          <w:rFonts w:ascii="微软雅黑" w:eastAsia="微软雅黑" w:hAnsi="微软雅黑" w:cs="宋体" w:hint="eastAsia"/>
          <w:color w:val="333333"/>
          <w:kern w:val="0"/>
          <w:szCs w:val="21"/>
        </w:rPr>
        <w:t>是否符合套期有效性要求时，应当同时考虑以上三个条件，不得僵化地以套</w:t>
      </w:r>
      <w:proofErr w:type="gramStart"/>
      <w:r w:rsidRPr="0053554E">
        <w:rPr>
          <w:rFonts w:ascii="微软雅黑" w:eastAsia="微软雅黑" w:hAnsi="微软雅黑" w:cs="宋体" w:hint="eastAsia"/>
          <w:color w:val="333333"/>
          <w:kern w:val="0"/>
          <w:szCs w:val="21"/>
        </w:rPr>
        <w:t>期工具</w:t>
      </w:r>
      <w:proofErr w:type="gramEnd"/>
      <w:r w:rsidRPr="0053554E">
        <w:rPr>
          <w:rFonts w:ascii="微软雅黑" w:eastAsia="微软雅黑" w:hAnsi="微软雅黑" w:cs="宋体" w:hint="eastAsia"/>
          <w:color w:val="333333"/>
          <w:kern w:val="0"/>
          <w:szCs w:val="21"/>
        </w:rPr>
        <w:t>和被套</w:t>
      </w:r>
      <w:proofErr w:type="gramStart"/>
      <w:r w:rsidRPr="0053554E">
        <w:rPr>
          <w:rFonts w:ascii="微软雅黑" w:eastAsia="微软雅黑" w:hAnsi="微软雅黑" w:cs="宋体" w:hint="eastAsia"/>
          <w:color w:val="333333"/>
          <w:kern w:val="0"/>
          <w:szCs w:val="21"/>
        </w:rPr>
        <w:t>期项目</w:t>
      </w:r>
      <w:proofErr w:type="gramEnd"/>
      <w:r w:rsidRPr="0053554E">
        <w:rPr>
          <w:rFonts w:ascii="微软雅黑" w:eastAsia="微软雅黑" w:hAnsi="微软雅黑" w:cs="宋体" w:hint="eastAsia"/>
          <w:color w:val="333333"/>
          <w:kern w:val="0"/>
          <w:szCs w:val="21"/>
        </w:rPr>
        <w:t>的公允价值或现金流量变动的</w:t>
      </w:r>
      <w:proofErr w:type="gramStart"/>
      <w:r w:rsidRPr="0053554E">
        <w:rPr>
          <w:rFonts w:ascii="微软雅黑" w:eastAsia="微软雅黑" w:hAnsi="微软雅黑" w:cs="宋体" w:hint="eastAsia"/>
          <w:color w:val="333333"/>
          <w:kern w:val="0"/>
          <w:szCs w:val="21"/>
        </w:rPr>
        <w:t>抵销</w:t>
      </w:r>
      <w:proofErr w:type="gramEnd"/>
      <w:r w:rsidRPr="0053554E">
        <w:rPr>
          <w:rFonts w:ascii="微软雅黑" w:eastAsia="微软雅黑" w:hAnsi="微软雅黑" w:cs="宋体" w:hint="eastAsia"/>
          <w:color w:val="333333"/>
          <w:kern w:val="0"/>
          <w:szCs w:val="21"/>
        </w:rPr>
        <w:t>程度的一定量化指标（如80%至125%之间）作为认定套期有效性的硬性标准。</w:t>
      </w:r>
    </w:p>
    <w:p w14:paraId="664EEC8B" w14:textId="77777777" w:rsidR="0053554E" w:rsidRDefault="0053554E">
      <w:pPr>
        <w:widowControl/>
        <w:jc w:val="left"/>
        <w:rPr>
          <w:rFonts w:ascii="微软雅黑" w:eastAsia="微软雅黑" w:hAnsi="微软雅黑" w:cs="宋体"/>
          <w:color w:val="333333"/>
          <w:kern w:val="0"/>
          <w:szCs w:val="21"/>
        </w:rPr>
      </w:pPr>
      <w:r>
        <w:rPr>
          <w:rFonts w:ascii="微软雅黑" w:eastAsia="微软雅黑" w:hAnsi="微软雅黑" w:cs="宋体"/>
          <w:color w:val="333333"/>
          <w:kern w:val="0"/>
          <w:szCs w:val="21"/>
        </w:rPr>
        <w:br w:type="page"/>
      </w:r>
    </w:p>
    <w:p w14:paraId="5169546E" w14:textId="77777777" w:rsidR="0053554E" w:rsidRPr="0053554E" w:rsidRDefault="0053554E" w:rsidP="0053554E">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53554E">
        <w:rPr>
          <w:rFonts w:ascii="微软雅黑" w:eastAsia="微软雅黑" w:hAnsi="微软雅黑" w:cs="宋体" w:hint="eastAsia"/>
          <w:b/>
          <w:bCs/>
          <w:color w:val="333333"/>
          <w:kern w:val="0"/>
          <w:sz w:val="36"/>
          <w:szCs w:val="36"/>
        </w:rPr>
        <w:lastRenderedPageBreak/>
        <w:t>问：企业通过签订衍生金融工具对日常销售或</w:t>
      </w:r>
      <w:proofErr w:type="gramStart"/>
      <w:r w:rsidRPr="0053554E">
        <w:rPr>
          <w:rFonts w:ascii="微软雅黑" w:eastAsia="微软雅黑" w:hAnsi="微软雅黑" w:cs="宋体" w:hint="eastAsia"/>
          <w:b/>
          <w:bCs/>
          <w:color w:val="333333"/>
          <w:kern w:val="0"/>
          <w:sz w:val="36"/>
          <w:szCs w:val="36"/>
        </w:rPr>
        <w:t>采购非</w:t>
      </w:r>
      <w:proofErr w:type="gramEnd"/>
      <w:r w:rsidRPr="0053554E">
        <w:rPr>
          <w:rFonts w:ascii="微软雅黑" w:eastAsia="微软雅黑" w:hAnsi="微软雅黑" w:cs="宋体" w:hint="eastAsia"/>
          <w:b/>
          <w:bCs/>
          <w:color w:val="333333"/>
          <w:kern w:val="0"/>
          <w:sz w:val="36"/>
          <w:szCs w:val="36"/>
        </w:rPr>
        <w:t>金融项目的合同或合同组合（能够以现金或其他金融工具净额结算，或者通过交换金融工具结算）形成的公允价值变动风险进行套期，如果不按照《企业会计准则第24号——套期会计》（以下简称24号准则）进行会计处理，为了消除或显著减少会计错配，可以如何进行会计处理？</w:t>
      </w:r>
    </w:p>
    <w:p w14:paraId="50D8ECFB" w14:textId="77777777" w:rsidR="0053554E" w:rsidRPr="0053554E" w:rsidRDefault="0053554E" w:rsidP="0053554E">
      <w:pPr>
        <w:widowControl/>
        <w:shd w:val="clear" w:color="auto" w:fill="FFFFFF"/>
        <w:spacing w:line="420" w:lineRule="atLeast"/>
        <w:jc w:val="lef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答：根据《企业会计准则第22号——金融工具确认和计量》（以下简称22号准则）第八条第二款，对于能够以现金或其他金融工具净额结算，或者通过交换金融工具结算的买入或卖出非金融项目的合同，即使企业按照预定的购买、销售或使用要求签订并持有旨在收取或交付非金融项目的合同的，企业也可以将该合同指定为以公允价值计量且其变动计入当期损益的金融资产或金融负债。企业只能在合同开始时做出该指定，并且必须能够通过该指定消除或显著减少会计错配。该指定一经</w:t>
      </w:r>
      <w:proofErr w:type="gramStart"/>
      <w:r w:rsidRPr="0053554E">
        <w:rPr>
          <w:rFonts w:ascii="微软雅黑" w:eastAsia="微软雅黑" w:hAnsi="微软雅黑" w:cs="宋体" w:hint="eastAsia"/>
          <w:color w:val="333333"/>
          <w:kern w:val="0"/>
          <w:szCs w:val="21"/>
        </w:rPr>
        <w:t>作出</w:t>
      </w:r>
      <w:proofErr w:type="gramEnd"/>
      <w:r w:rsidRPr="0053554E">
        <w:rPr>
          <w:rFonts w:ascii="微软雅黑" w:eastAsia="微软雅黑" w:hAnsi="微软雅黑" w:cs="宋体" w:hint="eastAsia"/>
          <w:color w:val="333333"/>
          <w:kern w:val="0"/>
          <w:szCs w:val="21"/>
        </w:rPr>
        <w:t>，不得撤销。</w:t>
      </w:r>
    </w:p>
    <w:p w14:paraId="2D083E0A"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参照22号准则应用指南，能够以现金或其他金融工具净额结算，或者通过交换金融工具结算的买入或卖出非金融项目的合同可能有以下情况：（1）合同条款允许合同一方以现金或其他金融工具进行净额结算或通过交换金融工具结算。（2）合同条款虽对此没有明确规定，但是企业具有对类似合同以现金或其他金融工具进行净额结算或通过交换金融工具进行结算的惯例。（3）企业具有收到合同标的（如贵金属）之后在短期内将其再次出售以从短期波动中获取利润的惯例。（4）作为合同标的</w:t>
      </w:r>
      <w:proofErr w:type="gramStart"/>
      <w:r w:rsidRPr="0053554E">
        <w:rPr>
          <w:rFonts w:ascii="微软雅黑" w:eastAsia="微软雅黑" w:hAnsi="微软雅黑" w:cs="宋体" w:hint="eastAsia"/>
          <w:color w:val="333333"/>
          <w:kern w:val="0"/>
          <w:szCs w:val="21"/>
        </w:rPr>
        <w:t>的</w:t>
      </w:r>
      <w:proofErr w:type="gramEnd"/>
      <w:r w:rsidRPr="0053554E">
        <w:rPr>
          <w:rFonts w:ascii="微软雅黑" w:eastAsia="微软雅黑" w:hAnsi="微软雅黑" w:cs="宋体" w:hint="eastAsia"/>
          <w:color w:val="333333"/>
          <w:kern w:val="0"/>
          <w:szCs w:val="21"/>
        </w:rPr>
        <w:t>非金融项目易于转换为现金。</w:t>
      </w:r>
    </w:p>
    <w:p w14:paraId="3040CBD8"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符合上述（2）或（3）所述条件的合同并非企业按照预定的购买、出售或使用要求签订并持有、旨在收取或交付非金融项目的合同，因此应适用22号准则。对于符合上述（1）或</w:t>
      </w:r>
      <w:r w:rsidRPr="0053554E">
        <w:rPr>
          <w:rFonts w:ascii="微软雅黑" w:eastAsia="微软雅黑" w:hAnsi="微软雅黑" w:cs="宋体" w:hint="eastAsia"/>
          <w:color w:val="333333"/>
          <w:kern w:val="0"/>
          <w:szCs w:val="21"/>
        </w:rPr>
        <w:lastRenderedPageBreak/>
        <w:t>（4）所述条件的合同，企业应进行评估以确定其是否为按照预定的购买、出售或使用要求签订并持有、旨在收取或交付非金融项目的合同，以确定其是否适用22号准则。</w:t>
      </w:r>
    </w:p>
    <w:p w14:paraId="40D8D883"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因此，企业通过签订衍生金融工具对上述合同（或者一组类似的合同）的公允价值变动风险进行套期的，为了消除或显著减少会计错配，可以选择将上述合同直接指定为以公允价值计量且其变动计入当期损益的金融资产或金融负债，无需按照24号准则进行会计处理。</w:t>
      </w:r>
    </w:p>
    <w:p w14:paraId="59F6F886" w14:textId="321D3A9D" w:rsidR="0053554E" w:rsidRDefault="0053554E" w:rsidP="0053554E">
      <w:pPr>
        <w:widowControl/>
        <w:shd w:val="clear" w:color="auto" w:fill="FFFFFF"/>
        <w:spacing w:line="420" w:lineRule="atLeast"/>
        <w:rPr>
          <w:rFonts w:ascii="微软雅黑" w:eastAsia="微软雅黑" w:hAnsi="微软雅黑" w:cs="宋体"/>
          <w:color w:val="333333"/>
          <w:kern w:val="0"/>
          <w:szCs w:val="21"/>
        </w:rPr>
      </w:pPr>
      <w:r w:rsidRPr="0053554E">
        <w:rPr>
          <w:rFonts w:ascii="微软雅黑" w:eastAsia="微软雅黑" w:hAnsi="微软雅黑" w:cs="宋体" w:hint="eastAsia"/>
          <w:color w:val="333333"/>
          <w:kern w:val="0"/>
          <w:szCs w:val="21"/>
        </w:rPr>
        <w:t xml:space="preserve">　　企业通过签订衍生金融工具对一组形成净敞口的上述合同进行套期的，如果净敞口变动频繁，采用24号准则通常不符合成本效益原则。为了消除或显著减少会计错配，企业可以选择将一组形成净敞口的上述合同直接指定为以公允价值计量且其变动计入当期损益的金融资产或金融负债。</w:t>
      </w:r>
    </w:p>
    <w:p w14:paraId="265E6277" w14:textId="77777777" w:rsidR="0053554E" w:rsidRDefault="0053554E">
      <w:pPr>
        <w:widowControl/>
        <w:jc w:val="left"/>
        <w:rPr>
          <w:rFonts w:ascii="微软雅黑" w:eastAsia="微软雅黑" w:hAnsi="微软雅黑" w:cs="宋体"/>
          <w:color w:val="333333"/>
          <w:kern w:val="0"/>
          <w:szCs w:val="21"/>
        </w:rPr>
      </w:pPr>
      <w:r>
        <w:rPr>
          <w:rFonts w:ascii="微软雅黑" w:eastAsia="微软雅黑" w:hAnsi="微软雅黑" w:cs="宋体"/>
          <w:color w:val="333333"/>
          <w:kern w:val="0"/>
          <w:szCs w:val="21"/>
        </w:rPr>
        <w:br w:type="page"/>
      </w:r>
    </w:p>
    <w:p w14:paraId="42E93F76" w14:textId="77777777" w:rsidR="0053554E" w:rsidRPr="0053554E" w:rsidRDefault="0053554E" w:rsidP="0053554E">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53554E">
        <w:rPr>
          <w:rFonts w:ascii="微软雅黑" w:eastAsia="微软雅黑" w:hAnsi="微软雅黑" w:cs="宋体" w:hint="eastAsia"/>
          <w:b/>
          <w:bCs/>
          <w:color w:val="333333"/>
          <w:kern w:val="0"/>
          <w:sz w:val="36"/>
          <w:szCs w:val="36"/>
        </w:rPr>
        <w:lastRenderedPageBreak/>
        <w:t>问：商业银行应当如何确定一项主营业务活动中发生的支出属于金融工具的交易费用、“手续费及佣金支出”或“业务及管理费”科目的核算范围？</w:t>
      </w:r>
    </w:p>
    <w:p w14:paraId="09345E4C" w14:textId="77777777" w:rsidR="0053554E" w:rsidRPr="0053554E" w:rsidRDefault="0053554E" w:rsidP="0053554E">
      <w:pPr>
        <w:widowControl/>
        <w:shd w:val="clear" w:color="auto" w:fill="FFFFFF"/>
        <w:spacing w:line="420" w:lineRule="atLeast"/>
        <w:jc w:val="lef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w:t>
      </w:r>
      <w:r w:rsidRPr="0053554E">
        <w:rPr>
          <w:rFonts w:ascii="微软雅黑" w:eastAsia="微软雅黑" w:hAnsi="微软雅黑" w:cs="宋体" w:hint="eastAsia"/>
          <w:color w:val="333333"/>
          <w:kern w:val="0"/>
          <w:szCs w:val="21"/>
        </w:rPr>
        <w:tab/>
        <w:t>答：根据《企业会计准则第22号——金融工具确认和计量》（财会〔2017〕7号）第三十三条第二款，金融工具的交易费用，是指可直接归属于购买、发行或处置金融工具的增量费用。增量费用是指企业没有发生购买、发行或处置相关金融工具的情形就不会发生的费用，包括支付给代理机构、咨询公司、券商、证券交易所、政府有关部门等的手续费、佣金、相关税费及其他必要支出，不包括债券溢价、折价、融资费用、内部管理成本和持有成本等与交易不直接相关的费用。根据《企业会计准则——应用指南》（财会〔2006〕18号）附录，“6421 手续费及佣金支出”科目核算企业（金融）发生的与其经营活动相关的各项手续费、佣金等支出；“6601业务及管理费”科目核算企业（金融）在业务经营和管理过程中所发生的各项费用，包括折旧费、业务宣传费、业务招待费、电子设备运转费、钞币运送费、安全防范费、邮电费、劳动保护费、外事费、印刷费、低值易耗品摊销、职工工资及福利费、差旅费、水电费、职工教育经费、工会经费、会议费、诉讼费、公证费、咨询费、无形资产摊销、长期待摊费用摊销、取暖降温费、聘请中介机构费、技术转让费、绿化费、董事会费、财产保险费、劳动保险费、待业保险费、住房公积金、物业管理费、研究费用、提取保险保障基金等。</w:t>
      </w:r>
    </w:p>
    <w:p w14:paraId="39124793"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商业银行可以参照以下步骤</w:t>
      </w:r>
      <w:proofErr w:type="gramStart"/>
      <w:r w:rsidRPr="0053554E">
        <w:rPr>
          <w:rFonts w:ascii="微软雅黑" w:eastAsia="微软雅黑" w:hAnsi="微软雅黑" w:cs="宋体" w:hint="eastAsia"/>
          <w:color w:val="333333"/>
          <w:kern w:val="0"/>
          <w:szCs w:val="21"/>
        </w:rPr>
        <w:t>作出</w:t>
      </w:r>
      <w:proofErr w:type="gramEnd"/>
      <w:r w:rsidRPr="0053554E">
        <w:rPr>
          <w:rFonts w:ascii="微软雅黑" w:eastAsia="微软雅黑" w:hAnsi="微软雅黑" w:cs="宋体" w:hint="eastAsia"/>
          <w:color w:val="333333"/>
          <w:kern w:val="0"/>
          <w:szCs w:val="21"/>
        </w:rPr>
        <w:t>判断：</w:t>
      </w:r>
    </w:p>
    <w:p w14:paraId="0D50B490"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一是判断该支出是否属于金融工具的交易费用。如果该支出是可直接归属于购买、发行或处置金融工具的增量费用，该支出应为交易费用。</w:t>
      </w:r>
    </w:p>
    <w:p w14:paraId="6C2BA9D6"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二是如果该支出不属于交易费用，应当进一步判断其是否属于“手续费及佣金支出”科目的核算范围。</w:t>
      </w:r>
    </w:p>
    <w:p w14:paraId="621F796A"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lastRenderedPageBreak/>
        <w:t xml:space="preserve">　　如果支出金额与商业银行业务直接相关（如支出金额与业务交易量、交易金额、营业收入等存在较为直接的关系），通常表明该支出属于“手续费及佣金支出”科目的核算范围。例如，商业银行作为信用卡、借记卡的发卡行或交易收单行支付给银联等清算机构的相关服务支出、商业银行在电子支付业务中支付给第三方支付公司的相关服务支出属于“手续费及佣金支出”科目的核算范围。再如，商业银行开展债券投资、同业拆借、衍生品交易等金融市场业务，按照达成意向的交易笔数或金额计价、向第三方机构支付的各类交易服务费用，属于“手续费及佣金支出”科目的核算范围。</w:t>
      </w:r>
    </w:p>
    <w:p w14:paraId="6C81CF51"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三是经过上述步骤</w:t>
      </w:r>
      <w:proofErr w:type="gramStart"/>
      <w:r w:rsidRPr="0053554E">
        <w:rPr>
          <w:rFonts w:ascii="微软雅黑" w:eastAsia="微软雅黑" w:hAnsi="微软雅黑" w:cs="宋体" w:hint="eastAsia"/>
          <w:color w:val="333333"/>
          <w:kern w:val="0"/>
          <w:szCs w:val="21"/>
        </w:rPr>
        <w:t>判定既</w:t>
      </w:r>
      <w:proofErr w:type="gramEnd"/>
      <w:r w:rsidRPr="0053554E">
        <w:rPr>
          <w:rFonts w:ascii="微软雅黑" w:eastAsia="微软雅黑" w:hAnsi="微软雅黑" w:cs="宋体" w:hint="eastAsia"/>
          <w:color w:val="333333"/>
          <w:kern w:val="0"/>
          <w:szCs w:val="21"/>
        </w:rPr>
        <w:t>不属于金融工具交易费用也不属于“手续费及佣金支出”科目核算范围的支出，应当属于“业务及管理费”科目的核算范围。例如，无论信用卡分期是否办理成功、商业银行均需向外包公司支付的信用卡分期外呼营销支出，属于“业务及管理费”科目的核算范围。</w:t>
      </w:r>
    </w:p>
    <w:p w14:paraId="5A3804CE" w14:textId="4AFB4146" w:rsidR="0053554E" w:rsidRDefault="0053554E">
      <w:pPr>
        <w:widowControl/>
        <w:jc w:val="left"/>
        <w:rPr>
          <w:rFonts w:ascii="微软雅黑" w:eastAsia="微软雅黑" w:hAnsi="微软雅黑" w:cs="宋体"/>
          <w:color w:val="333333"/>
          <w:kern w:val="0"/>
          <w:szCs w:val="21"/>
        </w:rPr>
      </w:pPr>
      <w:r>
        <w:rPr>
          <w:rFonts w:ascii="微软雅黑" w:eastAsia="微软雅黑" w:hAnsi="微软雅黑" w:cs="宋体"/>
          <w:color w:val="333333"/>
          <w:kern w:val="0"/>
          <w:szCs w:val="21"/>
        </w:rPr>
        <w:br w:type="page"/>
      </w:r>
    </w:p>
    <w:p w14:paraId="32F2C6AB" w14:textId="77777777" w:rsidR="0053554E" w:rsidRPr="0053554E" w:rsidRDefault="0053554E" w:rsidP="0053554E">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53554E">
        <w:rPr>
          <w:rFonts w:ascii="微软雅黑" w:eastAsia="微软雅黑" w:hAnsi="微软雅黑" w:cs="宋体" w:hint="eastAsia"/>
          <w:b/>
          <w:bCs/>
          <w:color w:val="333333"/>
          <w:kern w:val="0"/>
          <w:sz w:val="36"/>
          <w:szCs w:val="36"/>
        </w:rPr>
        <w:lastRenderedPageBreak/>
        <w:t>问：企业应当如何判定权益工具投资为“非交易性”，从而符合指定为以公允价值计量且其变动计入其他综合收益金融资产的条件？</w:t>
      </w:r>
    </w:p>
    <w:p w14:paraId="26BC5A66" w14:textId="77777777" w:rsidR="0053554E" w:rsidRPr="0053554E" w:rsidRDefault="0053554E" w:rsidP="0053554E">
      <w:pPr>
        <w:widowControl/>
        <w:shd w:val="clear" w:color="auto" w:fill="FFFFFF"/>
        <w:spacing w:line="420" w:lineRule="atLeast"/>
        <w:jc w:val="lef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答：根据《企业会计准则第22号——金融工具确认和计量》（以下简称22号准则）第十九条第二款，在初始确认时，企业可以将</w:t>
      </w:r>
      <w:proofErr w:type="gramStart"/>
      <w:r w:rsidRPr="0053554E">
        <w:rPr>
          <w:rFonts w:ascii="微软雅黑" w:eastAsia="微软雅黑" w:hAnsi="微软雅黑" w:cs="宋体" w:hint="eastAsia"/>
          <w:color w:val="333333"/>
          <w:kern w:val="0"/>
          <w:szCs w:val="21"/>
        </w:rPr>
        <w:t>非交易</w:t>
      </w:r>
      <w:proofErr w:type="gramEnd"/>
      <w:r w:rsidRPr="0053554E">
        <w:rPr>
          <w:rFonts w:ascii="微软雅黑" w:eastAsia="微软雅黑" w:hAnsi="微软雅黑" w:cs="宋体" w:hint="eastAsia"/>
          <w:color w:val="333333"/>
          <w:kern w:val="0"/>
          <w:szCs w:val="21"/>
        </w:rPr>
        <w:t>性权益工具投资指定为以公允价值计量且其变动计入其他综合收益的金融资产。</w:t>
      </w:r>
    </w:p>
    <w:p w14:paraId="22E4D173"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参照22号准则应用指南，金融资产或金融负债满足下列条件之一的，表明企业持有该金融资产或承担该金融负债的目的是交易性的：</w:t>
      </w:r>
    </w:p>
    <w:p w14:paraId="3F43ECD0"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1）取得相关金融资产或承担相关金融负债的目的，主要是为了近期出售或回购。例如，企业以赚取差价为目的从二级市场购入的股票、债券和基金等，或者发行人根据债务工具的公允价值变动计划在近期回购的、有公开市场报价的债务工具。</w:t>
      </w:r>
    </w:p>
    <w:p w14:paraId="2BE0BEB5"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2）相关金融资产或金融负债在初始确认时属于集中管理的可辨认金融工具组合的一部分，且有客观证据表明近期实际存在短期获利模式。在这种情况下，即使组合中有某个组成项目持有的期限稍长也不受影响。其中，“金融工具组合”指金融资产组合、金融负债组合或金融资产和金融负债组合。</w:t>
      </w:r>
    </w:p>
    <w:p w14:paraId="6800E2BE"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（3）相关金融资产或金融负债属于衍生工具。例如，未作为套</w:t>
      </w:r>
      <w:proofErr w:type="gramStart"/>
      <w:r w:rsidRPr="0053554E">
        <w:rPr>
          <w:rFonts w:ascii="微软雅黑" w:eastAsia="微软雅黑" w:hAnsi="微软雅黑" w:cs="宋体" w:hint="eastAsia"/>
          <w:color w:val="333333"/>
          <w:kern w:val="0"/>
          <w:szCs w:val="21"/>
        </w:rPr>
        <w:t>期工具</w:t>
      </w:r>
      <w:proofErr w:type="gramEnd"/>
      <w:r w:rsidRPr="0053554E">
        <w:rPr>
          <w:rFonts w:ascii="微软雅黑" w:eastAsia="微软雅黑" w:hAnsi="微软雅黑" w:cs="宋体" w:hint="eastAsia"/>
          <w:color w:val="333333"/>
          <w:kern w:val="0"/>
          <w:szCs w:val="21"/>
        </w:rPr>
        <w:t>的利率互换或外汇期权。但符合财务担保合同定义的衍生工具以及被指定为有效套</w:t>
      </w:r>
      <w:proofErr w:type="gramStart"/>
      <w:r w:rsidRPr="0053554E">
        <w:rPr>
          <w:rFonts w:ascii="微软雅黑" w:eastAsia="微软雅黑" w:hAnsi="微软雅黑" w:cs="宋体" w:hint="eastAsia"/>
          <w:color w:val="333333"/>
          <w:kern w:val="0"/>
          <w:szCs w:val="21"/>
        </w:rPr>
        <w:t>期工具</w:t>
      </w:r>
      <w:proofErr w:type="gramEnd"/>
      <w:r w:rsidRPr="0053554E">
        <w:rPr>
          <w:rFonts w:ascii="微软雅黑" w:eastAsia="微软雅黑" w:hAnsi="微软雅黑" w:cs="宋体" w:hint="eastAsia"/>
          <w:color w:val="333333"/>
          <w:kern w:val="0"/>
          <w:szCs w:val="21"/>
        </w:rPr>
        <w:t>的衍生工具除外。</w:t>
      </w:r>
    </w:p>
    <w:p w14:paraId="05078DAF"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 xml:space="preserve">　　因此，只有不符合上述条件的权益工具投资才可以指定为以公允价值计量且其变动计入其他综合收益的金融资产。</w:t>
      </w:r>
    </w:p>
    <w:p w14:paraId="2403F52B" w14:textId="77777777" w:rsidR="0053554E" w:rsidRPr="0053554E" w:rsidRDefault="0053554E" w:rsidP="0053554E">
      <w:pPr>
        <w:widowControl/>
        <w:shd w:val="clear" w:color="auto" w:fill="FFFFFF"/>
        <w:spacing w:line="420" w:lineRule="atLeast"/>
        <w:rPr>
          <w:rFonts w:ascii="微软雅黑" w:eastAsia="微软雅黑" w:hAnsi="微软雅黑" w:cs="宋体" w:hint="eastAsia"/>
          <w:color w:val="333333"/>
          <w:kern w:val="0"/>
          <w:szCs w:val="21"/>
        </w:rPr>
      </w:pPr>
    </w:p>
    <w:p w14:paraId="5E171244" w14:textId="37CA4892" w:rsidR="0053554E" w:rsidRPr="0053554E" w:rsidRDefault="0053554E" w:rsidP="0053554E">
      <w:pPr>
        <w:widowControl/>
        <w:shd w:val="clear" w:color="auto" w:fill="FFFFFF"/>
        <w:ind w:firstLineChars="2200" w:firstLine="4620"/>
        <w:jc w:val="left"/>
        <w:rPr>
          <w:rFonts w:ascii="微软雅黑" w:eastAsia="微软雅黑" w:hAnsi="微软雅黑" w:cs="宋体" w:hint="eastAsia"/>
          <w:color w:val="333333"/>
          <w:kern w:val="0"/>
          <w:szCs w:val="21"/>
        </w:rPr>
      </w:pPr>
      <w:r w:rsidRPr="0053554E">
        <w:rPr>
          <w:rFonts w:ascii="微软雅黑" w:eastAsia="微软雅黑" w:hAnsi="微软雅黑" w:cs="宋体" w:hint="eastAsia"/>
          <w:color w:val="333333"/>
          <w:kern w:val="0"/>
          <w:szCs w:val="21"/>
        </w:rPr>
        <w:t>发布日期：2023年06月25日</w:t>
      </w:r>
    </w:p>
    <w:p w14:paraId="32812E7C" w14:textId="77777777" w:rsidR="00ED1CF5" w:rsidRDefault="00ED1CF5"/>
    <w:sectPr w:rsidR="00ED1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4E"/>
    <w:rsid w:val="0053554E"/>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4D92"/>
  <w15:chartTrackingRefBased/>
  <w15:docId w15:val="{FBE223DA-FE3F-4353-9FE7-10578DA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3554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3554E"/>
    <w:rPr>
      <w:rFonts w:ascii="宋体" w:eastAsia="宋体" w:hAnsi="宋体" w:cs="宋体"/>
      <w:b/>
      <w:bCs/>
      <w:kern w:val="0"/>
      <w:sz w:val="36"/>
      <w:szCs w:val="36"/>
    </w:rPr>
  </w:style>
  <w:style w:type="paragraph" w:styleId="a3">
    <w:name w:val="Normal (Web)"/>
    <w:basedOn w:val="a"/>
    <w:uiPriority w:val="99"/>
    <w:semiHidden/>
    <w:unhideWhenUsed/>
    <w:rsid w:val="005355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5043">
      <w:bodyDiv w:val="1"/>
      <w:marLeft w:val="0"/>
      <w:marRight w:val="0"/>
      <w:marTop w:val="0"/>
      <w:marBottom w:val="0"/>
      <w:divBdr>
        <w:top w:val="none" w:sz="0" w:space="0" w:color="auto"/>
        <w:left w:val="none" w:sz="0" w:space="0" w:color="auto"/>
        <w:bottom w:val="none" w:sz="0" w:space="0" w:color="auto"/>
        <w:right w:val="none" w:sz="0" w:space="0" w:color="auto"/>
      </w:divBdr>
      <w:divsChild>
        <w:div w:id="45221435">
          <w:marLeft w:val="0"/>
          <w:marRight w:val="0"/>
          <w:marTop w:val="0"/>
          <w:marBottom w:val="0"/>
          <w:divBdr>
            <w:top w:val="none" w:sz="0" w:space="0" w:color="auto"/>
            <w:left w:val="none" w:sz="0" w:space="0" w:color="auto"/>
            <w:bottom w:val="none" w:sz="0" w:space="0" w:color="auto"/>
            <w:right w:val="none" w:sz="0" w:space="0" w:color="auto"/>
          </w:divBdr>
          <w:divsChild>
            <w:div w:id="1880312811">
              <w:marLeft w:val="0"/>
              <w:marRight w:val="0"/>
              <w:marTop w:val="0"/>
              <w:marBottom w:val="0"/>
              <w:divBdr>
                <w:top w:val="none" w:sz="0" w:space="0" w:color="auto"/>
                <w:left w:val="none" w:sz="0" w:space="0" w:color="auto"/>
                <w:bottom w:val="none" w:sz="0" w:space="0" w:color="auto"/>
                <w:right w:val="none" w:sz="0" w:space="0" w:color="auto"/>
              </w:divBdr>
              <w:divsChild>
                <w:div w:id="822311120">
                  <w:marLeft w:val="0"/>
                  <w:marRight w:val="0"/>
                  <w:marTop w:val="0"/>
                  <w:marBottom w:val="0"/>
                  <w:divBdr>
                    <w:top w:val="none" w:sz="0" w:space="0" w:color="auto"/>
                    <w:left w:val="none" w:sz="0" w:space="0" w:color="auto"/>
                    <w:bottom w:val="none" w:sz="0" w:space="0" w:color="auto"/>
                    <w:right w:val="none" w:sz="0" w:space="0" w:color="auto"/>
                  </w:divBdr>
                  <w:divsChild>
                    <w:div w:id="735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4202">
      <w:bodyDiv w:val="1"/>
      <w:marLeft w:val="0"/>
      <w:marRight w:val="0"/>
      <w:marTop w:val="0"/>
      <w:marBottom w:val="0"/>
      <w:divBdr>
        <w:top w:val="none" w:sz="0" w:space="0" w:color="auto"/>
        <w:left w:val="none" w:sz="0" w:space="0" w:color="auto"/>
        <w:bottom w:val="none" w:sz="0" w:space="0" w:color="auto"/>
        <w:right w:val="none" w:sz="0" w:space="0" w:color="auto"/>
      </w:divBdr>
      <w:divsChild>
        <w:div w:id="292906015">
          <w:marLeft w:val="0"/>
          <w:marRight w:val="0"/>
          <w:marTop w:val="0"/>
          <w:marBottom w:val="0"/>
          <w:divBdr>
            <w:top w:val="none" w:sz="0" w:space="0" w:color="auto"/>
            <w:left w:val="none" w:sz="0" w:space="0" w:color="auto"/>
            <w:bottom w:val="none" w:sz="0" w:space="0" w:color="auto"/>
            <w:right w:val="none" w:sz="0" w:space="0" w:color="auto"/>
          </w:divBdr>
          <w:divsChild>
            <w:div w:id="1107656550">
              <w:marLeft w:val="0"/>
              <w:marRight w:val="0"/>
              <w:marTop w:val="0"/>
              <w:marBottom w:val="0"/>
              <w:divBdr>
                <w:top w:val="none" w:sz="0" w:space="0" w:color="auto"/>
                <w:left w:val="none" w:sz="0" w:space="0" w:color="auto"/>
                <w:bottom w:val="none" w:sz="0" w:space="0" w:color="auto"/>
                <w:right w:val="none" w:sz="0" w:space="0" w:color="auto"/>
              </w:divBdr>
              <w:divsChild>
                <w:div w:id="1139767880">
                  <w:marLeft w:val="0"/>
                  <w:marRight w:val="0"/>
                  <w:marTop w:val="0"/>
                  <w:marBottom w:val="0"/>
                  <w:divBdr>
                    <w:top w:val="none" w:sz="0" w:space="0" w:color="auto"/>
                    <w:left w:val="none" w:sz="0" w:space="0" w:color="auto"/>
                    <w:bottom w:val="none" w:sz="0" w:space="0" w:color="auto"/>
                    <w:right w:val="none" w:sz="0" w:space="0" w:color="auto"/>
                  </w:divBdr>
                  <w:divsChild>
                    <w:div w:id="1008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9443">
      <w:bodyDiv w:val="1"/>
      <w:marLeft w:val="0"/>
      <w:marRight w:val="0"/>
      <w:marTop w:val="0"/>
      <w:marBottom w:val="0"/>
      <w:divBdr>
        <w:top w:val="none" w:sz="0" w:space="0" w:color="auto"/>
        <w:left w:val="none" w:sz="0" w:space="0" w:color="auto"/>
        <w:bottom w:val="none" w:sz="0" w:space="0" w:color="auto"/>
        <w:right w:val="none" w:sz="0" w:space="0" w:color="auto"/>
      </w:divBdr>
      <w:divsChild>
        <w:div w:id="1883596101">
          <w:marLeft w:val="0"/>
          <w:marRight w:val="0"/>
          <w:marTop w:val="0"/>
          <w:marBottom w:val="0"/>
          <w:divBdr>
            <w:top w:val="none" w:sz="0" w:space="0" w:color="auto"/>
            <w:left w:val="none" w:sz="0" w:space="0" w:color="auto"/>
            <w:bottom w:val="none" w:sz="0" w:space="0" w:color="auto"/>
            <w:right w:val="none" w:sz="0" w:space="0" w:color="auto"/>
          </w:divBdr>
          <w:divsChild>
            <w:div w:id="1528370560">
              <w:marLeft w:val="0"/>
              <w:marRight w:val="0"/>
              <w:marTop w:val="0"/>
              <w:marBottom w:val="0"/>
              <w:divBdr>
                <w:top w:val="none" w:sz="0" w:space="0" w:color="auto"/>
                <w:left w:val="none" w:sz="0" w:space="0" w:color="auto"/>
                <w:bottom w:val="none" w:sz="0" w:space="0" w:color="auto"/>
                <w:right w:val="none" w:sz="0" w:space="0" w:color="auto"/>
              </w:divBdr>
              <w:divsChild>
                <w:div w:id="987780601">
                  <w:marLeft w:val="0"/>
                  <w:marRight w:val="0"/>
                  <w:marTop w:val="0"/>
                  <w:marBottom w:val="0"/>
                  <w:divBdr>
                    <w:top w:val="none" w:sz="0" w:space="0" w:color="auto"/>
                    <w:left w:val="none" w:sz="0" w:space="0" w:color="auto"/>
                    <w:bottom w:val="none" w:sz="0" w:space="0" w:color="auto"/>
                    <w:right w:val="none" w:sz="0" w:space="0" w:color="auto"/>
                  </w:divBdr>
                  <w:divsChild>
                    <w:div w:id="219680640">
                      <w:marLeft w:val="0"/>
                      <w:marRight w:val="0"/>
                      <w:marTop w:val="0"/>
                      <w:marBottom w:val="0"/>
                      <w:divBdr>
                        <w:top w:val="none" w:sz="0" w:space="0" w:color="auto"/>
                        <w:left w:val="none" w:sz="0" w:space="0" w:color="auto"/>
                        <w:bottom w:val="none" w:sz="0" w:space="0" w:color="auto"/>
                        <w:right w:val="none" w:sz="0" w:space="0" w:color="auto"/>
                      </w:divBdr>
                      <w:divsChild>
                        <w:div w:id="15020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36784">
      <w:bodyDiv w:val="1"/>
      <w:marLeft w:val="0"/>
      <w:marRight w:val="0"/>
      <w:marTop w:val="0"/>
      <w:marBottom w:val="0"/>
      <w:divBdr>
        <w:top w:val="none" w:sz="0" w:space="0" w:color="auto"/>
        <w:left w:val="none" w:sz="0" w:space="0" w:color="auto"/>
        <w:bottom w:val="none" w:sz="0" w:space="0" w:color="auto"/>
        <w:right w:val="none" w:sz="0" w:space="0" w:color="auto"/>
      </w:divBdr>
      <w:divsChild>
        <w:div w:id="1799300502">
          <w:marLeft w:val="0"/>
          <w:marRight w:val="0"/>
          <w:marTop w:val="0"/>
          <w:marBottom w:val="0"/>
          <w:divBdr>
            <w:top w:val="none" w:sz="0" w:space="0" w:color="auto"/>
            <w:left w:val="none" w:sz="0" w:space="0" w:color="auto"/>
            <w:bottom w:val="none" w:sz="0" w:space="0" w:color="auto"/>
            <w:right w:val="none" w:sz="0" w:space="0" w:color="auto"/>
          </w:divBdr>
          <w:divsChild>
            <w:div w:id="283193844">
              <w:marLeft w:val="0"/>
              <w:marRight w:val="0"/>
              <w:marTop w:val="0"/>
              <w:marBottom w:val="0"/>
              <w:divBdr>
                <w:top w:val="none" w:sz="0" w:space="0" w:color="auto"/>
                <w:left w:val="none" w:sz="0" w:space="0" w:color="auto"/>
                <w:bottom w:val="none" w:sz="0" w:space="0" w:color="auto"/>
                <w:right w:val="none" w:sz="0" w:space="0" w:color="auto"/>
              </w:divBdr>
              <w:divsChild>
                <w:div w:id="396709577">
                  <w:marLeft w:val="0"/>
                  <w:marRight w:val="0"/>
                  <w:marTop w:val="0"/>
                  <w:marBottom w:val="0"/>
                  <w:divBdr>
                    <w:top w:val="none" w:sz="0" w:space="0" w:color="auto"/>
                    <w:left w:val="none" w:sz="0" w:space="0" w:color="auto"/>
                    <w:bottom w:val="none" w:sz="0" w:space="0" w:color="auto"/>
                    <w:right w:val="none" w:sz="0" w:space="0" w:color="auto"/>
                  </w:divBdr>
                  <w:divsChild>
                    <w:div w:id="1270237951">
                      <w:marLeft w:val="0"/>
                      <w:marRight w:val="0"/>
                      <w:marTop w:val="0"/>
                      <w:marBottom w:val="0"/>
                      <w:divBdr>
                        <w:top w:val="none" w:sz="0" w:space="0" w:color="auto"/>
                        <w:left w:val="none" w:sz="0" w:space="0" w:color="auto"/>
                        <w:bottom w:val="none" w:sz="0" w:space="0" w:color="auto"/>
                        <w:right w:val="none" w:sz="0" w:space="0" w:color="auto"/>
                      </w:divBdr>
                    </w:div>
                    <w:div w:id="6174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7170">
          <w:marLeft w:val="0"/>
          <w:marRight w:val="0"/>
          <w:marTop w:val="0"/>
          <w:marBottom w:val="0"/>
          <w:divBdr>
            <w:top w:val="none" w:sz="0" w:space="0" w:color="auto"/>
            <w:left w:val="none" w:sz="0" w:space="0" w:color="auto"/>
            <w:bottom w:val="none" w:sz="0" w:space="0" w:color="auto"/>
            <w:right w:val="none" w:sz="0" w:space="0" w:color="auto"/>
          </w:divBdr>
          <w:divsChild>
            <w:div w:id="1999845211">
              <w:marLeft w:val="0"/>
              <w:marRight w:val="0"/>
              <w:marTop w:val="0"/>
              <w:marBottom w:val="0"/>
              <w:divBdr>
                <w:top w:val="none" w:sz="0" w:space="0" w:color="auto"/>
                <w:left w:val="none" w:sz="0" w:space="0" w:color="auto"/>
                <w:bottom w:val="none" w:sz="0" w:space="0" w:color="auto"/>
                <w:right w:val="none" w:sz="0" w:space="0" w:color="auto"/>
              </w:divBdr>
            </w:div>
            <w:div w:id="539242789">
              <w:marLeft w:val="0"/>
              <w:marRight w:val="0"/>
              <w:marTop w:val="0"/>
              <w:marBottom w:val="225"/>
              <w:divBdr>
                <w:top w:val="none" w:sz="0" w:space="0" w:color="auto"/>
                <w:left w:val="none" w:sz="0" w:space="0" w:color="auto"/>
                <w:bottom w:val="none" w:sz="0" w:space="0" w:color="auto"/>
                <w:right w:val="none" w:sz="0" w:space="0" w:color="auto"/>
              </w:divBdr>
              <w:divsChild>
                <w:div w:id="10147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2023-06-27T02:13:00Z</dcterms:created>
  <dcterms:modified xsi:type="dcterms:W3CDTF">2023-06-27T02:15:00Z</dcterms:modified>
</cp:coreProperties>
</file>