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B886" w14:textId="77777777" w:rsidR="003A1934" w:rsidRPr="003A1934" w:rsidRDefault="003A1934" w:rsidP="003A1934">
      <w:pPr>
        <w:widowControl/>
        <w:shd w:val="clear" w:color="auto" w:fill="FFFFFF"/>
        <w:jc w:val="center"/>
        <w:outlineLvl w:val="1"/>
        <w:rPr>
          <w:rFonts w:ascii="微软雅黑" w:eastAsia="微软雅黑" w:hAnsi="微软雅黑" w:cs="宋体"/>
          <w:b/>
          <w:bCs/>
          <w:color w:val="333333"/>
          <w:kern w:val="0"/>
          <w:sz w:val="36"/>
          <w:szCs w:val="36"/>
        </w:rPr>
      </w:pPr>
      <w:r w:rsidRPr="003A1934">
        <w:rPr>
          <w:rFonts w:ascii="微软雅黑" w:eastAsia="微软雅黑" w:hAnsi="微软雅黑" w:cs="宋体" w:hint="eastAsia"/>
          <w:b/>
          <w:bCs/>
          <w:color w:val="333333"/>
          <w:kern w:val="0"/>
          <w:sz w:val="36"/>
          <w:szCs w:val="36"/>
        </w:rPr>
        <w:t>关于严格执行退市制度的意见</w:t>
      </w:r>
    </w:p>
    <w:p w14:paraId="7A61F951" w14:textId="77777777" w:rsidR="003A1934" w:rsidRPr="003A1934" w:rsidRDefault="003A1934" w:rsidP="003A1934">
      <w:pPr>
        <w:widowControl/>
        <w:shd w:val="clear" w:color="auto" w:fill="FFFFFF"/>
        <w:jc w:val="left"/>
        <w:rPr>
          <w:rFonts w:ascii="微软雅黑" w:eastAsia="微软雅黑" w:hAnsi="微软雅黑" w:cs="宋体" w:hint="eastAsia"/>
          <w:color w:val="999999"/>
          <w:kern w:val="0"/>
          <w:szCs w:val="21"/>
        </w:rPr>
      </w:pPr>
      <w:r w:rsidRPr="003A1934">
        <w:rPr>
          <w:rFonts w:ascii="微软雅黑" w:eastAsia="微软雅黑" w:hAnsi="微软雅黑" w:cs="宋体" w:hint="eastAsia"/>
          <w:color w:val="999999"/>
          <w:kern w:val="0"/>
          <w:szCs w:val="21"/>
        </w:rPr>
        <w:t>日期：2024-04-12 来源：证监会</w:t>
      </w:r>
    </w:p>
    <w:p w14:paraId="1BA69662" w14:textId="77777777" w:rsidR="003A1934" w:rsidRPr="003A1934" w:rsidRDefault="003A1934" w:rsidP="003A1934">
      <w:pPr>
        <w:widowControl/>
        <w:shd w:val="clear" w:color="auto" w:fill="FFFFFF"/>
        <w:jc w:val="left"/>
        <w:rPr>
          <w:rFonts w:ascii="微软雅黑" w:eastAsia="微软雅黑" w:hAnsi="微软雅黑" w:cs="宋体" w:hint="eastAsia"/>
          <w:color w:val="999999"/>
          <w:kern w:val="0"/>
          <w:szCs w:val="21"/>
        </w:rPr>
      </w:pPr>
      <w:r w:rsidRPr="003A1934">
        <w:rPr>
          <w:rFonts w:ascii="微软雅黑" w:eastAsia="微软雅黑" w:hAnsi="微软雅黑" w:cs="宋体" w:hint="eastAsia"/>
          <w:color w:val="999999"/>
          <w:kern w:val="0"/>
          <w:szCs w:val="21"/>
        </w:rPr>
        <w:t> </w:t>
      </w:r>
    </w:p>
    <w:p w14:paraId="60E3EE1D" w14:textId="77777777" w:rsidR="003A1934" w:rsidRPr="003A1934" w:rsidRDefault="003A1934" w:rsidP="003A1934">
      <w:pPr>
        <w:widowControl/>
        <w:shd w:val="clear" w:color="auto" w:fill="FFFFFF"/>
        <w:jc w:val="left"/>
        <w:rPr>
          <w:rFonts w:ascii="微软雅黑" w:eastAsia="微软雅黑" w:hAnsi="微软雅黑" w:cs="宋体" w:hint="eastAsia"/>
          <w:color w:val="999999"/>
          <w:kern w:val="0"/>
          <w:szCs w:val="21"/>
        </w:rPr>
      </w:pPr>
      <w:r w:rsidRPr="003A1934">
        <w:rPr>
          <w:rFonts w:ascii="微软雅黑" w:eastAsia="微软雅黑" w:hAnsi="微软雅黑" w:cs="宋体" w:hint="eastAsia"/>
          <w:color w:val="999999"/>
          <w:kern w:val="0"/>
          <w:szCs w:val="21"/>
        </w:rPr>
        <w:t>  </w:t>
      </w:r>
    </w:p>
    <w:p w14:paraId="2332B770" w14:textId="77777777" w:rsidR="003A1934" w:rsidRPr="003A1934" w:rsidRDefault="003A1934" w:rsidP="003A1934">
      <w:pPr>
        <w:widowControl/>
        <w:shd w:val="clear" w:color="auto" w:fill="FFFFFF"/>
        <w:jc w:val="left"/>
        <w:rPr>
          <w:rFonts w:ascii="微软雅黑" w:eastAsia="微软雅黑" w:hAnsi="微软雅黑" w:cs="宋体" w:hint="eastAsia"/>
          <w:color w:val="999999"/>
          <w:kern w:val="0"/>
          <w:szCs w:val="21"/>
        </w:rPr>
      </w:pPr>
      <w:r w:rsidRPr="003A1934">
        <w:rPr>
          <w:rFonts w:ascii="微软雅黑" w:eastAsia="微软雅黑" w:hAnsi="微软雅黑" w:cs="宋体" w:hint="eastAsia"/>
          <w:color w:val="999999"/>
          <w:kern w:val="0"/>
          <w:szCs w:val="21"/>
        </w:rPr>
        <w:t>【字号： 大 </w:t>
      </w:r>
      <w:r w:rsidRPr="003A1934">
        <w:rPr>
          <w:rFonts w:ascii="微软雅黑" w:eastAsia="微软雅黑" w:hAnsi="微软雅黑" w:cs="宋体" w:hint="eastAsia"/>
          <w:color w:val="333333"/>
          <w:kern w:val="0"/>
          <w:szCs w:val="21"/>
        </w:rPr>
        <w:t>中</w:t>
      </w:r>
      <w:r w:rsidRPr="003A1934">
        <w:rPr>
          <w:rFonts w:ascii="微软雅黑" w:eastAsia="微软雅黑" w:hAnsi="微软雅黑" w:cs="宋体" w:hint="eastAsia"/>
          <w:color w:val="999999"/>
          <w:kern w:val="0"/>
          <w:szCs w:val="21"/>
        </w:rPr>
        <w:t> 小】</w:t>
      </w:r>
    </w:p>
    <w:p w14:paraId="6BB4028D" w14:textId="77777777" w:rsidR="003A1934" w:rsidRPr="003A1934" w:rsidRDefault="003A1934" w:rsidP="003A1934">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中国证监会各派出机构，各交易所，各下属单位，各协会，会内各司局：</w:t>
      </w:r>
    </w:p>
    <w:p w14:paraId="73D2C445"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退市制度是资本市场关键的基础性制度。2020年</w:t>
      </w:r>
      <w:proofErr w:type="gramStart"/>
      <w:r w:rsidRPr="003A1934">
        <w:rPr>
          <w:rFonts w:ascii="微软雅黑" w:eastAsia="微软雅黑" w:hAnsi="微软雅黑" w:cs="宋体" w:hint="eastAsia"/>
          <w:color w:val="333333"/>
          <w:kern w:val="0"/>
          <w:sz w:val="24"/>
          <w:szCs w:val="24"/>
        </w:rPr>
        <w:t>中央深改委</w:t>
      </w:r>
      <w:proofErr w:type="gramEnd"/>
      <w:r w:rsidRPr="003A1934">
        <w:rPr>
          <w:rFonts w:ascii="微软雅黑" w:eastAsia="微软雅黑" w:hAnsi="微软雅黑" w:cs="宋体" w:hint="eastAsia"/>
          <w:color w:val="333333"/>
          <w:kern w:val="0"/>
          <w:sz w:val="24"/>
          <w:szCs w:val="24"/>
        </w:rPr>
        <w:t>审议通过《健全上市公司退市机制实施方案》以来，</w:t>
      </w:r>
      <w:proofErr w:type="gramStart"/>
      <w:r w:rsidRPr="003A1934">
        <w:rPr>
          <w:rFonts w:ascii="微软雅黑" w:eastAsia="微软雅黑" w:hAnsi="微软雅黑" w:cs="宋体" w:hint="eastAsia"/>
          <w:color w:val="333333"/>
          <w:kern w:val="0"/>
          <w:sz w:val="24"/>
          <w:szCs w:val="24"/>
        </w:rPr>
        <w:t>常态化退市</w:t>
      </w:r>
      <w:proofErr w:type="gramEnd"/>
      <w:r w:rsidRPr="003A1934">
        <w:rPr>
          <w:rFonts w:ascii="微软雅黑" w:eastAsia="微软雅黑" w:hAnsi="微软雅黑" w:cs="宋体" w:hint="eastAsia"/>
          <w:color w:val="333333"/>
          <w:kern w:val="0"/>
          <w:sz w:val="24"/>
          <w:szCs w:val="24"/>
        </w:rPr>
        <w:t>平稳开局。为进一步深化改革，实现进退有序、及时出清的格局，更大力度保护中小投资者合法权益，中国证监会在认真总结改革经验和充分考虑国情市情基础上，制定本意见。</w:t>
      </w:r>
    </w:p>
    <w:p w14:paraId="77C07E61"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一、总体要求</w:t>
      </w:r>
    </w:p>
    <w:p w14:paraId="2EBD3E0F"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坚持以习近平新时代中国特色社会主义思想为指导，坚持市场化、法治化原则：</w:t>
      </w:r>
    </w:p>
    <w:p w14:paraId="2D0291CD"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——突出上市公司投资价值。结合企业上市条件，科学设置严格的退市标准，更加精准实现“应退尽退</w:t>
      </w:r>
      <w:r w:rsidRPr="003A1934">
        <w:rPr>
          <w:rFonts w:ascii="微软雅黑" w:eastAsia="微软雅黑" w:hAnsi="微软雅黑" w:cs="Times New Roman" w:hint="eastAsia"/>
          <w:color w:val="333333"/>
          <w:kern w:val="0"/>
          <w:sz w:val="24"/>
          <w:szCs w:val="24"/>
        </w:rPr>
        <w:t>”</w:t>
      </w:r>
      <w:r w:rsidRPr="003A1934">
        <w:rPr>
          <w:rFonts w:ascii="微软雅黑" w:eastAsia="微软雅黑" w:hAnsi="微软雅黑" w:cs="宋体" w:hint="eastAsia"/>
          <w:color w:val="333333"/>
          <w:kern w:val="0"/>
          <w:sz w:val="24"/>
          <w:szCs w:val="24"/>
        </w:rPr>
        <w:t>。建立健全不同板块上市公司差异化的退市标准体系。以更严的证券监管执法打击各种违法“保壳</w:t>
      </w:r>
      <w:r w:rsidRPr="003A1934">
        <w:rPr>
          <w:rFonts w:ascii="微软雅黑" w:eastAsia="微软雅黑" w:hAnsi="微软雅黑" w:cs="Times New Roman" w:hint="eastAsia"/>
          <w:color w:val="333333"/>
          <w:kern w:val="0"/>
          <w:sz w:val="24"/>
          <w:szCs w:val="24"/>
        </w:rPr>
        <w:t>”“</w:t>
      </w:r>
      <w:r w:rsidRPr="003A1934">
        <w:rPr>
          <w:rFonts w:ascii="微软雅黑" w:eastAsia="微软雅黑" w:hAnsi="微软雅黑" w:cs="宋体" w:hint="eastAsia"/>
          <w:color w:val="333333"/>
          <w:kern w:val="0"/>
          <w:sz w:val="24"/>
          <w:szCs w:val="24"/>
        </w:rPr>
        <w:t>炒壳</w:t>
      </w:r>
      <w:r w:rsidRPr="003A1934">
        <w:rPr>
          <w:rFonts w:ascii="微软雅黑" w:eastAsia="微软雅黑" w:hAnsi="微软雅黑" w:cs="Times New Roman" w:hint="eastAsia"/>
          <w:color w:val="333333"/>
          <w:kern w:val="0"/>
          <w:sz w:val="24"/>
          <w:szCs w:val="24"/>
        </w:rPr>
        <w:t>”</w:t>
      </w:r>
      <w:r w:rsidRPr="003A1934">
        <w:rPr>
          <w:rFonts w:ascii="微软雅黑" w:eastAsia="微软雅黑" w:hAnsi="微软雅黑" w:cs="宋体" w:hint="eastAsia"/>
          <w:color w:val="333333"/>
          <w:kern w:val="0"/>
          <w:sz w:val="24"/>
          <w:szCs w:val="24"/>
        </w:rPr>
        <w:t>行为，着力削减“壳</w:t>
      </w:r>
      <w:r w:rsidRPr="003A1934">
        <w:rPr>
          <w:rFonts w:ascii="微软雅黑" w:eastAsia="微软雅黑" w:hAnsi="微软雅黑" w:cs="Times New Roman" w:hint="eastAsia"/>
          <w:color w:val="333333"/>
          <w:kern w:val="0"/>
          <w:sz w:val="24"/>
          <w:szCs w:val="24"/>
        </w:rPr>
        <w:t>”</w:t>
      </w:r>
      <w:r w:rsidRPr="003A1934">
        <w:rPr>
          <w:rFonts w:ascii="微软雅黑" w:eastAsia="微软雅黑" w:hAnsi="微软雅黑" w:cs="宋体" w:hint="eastAsia"/>
          <w:color w:val="333333"/>
          <w:kern w:val="0"/>
          <w:sz w:val="24"/>
          <w:szCs w:val="24"/>
        </w:rPr>
        <w:t>资源价值。</w:t>
      </w:r>
    </w:p>
    <w:p w14:paraId="56A042D5"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——畅通多元化退市渠道。严格财务指标类、交易指标类、规范运作类、重大违法类强制退市标准。完善上市公司吸收合并等并购重组政策，支持市场化方式的主动退市。</w:t>
      </w:r>
    </w:p>
    <w:p w14:paraId="5D30CBA8"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——大力加强投资者保护。坚持“退得下、退得稳”。严惩退市公司及其控股股东、实际控制人和董事、高管的违法行为，</w:t>
      </w:r>
      <w:proofErr w:type="gramStart"/>
      <w:r w:rsidRPr="003A1934">
        <w:rPr>
          <w:rFonts w:ascii="微软雅黑" w:eastAsia="微软雅黑" w:hAnsi="微软雅黑" w:cs="宋体" w:hint="eastAsia"/>
          <w:color w:val="333333"/>
          <w:kern w:val="0"/>
          <w:sz w:val="24"/>
          <w:szCs w:val="24"/>
        </w:rPr>
        <w:t>健全退</w:t>
      </w:r>
      <w:proofErr w:type="gramEnd"/>
      <w:r w:rsidRPr="003A1934">
        <w:rPr>
          <w:rFonts w:ascii="微软雅黑" w:eastAsia="微软雅黑" w:hAnsi="微软雅黑" w:cs="宋体" w:hint="eastAsia"/>
          <w:color w:val="333333"/>
          <w:kern w:val="0"/>
          <w:sz w:val="24"/>
          <w:szCs w:val="24"/>
        </w:rPr>
        <w:t>市过程中的投资者赔</w:t>
      </w:r>
      <w:r w:rsidRPr="003A1934">
        <w:rPr>
          <w:rFonts w:ascii="微软雅黑" w:eastAsia="微软雅黑" w:hAnsi="微软雅黑" w:cs="宋体" w:hint="eastAsia"/>
          <w:color w:val="333333"/>
          <w:kern w:val="0"/>
          <w:sz w:val="24"/>
          <w:szCs w:val="24"/>
        </w:rPr>
        <w:lastRenderedPageBreak/>
        <w:t>偿救济机制，切实保护投资者的合法权益；凝聚各方共识，创造平稳的退市环境。</w:t>
      </w:r>
    </w:p>
    <w:p w14:paraId="3401C38C"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二、主要措施</w:t>
      </w:r>
    </w:p>
    <w:p w14:paraId="42B7B1B1"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（一）进一步严格强制退市标准。一是科学设置重大违法强制退市适用范围。增加一年严重造假、多年连续造假退市情形，坚决打击恶性和长期系统性财务造假。二是严格</w:t>
      </w:r>
      <w:proofErr w:type="gramStart"/>
      <w:r w:rsidRPr="003A1934">
        <w:rPr>
          <w:rFonts w:ascii="微软雅黑" w:eastAsia="微软雅黑" w:hAnsi="微软雅黑" w:cs="宋体" w:hint="eastAsia"/>
          <w:color w:val="333333"/>
          <w:kern w:val="0"/>
          <w:sz w:val="24"/>
          <w:szCs w:val="24"/>
        </w:rPr>
        <w:t>规范类退市情</w:t>
      </w:r>
      <w:proofErr w:type="gramEnd"/>
      <w:r w:rsidRPr="003A1934">
        <w:rPr>
          <w:rFonts w:ascii="微软雅黑" w:eastAsia="微软雅黑" w:hAnsi="微软雅黑" w:cs="宋体" w:hint="eastAsia"/>
          <w:color w:val="333333"/>
          <w:kern w:val="0"/>
          <w:sz w:val="24"/>
          <w:szCs w:val="24"/>
        </w:rPr>
        <w:t>形。增加连续多年内控非标意见退市情形，督促上市公司切实强化内部管理和公司治理；增加控制权长期无序争夺导致投资者无法获取上市公司有效信息的退市情形，保障中小投资者知情权；上市公司内控失效，出现大股东大额资金占用且不整改的，在强制退市中予以考虑。三是加大绩差公司退市力度。提高亏损公司的营业收入退市指标，淘汰缺乏持续经营能力的公司；完善市值标准等</w:t>
      </w:r>
      <w:proofErr w:type="gramStart"/>
      <w:r w:rsidRPr="003A1934">
        <w:rPr>
          <w:rFonts w:ascii="微软雅黑" w:eastAsia="微软雅黑" w:hAnsi="微软雅黑" w:cs="宋体" w:hint="eastAsia"/>
          <w:color w:val="333333"/>
          <w:kern w:val="0"/>
          <w:sz w:val="24"/>
          <w:szCs w:val="24"/>
        </w:rPr>
        <w:t>交易类退市</w:t>
      </w:r>
      <w:proofErr w:type="gramEnd"/>
      <w:r w:rsidRPr="003A1934">
        <w:rPr>
          <w:rFonts w:ascii="微软雅黑" w:eastAsia="微软雅黑" w:hAnsi="微软雅黑" w:cs="宋体" w:hint="eastAsia"/>
          <w:color w:val="333333"/>
          <w:kern w:val="0"/>
          <w:sz w:val="24"/>
          <w:szCs w:val="24"/>
        </w:rPr>
        <w:t>指标。</w:t>
      </w:r>
    </w:p>
    <w:p w14:paraId="1C28B95B"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（二）逐步拓宽多元化退出渠道。一是以优质头部公司为“主力军</w:t>
      </w:r>
      <w:r w:rsidRPr="003A1934">
        <w:rPr>
          <w:rFonts w:ascii="微软雅黑" w:eastAsia="微软雅黑" w:hAnsi="微软雅黑" w:cs="Times New Roman" w:hint="eastAsia"/>
          <w:color w:val="333333"/>
          <w:kern w:val="0"/>
          <w:sz w:val="24"/>
          <w:szCs w:val="24"/>
        </w:rPr>
        <w:t>”</w:t>
      </w:r>
      <w:r w:rsidRPr="003A1934">
        <w:rPr>
          <w:rFonts w:ascii="微软雅黑" w:eastAsia="微软雅黑" w:hAnsi="微软雅黑" w:cs="宋体" w:hint="eastAsia"/>
          <w:color w:val="333333"/>
          <w:kern w:val="0"/>
          <w:sz w:val="24"/>
          <w:szCs w:val="24"/>
        </w:rPr>
        <w:t>，推动上市公司之间吸收合并。二是以产业并购为主线，支持非同</w:t>
      </w:r>
      <w:proofErr w:type="gramStart"/>
      <w:r w:rsidRPr="003A1934">
        <w:rPr>
          <w:rFonts w:ascii="微软雅黑" w:eastAsia="微软雅黑" w:hAnsi="微软雅黑" w:cs="宋体" w:hint="eastAsia"/>
          <w:color w:val="333333"/>
          <w:kern w:val="0"/>
          <w:sz w:val="24"/>
          <w:szCs w:val="24"/>
        </w:rPr>
        <w:t>一控制</w:t>
      </w:r>
      <w:proofErr w:type="gramEnd"/>
      <w:r w:rsidRPr="003A1934">
        <w:rPr>
          <w:rFonts w:ascii="微软雅黑" w:eastAsia="微软雅黑" w:hAnsi="微软雅黑" w:cs="宋体" w:hint="eastAsia"/>
          <w:color w:val="333333"/>
          <w:kern w:val="0"/>
          <w:sz w:val="24"/>
          <w:szCs w:val="24"/>
        </w:rPr>
        <w:t>下上市公司之间实施同行业、上下游市场化吸收合并。三是完善吸收合并相关政策，打通投资者适当性要求等</w:t>
      </w:r>
      <w:proofErr w:type="gramStart"/>
      <w:r w:rsidRPr="003A1934">
        <w:rPr>
          <w:rFonts w:ascii="微软雅黑" w:eastAsia="微软雅黑" w:hAnsi="微软雅黑" w:cs="宋体" w:hint="eastAsia"/>
          <w:color w:val="333333"/>
          <w:kern w:val="0"/>
          <w:sz w:val="24"/>
          <w:szCs w:val="24"/>
        </w:rPr>
        <w:t>跨板块</w:t>
      </w:r>
      <w:proofErr w:type="gramEnd"/>
      <w:r w:rsidRPr="003A1934">
        <w:rPr>
          <w:rFonts w:ascii="微软雅黑" w:eastAsia="微软雅黑" w:hAnsi="微软雅黑" w:cs="宋体" w:hint="eastAsia"/>
          <w:color w:val="333333"/>
          <w:kern w:val="0"/>
          <w:sz w:val="24"/>
          <w:szCs w:val="24"/>
        </w:rPr>
        <w:t>吸收合并的“堵点</w:t>
      </w:r>
      <w:r w:rsidRPr="003A1934">
        <w:rPr>
          <w:rFonts w:ascii="微软雅黑" w:eastAsia="微软雅黑" w:hAnsi="微软雅黑" w:cs="Times New Roman" w:hint="eastAsia"/>
          <w:color w:val="333333"/>
          <w:kern w:val="0"/>
          <w:sz w:val="24"/>
          <w:szCs w:val="24"/>
        </w:rPr>
        <w:t>”</w:t>
      </w:r>
      <w:r w:rsidRPr="003A1934">
        <w:rPr>
          <w:rFonts w:ascii="微软雅黑" w:eastAsia="微软雅黑" w:hAnsi="微软雅黑" w:cs="宋体" w:hint="eastAsia"/>
          <w:color w:val="333333"/>
          <w:kern w:val="0"/>
          <w:sz w:val="24"/>
          <w:szCs w:val="24"/>
        </w:rPr>
        <w:t>。四是上市公司通过要约收购、股东大会决议等方式主动退市的，应当提供异议股东现金选择权等专项保护。</w:t>
      </w:r>
    </w:p>
    <w:p w14:paraId="615B9AAB"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（三）大力削减“壳”资源价值。一是加强重组监管，强化主业相关性，严把注入资产质量关，防止低效资产注入上市公司；从严监管重组上市，严格落实“借壳等同IPO”要求；严格监管风险警示板（</w:t>
      </w:r>
      <w:r w:rsidRPr="003A1934">
        <w:rPr>
          <w:rFonts w:ascii="微软雅黑" w:eastAsia="微软雅黑" w:hAnsi="微软雅黑" w:cs="Times New Roman" w:hint="eastAsia"/>
          <w:color w:val="333333"/>
          <w:kern w:val="0"/>
          <w:sz w:val="24"/>
          <w:szCs w:val="24"/>
        </w:rPr>
        <w:t>ST</w:t>
      </w:r>
      <w:r w:rsidRPr="003A1934">
        <w:rPr>
          <w:rFonts w:ascii="微软雅黑" w:eastAsia="微软雅黑" w:hAnsi="微软雅黑" w:cs="宋体" w:hint="eastAsia"/>
          <w:color w:val="333333"/>
          <w:kern w:val="0"/>
          <w:sz w:val="24"/>
          <w:szCs w:val="24"/>
        </w:rPr>
        <w:t>股、</w:t>
      </w:r>
      <w:r w:rsidRPr="003A1934">
        <w:rPr>
          <w:rFonts w:ascii="微软雅黑" w:eastAsia="微软雅黑" w:hAnsi="微软雅黑" w:cs="Times New Roman" w:hint="eastAsia"/>
          <w:color w:val="333333"/>
          <w:kern w:val="0"/>
          <w:sz w:val="24"/>
          <w:szCs w:val="24"/>
        </w:rPr>
        <w:t>＊ST</w:t>
      </w:r>
      <w:r w:rsidRPr="003A1934">
        <w:rPr>
          <w:rFonts w:ascii="微软雅黑" w:eastAsia="微软雅黑" w:hAnsi="微软雅黑" w:cs="宋体" w:hint="eastAsia"/>
          <w:color w:val="333333"/>
          <w:kern w:val="0"/>
          <w:sz w:val="24"/>
          <w:szCs w:val="24"/>
        </w:rPr>
        <w:t>股）上市公司并购重组。二是加强收购监管，压实中介机构责任，严把收购人资格、收购</w:t>
      </w:r>
      <w:r w:rsidRPr="003A1934">
        <w:rPr>
          <w:rFonts w:ascii="微软雅黑" w:eastAsia="微软雅黑" w:hAnsi="微软雅黑" w:cs="宋体" w:hint="eastAsia"/>
          <w:color w:val="333333"/>
          <w:kern w:val="0"/>
          <w:sz w:val="24"/>
          <w:szCs w:val="24"/>
        </w:rPr>
        <w:lastRenderedPageBreak/>
        <w:t>资金来源，规范控制权交易。三是从严打击“炒壳</w:t>
      </w:r>
      <w:r w:rsidRPr="003A1934">
        <w:rPr>
          <w:rFonts w:ascii="微软雅黑" w:eastAsia="微软雅黑" w:hAnsi="微软雅黑" w:cs="Times New Roman" w:hint="eastAsia"/>
          <w:color w:val="333333"/>
          <w:kern w:val="0"/>
          <w:sz w:val="24"/>
          <w:szCs w:val="24"/>
        </w:rPr>
        <w:t>”</w:t>
      </w:r>
      <w:r w:rsidRPr="003A1934">
        <w:rPr>
          <w:rFonts w:ascii="微软雅黑" w:eastAsia="微软雅黑" w:hAnsi="微软雅黑" w:cs="宋体" w:hint="eastAsia"/>
          <w:color w:val="333333"/>
          <w:kern w:val="0"/>
          <w:sz w:val="24"/>
          <w:szCs w:val="24"/>
        </w:rPr>
        <w:t>背后的市场操纵、内幕交易行为，维护交易秩序。四是对于不具有重整价值的公司，坚决出清。</w:t>
      </w:r>
    </w:p>
    <w:p w14:paraId="12497E52"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四）切实加强监管执法工作。一是强化信息披露监管和交易监测，督促公司及早揭示退市风险；加大对违规规避退市行为的监管力度，触及退市标准的坚决退市；优化上市公司财务造假发现查处机制。二是压实会计师事务所责任，将反映上市公司财务失真、内控失效的审计意见作为退</w:t>
      </w:r>
      <w:proofErr w:type="gramStart"/>
      <w:r w:rsidRPr="003A1934">
        <w:rPr>
          <w:rFonts w:ascii="微软雅黑" w:eastAsia="微软雅黑" w:hAnsi="微软雅黑" w:cs="宋体" w:hint="eastAsia"/>
          <w:color w:val="333333"/>
          <w:kern w:val="0"/>
          <w:sz w:val="24"/>
          <w:szCs w:val="24"/>
        </w:rPr>
        <w:t>市决策</w:t>
      </w:r>
      <w:proofErr w:type="gramEnd"/>
      <w:r w:rsidRPr="003A1934">
        <w:rPr>
          <w:rFonts w:ascii="微软雅黑" w:eastAsia="微软雅黑" w:hAnsi="微软雅黑" w:cs="宋体" w:hint="eastAsia"/>
          <w:color w:val="333333"/>
          <w:kern w:val="0"/>
          <w:sz w:val="24"/>
          <w:szCs w:val="24"/>
        </w:rPr>
        <w:t>的重要依据；强化监管，督促注册会计师勤勉尽责，规范执业，恰当发表审计意见。三是坚持对退市公司及其控股股东、实际控制人、董事、高管违法违规行为“一追到底</w:t>
      </w:r>
      <w:r w:rsidRPr="003A1934">
        <w:rPr>
          <w:rFonts w:ascii="微软雅黑" w:eastAsia="微软雅黑" w:hAnsi="微软雅黑" w:cs="Times New Roman" w:hint="eastAsia"/>
          <w:color w:val="333333"/>
          <w:kern w:val="0"/>
          <w:sz w:val="24"/>
          <w:szCs w:val="24"/>
        </w:rPr>
        <w:t>”</w:t>
      </w:r>
      <w:r w:rsidRPr="003A1934">
        <w:rPr>
          <w:rFonts w:ascii="微软雅黑" w:eastAsia="微软雅黑" w:hAnsi="微软雅黑" w:cs="宋体" w:hint="eastAsia"/>
          <w:color w:val="333333"/>
          <w:kern w:val="0"/>
          <w:sz w:val="24"/>
          <w:szCs w:val="24"/>
        </w:rPr>
        <w:t>，严惩导致上市公司重大违法强制退市的责任人员，依法实施证券市场禁入措施。推动健全行政、刑事和民事赔偿立体化追责体系。</w:t>
      </w:r>
    </w:p>
    <w:p w14:paraId="287FCE5B"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五）更大力度落实投资者赔偿救济。一是退市公司及其控股股东、实际控制人、董事、高管违法违规行为对投资者造成损害的，证券投资者保护机构要引导投资者积极行权。二是对于上市公司重大违法退市，应当推动综合运用支持诉讼、示范判决、专业调解、代表人诉讼、先行赔付等方式，维护投资者合法权益。三是对重大违法退市负有责任的控股股东、实际控制人、董事、高管等，要依法赔偿投资者损失。</w:t>
      </w:r>
    </w:p>
    <w:p w14:paraId="4A1C463C"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三、组织实施</w:t>
      </w:r>
    </w:p>
    <w:p w14:paraId="39BF4915" w14:textId="77777777" w:rsidR="003A1934" w:rsidRPr="003A1934" w:rsidRDefault="003A1934" w:rsidP="003A1934">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加强对证券交易所和证监局履职情况的监督管理。证券交易所要切实</w:t>
      </w:r>
      <w:proofErr w:type="gramStart"/>
      <w:r w:rsidRPr="003A1934">
        <w:rPr>
          <w:rFonts w:ascii="微软雅黑" w:eastAsia="微软雅黑" w:hAnsi="微软雅黑" w:cs="宋体" w:hint="eastAsia"/>
          <w:color w:val="333333"/>
          <w:kern w:val="0"/>
          <w:sz w:val="24"/>
          <w:szCs w:val="24"/>
        </w:rPr>
        <w:t>担负起退市</w:t>
      </w:r>
      <w:proofErr w:type="gramEnd"/>
      <w:r w:rsidRPr="003A1934">
        <w:rPr>
          <w:rFonts w:ascii="微软雅黑" w:eastAsia="微软雅黑" w:hAnsi="微软雅黑" w:cs="宋体" w:hint="eastAsia"/>
          <w:color w:val="333333"/>
          <w:kern w:val="0"/>
          <w:sz w:val="24"/>
          <w:szCs w:val="24"/>
        </w:rPr>
        <w:t>实施主体责任，认真履行好退市决策、信息披露监督、交易监控等重要职责；加快修订股票上市规则及相关业务规则，尽快发布实施。证监局依法开展对上市公司信息披露行为及公司治理活动的监督管理，依法查处退市过程中的违法违规行为，配合地方政府做好</w:t>
      </w:r>
      <w:proofErr w:type="gramStart"/>
      <w:r w:rsidRPr="003A1934">
        <w:rPr>
          <w:rFonts w:ascii="微软雅黑" w:eastAsia="微软雅黑" w:hAnsi="微软雅黑" w:cs="宋体" w:hint="eastAsia"/>
          <w:color w:val="333333"/>
          <w:kern w:val="0"/>
          <w:sz w:val="24"/>
          <w:szCs w:val="24"/>
        </w:rPr>
        <w:t>属地维稳工作</w:t>
      </w:r>
      <w:proofErr w:type="gramEnd"/>
      <w:r w:rsidRPr="003A1934">
        <w:rPr>
          <w:rFonts w:ascii="微软雅黑" w:eastAsia="微软雅黑" w:hAnsi="微软雅黑" w:cs="宋体" w:hint="eastAsia"/>
          <w:color w:val="333333"/>
          <w:kern w:val="0"/>
          <w:sz w:val="24"/>
          <w:szCs w:val="24"/>
        </w:rPr>
        <w:t>。</w:t>
      </w:r>
    </w:p>
    <w:p w14:paraId="7A6389EF" w14:textId="77777777" w:rsidR="003A1934" w:rsidRPr="003A1934" w:rsidRDefault="003A1934" w:rsidP="003A1934">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lastRenderedPageBreak/>
        <w:t>中国证监会</w:t>
      </w:r>
    </w:p>
    <w:p w14:paraId="57AF97D3" w14:textId="77777777" w:rsidR="003A1934" w:rsidRPr="003A1934" w:rsidRDefault="003A1934" w:rsidP="003A1934">
      <w:pPr>
        <w:widowControl/>
        <w:shd w:val="clear" w:color="auto" w:fill="FFFFFF"/>
        <w:spacing w:line="480" w:lineRule="atLeast"/>
        <w:ind w:firstLine="480"/>
        <w:jc w:val="right"/>
        <w:rPr>
          <w:rFonts w:ascii="微软雅黑" w:eastAsia="微软雅黑" w:hAnsi="微软雅黑" w:cs="宋体" w:hint="eastAsia"/>
          <w:color w:val="333333"/>
          <w:kern w:val="0"/>
          <w:sz w:val="24"/>
          <w:szCs w:val="24"/>
        </w:rPr>
      </w:pPr>
      <w:r w:rsidRPr="003A1934">
        <w:rPr>
          <w:rFonts w:ascii="微软雅黑" w:eastAsia="微软雅黑" w:hAnsi="微软雅黑" w:cs="宋体" w:hint="eastAsia"/>
          <w:color w:val="333333"/>
          <w:kern w:val="0"/>
          <w:sz w:val="24"/>
          <w:szCs w:val="24"/>
        </w:rPr>
        <w:t>2024年4月12日</w:t>
      </w:r>
    </w:p>
    <w:p w14:paraId="6ACAF6A4" w14:textId="77777777" w:rsidR="00ED1CF5" w:rsidRDefault="00ED1CF5"/>
    <w:sectPr w:rsidR="00ED1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34"/>
    <w:rsid w:val="003A1934"/>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28FF"/>
  <w15:chartTrackingRefBased/>
  <w15:docId w15:val="{DD050D28-2039-4765-B205-A345D3F2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A193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A1934"/>
    <w:rPr>
      <w:rFonts w:ascii="宋体" w:eastAsia="宋体" w:hAnsi="宋体" w:cs="宋体"/>
      <w:b/>
      <w:bCs/>
      <w:kern w:val="0"/>
      <w:sz w:val="36"/>
      <w:szCs w:val="36"/>
    </w:rPr>
  </w:style>
  <w:style w:type="paragraph" w:customStyle="1" w:styleId="fl">
    <w:name w:val="fl"/>
    <w:basedOn w:val="a"/>
    <w:rsid w:val="003A1934"/>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3A1934"/>
    <w:pPr>
      <w:widowControl/>
      <w:spacing w:before="100" w:beforeAutospacing="1" w:after="100" w:afterAutospacing="1"/>
      <w:jc w:val="left"/>
    </w:pPr>
    <w:rPr>
      <w:rFonts w:ascii="宋体" w:eastAsia="宋体" w:hAnsi="宋体" w:cs="宋体"/>
      <w:kern w:val="0"/>
      <w:sz w:val="24"/>
      <w:szCs w:val="24"/>
    </w:rPr>
  </w:style>
  <w:style w:type="character" w:customStyle="1" w:styleId="on">
    <w:name w:val="on"/>
    <w:basedOn w:val="a0"/>
    <w:rsid w:val="003A1934"/>
  </w:style>
  <w:style w:type="paragraph" w:styleId="a3">
    <w:name w:val="Normal (Web)"/>
    <w:basedOn w:val="a"/>
    <w:uiPriority w:val="99"/>
    <w:semiHidden/>
    <w:unhideWhenUsed/>
    <w:rsid w:val="003A19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5941">
      <w:bodyDiv w:val="1"/>
      <w:marLeft w:val="0"/>
      <w:marRight w:val="0"/>
      <w:marTop w:val="0"/>
      <w:marBottom w:val="0"/>
      <w:divBdr>
        <w:top w:val="none" w:sz="0" w:space="0" w:color="auto"/>
        <w:left w:val="none" w:sz="0" w:space="0" w:color="auto"/>
        <w:bottom w:val="none" w:sz="0" w:space="0" w:color="auto"/>
        <w:right w:val="none" w:sz="0" w:space="0" w:color="auto"/>
      </w:divBdr>
      <w:divsChild>
        <w:div w:id="159831">
          <w:marLeft w:val="0"/>
          <w:marRight w:val="0"/>
          <w:marTop w:val="0"/>
          <w:marBottom w:val="375"/>
          <w:divBdr>
            <w:top w:val="none" w:sz="0" w:space="0" w:color="auto"/>
            <w:left w:val="none" w:sz="0" w:space="0" w:color="auto"/>
            <w:bottom w:val="none" w:sz="0" w:space="0" w:color="auto"/>
            <w:right w:val="none" w:sz="0" w:space="0" w:color="auto"/>
          </w:divBdr>
          <w:divsChild>
            <w:div w:id="2088109056">
              <w:marLeft w:val="0"/>
              <w:marRight w:val="0"/>
              <w:marTop w:val="0"/>
              <w:marBottom w:val="0"/>
              <w:divBdr>
                <w:top w:val="none" w:sz="0" w:space="0" w:color="auto"/>
                <w:left w:val="none" w:sz="0" w:space="0" w:color="auto"/>
                <w:bottom w:val="none" w:sz="0" w:space="0" w:color="auto"/>
                <w:right w:val="none" w:sz="0" w:space="0" w:color="auto"/>
              </w:divBdr>
              <w:divsChild>
                <w:div w:id="128172013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44318242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 曾</dc:creator>
  <cp:keywords/>
  <dc:description/>
  <cp:lastModifiedBy>小明 曾</cp:lastModifiedBy>
  <cp:revision>1</cp:revision>
  <dcterms:created xsi:type="dcterms:W3CDTF">2024-04-16T06:26:00Z</dcterms:created>
  <dcterms:modified xsi:type="dcterms:W3CDTF">2024-04-16T06:27:00Z</dcterms:modified>
</cp:coreProperties>
</file>