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B60C" w14:textId="77777777" w:rsidR="001F106E" w:rsidRPr="001F106E" w:rsidRDefault="001F106E" w:rsidP="001F106E">
      <w:pPr>
        <w:widowControl/>
        <w:ind w:left="120" w:right="120"/>
        <w:jc w:val="center"/>
        <w:rPr>
          <w:rFonts w:ascii="宋体" w:eastAsia="宋体" w:hAnsi="宋体" w:cs="宋体"/>
          <w:kern w:val="0"/>
          <w:sz w:val="24"/>
          <w:szCs w:val="24"/>
        </w:rPr>
      </w:pPr>
      <w:r w:rsidRPr="001F106E">
        <w:rPr>
          <w:rFonts w:ascii="宋体" w:eastAsia="宋体" w:hAnsi="宋体" w:cs="宋体"/>
          <w:b/>
          <w:bCs/>
          <w:color w:val="00468A"/>
          <w:kern w:val="0"/>
          <w:sz w:val="27"/>
          <w:szCs w:val="27"/>
        </w:rPr>
        <w:t>国家税务总局关于实施《中华人民共和国印花税法》等有关事项的公告</w:t>
      </w:r>
    </w:p>
    <w:p w14:paraId="3787BC8E" w14:textId="77777777" w:rsidR="001F106E" w:rsidRPr="001F106E" w:rsidRDefault="001F106E" w:rsidP="001F106E">
      <w:pPr>
        <w:widowControl/>
        <w:ind w:left="120" w:right="120"/>
        <w:jc w:val="center"/>
        <w:rPr>
          <w:rFonts w:ascii="宋体" w:eastAsia="宋体" w:hAnsi="宋体" w:cs="宋体"/>
          <w:kern w:val="0"/>
          <w:sz w:val="24"/>
          <w:szCs w:val="24"/>
        </w:rPr>
      </w:pPr>
      <w:r w:rsidRPr="001F106E">
        <w:rPr>
          <w:rFonts w:ascii="宋体" w:eastAsia="宋体" w:hAnsi="宋体" w:cs="宋体"/>
          <w:kern w:val="0"/>
          <w:sz w:val="20"/>
          <w:szCs w:val="20"/>
        </w:rPr>
        <w:t>国家税务总局公告2022年第14号</w:t>
      </w:r>
    </w:p>
    <w:p w14:paraId="6D597763" w14:textId="77777777" w:rsidR="001F106E" w:rsidRPr="001F106E" w:rsidRDefault="001F106E" w:rsidP="001F106E">
      <w:pPr>
        <w:widowControl/>
        <w:jc w:val="left"/>
        <w:rPr>
          <w:rFonts w:ascii="宋体" w:eastAsia="宋体" w:hAnsi="宋体" w:cs="宋体"/>
          <w:kern w:val="0"/>
          <w:sz w:val="24"/>
          <w:szCs w:val="24"/>
        </w:rPr>
      </w:pPr>
      <w:r w:rsidRPr="001F106E">
        <w:rPr>
          <w:rFonts w:ascii="宋体" w:eastAsia="宋体" w:hAnsi="宋体" w:cs="宋体"/>
          <w:kern w:val="0"/>
          <w:sz w:val="24"/>
          <w:szCs w:val="24"/>
        </w:rPr>
        <w:br/>
      </w:r>
    </w:p>
    <w:p w14:paraId="1C460F12"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为落实《中华人民共和国印花税法》（以下简称印花税法），贯彻中办、国办印发的《关于进一步深化税收征管改革的意见》，现就印花税征收管理和纳税服务有关事项及优化土地增值税优惠事项办理方式问题公告如下：</w:t>
      </w:r>
    </w:p>
    <w:p w14:paraId="46BCF3FD"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br/>
      </w:r>
    </w:p>
    <w:p w14:paraId="59E91191"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b/>
          <w:bCs/>
          <w:kern w:val="0"/>
          <w:szCs w:val="21"/>
        </w:rPr>
        <w:t>一、印花税征收管理和纳税服务有关事项</w:t>
      </w:r>
    </w:p>
    <w:p w14:paraId="5D53CDA7"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br/>
      </w:r>
    </w:p>
    <w:p w14:paraId="730561AC"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（一）纳税人应当根据书立印花税应税合同、产权转移书据和营业账簿情况，填写《印花税税源明细表》（附件1），进行财产行为</w:t>
      </w:r>
      <w:proofErr w:type="gramStart"/>
      <w:r w:rsidRPr="001F106E">
        <w:rPr>
          <w:rFonts w:ascii="宋体" w:eastAsia="宋体" w:hAnsi="宋体" w:cs="宋体"/>
          <w:kern w:val="0"/>
          <w:szCs w:val="21"/>
        </w:rPr>
        <w:t>税综合</w:t>
      </w:r>
      <w:proofErr w:type="gramEnd"/>
      <w:r w:rsidRPr="001F106E">
        <w:rPr>
          <w:rFonts w:ascii="宋体" w:eastAsia="宋体" w:hAnsi="宋体" w:cs="宋体"/>
          <w:kern w:val="0"/>
          <w:szCs w:val="21"/>
        </w:rPr>
        <w:t>申报。</w:t>
      </w:r>
    </w:p>
    <w:p w14:paraId="3080F3CE"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（二）应税合同、产权转移书据未列明金额，在后续实际结算时确定金额的，纳税人应当于书立应税合同、产权转移书据的首个纳税申报期申报应税合同、产权转移</w:t>
      </w:r>
      <w:proofErr w:type="gramStart"/>
      <w:r w:rsidRPr="001F106E">
        <w:rPr>
          <w:rFonts w:ascii="宋体" w:eastAsia="宋体" w:hAnsi="宋体" w:cs="宋体"/>
          <w:kern w:val="0"/>
          <w:szCs w:val="21"/>
        </w:rPr>
        <w:t>书据书立</w:t>
      </w:r>
      <w:proofErr w:type="gramEnd"/>
      <w:r w:rsidRPr="001F106E">
        <w:rPr>
          <w:rFonts w:ascii="宋体" w:eastAsia="宋体" w:hAnsi="宋体" w:cs="宋体"/>
          <w:kern w:val="0"/>
          <w:szCs w:val="21"/>
        </w:rPr>
        <w:t>情况，在实际结算后下一个纳税申报期，以实际结算金额计算申报缴纳印花税。</w:t>
      </w:r>
    </w:p>
    <w:p w14:paraId="5E15E41A"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三）印花税按季、按年或者按次计征。应税合同、产权转移书据印花税可以按季或者按次申报缴纳，应税营业账簿印花税可以按年或者按次申报缴纳，具体纳税期限由各省、自治区、直辖市、计划单列市税务局结合征管实际确定。</w:t>
      </w:r>
    </w:p>
    <w:p w14:paraId="08DC911D"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境外单位或者个人的应税凭证印花税可以按季、按年或者按次申报缴纳，具体纳税期限由各省、自治区、直辖市、计划单列市税务局结合征管实际确定。</w:t>
      </w:r>
    </w:p>
    <w:p w14:paraId="10B7CCF2"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（四）纳税人为境外单位或者个人，在境内有代理人的，以其境内代理人为扣缴义务人。境外单位或者个人的境内代理人应当按规定扣缴印花税，向境内代理人机构所在地（居住地）主管税务机关申报解缴税款。</w:t>
      </w:r>
    </w:p>
    <w:p w14:paraId="763E175C"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纳税人为境外单位或者个人，在境内没有代理人的，纳税人应当自行申报缴纳印花税。境外单位或者个人可以向资产交付地、境内服务提供方或者接受方所在地（居住地）、书立应税凭证境内书立人所在地（居住地）主管税务机关申报缴纳；涉及不动产产权转移的，应当向不动产所在地主管税务机关申报缴纳。</w:t>
      </w:r>
    </w:p>
    <w:p w14:paraId="47130E25"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（五）印花税法实施后，纳税人享受印花税优惠政策，继续实行“自行判别、申报享受、有关资料留存备查”的办理方式。纳税人对留存备查资料的真实性、完整性和合法性承担法律责任。</w:t>
      </w:r>
    </w:p>
    <w:p w14:paraId="411286AB"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六）税务机关要优化印花税纳税服务。加强培训辅导，重点抓好基层税务管理人员、一线窗口人员和12366话务人员的学习和培训，分类做好纳税人宣传辅导，促进纳税人规范印花税应税凭证管理。坚持问题导向，聚焦纳税人和基层税务人员在税法实施过程中反馈的意见建议，及时完善征管系统和办税流程，不断提升纳税人获得感。</w:t>
      </w:r>
    </w:p>
    <w:p w14:paraId="7EC5372B"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br/>
      </w:r>
    </w:p>
    <w:p w14:paraId="6EE25FC9"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b/>
          <w:bCs/>
          <w:kern w:val="0"/>
          <w:szCs w:val="21"/>
        </w:rPr>
        <w:t>二、优化土地增值税优惠事项办理方式</w:t>
      </w:r>
    </w:p>
    <w:p w14:paraId="7D8182E6"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lastRenderedPageBreak/>
        <w:br/>
      </w:r>
    </w:p>
    <w:p w14:paraId="6C87AC82"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（一）土地增值税原备案类优惠政策，实行纳税人“自行判别、申报享受、有关资料留存备查”的办理方式。纳税人在土地增值税纳税申报时按规定填写申报</w:t>
      </w:r>
      <w:proofErr w:type="gramStart"/>
      <w:r w:rsidRPr="001F106E">
        <w:rPr>
          <w:rFonts w:ascii="宋体" w:eastAsia="宋体" w:hAnsi="宋体" w:cs="宋体"/>
          <w:kern w:val="0"/>
          <w:szCs w:val="21"/>
        </w:rPr>
        <w:t>表相应</w:t>
      </w:r>
      <w:proofErr w:type="gramEnd"/>
      <w:r w:rsidRPr="001F106E">
        <w:rPr>
          <w:rFonts w:ascii="宋体" w:eastAsia="宋体" w:hAnsi="宋体" w:cs="宋体"/>
          <w:kern w:val="0"/>
          <w:szCs w:val="21"/>
        </w:rPr>
        <w:t>减免税栏次即可享受，相关政策规定的材料留存备查。纳税人对留存备查资料的真实性、完整性和合法性承担法律责任。</w:t>
      </w:r>
    </w:p>
    <w:p w14:paraId="2BF1FA47"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（二）税务机关应当加强土地增值税纳税辅导工作，畅通政策问题答复渠道，为纳税人及时、准确办理税收优惠事项提供支持和帮助。</w:t>
      </w:r>
    </w:p>
    <w:p w14:paraId="7D1B43CA"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本公告自2022年7月1日起施行。《全文废止和部分条款废止的印花税文件目录》（附件2）所列文件或条款同时废止。</w:t>
      </w:r>
    </w:p>
    <w:p w14:paraId="1A049FF6"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br/>
      </w:r>
    </w:p>
    <w:p w14:paraId="3E795258"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特此公告。</w:t>
      </w:r>
    </w:p>
    <w:p w14:paraId="4F58D9BA"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br/>
      </w:r>
    </w:p>
    <w:p w14:paraId="1EA593A8"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br/>
      </w:r>
    </w:p>
    <w:p w14:paraId="511E5AC3"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附件：</w:t>
      </w:r>
    </w:p>
    <w:p w14:paraId="148CD6AA" w14:textId="77777777" w:rsidR="001F106E" w:rsidRPr="001F106E" w:rsidRDefault="001F106E" w:rsidP="001F106E">
      <w:pPr>
        <w:widowControl/>
        <w:ind w:left="240" w:right="240" w:firstLine="480"/>
        <w:jc w:val="left"/>
        <w:rPr>
          <w:rFonts w:ascii="宋体" w:eastAsia="宋体" w:hAnsi="宋体" w:cs="宋体"/>
          <w:kern w:val="0"/>
          <w:sz w:val="24"/>
          <w:szCs w:val="24"/>
        </w:rPr>
      </w:pPr>
      <w:hyperlink r:id="rId4" w:history="1">
        <w:r w:rsidRPr="001F106E">
          <w:rPr>
            <w:rFonts w:ascii="宋体" w:eastAsia="宋体" w:hAnsi="宋体" w:cs="宋体"/>
            <w:color w:val="576B95"/>
            <w:kern w:val="0"/>
            <w:szCs w:val="21"/>
            <w:u w:val="single"/>
          </w:rPr>
          <w:t>1.印花税税源明细表</w:t>
        </w:r>
      </w:hyperlink>
    </w:p>
    <w:p w14:paraId="7A13F9D7" w14:textId="77777777" w:rsidR="001F106E" w:rsidRPr="001F106E" w:rsidRDefault="001F106E" w:rsidP="001F106E">
      <w:pPr>
        <w:widowControl/>
        <w:ind w:left="240" w:right="240" w:firstLine="480"/>
        <w:jc w:val="left"/>
        <w:rPr>
          <w:rFonts w:ascii="宋体" w:eastAsia="宋体" w:hAnsi="宋体" w:cs="宋体"/>
          <w:kern w:val="0"/>
          <w:sz w:val="24"/>
          <w:szCs w:val="24"/>
        </w:rPr>
      </w:pPr>
      <w:hyperlink r:id="rId5" w:history="1">
        <w:r w:rsidRPr="001F106E">
          <w:rPr>
            <w:rFonts w:ascii="宋体" w:eastAsia="宋体" w:hAnsi="宋体" w:cs="宋体"/>
            <w:color w:val="576B95"/>
            <w:kern w:val="0"/>
            <w:szCs w:val="21"/>
            <w:u w:val="single"/>
          </w:rPr>
          <w:t>2.全文废止和部分条款废止的印花税文件目录</w:t>
        </w:r>
      </w:hyperlink>
    </w:p>
    <w:p w14:paraId="6B64B53F" w14:textId="77777777" w:rsidR="001F106E" w:rsidRPr="001F106E" w:rsidRDefault="001F106E" w:rsidP="001F106E">
      <w:pPr>
        <w:widowControl/>
        <w:ind w:left="240" w:right="240" w:firstLine="480"/>
        <w:jc w:val="left"/>
        <w:rPr>
          <w:rFonts w:ascii="宋体" w:eastAsia="宋体" w:hAnsi="宋体" w:cs="宋体"/>
          <w:kern w:val="0"/>
          <w:sz w:val="24"/>
          <w:szCs w:val="24"/>
        </w:rPr>
      </w:pPr>
    </w:p>
    <w:p w14:paraId="118A33BE" w14:textId="77777777" w:rsidR="001F106E" w:rsidRPr="001F106E" w:rsidRDefault="001F106E" w:rsidP="001F106E">
      <w:pPr>
        <w:widowControl/>
        <w:ind w:left="240" w:right="240" w:firstLine="480"/>
        <w:jc w:val="left"/>
        <w:rPr>
          <w:rFonts w:ascii="宋体" w:eastAsia="宋体" w:hAnsi="宋体" w:cs="宋体"/>
          <w:kern w:val="0"/>
          <w:sz w:val="24"/>
          <w:szCs w:val="24"/>
        </w:rPr>
      </w:pPr>
    </w:p>
    <w:p w14:paraId="7DEFAB41" w14:textId="77777777" w:rsidR="001F106E" w:rsidRPr="001F106E" w:rsidRDefault="001F106E" w:rsidP="001F106E">
      <w:pPr>
        <w:widowControl/>
        <w:ind w:left="240" w:right="240" w:firstLine="480"/>
        <w:jc w:val="right"/>
        <w:rPr>
          <w:rFonts w:ascii="宋体" w:eastAsia="宋体" w:hAnsi="宋体" w:cs="宋体"/>
          <w:kern w:val="0"/>
          <w:sz w:val="24"/>
          <w:szCs w:val="24"/>
        </w:rPr>
      </w:pPr>
      <w:r w:rsidRPr="001F106E">
        <w:rPr>
          <w:rFonts w:ascii="宋体" w:eastAsia="宋体" w:hAnsi="宋体" w:cs="宋体"/>
          <w:kern w:val="0"/>
          <w:szCs w:val="21"/>
        </w:rPr>
        <w:t>国家税务总局</w:t>
      </w:r>
    </w:p>
    <w:p w14:paraId="6E89D565" w14:textId="77777777" w:rsidR="001F106E" w:rsidRPr="001F106E" w:rsidRDefault="001F106E" w:rsidP="001F106E">
      <w:pPr>
        <w:widowControl/>
        <w:ind w:left="240" w:right="240" w:firstLine="480"/>
        <w:jc w:val="right"/>
        <w:rPr>
          <w:rFonts w:ascii="宋体" w:eastAsia="宋体" w:hAnsi="宋体" w:cs="宋体"/>
          <w:kern w:val="0"/>
          <w:sz w:val="24"/>
          <w:szCs w:val="24"/>
        </w:rPr>
      </w:pPr>
      <w:r w:rsidRPr="001F106E">
        <w:rPr>
          <w:rFonts w:ascii="宋体" w:eastAsia="宋体" w:hAnsi="宋体" w:cs="宋体"/>
          <w:kern w:val="0"/>
          <w:szCs w:val="21"/>
        </w:rPr>
        <w:t>2022年6月28日</w:t>
      </w:r>
    </w:p>
    <w:p w14:paraId="1BE1313D" w14:textId="207CCAA0" w:rsidR="001F106E" w:rsidRDefault="001F106E">
      <w:pPr>
        <w:widowControl/>
        <w:jc w:val="left"/>
      </w:pPr>
      <w:r>
        <w:br w:type="page"/>
      </w:r>
    </w:p>
    <w:p w14:paraId="1337177E" w14:textId="77777777" w:rsidR="001F106E" w:rsidRDefault="001F106E" w:rsidP="001F106E">
      <w:pPr>
        <w:widowControl/>
        <w:shd w:val="clear" w:color="auto" w:fill="FFFFFF"/>
        <w:jc w:val="left"/>
        <w:rPr>
          <w:rFonts w:ascii="微软雅黑" w:eastAsia="微软雅黑" w:hAnsi="微软雅黑"/>
          <w:color w:val="333333"/>
        </w:rPr>
      </w:pPr>
      <w:r>
        <w:rPr>
          <w:rStyle w:val="dhgao2"/>
          <w:rFonts w:ascii="微软雅黑" w:eastAsia="微软雅黑" w:hAnsi="微软雅黑" w:hint="eastAsia"/>
          <w:color w:val="333333"/>
        </w:rPr>
        <w:lastRenderedPageBreak/>
        <w:t>财政部 税务总局关于印花税法实施后有关优惠政策衔接问题的公告</w:t>
      </w:r>
      <w:r>
        <w:rPr>
          <w:rStyle w:val="hao11"/>
          <w:rFonts w:ascii="微软雅黑" w:eastAsia="微软雅黑" w:hAnsi="微软雅黑" w:hint="eastAsia"/>
        </w:rPr>
        <w:t xml:space="preserve">财政部 税务总局公告2022年第23号 </w:t>
      </w:r>
    </w:p>
    <w:p w14:paraId="438D0574" w14:textId="77777777" w:rsidR="001F106E" w:rsidRDefault="001F106E" w:rsidP="001F106E">
      <w:pPr>
        <w:shd w:val="clear" w:color="auto" w:fill="FFFFFF"/>
        <w:rPr>
          <w:rFonts w:ascii="微软雅黑" w:eastAsia="微软雅黑" w:hAnsi="微软雅黑" w:hint="eastAsia"/>
          <w:color w:val="333333"/>
        </w:rPr>
      </w:pPr>
      <w:r>
        <w:rPr>
          <w:rStyle w:val="yxq-tip"/>
          <w:rFonts w:ascii="微软雅黑" w:eastAsia="微软雅黑" w:hAnsi="微软雅黑" w:hint="eastAsia"/>
          <w:color w:val="FF0000"/>
        </w:rPr>
        <w:t>全文有效</w:t>
      </w:r>
      <w:r>
        <w:rPr>
          <w:rFonts w:ascii="微软雅黑" w:eastAsia="微软雅黑" w:hAnsi="微软雅黑" w:hint="eastAsia"/>
          <w:color w:val="333333"/>
        </w:rPr>
        <w:t xml:space="preserve"> </w:t>
      </w:r>
      <w:r>
        <w:rPr>
          <w:rStyle w:val="laiyuan3"/>
          <w:rFonts w:ascii="微软雅黑" w:eastAsia="微软雅黑" w:hAnsi="微软雅黑" w:hint="eastAsia"/>
          <w:color w:val="333333"/>
        </w:rPr>
        <w:t>   成文日期:</w:t>
      </w:r>
      <w:r>
        <w:rPr>
          <w:rStyle w:val="laiyuan3"/>
          <w:rFonts w:ascii="微软雅黑" w:eastAsia="微软雅黑" w:hAnsi="微软雅黑" w:hint="eastAsia"/>
          <w:color w:val="005DDC"/>
        </w:rPr>
        <w:t>2022-6-27</w:t>
      </w:r>
      <w:r>
        <w:rPr>
          <w:rFonts w:ascii="微软雅黑" w:eastAsia="微软雅黑" w:hAnsi="微软雅黑" w:hint="eastAsia"/>
          <w:color w:val="333333"/>
        </w:rPr>
        <w:t xml:space="preserve"> </w:t>
      </w:r>
    </w:p>
    <w:p w14:paraId="14171453" w14:textId="77777777" w:rsidR="001F106E" w:rsidRDefault="001F106E" w:rsidP="001F106E">
      <w:pPr>
        <w:shd w:val="clear" w:color="auto" w:fill="FFFFFF"/>
        <w:rPr>
          <w:rFonts w:ascii="微软雅黑" w:eastAsia="微软雅黑" w:hAnsi="微软雅黑" w:hint="eastAsia"/>
          <w:color w:val="333333"/>
        </w:rPr>
      </w:pPr>
      <w:hyperlink r:id="rId6" w:tooltip="分享到微信" w:history="1">
        <w:r>
          <w:rPr>
            <w:rStyle w:val="a5"/>
            <w:rFonts w:ascii="微软雅黑" w:eastAsia="微软雅黑" w:hAnsi="微软雅黑" w:hint="eastAsia"/>
          </w:rPr>
          <w:t> </w:t>
        </w:r>
      </w:hyperlink>
      <w:r>
        <w:rPr>
          <w:rFonts w:ascii="微软雅黑" w:eastAsia="微软雅黑" w:hAnsi="微软雅黑" w:hint="eastAsia"/>
          <w:color w:val="333333"/>
        </w:rPr>
        <w:t xml:space="preserve"> </w:t>
      </w:r>
      <w:hyperlink r:id="rId7" w:tooltip="分享到新浪微博" w:history="1">
        <w:r>
          <w:rPr>
            <w:rStyle w:val="a5"/>
            <w:rFonts w:ascii="微软雅黑" w:eastAsia="微软雅黑" w:hAnsi="微软雅黑" w:hint="eastAsia"/>
          </w:rPr>
          <w:t> </w:t>
        </w:r>
      </w:hyperlink>
      <w:r>
        <w:rPr>
          <w:rFonts w:ascii="微软雅黑" w:eastAsia="微软雅黑" w:hAnsi="微软雅黑" w:hint="eastAsia"/>
          <w:color w:val="333333"/>
        </w:rPr>
        <w:t xml:space="preserve"> </w:t>
      </w:r>
    </w:p>
    <w:p w14:paraId="54737E2E" w14:textId="77777777" w:rsidR="001F106E" w:rsidRDefault="001F106E" w:rsidP="001F106E">
      <w:pPr>
        <w:shd w:val="clear" w:color="auto" w:fill="FFFFFF"/>
        <w:rPr>
          <w:rFonts w:ascii="微软雅黑" w:eastAsia="微软雅黑" w:hAnsi="微软雅黑" w:hint="eastAsia"/>
          <w:color w:val="333333"/>
        </w:rPr>
      </w:pPr>
      <w:hyperlink r:id="rId8" w:history="1">
        <w:r>
          <w:rPr>
            <w:rStyle w:val="a5"/>
            <w:rFonts w:ascii="微软雅黑" w:eastAsia="微软雅黑" w:hAnsi="微软雅黑" w:hint="eastAsia"/>
          </w:rPr>
          <w:t>打印本页</w:t>
        </w:r>
      </w:hyperlink>
      <w:r>
        <w:rPr>
          <w:rFonts w:ascii="微软雅黑" w:eastAsia="微软雅黑" w:hAnsi="微软雅黑" w:hint="eastAsia"/>
          <w:color w:val="333333"/>
        </w:rPr>
        <w:t xml:space="preserve"> </w:t>
      </w:r>
    </w:p>
    <w:p w14:paraId="6DBC963B" w14:textId="77777777" w:rsidR="001F106E" w:rsidRDefault="001F106E" w:rsidP="001F106E">
      <w:pPr>
        <w:shd w:val="clear" w:color="auto" w:fill="FFFFFF"/>
        <w:rPr>
          <w:rFonts w:ascii="微软雅黑" w:eastAsia="微软雅黑" w:hAnsi="微软雅黑" w:hint="eastAsia"/>
          <w:color w:val="333333"/>
        </w:rPr>
      </w:pPr>
      <w:r>
        <w:rPr>
          <w:rFonts w:ascii="微软雅黑" w:eastAsia="微软雅黑" w:hAnsi="微软雅黑" w:hint="eastAsia"/>
          <w:color w:val="333333"/>
        </w:rPr>
        <w:t xml:space="preserve">字体： </w:t>
      </w:r>
      <w:hyperlink r:id="rId9" w:history="1">
        <w:r>
          <w:rPr>
            <w:rStyle w:val="a5"/>
            <w:rFonts w:ascii="微软雅黑" w:eastAsia="微软雅黑" w:hAnsi="微软雅黑" w:hint="eastAsia"/>
          </w:rPr>
          <w:t>【大】</w:t>
        </w:r>
      </w:hyperlink>
      <w:r>
        <w:rPr>
          <w:rFonts w:ascii="微软雅黑" w:eastAsia="微软雅黑" w:hAnsi="微软雅黑" w:hint="eastAsia"/>
          <w:color w:val="333333"/>
        </w:rPr>
        <w:t xml:space="preserve"> </w:t>
      </w:r>
      <w:hyperlink r:id="rId10" w:history="1">
        <w:r>
          <w:rPr>
            <w:rStyle w:val="a5"/>
            <w:rFonts w:ascii="微软雅黑" w:eastAsia="微软雅黑" w:hAnsi="微软雅黑" w:hint="eastAsia"/>
          </w:rPr>
          <w:t>【中】</w:t>
        </w:r>
      </w:hyperlink>
      <w:r>
        <w:rPr>
          <w:rFonts w:ascii="微软雅黑" w:eastAsia="微软雅黑" w:hAnsi="微软雅黑" w:hint="eastAsia"/>
          <w:color w:val="333333"/>
        </w:rPr>
        <w:t xml:space="preserve"> </w:t>
      </w:r>
      <w:hyperlink r:id="rId11" w:history="1">
        <w:r>
          <w:rPr>
            <w:rStyle w:val="a5"/>
            <w:rFonts w:ascii="微软雅黑" w:eastAsia="微软雅黑" w:hAnsi="微软雅黑" w:hint="eastAsia"/>
          </w:rPr>
          <w:t>【小】</w:t>
        </w:r>
      </w:hyperlink>
      <w:r>
        <w:rPr>
          <w:rFonts w:ascii="微软雅黑" w:eastAsia="微软雅黑" w:hAnsi="微软雅黑" w:hint="eastAsia"/>
          <w:color w:val="333333"/>
        </w:rPr>
        <w:t xml:space="preserve"> </w:t>
      </w:r>
    </w:p>
    <w:p w14:paraId="76DC485F" w14:textId="77777777" w:rsidR="001F106E" w:rsidRDefault="001F106E" w:rsidP="001F106E">
      <w:pPr>
        <w:shd w:val="clear" w:color="auto" w:fill="FFFFFF"/>
        <w:spacing w:after="75" w:line="390" w:lineRule="atLeast"/>
        <w:outlineLvl w:val="3"/>
        <w:rPr>
          <w:rFonts w:ascii="微软雅黑" w:eastAsia="微软雅黑" w:hAnsi="微软雅黑" w:hint="eastAsia"/>
          <w:b/>
          <w:bCs/>
          <w:vanish/>
          <w:color w:val="333333"/>
          <w:sz w:val="27"/>
          <w:szCs w:val="27"/>
        </w:rPr>
      </w:pPr>
      <w:r>
        <w:rPr>
          <w:rFonts w:ascii="微软雅黑" w:eastAsia="微软雅黑" w:hAnsi="微软雅黑" w:hint="eastAsia"/>
          <w:color w:val="333333"/>
        </w:rPr>
        <w:pict w14:anchorId="6E4E66A2"/>
      </w:r>
      <w:r>
        <w:rPr>
          <w:rFonts w:ascii="微软雅黑" w:eastAsia="微软雅黑" w:hAnsi="微软雅黑" w:hint="eastAsia"/>
          <w:color w:val="333333"/>
        </w:rPr>
        <w:pict w14:anchorId="50C43BCD"/>
      </w:r>
      <w:r>
        <w:rPr>
          <w:rFonts w:ascii="微软雅黑" w:eastAsia="微软雅黑" w:hAnsi="微软雅黑" w:hint="eastAsia"/>
          <w:b/>
          <w:bCs/>
          <w:vanish/>
          <w:color w:val="333333"/>
          <w:sz w:val="27"/>
          <w:szCs w:val="27"/>
        </w:rPr>
        <w:t>注释：</w:t>
      </w:r>
    </w:p>
    <w:p w14:paraId="7BD156ED" w14:textId="77777777" w:rsidR="001F106E" w:rsidRDefault="001F106E" w:rsidP="001F106E">
      <w:pPr>
        <w:shd w:val="clear" w:color="auto" w:fill="FFFFFF"/>
        <w:spacing w:line="540" w:lineRule="atLeast"/>
        <w:ind w:firstLine="480"/>
        <w:rPr>
          <w:rFonts w:ascii="微软雅黑" w:eastAsia="微软雅黑" w:hAnsi="微软雅黑" w:hint="eastAsia"/>
          <w:color w:val="333333"/>
          <w:sz w:val="24"/>
          <w:szCs w:val="24"/>
        </w:rPr>
      </w:pPr>
      <w:r>
        <w:rPr>
          <w:rFonts w:ascii="微软雅黑" w:eastAsia="微软雅黑" w:hAnsi="微软雅黑" w:hint="eastAsia"/>
          <w:color w:val="333333"/>
        </w:rPr>
        <w:t>为贯彻落实《中华人民共和国印花税法》，现将税法实施后有关印花税优惠政策衔接问题公告如下：</w:t>
      </w:r>
    </w:p>
    <w:p w14:paraId="2900AA06" w14:textId="77777777" w:rsidR="001F106E" w:rsidRDefault="001F106E" w:rsidP="001F106E">
      <w:pPr>
        <w:shd w:val="clear" w:color="auto" w:fill="FFFFFF"/>
        <w:spacing w:line="540" w:lineRule="atLeast"/>
        <w:ind w:firstLine="480"/>
        <w:rPr>
          <w:rFonts w:ascii="微软雅黑" w:eastAsia="微软雅黑" w:hAnsi="微软雅黑" w:hint="eastAsia"/>
          <w:color w:val="333333"/>
        </w:rPr>
      </w:pPr>
      <w:r>
        <w:rPr>
          <w:rFonts w:ascii="微软雅黑" w:eastAsia="微软雅黑" w:hAnsi="微软雅黑" w:hint="eastAsia"/>
          <w:color w:val="333333"/>
        </w:rPr>
        <w:t>一、继续执行本公告附件1中所列文件及相关条款规定的印花税优惠政策。</w:t>
      </w:r>
    </w:p>
    <w:p w14:paraId="19877FA0" w14:textId="77777777" w:rsidR="001F106E" w:rsidRDefault="001F106E" w:rsidP="001F106E">
      <w:pPr>
        <w:shd w:val="clear" w:color="auto" w:fill="FFFFFF"/>
        <w:spacing w:line="540" w:lineRule="atLeast"/>
        <w:ind w:firstLine="480"/>
        <w:rPr>
          <w:rFonts w:ascii="微软雅黑" w:eastAsia="微软雅黑" w:hAnsi="微软雅黑" w:hint="eastAsia"/>
          <w:color w:val="333333"/>
        </w:rPr>
      </w:pPr>
      <w:r>
        <w:rPr>
          <w:rFonts w:ascii="微软雅黑" w:eastAsia="微软雅黑" w:hAnsi="微软雅黑" w:hint="eastAsia"/>
          <w:color w:val="333333"/>
        </w:rPr>
        <w:t>二、本公告附件2中所列文件及相关条款规定的印花税优惠政策予以废止。相关政策废止后，符合印花税法第十二条规定的免税情形的，纳税人可依法享受相关印花税优惠。</w:t>
      </w:r>
    </w:p>
    <w:p w14:paraId="7E37CFA0" w14:textId="77777777" w:rsidR="001F106E" w:rsidRDefault="001F106E" w:rsidP="001F106E">
      <w:pPr>
        <w:shd w:val="clear" w:color="auto" w:fill="FFFFFF"/>
        <w:spacing w:line="540" w:lineRule="atLeast"/>
        <w:ind w:firstLine="480"/>
        <w:rPr>
          <w:rFonts w:ascii="微软雅黑" w:eastAsia="微软雅黑" w:hAnsi="微软雅黑" w:hint="eastAsia"/>
          <w:color w:val="333333"/>
        </w:rPr>
      </w:pPr>
      <w:r>
        <w:rPr>
          <w:rFonts w:ascii="微软雅黑" w:eastAsia="微软雅黑" w:hAnsi="微软雅黑" w:hint="eastAsia"/>
          <w:color w:val="333333"/>
        </w:rPr>
        <w:t>三、本公告附件3中所列文件及相关条款规定的印花税优惠政策予以失效。</w:t>
      </w:r>
    </w:p>
    <w:p w14:paraId="3E25174D" w14:textId="77777777" w:rsidR="001F106E" w:rsidRDefault="001F106E" w:rsidP="001F106E">
      <w:pPr>
        <w:shd w:val="clear" w:color="auto" w:fill="FFFFFF"/>
        <w:spacing w:line="540" w:lineRule="atLeast"/>
        <w:ind w:firstLine="480"/>
        <w:rPr>
          <w:rFonts w:ascii="微软雅黑" w:eastAsia="微软雅黑" w:hAnsi="微软雅黑" w:hint="eastAsia"/>
          <w:color w:val="333333"/>
        </w:rPr>
      </w:pPr>
      <w:r>
        <w:rPr>
          <w:rFonts w:ascii="微软雅黑" w:eastAsia="微软雅黑" w:hAnsi="微软雅黑" w:hint="eastAsia"/>
          <w:color w:val="333333"/>
        </w:rPr>
        <w:t>四、本公告自2022年7月1日起施行。</w:t>
      </w:r>
    </w:p>
    <w:p w14:paraId="2FFBA749" w14:textId="77777777" w:rsidR="001F106E" w:rsidRDefault="001F106E" w:rsidP="001F106E">
      <w:pPr>
        <w:shd w:val="clear" w:color="auto" w:fill="FFFFFF"/>
        <w:spacing w:line="540" w:lineRule="atLeast"/>
        <w:ind w:firstLine="480"/>
        <w:rPr>
          <w:rFonts w:ascii="微软雅黑" w:eastAsia="微软雅黑" w:hAnsi="微软雅黑" w:hint="eastAsia"/>
          <w:color w:val="333333"/>
        </w:rPr>
      </w:pPr>
      <w:r>
        <w:rPr>
          <w:rFonts w:ascii="微软雅黑" w:eastAsia="微软雅黑" w:hAnsi="微软雅黑" w:hint="eastAsia"/>
          <w:color w:val="333333"/>
        </w:rPr>
        <w:t>特此公告。</w:t>
      </w:r>
    </w:p>
    <w:p w14:paraId="644D6BD7" w14:textId="77777777" w:rsidR="001F106E" w:rsidRDefault="001F106E" w:rsidP="001F106E">
      <w:pPr>
        <w:shd w:val="clear" w:color="auto" w:fill="FFFFFF"/>
        <w:spacing w:line="540" w:lineRule="atLeast"/>
        <w:ind w:firstLine="480"/>
        <w:rPr>
          <w:rFonts w:ascii="微软雅黑" w:eastAsia="微软雅黑" w:hAnsi="微软雅黑" w:hint="eastAsia"/>
          <w:color w:val="333333"/>
        </w:rPr>
      </w:pPr>
    </w:p>
    <w:p w14:paraId="092F0C86" w14:textId="77777777" w:rsidR="001F106E" w:rsidRDefault="001F106E" w:rsidP="001F106E">
      <w:pPr>
        <w:shd w:val="clear" w:color="auto" w:fill="FFFFFF"/>
        <w:spacing w:line="540" w:lineRule="atLeast"/>
        <w:ind w:firstLine="480"/>
        <w:rPr>
          <w:rFonts w:ascii="微软雅黑" w:eastAsia="微软雅黑" w:hAnsi="微软雅黑" w:hint="eastAsia"/>
          <w:color w:val="333333"/>
        </w:rPr>
      </w:pPr>
      <w:r>
        <w:rPr>
          <w:rFonts w:ascii="微软雅黑" w:eastAsia="微软雅黑" w:hAnsi="微软雅黑" w:hint="eastAsia"/>
          <w:color w:val="333333"/>
        </w:rPr>
        <w:t>附件：1.</w:t>
      </w:r>
      <w:hyperlink r:id="rId12" w:tgtFrame="_blank" w:history="1">
        <w:r>
          <w:rPr>
            <w:rFonts w:ascii="微软雅黑" w:eastAsia="微软雅黑" w:hAnsi="微软雅黑" w:hint="eastAsia"/>
            <w:color w:val="0000FF"/>
          </w:rPr>
          <w:t>继续执行的印花税优惠政策文件及条款目录</w:t>
        </w:r>
      </w:hyperlink>
    </w:p>
    <w:p w14:paraId="6D0015FE" w14:textId="77777777" w:rsidR="001F106E" w:rsidRDefault="001F106E" w:rsidP="001F106E">
      <w:pPr>
        <w:shd w:val="clear" w:color="auto" w:fill="FFFFFF"/>
        <w:spacing w:line="540" w:lineRule="atLeast"/>
        <w:ind w:firstLine="480"/>
        <w:rPr>
          <w:rFonts w:ascii="微软雅黑" w:eastAsia="微软雅黑" w:hAnsi="微软雅黑" w:hint="eastAsia"/>
          <w:color w:val="333333"/>
        </w:rPr>
      </w:pPr>
      <w:r>
        <w:rPr>
          <w:rFonts w:ascii="微软雅黑" w:eastAsia="微软雅黑" w:hAnsi="微软雅黑" w:hint="eastAsia"/>
          <w:color w:val="333333"/>
        </w:rPr>
        <w:t>2.</w:t>
      </w:r>
      <w:hyperlink r:id="rId13" w:tgtFrame="_blank" w:history="1">
        <w:r>
          <w:rPr>
            <w:rFonts w:ascii="微软雅黑" w:eastAsia="微软雅黑" w:hAnsi="微软雅黑" w:hint="eastAsia"/>
            <w:color w:val="0000FF"/>
          </w:rPr>
          <w:t>废止的印花税优惠政策文件及条款目录</w:t>
        </w:r>
      </w:hyperlink>
    </w:p>
    <w:p w14:paraId="37589CA6" w14:textId="77777777" w:rsidR="001F106E" w:rsidRDefault="001F106E" w:rsidP="001F106E">
      <w:pPr>
        <w:shd w:val="clear" w:color="auto" w:fill="FFFFFF"/>
        <w:spacing w:line="540" w:lineRule="atLeast"/>
        <w:ind w:firstLine="480"/>
        <w:rPr>
          <w:rFonts w:ascii="微软雅黑" w:eastAsia="微软雅黑" w:hAnsi="微软雅黑" w:hint="eastAsia"/>
          <w:color w:val="333333"/>
        </w:rPr>
      </w:pPr>
      <w:r>
        <w:rPr>
          <w:rFonts w:ascii="微软雅黑" w:eastAsia="微软雅黑" w:hAnsi="微软雅黑" w:hint="eastAsia"/>
          <w:color w:val="333333"/>
        </w:rPr>
        <w:t>3.</w:t>
      </w:r>
      <w:hyperlink r:id="rId14" w:tgtFrame="_blank" w:history="1">
        <w:r>
          <w:rPr>
            <w:rFonts w:ascii="微软雅黑" w:eastAsia="微软雅黑" w:hAnsi="微软雅黑" w:hint="eastAsia"/>
            <w:color w:val="0000FF"/>
          </w:rPr>
          <w:t>失效的印花税优惠政策文件及条款目录</w:t>
        </w:r>
      </w:hyperlink>
    </w:p>
    <w:p w14:paraId="5D7E4B05" w14:textId="77777777" w:rsidR="001F106E" w:rsidRDefault="001F106E" w:rsidP="001F106E">
      <w:pPr>
        <w:shd w:val="clear" w:color="auto" w:fill="FFFFFF"/>
        <w:spacing w:line="540" w:lineRule="atLeast"/>
        <w:ind w:firstLine="480"/>
        <w:rPr>
          <w:rFonts w:ascii="微软雅黑" w:eastAsia="微软雅黑" w:hAnsi="微软雅黑" w:hint="eastAsia"/>
          <w:color w:val="333333"/>
        </w:rPr>
      </w:pPr>
    </w:p>
    <w:p w14:paraId="5110D9EE" w14:textId="77777777" w:rsidR="001F106E" w:rsidRDefault="001F106E" w:rsidP="001F106E">
      <w:pPr>
        <w:shd w:val="clear" w:color="auto" w:fill="FFFFFF"/>
        <w:spacing w:line="540" w:lineRule="atLeast"/>
        <w:ind w:firstLine="480"/>
        <w:jc w:val="right"/>
        <w:rPr>
          <w:rFonts w:ascii="微软雅黑" w:eastAsia="微软雅黑" w:hAnsi="微软雅黑" w:hint="eastAsia"/>
          <w:color w:val="333333"/>
        </w:rPr>
      </w:pPr>
      <w:r>
        <w:rPr>
          <w:rFonts w:ascii="微软雅黑" w:eastAsia="微软雅黑" w:hAnsi="微软雅黑" w:hint="eastAsia"/>
          <w:color w:val="333333"/>
        </w:rPr>
        <w:t>财政部　税务总局</w:t>
      </w:r>
    </w:p>
    <w:p w14:paraId="0E855482" w14:textId="77777777" w:rsidR="001F106E" w:rsidRDefault="001F106E" w:rsidP="001F106E">
      <w:pPr>
        <w:shd w:val="clear" w:color="auto" w:fill="FFFFFF"/>
        <w:spacing w:line="540" w:lineRule="atLeast"/>
        <w:ind w:firstLine="480"/>
        <w:jc w:val="right"/>
        <w:rPr>
          <w:rFonts w:ascii="微软雅黑" w:eastAsia="微软雅黑" w:hAnsi="微软雅黑" w:hint="eastAsia"/>
          <w:color w:val="333333"/>
        </w:rPr>
      </w:pPr>
      <w:r>
        <w:rPr>
          <w:rFonts w:ascii="微软雅黑" w:eastAsia="微软雅黑" w:hAnsi="微软雅黑" w:hint="eastAsia"/>
          <w:color w:val="333333"/>
        </w:rPr>
        <w:t>2022年6月27日</w:t>
      </w:r>
    </w:p>
    <w:p w14:paraId="6E25D86A" w14:textId="3CEC5684" w:rsidR="001F106E" w:rsidRPr="001F106E" w:rsidRDefault="001F106E">
      <w:pPr>
        <w:widowControl/>
        <w:jc w:val="left"/>
        <w:rPr>
          <w:rFonts w:ascii="宋体" w:eastAsia="宋体" w:hAnsi="宋体" w:cs="宋体"/>
          <w:b/>
          <w:bCs/>
          <w:color w:val="00468A"/>
          <w:kern w:val="0"/>
          <w:sz w:val="27"/>
          <w:szCs w:val="27"/>
        </w:rPr>
      </w:pPr>
    </w:p>
    <w:p w14:paraId="553FEC39" w14:textId="1E74491E" w:rsidR="001F106E" w:rsidRPr="001F106E" w:rsidRDefault="001F106E" w:rsidP="001F106E">
      <w:pPr>
        <w:widowControl/>
        <w:ind w:left="120" w:right="120"/>
        <w:jc w:val="center"/>
        <w:rPr>
          <w:rFonts w:ascii="宋体" w:eastAsia="宋体" w:hAnsi="宋体" w:cs="宋体"/>
          <w:kern w:val="0"/>
          <w:sz w:val="24"/>
          <w:szCs w:val="24"/>
        </w:rPr>
      </w:pPr>
      <w:r w:rsidRPr="001F106E">
        <w:rPr>
          <w:rFonts w:ascii="宋体" w:eastAsia="宋体" w:hAnsi="宋体" w:cs="宋体"/>
          <w:b/>
          <w:bCs/>
          <w:color w:val="00468A"/>
          <w:kern w:val="0"/>
          <w:sz w:val="27"/>
          <w:szCs w:val="27"/>
        </w:rPr>
        <w:lastRenderedPageBreak/>
        <w:t>关于《国家税务总局关于实施＜中华人民共和国印花税法＞等有关事项的公告》的解读</w:t>
      </w:r>
    </w:p>
    <w:p w14:paraId="10562379" w14:textId="77777777" w:rsidR="001F106E" w:rsidRPr="001F106E" w:rsidRDefault="001F106E" w:rsidP="001F106E">
      <w:pPr>
        <w:widowControl/>
        <w:jc w:val="left"/>
        <w:rPr>
          <w:rFonts w:ascii="宋体" w:eastAsia="宋体" w:hAnsi="宋体" w:cs="宋体"/>
          <w:kern w:val="0"/>
          <w:sz w:val="24"/>
          <w:szCs w:val="24"/>
        </w:rPr>
      </w:pPr>
      <w:r w:rsidRPr="001F106E">
        <w:rPr>
          <w:rFonts w:ascii="宋体" w:eastAsia="宋体" w:hAnsi="宋体" w:cs="宋体"/>
          <w:kern w:val="0"/>
          <w:sz w:val="24"/>
          <w:szCs w:val="24"/>
        </w:rPr>
        <w:br/>
      </w:r>
    </w:p>
    <w:p w14:paraId="539B877D"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为落实《中华人民共和国印花税法》（以下简称印花税法），进一步规范印花税征收管理、加强印花税纳税服务，推进税务系统“放管服”改革，根据税务总局关于开展“我为纳税人缴费人办实事暨便民办税春风行动”有关安排，税务总局制发《国家税务总局关于实施&lt;中华人民共和国印花税法&gt;等有关事项的公告》（以下简称《公告》）。现解读如下：</w:t>
      </w:r>
    </w:p>
    <w:p w14:paraId="10A99889" w14:textId="77777777" w:rsidR="001F106E" w:rsidRPr="001F106E" w:rsidRDefault="001F106E" w:rsidP="001F106E">
      <w:pPr>
        <w:widowControl/>
        <w:ind w:left="240" w:right="240" w:firstLine="480"/>
        <w:jc w:val="left"/>
        <w:rPr>
          <w:rFonts w:ascii="宋体" w:eastAsia="宋体" w:hAnsi="宋体" w:cs="宋体"/>
          <w:kern w:val="0"/>
          <w:sz w:val="24"/>
          <w:szCs w:val="24"/>
        </w:rPr>
      </w:pPr>
    </w:p>
    <w:p w14:paraId="554D763E"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b/>
          <w:bCs/>
          <w:kern w:val="0"/>
          <w:szCs w:val="21"/>
        </w:rPr>
        <w:t>一、为什么制发《公告》？</w:t>
      </w:r>
    </w:p>
    <w:p w14:paraId="17BE0463" w14:textId="77777777" w:rsidR="001F106E" w:rsidRPr="001F106E" w:rsidRDefault="001F106E" w:rsidP="001F106E">
      <w:pPr>
        <w:widowControl/>
        <w:ind w:left="240" w:right="240" w:firstLine="480"/>
        <w:jc w:val="left"/>
        <w:rPr>
          <w:rFonts w:ascii="宋体" w:eastAsia="宋体" w:hAnsi="宋体" w:cs="宋体"/>
          <w:kern w:val="0"/>
          <w:sz w:val="24"/>
          <w:szCs w:val="24"/>
        </w:rPr>
      </w:pPr>
    </w:p>
    <w:p w14:paraId="6FBB17F6"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2021年6月10日，印花税法经十三届全国人大常委会第二十九次会议表决通过，将于2022年7月1日起施行。为保障印花税法顺利实施，规范印花税征收管理工作，优化印花税纳税服务，税务总局制发《公告》。同时，为贯彻落实中办、国办印发的《关于进一步深化税收征管改革的意见》，深化税务领域“放管服”改革，《公告》还明确优化土地增值税优惠事项办理方式，进一步减轻纳税人办税负担。</w:t>
      </w:r>
    </w:p>
    <w:p w14:paraId="77933BF0" w14:textId="77777777" w:rsidR="001F106E" w:rsidRPr="001F106E" w:rsidRDefault="001F106E" w:rsidP="001F106E">
      <w:pPr>
        <w:widowControl/>
        <w:ind w:left="240" w:right="240" w:firstLine="480"/>
        <w:jc w:val="left"/>
        <w:rPr>
          <w:rFonts w:ascii="宋体" w:eastAsia="宋体" w:hAnsi="宋体" w:cs="宋体"/>
          <w:kern w:val="0"/>
          <w:sz w:val="24"/>
          <w:szCs w:val="24"/>
        </w:rPr>
      </w:pPr>
    </w:p>
    <w:p w14:paraId="666F64E4"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b/>
          <w:bCs/>
          <w:kern w:val="0"/>
          <w:szCs w:val="21"/>
        </w:rPr>
        <w:t>二、《公告》主要内容是什么？</w:t>
      </w:r>
    </w:p>
    <w:p w14:paraId="5A7E5EA9" w14:textId="77777777" w:rsidR="001F106E" w:rsidRPr="001F106E" w:rsidRDefault="001F106E" w:rsidP="001F106E">
      <w:pPr>
        <w:widowControl/>
        <w:ind w:left="240" w:right="240" w:firstLine="480"/>
        <w:jc w:val="left"/>
        <w:rPr>
          <w:rFonts w:ascii="宋体" w:eastAsia="宋体" w:hAnsi="宋体" w:cs="宋体"/>
          <w:kern w:val="0"/>
          <w:sz w:val="24"/>
          <w:szCs w:val="24"/>
        </w:rPr>
      </w:pPr>
    </w:p>
    <w:p w14:paraId="3D025F73"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《公告》共两部分8条规定，对以下征管和纳税服务事项予以明确：</w:t>
      </w:r>
      <w:r w:rsidRPr="001F106E">
        <w:rPr>
          <w:rFonts w:ascii="宋体" w:eastAsia="宋体" w:hAnsi="宋体" w:cs="宋体"/>
          <w:b/>
          <w:bCs/>
          <w:kern w:val="0"/>
          <w:szCs w:val="21"/>
        </w:rPr>
        <w:t>一是</w:t>
      </w:r>
      <w:r w:rsidRPr="001F106E">
        <w:rPr>
          <w:rFonts w:ascii="宋体" w:eastAsia="宋体" w:hAnsi="宋体" w:cs="宋体"/>
          <w:kern w:val="0"/>
          <w:szCs w:val="21"/>
        </w:rPr>
        <w:t>明确印花税征收管理和纳税服务有关事项，包括对印花税据实申报的要求，特殊情况下申报操作的方式，纳税期限确定的原则，境外单位或者个人的代理人扣缴印花税以及其自行申报缴纳印花税的要求，享受印花税优惠政策办理方式，优化印花税纳税服务的要求；</w:t>
      </w:r>
      <w:r w:rsidRPr="001F106E">
        <w:rPr>
          <w:rFonts w:ascii="宋体" w:eastAsia="宋体" w:hAnsi="宋体" w:cs="宋体"/>
          <w:b/>
          <w:bCs/>
          <w:kern w:val="0"/>
          <w:szCs w:val="21"/>
        </w:rPr>
        <w:t>二是</w:t>
      </w:r>
      <w:r w:rsidRPr="001F106E">
        <w:rPr>
          <w:rFonts w:ascii="宋体" w:eastAsia="宋体" w:hAnsi="宋体" w:cs="宋体"/>
          <w:kern w:val="0"/>
          <w:szCs w:val="21"/>
        </w:rPr>
        <w:t>优化土地增值税优惠事项办理方式，明确土地增值税原备案类优惠事项办理程序等。</w:t>
      </w:r>
    </w:p>
    <w:p w14:paraId="1F148164" w14:textId="77777777" w:rsidR="001F106E" w:rsidRPr="001F106E" w:rsidRDefault="001F106E" w:rsidP="001F106E">
      <w:pPr>
        <w:widowControl/>
        <w:ind w:left="240" w:right="240" w:firstLine="480"/>
        <w:jc w:val="left"/>
        <w:rPr>
          <w:rFonts w:ascii="宋体" w:eastAsia="宋体" w:hAnsi="宋体" w:cs="宋体"/>
          <w:kern w:val="0"/>
          <w:sz w:val="24"/>
          <w:szCs w:val="24"/>
        </w:rPr>
      </w:pPr>
    </w:p>
    <w:p w14:paraId="70B49F29"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b/>
          <w:bCs/>
          <w:kern w:val="0"/>
          <w:szCs w:val="21"/>
        </w:rPr>
        <w:t>三、如何填写《印花税税源明细表》进行申报？</w:t>
      </w:r>
    </w:p>
    <w:p w14:paraId="5C4ACCD2" w14:textId="77777777" w:rsidR="001F106E" w:rsidRPr="001F106E" w:rsidRDefault="001F106E" w:rsidP="001F106E">
      <w:pPr>
        <w:widowControl/>
        <w:ind w:left="240" w:right="240" w:firstLine="480"/>
        <w:jc w:val="left"/>
        <w:rPr>
          <w:rFonts w:ascii="宋体" w:eastAsia="宋体" w:hAnsi="宋体" w:cs="宋体"/>
          <w:kern w:val="0"/>
          <w:sz w:val="24"/>
          <w:szCs w:val="24"/>
        </w:rPr>
      </w:pPr>
    </w:p>
    <w:p w14:paraId="3CA087E7"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纳税人应当根据书立印花税应税合同、产权转移书据和营业账簿情况，填写《印花税税源明细表》，进行财产行为</w:t>
      </w:r>
      <w:proofErr w:type="gramStart"/>
      <w:r w:rsidRPr="001F106E">
        <w:rPr>
          <w:rFonts w:ascii="宋体" w:eastAsia="宋体" w:hAnsi="宋体" w:cs="宋体"/>
          <w:kern w:val="0"/>
          <w:szCs w:val="21"/>
        </w:rPr>
        <w:t>税综合</w:t>
      </w:r>
      <w:proofErr w:type="gramEnd"/>
      <w:r w:rsidRPr="001F106E">
        <w:rPr>
          <w:rFonts w:ascii="宋体" w:eastAsia="宋体" w:hAnsi="宋体" w:cs="宋体"/>
          <w:kern w:val="0"/>
          <w:szCs w:val="21"/>
        </w:rPr>
        <w:t>申报。合同数量较多且属于同一税目的，可以合并汇总填写《印花税税源明细表》。</w:t>
      </w:r>
    </w:p>
    <w:p w14:paraId="758A8D2B" w14:textId="77777777" w:rsidR="001F106E" w:rsidRPr="001F106E" w:rsidRDefault="001F106E" w:rsidP="001F106E">
      <w:pPr>
        <w:widowControl/>
        <w:ind w:left="240" w:right="240" w:firstLine="480"/>
        <w:jc w:val="left"/>
        <w:rPr>
          <w:rFonts w:ascii="宋体" w:eastAsia="宋体" w:hAnsi="宋体" w:cs="宋体"/>
          <w:kern w:val="0"/>
          <w:sz w:val="24"/>
          <w:szCs w:val="24"/>
        </w:rPr>
      </w:pPr>
    </w:p>
    <w:p w14:paraId="5F56AC2C"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b/>
          <w:bCs/>
          <w:kern w:val="0"/>
          <w:szCs w:val="21"/>
        </w:rPr>
        <w:t>举例说明1：</w:t>
      </w:r>
      <w:r w:rsidRPr="001F106E">
        <w:rPr>
          <w:rFonts w:ascii="宋体" w:eastAsia="宋体" w:hAnsi="宋体" w:cs="宋体"/>
          <w:kern w:val="0"/>
          <w:szCs w:val="21"/>
        </w:rPr>
        <w:t>纳税人甲按季申报缴纳印花税，2022年第三季度书立买卖合同5份，合同所列价款（不包括列明的增值税税款）共计100万元，书立建筑工程合同1份，合同所列价款（不包括列明的增值税税款）共计1000万元，书立产权转移书据1份，合同所列价款（不包括列明的增值税税款）共计500万元。该纳税人应在书立应税合同、产权转移书据时，填写《印花税税源明细表》，在2022年10月纳税申报期，进行财产行为</w:t>
      </w:r>
      <w:proofErr w:type="gramStart"/>
      <w:r w:rsidRPr="001F106E">
        <w:rPr>
          <w:rFonts w:ascii="宋体" w:eastAsia="宋体" w:hAnsi="宋体" w:cs="宋体"/>
          <w:kern w:val="0"/>
          <w:szCs w:val="21"/>
        </w:rPr>
        <w:t>税综合</w:t>
      </w:r>
      <w:proofErr w:type="gramEnd"/>
      <w:r w:rsidRPr="001F106E">
        <w:rPr>
          <w:rFonts w:ascii="宋体" w:eastAsia="宋体" w:hAnsi="宋体" w:cs="宋体"/>
          <w:kern w:val="0"/>
          <w:szCs w:val="21"/>
        </w:rPr>
        <w:t>申报，具体如下：</w:t>
      </w:r>
    </w:p>
    <w:p w14:paraId="1B17F013" w14:textId="77777777" w:rsidR="001F106E" w:rsidRPr="001F106E" w:rsidRDefault="001F106E" w:rsidP="001F106E">
      <w:pPr>
        <w:widowControl/>
        <w:ind w:left="240" w:right="240" w:firstLine="480"/>
        <w:jc w:val="left"/>
        <w:rPr>
          <w:rFonts w:ascii="宋体" w:eastAsia="宋体" w:hAnsi="宋体" w:cs="宋体"/>
          <w:kern w:val="0"/>
          <w:sz w:val="24"/>
          <w:szCs w:val="24"/>
        </w:rPr>
      </w:pPr>
    </w:p>
    <w:p w14:paraId="0061C573" w14:textId="17AE8D6D" w:rsidR="001F106E" w:rsidRPr="001F106E" w:rsidRDefault="001F106E" w:rsidP="001F106E">
      <w:pPr>
        <w:widowControl/>
        <w:jc w:val="center"/>
        <w:rPr>
          <w:rFonts w:ascii="宋体" w:eastAsia="宋体" w:hAnsi="宋体" w:cs="宋体"/>
          <w:kern w:val="0"/>
          <w:sz w:val="24"/>
          <w:szCs w:val="24"/>
        </w:rPr>
      </w:pPr>
      <w:r w:rsidRPr="001F106E">
        <w:rPr>
          <w:rFonts w:ascii="宋体" w:eastAsia="宋体" w:hAnsi="宋体" w:cs="宋体"/>
          <w:noProof/>
          <w:kern w:val="0"/>
          <w:sz w:val="24"/>
          <w:szCs w:val="24"/>
        </w:rPr>
        <w:lastRenderedPageBreak/>
        <w:drawing>
          <wp:inline distT="0" distB="0" distL="0" distR="0" wp14:anchorId="046660F5" wp14:editId="65FF8C19">
            <wp:extent cx="5274310" cy="2891155"/>
            <wp:effectExtent l="0" t="0" r="2540" b="4445"/>
            <wp:docPr id="5" name="图片 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2891155"/>
                    </a:xfrm>
                    <a:prstGeom prst="rect">
                      <a:avLst/>
                    </a:prstGeom>
                    <a:noFill/>
                    <a:ln>
                      <a:noFill/>
                    </a:ln>
                  </pic:spPr>
                </pic:pic>
              </a:graphicData>
            </a:graphic>
          </wp:inline>
        </w:drawing>
      </w:r>
    </w:p>
    <w:p w14:paraId="41E07743" w14:textId="77777777" w:rsidR="001F106E" w:rsidRPr="001F106E" w:rsidRDefault="001F106E" w:rsidP="001F106E">
      <w:pPr>
        <w:widowControl/>
        <w:ind w:left="240" w:right="240" w:firstLine="480"/>
        <w:jc w:val="left"/>
        <w:rPr>
          <w:rFonts w:ascii="宋体" w:eastAsia="宋体" w:hAnsi="宋体" w:cs="宋体"/>
          <w:kern w:val="0"/>
          <w:sz w:val="24"/>
          <w:szCs w:val="24"/>
        </w:rPr>
      </w:pPr>
    </w:p>
    <w:p w14:paraId="5B4C1ECE"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纳税人甲2022年10月纳税申报期应缴纳印花税：</w:t>
      </w:r>
    </w:p>
    <w:p w14:paraId="1246A86B"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100万元×0.3‰+1000万元×0.3‰+500万元×0.5‰=5800元</w:t>
      </w:r>
    </w:p>
    <w:p w14:paraId="3BB7D3B5" w14:textId="77777777" w:rsidR="001F106E" w:rsidRPr="001F106E" w:rsidRDefault="001F106E" w:rsidP="001F106E">
      <w:pPr>
        <w:widowControl/>
        <w:ind w:left="240" w:right="240" w:firstLine="480"/>
        <w:jc w:val="left"/>
        <w:rPr>
          <w:rFonts w:ascii="宋体" w:eastAsia="宋体" w:hAnsi="宋体" w:cs="宋体"/>
          <w:kern w:val="0"/>
          <w:sz w:val="24"/>
          <w:szCs w:val="24"/>
        </w:rPr>
      </w:pPr>
    </w:p>
    <w:p w14:paraId="1641A17F"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b/>
          <w:bCs/>
          <w:kern w:val="0"/>
          <w:szCs w:val="21"/>
        </w:rPr>
        <w:t>举例说明2：</w:t>
      </w:r>
      <w:r w:rsidRPr="001F106E">
        <w:rPr>
          <w:rFonts w:ascii="宋体" w:eastAsia="宋体" w:hAnsi="宋体" w:cs="宋体"/>
          <w:kern w:val="0"/>
          <w:szCs w:val="21"/>
        </w:rPr>
        <w:t>纳税人乙按季申报缴纳印花税，2022年第三季度书</w:t>
      </w:r>
      <w:proofErr w:type="gramStart"/>
      <w:r w:rsidRPr="001F106E">
        <w:rPr>
          <w:rFonts w:ascii="宋体" w:eastAsia="宋体" w:hAnsi="宋体" w:cs="宋体"/>
          <w:kern w:val="0"/>
          <w:szCs w:val="21"/>
        </w:rPr>
        <w:t>立财产</w:t>
      </w:r>
      <w:proofErr w:type="gramEnd"/>
      <w:r w:rsidRPr="001F106E">
        <w:rPr>
          <w:rFonts w:ascii="宋体" w:eastAsia="宋体" w:hAnsi="宋体" w:cs="宋体"/>
          <w:kern w:val="0"/>
          <w:szCs w:val="21"/>
        </w:rPr>
        <w:t>保险合同100万份，合同所列保险费（不包括列明的增值税税款）共计100000万元。该纳税人应在书立应税合同时，填写《印花税税源明细表》，在2022年10月纳税申报期，进行财产行为</w:t>
      </w:r>
      <w:proofErr w:type="gramStart"/>
      <w:r w:rsidRPr="001F106E">
        <w:rPr>
          <w:rFonts w:ascii="宋体" w:eastAsia="宋体" w:hAnsi="宋体" w:cs="宋体"/>
          <w:kern w:val="0"/>
          <w:szCs w:val="21"/>
        </w:rPr>
        <w:t>税综合</w:t>
      </w:r>
      <w:proofErr w:type="gramEnd"/>
      <w:r w:rsidRPr="001F106E">
        <w:rPr>
          <w:rFonts w:ascii="宋体" w:eastAsia="宋体" w:hAnsi="宋体" w:cs="宋体"/>
          <w:kern w:val="0"/>
          <w:szCs w:val="21"/>
        </w:rPr>
        <w:t>申报，具体如下：</w:t>
      </w:r>
    </w:p>
    <w:p w14:paraId="6EDD3756" w14:textId="77777777" w:rsidR="001F106E" w:rsidRPr="001F106E" w:rsidRDefault="001F106E" w:rsidP="001F106E">
      <w:pPr>
        <w:widowControl/>
        <w:ind w:left="240" w:right="240" w:firstLine="480"/>
        <w:jc w:val="left"/>
        <w:rPr>
          <w:rFonts w:ascii="宋体" w:eastAsia="宋体" w:hAnsi="宋体" w:cs="宋体"/>
          <w:kern w:val="0"/>
          <w:sz w:val="24"/>
          <w:szCs w:val="24"/>
        </w:rPr>
      </w:pPr>
    </w:p>
    <w:p w14:paraId="37A0D2E8" w14:textId="236957B7" w:rsidR="001F106E" w:rsidRPr="001F106E" w:rsidRDefault="001F106E" w:rsidP="001F106E">
      <w:pPr>
        <w:widowControl/>
        <w:jc w:val="center"/>
        <w:rPr>
          <w:rFonts w:ascii="宋体" w:eastAsia="宋体" w:hAnsi="宋体" w:cs="宋体"/>
          <w:kern w:val="0"/>
          <w:sz w:val="24"/>
          <w:szCs w:val="24"/>
        </w:rPr>
      </w:pPr>
      <w:r w:rsidRPr="001F106E">
        <w:rPr>
          <w:rFonts w:ascii="宋体" w:eastAsia="宋体" w:hAnsi="宋体" w:cs="宋体"/>
          <w:noProof/>
          <w:kern w:val="0"/>
          <w:sz w:val="24"/>
          <w:szCs w:val="24"/>
        </w:rPr>
        <w:drawing>
          <wp:inline distT="0" distB="0" distL="0" distR="0" wp14:anchorId="66A251D2" wp14:editId="1B0ED761">
            <wp:extent cx="5274310" cy="2389505"/>
            <wp:effectExtent l="0" t="0" r="2540" b="0"/>
            <wp:docPr id="4" name="图片 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2389505"/>
                    </a:xfrm>
                    <a:prstGeom prst="rect">
                      <a:avLst/>
                    </a:prstGeom>
                    <a:noFill/>
                    <a:ln>
                      <a:noFill/>
                    </a:ln>
                  </pic:spPr>
                </pic:pic>
              </a:graphicData>
            </a:graphic>
          </wp:inline>
        </w:drawing>
      </w:r>
    </w:p>
    <w:p w14:paraId="2FC7E114" w14:textId="77777777" w:rsidR="001F106E" w:rsidRPr="001F106E" w:rsidRDefault="001F106E" w:rsidP="001F106E">
      <w:pPr>
        <w:widowControl/>
        <w:ind w:left="240" w:right="240" w:firstLine="480"/>
        <w:jc w:val="left"/>
        <w:rPr>
          <w:rFonts w:ascii="宋体" w:eastAsia="宋体" w:hAnsi="宋体" w:cs="宋体"/>
          <w:kern w:val="0"/>
          <w:sz w:val="24"/>
          <w:szCs w:val="24"/>
        </w:rPr>
      </w:pPr>
    </w:p>
    <w:p w14:paraId="22128B18"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纳税人乙2022年10月纳税申报期应缴纳印花税：</w:t>
      </w:r>
    </w:p>
    <w:p w14:paraId="3C6ECE7E"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100000万元×1‰=100万元</w:t>
      </w:r>
    </w:p>
    <w:p w14:paraId="01F48926" w14:textId="77777777" w:rsidR="001F106E" w:rsidRPr="001F106E" w:rsidRDefault="001F106E" w:rsidP="001F106E">
      <w:pPr>
        <w:widowControl/>
        <w:ind w:left="240" w:right="240" w:firstLine="480"/>
        <w:jc w:val="left"/>
        <w:rPr>
          <w:rFonts w:ascii="宋体" w:eastAsia="宋体" w:hAnsi="宋体" w:cs="宋体"/>
          <w:kern w:val="0"/>
          <w:sz w:val="24"/>
          <w:szCs w:val="24"/>
        </w:rPr>
      </w:pPr>
    </w:p>
    <w:p w14:paraId="1D3E3453"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b/>
          <w:bCs/>
          <w:kern w:val="0"/>
          <w:szCs w:val="21"/>
        </w:rPr>
        <w:t>四、应税合同、产权转移书据未列明金额，在后续实际结算时确定金额的，纳税人如何进行印花税申报？</w:t>
      </w:r>
    </w:p>
    <w:p w14:paraId="766A0C7F" w14:textId="77777777" w:rsidR="001F106E" w:rsidRPr="001F106E" w:rsidRDefault="001F106E" w:rsidP="001F106E">
      <w:pPr>
        <w:widowControl/>
        <w:ind w:left="240" w:right="240" w:firstLine="480"/>
        <w:jc w:val="left"/>
        <w:rPr>
          <w:rFonts w:ascii="宋体" w:eastAsia="宋体" w:hAnsi="宋体" w:cs="宋体"/>
          <w:kern w:val="0"/>
          <w:sz w:val="24"/>
          <w:szCs w:val="24"/>
        </w:rPr>
      </w:pPr>
    </w:p>
    <w:p w14:paraId="5D6E6BC1"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lastRenderedPageBreak/>
        <w:t>经济活动中，纳税人书立合同、产权转移书据未列明金额，需要后续实际结算时才能确定金额的情况较为常见，纳税人应于书立应税合同、产权转移书据的首个纳税申报期申报应税合同、产权转移</w:t>
      </w:r>
      <w:proofErr w:type="gramStart"/>
      <w:r w:rsidRPr="001F106E">
        <w:rPr>
          <w:rFonts w:ascii="宋体" w:eastAsia="宋体" w:hAnsi="宋体" w:cs="宋体"/>
          <w:kern w:val="0"/>
          <w:szCs w:val="21"/>
        </w:rPr>
        <w:t>书据书立</w:t>
      </w:r>
      <w:proofErr w:type="gramEnd"/>
      <w:r w:rsidRPr="001F106E">
        <w:rPr>
          <w:rFonts w:ascii="宋体" w:eastAsia="宋体" w:hAnsi="宋体" w:cs="宋体"/>
          <w:kern w:val="0"/>
          <w:szCs w:val="21"/>
        </w:rPr>
        <w:t>情况，在实际结算后下一个纳税申报期，以实际结算金额计算申报缴纳印花税。</w:t>
      </w:r>
    </w:p>
    <w:p w14:paraId="7028C29F" w14:textId="77777777" w:rsidR="001F106E" w:rsidRPr="001F106E" w:rsidRDefault="001F106E" w:rsidP="001F106E">
      <w:pPr>
        <w:widowControl/>
        <w:ind w:left="240" w:right="240" w:firstLine="480"/>
        <w:jc w:val="left"/>
        <w:rPr>
          <w:rFonts w:ascii="宋体" w:eastAsia="宋体" w:hAnsi="宋体" w:cs="宋体"/>
          <w:kern w:val="0"/>
          <w:sz w:val="24"/>
          <w:szCs w:val="24"/>
        </w:rPr>
      </w:pPr>
    </w:p>
    <w:p w14:paraId="66BF4319"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b/>
          <w:bCs/>
          <w:kern w:val="0"/>
          <w:szCs w:val="21"/>
        </w:rPr>
        <w:t>举例说明3：</w:t>
      </w:r>
      <w:r w:rsidRPr="001F106E">
        <w:rPr>
          <w:rFonts w:ascii="宋体" w:eastAsia="宋体" w:hAnsi="宋体" w:cs="宋体"/>
          <w:kern w:val="0"/>
          <w:szCs w:val="21"/>
        </w:rPr>
        <w:t>纳税人丙按季申报缴纳印花税，2022年8月25日书立钢材买卖合同1份，合同列明了买卖钢材数量，并约定在实际交付钢材时，以交付当日市场报价确定成交价据以结算，2022年10月12日按合同结算买卖钢材价款100万元，2023年3月7日按合同结算买卖钢材价款300万元。该纳税人应在书立应税合同以及实际结算时，填写《印花税税源明细表》，分别在2022年10月、2023年1月、2023年4月纳税申报期，进行财产行为</w:t>
      </w:r>
      <w:proofErr w:type="gramStart"/>
      <w:r w:rsidRPr="001F106E">
        <w:rPr>
          <w:rFonts w:ascii="宋体" w:eastAsia="宋体" w:hAnsi="宋体" w:cs="宋体"/>
          <w:kern w:val="0"/>
          <w:szCs w:val="21"/>
        </w:rPr>
        <w:t>税综合</w:t>
      </w:r>
      <w:proofErr w:type="gramEnd"/>
      <w:r w:rsidRPr="001F106E">
        <w:rPr>
          <w:rFonts w:ascii="宋体" w:eastAsia="宋体" w:hAnsi="宋体" w:cs="宋体"/>
          <w:kern w:val="0"/>
          <w:szCs w:val="21"/>
        </w:rPr>
        <w:t>申报，具体如下：</w:t>
      </w:r>
    </w:p>
    <w:p w14:paraId="527E014E" w14:textId="77777777" w:rsidR="001F106E" w:rsidRPr="001F106E" w:rsidRDefault="001F106E" w:rsidP="001F106E">
      <w:pPr>
        <w:widowControl/>
        <w:ind w:left="240" w:right="240" w:firstLine="480"/>
        <w:jc w:val="left"/>
        <w:rPr>
          <w:rFonts w:ascii="宋体" w:eastAsia="宋体" w:hAnsi="宋体" w:cs="宋体"/>
          <w:kern w:val="0"/>
          <w:sz w:val="24"/>
          <w:szCs w:val="24"/>
        </w:rPr>
      </w:pPr>
    </w:p>
    <w:p w14:paraId="4704E467" w14:textId="774A1A8D" w:rsidR="001F106E" w:rsidRPr="001F106E" w:rsidRDefault="001F106E" w:rsidP="001F106E">
      <w:pPr>
        <w:widowControl/>
        <w:jc w:val="left"/>
        <w:rPr>
          <w:rFonts w:ascii="宋体" w:eastAsia="宋体" w:hAnsi="宋体" w:cs="宋体"/>
          <w:kern w:val="0"/>
          <w:sz w:val="24"/>
          <w:szCs w:val="24"/>
        </w:rPr>
      </w:pPr>
      <w:r w:rsidRPr="001F106E">
        <w:rPr>
          <w:rFonts w:ascii="宋体" w:eastAsia="宋体" w:hAnsi="宋体" w:cs="宋体"/>
          <w:noProof/>
          <w:kern w:val="0"/>
          <w:sz w:val="24"/>
          <w:szCs w:val="24"/>
        </w:rPr>
        <w:drawing>
          <wp:inline distT="0" distB="0" distL="0" distR="0" wp14:anchorId="7C29D5AE" wp14:editId="2D823578">
            <wp:extent cx="5274310" cy="2233295"/>
            <wp:effectExtent l="0" t="0" r="2540" b="0"/>
            <wp:docPr id="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2233295"/>
                    </a:xfrm>
                    <a:prstGeom prst="rect">
                      <a:avLst/>
                    </a:prstGeom>
                    <a:noFill/>
                    <a:ln>
                      <a:noFill/>
                    </a:ln>
                  </pic:spPr>
                </pic:pic>
              </a:graphicData>
            </a:graphic>
          </wp:inline>
        </w:drawing>
      </w:r>
    </w:p>
    <w:p w14:paraId="21BB1FCF" w14:textId="3D960EC4" w:rsidR="001F106E" w:rsidRPr="001F106E" w:rsidRDefault="001F106E" w:rsidP="001F106E">
      <w:pPr>
        <w:widowControl/>
        <w:jc w:val="left"/>
        <w:rPr>
          <w:rFonts w:ascii="宋体" w:eastAsia="宋体" w:hAnsi="宋体" w:cs="宋体"/>
          <w:kern w:val="0"/>
          <w:sz w:val="24"/>
          <w:szCs w:val="24"/>
        </w:rPr>
      </w:pPr>
      <w:r w:rsidRPr="001F106E">
        <w:rPr>
          <w:rFonts w:ascii="宋体" w:eastAsia="宋体" w:hAnsi="宋体" w:cs="宋体"/>
          <w:noProof/>
          <w:kern w:val="0"/>
          <w:sz w:val="24"/>
          <w:szCs w:val="24"/>
        </w:rPr>
        <w:drawing>
          <wp:inline distT="0" distB="0" distL="0" distR="0" wp14:anchorId="6BF75FBB" wp14:editId="28AE30E2">
            <wp:extent cx="5274310" cy="2295525"/>
            <wp:effectExtent l="0" t="0" r="2540" b="9525"/>
            <wp:docPr id="2"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片"/>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2295525"/>
                    </a:xfrm>
                    <a:prstGeom prst="rect">
                      <a:avLst/>
                    </a:prstGeom>
                    <a:noFill/>
                    <a:ln>
                      <a:noFill/>
                    </a:ln>
                  </pic:spPr>
                </pic:pic>
              </a:graphicData>
            </a:graphic>
          </wp:inline>
        </w:drawing>
      </w:r>
    </w:p>
    <w:p w14:paraId="22BFFA41" w14:textId="5F85AF8C" w:rsidR="001F106E" w:rsidRPr="001F106E" w:rsidRDefault="001F106E" w:rsidP="001F106E">
      <w:pPr>
        <w:widowControl/>
        <w:jc w:val="left"/>
        <w:rPr>
          <w:rFonts w:ascii="宋体" w:eastAsia="宋体" w:hAnsi="宋体" w:cs="宋体"/>
          <w:kern w:val="0"/>
          <w:sz w:val="24"/>
          <w:szCs w:val="24"/>
        </w:rPr>
      </w:pPr>
      <w:r w:rsidRPr="001F106E">
        <w:rPr>
          <w:rFonts w:ascii="宋体" w:eastAsia="宋体" w:hAnsi="宋体" w:cs="宋体"/>
          <w:noProof/>
          <w:kern w:val="0"/>
          <w:sz w:val="24"/>
          <w:szCs w:val="24"/>
        </w:rPr>
        <w:lastRenderedPageBreak/>
        <w:drawing>
          <wp:inline distT="0" distB="0" distL="0" distR="0" wp14:anchorId="0C207BF4" wp14:editId="7B073B95">
            <wp:extent cx="5274310" cy="2392680"/>
            <wp:effectExtent l="0" t="0" r="2540" b="7620"/>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片"/>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2392680"/>
                    </a:xfrm>
                    <a:prstGeom prst="rect">
                      <a:avLst/>
                    </a:prstGeom>
                    <a:noFill/>
                    <a:ln>
                      <a:noFill/>
                    </a:ln>
                  </pic:spPr>
                </pic:pic>
              </a:graphicData>
            </a:graphic>
          </wp:inline>
        </w:drawing>
      </w:r>
    </w:p>
    <w:p w14:paraId="39F04FFA" w14:textId="77777777" w:rsidR="001F106E" w:rsidRPr="001F106E" w:rsidRDefault="001F106E" w:rsidP="001F106E">
      <w:pPr>
        <w:widowControl/>
        <w:ind w:left="240" w:right="240" w:firstLine="480"/>
        <w:jc w:val="left"/>
        <w:rPr>
          <w:rFonts w:ascii="宋体" w:eastAsia="宋体" w:hAnsi="宋体" w:cs="宋体"/>
          <w:kern w:val="0"/>
          <w:sz w:val="24"/>
          <w:szCs w:val="24"/>
        </w:rPr>
      </w:pPr>
    </w:p>
    <w:p w14:paraId="533904C8"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纳税人丙2022年10月纳税申报期应缴纳印花税：</w:t>
      </w:r>
    </w:p>
    <w:p w14:paraId="4D795A20"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0元×0.3‰=0元</w:t>
      </w:r>
    </w:p>
    <w:p w14:paraId="438365ED"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br/>
      </w:r>
    </w:p>
    <w:p w14:paraId="22EA08F2"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纳税人丙2023年1月纳税申报期应缴纳印花税：</w:t>
      </w:r>
    </w:p>
    <w:p w14:paraId="0765E936"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1000000元×0.3‰=300元</w:t>
      </w:r>
    </w:p>
    <w:p w14:paraId="6BB0600E"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br/>
      </w:r>
    </w:p>
    <w:p w14:paraId="6861F610"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纳税人丙2023年4月纳税申报期应缴纳印花税：</w:t>
      </w:r>
    </w:p>
    <w:p w14:paraId="1129C31E"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3000000元×0.3‰=900元</w:t>
      </w:r>
    </w:p>
    <w:p w14:paraId="0A2F20AE" w14:textId="77777777" w:rsidR="001F106E" w:rsidRPr="001F106E" w:rsidRDefault="001F106E" w:rsidP="001F106E">
      <w:pPr>
        <w:widowControl/>
        <w:ind w:left="240" w:right="240" w:firstLine="480"/>
        <w:jc w:val="left"/>
        <w:rPr>
          <w:rFonts w:ascii="宋体" w:eastAsia="宋体" w:hAnsi="宋体" w:cs="宋体"/>
          <w:kern w:val="0"/>
          <w:sz w:val="24"/>
          <w:szCs w:val="24"/>
        </w:rPr>
      </w:pPr>
    </w:p>
    <w:p w14:paraId="4D057153"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b/>
          <w:bCs/>
          <w:kern w:val="0"/>
          <w:szCs w:val="21"/>
        </w:rPr>
        <w:t>五、印花税具体的纳税期限是怎么规定的？</w:t>
      </w:r>
    </w:p>
    <w:p w14:paraId="64D96D3E" w14:textId="77777777" w:rsidR="001F106E" w:rsidRPr="001F106E" w:rsidRDefault="001F106E" w:rsidP="001F106E">
      <w:pPr>
        <w:widowControl/>
        <w:ind w:left="240" w:right="240" w:firstLine="480"/>
        <w:jc w:val="left"/>
        <w:rPr>
          <w:rFonts w:ascii="宋体" w:eastAsia="宋体" w:hAnsi="宋体" w:cs="宋体"/>
          <w:kern w:val="0"/>
          <w:sz w:val="24"/>
          <w:szCs w:val="24"/>
        </w:rPr>
      </w:pPr>
    </w:p>
    <w:p w14:paraId="0440D98A"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印花税按季、按年或者按次计征。应税合同、产权转移书据印花税可以按季或者按次申报缴纳，应税营业账簿印花税可以按年或者按次申报缴纳，具体纳税期限由各省、自治区、直辖市、计划单列市税务局结合征管实际确定。</w:t>
      </w:r>
    </w:p>
    <w:p w14:paraId="46E639D5" w14:textId="77777777" w:rsidR="001F106E" w:rsidRPr="001F106E" w:rsidRDefault="001F106E" w:rsidP="001F106E">
      <w:pPr>
        <w:widowControl/>
        <w:ind w:left="240" w:right="240" w:firstLine="480"/>
        <w:jc w:val="left"/>
        <w:rPr>
          <w:rFonts w:ascii="宋体" w:eastAsia="宋体" w:hAnsi="宋体" w:cs="宋体"/>
          <w:kern w:val="0"/>
          <w:sz w:val="24"/>
          <w:szCs w:val="24"/>
        </w:rPr>
      </w:pPr>
    </w:p>
    <w:p w14:paraId="09456AC9"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考虑便利境外单位和个人缴纳印花税，境外单位或者个人的应税凭证印花税可以按季、按年或者按次申报缴纳，具体纳税期限由各省、自治区、直辖市、计划单列市税务局结合征管实际确定。</w:t>
      </w:r>
    </w:p>
    <w:p w14:paraId="471E62A8" w14:textId="77777777" w:rsidR="001F106E" w:rsidRPr="001F106E" w:rsidRDefault="001F106E" w:rsidP="001F106E">
      <w:pPr>
        <w:widowControl/>
        <w:ind w:left="240" w:right="240" w:firstLine="480"/>
        <w:jc w:val="left"/>
        <w:rPr>
          <w:rFonts w:ascii="宋体" w:eastAsia="宋体" w:hAnsi="宋体" w:cs="宋体"/>
          <w:kern w:val="0"/>
          <w:sz w:val="24"/>
          <w:szCs w:val="24"/>
        </w:rPr>
      </w:pPr>
    </w:p>
    <w:p w14:paraId="73BBA55D"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b/>
          <w:bCs/>
          <w:kern w:val="0"/>
          <w:szCs w:val="21"/>
        </w:rPr>
        <w:t>六、境外单位或者个人如何缴纳印花税？</w:t>
      </w:r>
    </w:p>
    <w:p w14:paraId="00C3D4EE" w14:textId="77777777" w:rsidR="001F106E" w:rsidRPr="001F106E" w:rsidRDefault="001F106E" w:rsidP="001F106E">
      <w:pPr>
        <w:widowControl/>
        <w:ind w:left="240" w:right="240" w:firstLine="480"/>
        <w:jc w:val="left"/>
        <w:rPr>
          <w:rFonts w:ascii="宋体" w:eastAsia="宋体" w:hAnsi="宋体" w:cs="宋体"/>
          <w:kern w:val="0"/>
          <w:sz w:val="24"/>
          <w:szCs w:val="24"/>
        </w:rPr>
      </w:pPr>
    </w:p>
    <w:p w14:paraId="73CC508D"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纳税人为境外单位或者个人的，在境内有代理人的，以其境内代理人为扣缴义务人。境外单位或者个人的境内代理人应当按规定扣缴印花税并向主管税务机关报告扣缴情况。</w:t>
      </w:r>
    </w:p>
    <w:p w14:paraId="003B23DE" w14:textId="77777777" w:rsidR="001F106E" w:rsidRPr="001F106E" w:rsidRDefault="001F106E" w:rsidP="001F106E">
      <w:pPr>
        <w:widowControl/>
        <w:ind w:left="240" w:right="240" w:firstLine="480"/>
        <w:jc w:val="left"/>
        <w:rPr>
          <w:rFonts w:ascii="宋体" w:eastAsia="宋体" w:hAnsi="宋体" w:cs="宋体"/>
          <w:kern w:val="0"/>
          <w:sz w:val="24"/>
          <w:szCs w:val="24"/>
        </w:rPr>
      </w:pPr>
    </w:p>
    <w:p w14:paraId="77DBB737"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纳税人为境外单位或者个人，在境内没有代理人的，纳税人应当自行申报缴纳印花税。为便利纳税人，根据应税凭证标的物不同，境外单位或者个人可以向资产交付地、境内服务提供方或者接受方所在地（居住地）、书立应税凭证境内书立人所在</w:t>
      </w:r>
      <w:r w:rsidRPr="001F106E">
        <w:rPr>
          <w:rFonts w:ascii="宋体" w:eastAsia="宋体" w:hAnsi="宋体" w:cs="宋体"/>
          <w:kern w:val="0"/>
          <w:szCs w:val="21"/>
        </w:rPr>
        <w:lastRenderedPageBreak/>
        <w:t>地（居住地）主管税务机关申报缴纳；涉及不动产产权转移的，应当向不动产所在地主管税务机关申报缴纳。</w:t>
      </w:r>
    </w:p>
    <w:p w14:paraId="4310A255" w14:textId="77777777" w:rsidR="001F106E" w:rsidRPr="001F106E" w:rsidRDefault="001F106E" w:rsidP="001F106E">
      <w:pPr>
        <w:widowControl/>
        <w:ind w:left="240" w:right="240" w:firstLine="480"/>
        <w:jc w:val="left"/>
        <w:rPr>
          <w:rFonts w:ascii="宋体" w:eastAsia="宋体" w:hAnsi="宋体" w:cs="宋体"/>
          <w:kern w:val="0"/>
          <w:sz w:val="24"/>
          <w:szCs w:val="24"/>
        </w:rPr>
      </w:pPr>
    </w:p>
    <w:p w14:paraId="70306793"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b/>
          <w:bCs/>
          <w:kern w:val="0"/>
          <w:szCs w:val="21"/>
        </w:rPr>
        <w:t>七、纳税人享受印花税优惠，如何办理？</w:t>
      </w:r>
    </w:p>
    <w:p w14:paraId="0C02644C" w14:textId="77777777" w:rsidR="001F106E" w:rsidRPr="001F106E" w:rsidRDefault="001F106E" w:rsidP="001F106E">
      <w:pPr>
        <w:widowControl/>
        <w:ind w:left="240" w:right="240" w:firstLine="480"/>
        <w:jc w:val="left"/>
        <w:rPr>
          <w:rFonts w:ascii="宋体" w:eastAsia="宋体" w:hAnsi="宋体" w:cs="宋体"/>
          <w:kern w:val="0"/>
          <w:sz w:val="24"/>
          <w:szCs w:val="24"/>
        </w:rPr>
      </w:pPr>
    </w:p>
    <w:p w14:paraId="52CE6EAE"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纳税人享受印花税优惠办理方式，与现行规定一致，实行“自行判别、申报享受、有关资料留存备查”，保障纳税人及时享受印花税政策红利。同时，《公告》明确纳税人应当对印花税优惠事项留存备查资料的真实性、完整性和合法性承担法律责任。</w:t>
      </w:r>
    </w:p>
    <w:p w14:paraId="5478F675" w14:textId="77777777" w:rsidR="001F106E" w:rsidRPr="001F106E" w:rsidRDefault="001F106E" w:rsidP="001F106E">
      <w:pPr>
        <w:widowControl/>
        <w:ind w:left="240" w:right="240" w:firstLine="480"/>
        <w:jc w:val="left"/>
        <w:rPr>
          <w:rFonts w:ascii="宋体" w:eastAsia="宋体" w:hAnsi="宋体" w:cs="宋体"/>
          <w:kern w:val="0"/>
          <w:sz w:val="24"/>
          <w:szCs w:val="24"/>
        </w:rPr>
      </w:pPr>
    </w:p>
    <w:p w14:paraId="3F93B9E6"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b/>
          <w:bCs/>
          <w:kern w:val="0"/>
          <w:szCs w:val="21"/>
        </w:rPr>
        <w:t>八、《公告》对优化土地增值税优惠事项办理方式</w:t>
      </w:r>
      <w:proofErr w:type="gramStart"/>
      <w:r w:rsidRPr="001F106E">
        <w:rPr>
          <w:rFonts w:ascii="宋体" w:eastAsia="宋体" w:hAnsi="宋体" w:cs="宋体"/>
          <w:b/>
          <w:bCs/>
          <w:kern w:val="0"/>
          <w:szCs w:val="21"/>
        </w:rPr>
        <w:t>作出</w:t>
      </w:r>
      <w:proofErr w:type="gramEnd"/>
      <w:r w:rsidRPr="001F106E">
        <w:rPr>
          <w:rFonts w:ascii="宋体" w:eastAsia="宋体" w:hAnsi="宋体" w:cs="宋体"/>
          <w:b/>
          <w:bCs/>
          <w:kern w:val="0"/>
          <w:szCs w:val="21"/>
        </w:rPr>
        <w:t>了怎样的新的规定？</w:t>
      </w:r>
    </w:p>
    <w:p w14:paraId="214F8CC4" w14:textId="77777777" w:rsidR="001F106E" w:rsidRPr="001F106E" w:rsidRDefault="001F106E" w:rsidP="001F106E">
      <w:pPr>
        <w:widowControl/>
        <w:ind w:left="240" w:right="240" w:firstLine="480"/>
        <w:jc w:val="left"/>
        <w:rPr>
          <w:rFonts w:ascii="宋体" w:eastAsia="宋体" w:hAnsi="宋体" w:cs="宋体"/>
          <w:kern w:val="0"/>
          <w:sz w:val="24"/>
          <w:szCs w:val="24"/>
        </w:rPr>
      </w:pPr>
    </w:p>
    <w:p w14:paraId="03D7F760"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公告》实施后，土地增值税优惠事项办理流程进一步优化，备案类优惠事项改为实行纳税人“自行判别、申报享受、有关资料留存备查”。纳税人办理原备案类优惠事项时，此前需要提供的不动产权属资料复印件、房地产转让合同（协议）复印件、扣除项目金额相关材料（如评估报告、发票）等有关资料，改为留存备查，纳税人只需填报申报</w:t>
      </w:r>
      <w:proofErr w:type="gramStart"/>
      <w:r w:rsidRPr="001F106E">
        <w:rPr>
          <w:rFonts w:ascii="宋体" w:eastAsia="宋体" w:hAnsi="宋体" w:cs="宋体"/>
          <w:kern w:val="0"/>
          <w:szCs w:val="21"/>
        </w:rPr>
        <w:t>表相应</w:t>
      </w:r>
      <w:proofErr w:type="gramEnd"/>
      <w:r w:rsidRPr="001F106E">
        <w:rPr>
          <w:rFonts w:ascii="宋体" w:eastAsia="宋体" w:hAnsi="宋体" w:cs="宋体"/>
          <w:kern w:val="0"/>
          <w:szCs w:val="21"/>
        </w:rPr>
        <w:t>减免税栏次即可享受相关优惠。</w:t>
      </w:r>
    </w:p>
    <w:p w14:paraId="0F39CBE2" w14:textId="77777777" w:rsidR="001F106E" w:rsidRPr="001F106E" w:rsidRDefault="001F106E" w:rsidP="001F106E">
      <w:pPr>
        <w:widowControl/>
        <w:ind w:left="240" w:right="240" w:firstLine="480"/>
        <w:jc w:val="left"/>
        <w:rPr>
          <w:rFonts w:ascii="宋体" w:eastAsia="宋体" w:hAnsi="宋体" w:cs="宋体"/>
          <w:kern w:val="0"/>
          <w:sz w:val="24"/>
          <w:szCs w:val="24"/>
        </w:rPr>
      </w:pPr>
    </w:p>
    <w:p w14:paraId="374F64CF"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同时，《公告》明确纳税人要对留存备查资料的真实性、完整性和合法性承担法律责任。</w:t>
      </w:r>
    </w:p>
    <w:p w14:paraId="7BDB2C84" w14:textId="77777777" w:rsidR="001F106E" w:rsidRPr="001F106E" w:rsidRDefault="001F106E" w:rsidP="001F106E">
      <w:pPr>
        <w:widowControl/>
        <w:ind w:left="240" w:right="240" w:firstLine="480"/>
        <w:jc w:val="left"/>
        <w:rPr>
          <w:rFonts w:ascii="宋体" w:eastAsia="宋体" w:hAnsi="宋体" w:cs="宋体"/>
          <w:kern w:val="0"/>
          <w:sz w:val="24"/>
          <w:szCs w:val="24"/>
        </w:rPr>
      </w:pPr>
    </w:p>
    <w:p w14:paraId="2247C38F"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b/>
          <w:bCs/>
          <w:kern w:val="0"/>
          <w:szCs w:val="21"/>
        </w:rPr>
        <w:t>九、《公告》从何时起施行？</w:t>
      </w:r>
    </w:p>
    <w:p w14:paraId="36260550" w14:textId="77777777" w:rsidR="001F106E" w:rsidRPr="001F106E" w:rsidRDefault="001F106E" w:rsidP="001F106E">
      <w:pPr>
        <w:widowControl/>
        <w:ind w:left="240" w:right="240" w:firstLine="480"/>
        <w:jc w:val="left"/>
        <w:rPr>
          <w:rFonts w:ascii="宋体" w:eastAsia="宋体" w:hAnsi="宋体" w:cs="宋体"/>
          <w:kern w:val="0"/>
          <w:sz w:val="24"/>
          <w:szCs w:val="24"/>
        </w:rPr>
      </w:pPr>
    </w:p>
    <w:p w14:paraId="6BA6A906" w14:textId="77777777" w:rsidR="001F106E" w:rsidRPr="001F106E" w:rsidRDefault="001F106E" w:rsidP="001F106E">
      <w:pPr>
        <w:widowControl/>
        <w:ind w:left="240" w:right="240" w:firstLine="480"/>
        <w:jc w:val="left"/>
        <w:rPr>
          <w:rFonts w:ascii="宋体" w:eastAsia="宋体" w:hAnsi="宋体" w:cs="宋体"/>
          <w:kern w:val="0"/>
          <w:sz w:val="24"/>
          <w:szCs w:val="24"/>
        </w:rPr>
      </w:pPr>
      <w:r w:rsidRPr="001F106E">
        <w:rPr>
          <w:rFonts w:ascii="宋体" w:eastAsia="宋体" w:hAnsi="宋体" w:cs="宋体"/>
          <w:kern w:val="0"/>
          <w:szCs w:val="21"/>
        </w:rPr>
        <w:t>《公告》自2022年7月1日起施行。</w:t>
      </w:r>
    </w:p>
    <w:p w14:paraId="6E7627BA" w14:textId="77777777" w:rsidR="00CD0A30" w:rsidRPr="001F106E" w:rsidRDefault="00CD0A30"/>
    <w:sectPr w:rsidR="00CD0A30" w:rsidRPr="001F10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6E"/>
    <w:rsid w:val="001F106E"/>
    <w:rsid w:val="00CD0A30"/>
    <w:rsid w:val="00EE0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7185"/>
  <w15:chartTrackingRefBased/>
  <w15:docId w15:val="{B5E07EBA-FD80-499D-9F2A-E62F966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106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F106E"/>
    <w:rPr>
      <w:b/>
      <w:bCs/>
    </w:rPr>
  </w:style>
  <w:style w:type="character" w:styleId="a5">
    <w:name w:val="Hyperlink"/>
    <w:basedOn w:val="a0"/>
    <w:uiPriority w:val="99"/>
    <w:semiHidden/>
    <w:unhideWhenUsed/>
    <w:rsid w:val="001F106E"/>
    <w:rPr>
      <w:color w:val="0000FF"/>
      <w:u w:val="single"/>
    </w:rPr>
  </w:style>
  <w:style w:type="character" w:customStyle="1" w:styleId="hao11">
    <w:name w:val="hao11"/>
    <w:basedOn w:val="a0"/>
    <w:rsid w:val="001F106E"/>
    <w:rPr>
      <w:color w:val="DF0000"/>
      <w:sz w:val="24"/>
      <w:szCs w:val="24"/>
    </w:rPr>
  </w:style>
  <w:style w:type="character" w:customStyle="1" w:styleId="dhgao2">
    <w:name w:val="dhgao2"/>
    <w:basedOn w:val="a0"/>
    <w:rsid w:val="001F106E"/>
  </w:style>
  <w:style w:type="character" w:customStyle="1" w:styleId="yxq-tip">
    <w:name w:val="yxq-tip"/>
    <w:basedOn w:val="a0"/>
    <w:rsid w:val="001F106E"/>
  </w:style>
  <w:style w:type="character" w:customStyle="1" w:styleId="laiyuan3">
    <w:name w:val="laiyuan3"/>
    <w:basedOn w:val="a0"/>
    <w:rsid w:val="001F1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8532">
      <w:bodyDiv w:val="1"/>
      <w:marLeft w:val="0"/>
      <w:marRight w:val="0"/>
      <w:marTop w:val="0"/>
      <w:marBottom w:val="0"/>
      <w:divBdr>
        <w:top w:val="none" w:sz="0" w:space="0" w:color="auto"/>
        <w:left w:val="none" w:sz="0" w:space="0" w:color="auto"/>
        <w:bottom w:val="none" w:sz="0" w:space="0" w:color="auto"/>
        <w:right w:val="none" w:sz="0" w:space="0" w:color="auto"/>
      </w:divBdr>
    </w:div>
    <w:div w:id="856307800">
      <w:bodyDiv w:val="1"/>
      <w:marLeft w:val="0"/>
      <w:marRight w:val="0"/>
      <w:marTop w:val="0"/>
      <w:marBottom w:val="0"/>
      <w:divBdr>
        <w:top w:val="none" w:sz="0" w:space="0" w:color="auto"/>
        <w:left w:val="none" w:sz="0" w:space="0" w:color="auto"/>
        <w:bottom w:val="none" w:sz="0" w:space="0" w:color="auto"/>
        <w:right w:val="none" w:sz="0" w:space="0" w:color="auto"/>
      </w:divBdr>
    </w:div>
    <w:div w:id="1466045126">
      <w:bodyDiv w:val="1"/>
      <w:marLeft w:val="0"/>
      <w:marRight w:val="0"/>
      <w:marTop w:val="0"/>
      <w:marBottom w:val="0"/>
      <w:divBdr>
        <w:top w:val="none" w:sz="0" w:space="0" w:color="auto"/>
        <w:left w:val="none" w:sz="0" w:space="0" w:color="auto"/>
        <w:bottom w:val="none" w:sz="0" w:space="0" w:color="auto"/>
        <w:right w:val="none" w:sz="0" w:space="0" w:color="auto"/>
      </w:divBdr>
      <w:divsChild>
        <w:div w:id="466320064">
          <w:marLeft w:val="0"/>
          <w:marRight w:val="0"/>
          <w:marTop w:val="100"/>
          <w:marBottom w:val="100"/>
          <w:divBdr>
            <w:top w:val="none" w:sz="0" w:space="0" w:color="auto"/>
            <w:left w:val="none" w:sz="0" w:space="0" w:color="auto"/>
            <w:bottom w:val="none" w:sz="0" w:space="0" w:color="auto"/>
            <w:right w:val="none" w:sz="0" w:space="0" w:color="auto"/>
          </w:divBdr>
          <w:divsChild>
            <w:div w:id="1348555035">
              <w:marLeft w:val="0"/>
              <w:marRight w:val="0"/>
              <w:marTop w:val="0"/>
              <w:marBottom w:val="0"/>
              <w:divBdr>
                <w:top w:val="single" w:sz="6" w:space="0" w:color="DEDCD8"/>
                <w:left w:val="single" w:sz="6" w:space="0" w:color="DEDCD8"/>
                <w:bottom w:val="single" w:sz="6" w:space="0" w:color="DEDCD8"/>
                <w:right w:val="single" w:sz="6" w:space="0" w:color="DEDCD8"/>
              </w:divBdr>
              <w:divsChild>
                <w:div w:id="792676263">
                  <w:marLeft w:val="0"/>
                  <w:marRight w:val="0"/>
                  <w:marTop w:val="0"/>
                  <w:marBottom w:val="0"/>
                  <w:divBdr>
                    <w:top w:val="none" w:sz="0" w:space="0" w:color="auto"/>
                    <w:left w:val="none" w:sz="0" w:space="0" w:color="auto"/>
                    <w:bottom w:val="none" w:sz="0" w:space="0" w:color="auto"/>
                    <w:right w:val="none" w:sz="0" w:space="0" w:color="auto"/>
                  </w:divBdr>
                </w:div>
                <w:div w:id="2147119966">
                  <w:marLeft w:val="0"/>
                  <w:marRight w:val="0"/>
                  <w:marTop w:val="0"/>
                  <w:marBottom w:val="0"/>
                  <w:divBdr>
                    <w:top w:val="none" w:sz="0" w:space="0" w:color="auto"/>
                    <w:left w:val="none" w:sz="0" w:space="0" w:color="auto"/>
                    <w:bottom w:val="none" w:sz="0" w:space="0" w:color="auto"/>
                    <w:right w:val="none" w:sz="0" w:space="0" w:color="auto"/>
                  </w:divBdr>
                  <w:divsChild>
                    <w:div w:id="2012953184">
                      <w:marLeft w:val="75"/>
                      <w:marRight w:val="0"/>
                      <w:marTop w:val="0"/>
                      <w:marBottom w:val="0"/>
                      <w:divBdr>
                        <w:top w:val="none" w:sz="0" w:space="0" w:color="auto"/>
                        <w:left w:val="none" w:sz="0" w:space="0" w:color="auto"/>
                        <w:bottom w:val="none" w:sz="0" w:space="0" w:color="auto"/>
                        <w:right w:val="none" w:sz="0" w:space="0" w:color="auto"/>
                      </w:divBdr>
                      <w:divsChild>
                        <w:div w:id="1509438781">
                          <w:marLeft w:val="0"/>
                          <w:marRight w:val="0"/>
                          <w:marTop w:val="0"/>
                          <w:marBottom w:val="0"/>
                          <w:divBdr>
                            <w:top w:val="none" w:sz="0" w:space="0" w:color="auto"/>
                            <w:left w:val="none" w:sz="0" w:space="0" w:color="auto"/>
                            <w:bottom w:val="none" w:sz="0" w:space="0" w:color="auto"/>
                            <w:right w:val="none" w:sz="0" w:space="0" w:color="auto"/>
                          </w:divBdr>
                          <w:divsChild>
                            <w:div w:id="169025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13526">
                  <w:marLeft w:val="150"/>
                  <w:marRight w:val="0"/>
                  <w:marTop w:val="0"/>
                  <w:marBottom w:val="0"/>
                  <w:divBdr>
                    <w:top w:val="none" w:sz="0" w:space="0" w:color="auto"/>
                    <w:left w:val="none" w:sz="0" w:space="0" w:color="auto"/>
                    <w:bottom w:val="none" w:sz="0" w:space="0" w:color="auto"/>
                    <w:right w:val="none" w:sz="0" w:space="0" w:color="auto"/>
                  </w:divBdr>
                </w:div>
                <w:div w:id="467095010">
                  <w:marLeft w:val="0"/>
                  <w:marRight w:val="0"/>
                  <w:marTop w:val="0"/>
                  <w:marBottom w:val="0"/>
                  <w:divBdr>
                    <w:top w:val="none" w:sz="0" w:space="0" w:color="auto"/>
                    <w:left w:val="none" w:sz="0" w:space="0" w:color="auto"/>
                    <w:bottom w:val="none" w:sz="0" w:space="0" w:color="auto"/>
                    <w:right w:val="none" w:sz="0" w:space="0" w:color="auto"/>
                  </w:divBdr>
                </w:div>
                <w:div w:id="2120290891">
                  <w:marLeft w:val="0"/>
                  <w:marRight w:val="0"/>
                  <w:marTop w:val="0"/>
                  <w:marBottom w:val="300"/>
                  <w:divBdr>
                    <w:top w:val="single" w:sz="6" w:space="8" w:color="666666"/>
                    <w:left w:val="single" w:sz="6" w:space="11" w:color="666666"/>
                    <w:bottom w:val="single" w:sz="6" w:space="10" w:color="666666"/>
                    <w:right w:val="single" w:sz="6" w:space="11" w:color="66666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13" Type="http://schemas.openxmlformats.org/officeDocument/2006/relationships/hyperlink" Target="http://www.chinatax.gov.cn/chinatax/n367/c5176915/5176915/files/&#24223;&#27490;&#30340;&#21360;&#33457;&#31246;&#20248;&#24800;&#25919;&#31574;&#25991;&#20214;&#21450;&#26465;&#27454;&#30446;&#24405;.pdf" TargetMode="External"/><Relationship Id="rId18"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javascript:;" TargetMode="External"/><Relationship Id="rId12" Type="http://schemas.openxmlformats.org/officeDocument/2006/relationships/hyperlink" Target="http://www.chinatax.gov.cn/chinatax/n367/c5176915/5176915/files/&#32487;&#32493;&#25191;&#34892;&#30340;&#21360;&#33457;&#31246;&#20248;&#24800;&#25919;&#31574;&#25991;&#20214;&#21450;&#26465;&#27454;&#30446;&#24405;.pdf"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javascript:fontZoom(12)" TargetMode="External"/><Relationship Id="rId5" Type="http://schemas.openxmlformats.org/officeDocument/2006/relationships/hyperlink" Target="https://mp.weixin.qq.com/s?__biz=MzU1NDkyMTE1Nw==&amp;mid=2247496183&amp;idx=2&amp;sn=71dc252e11108ca88701bfbc7d1bfd3e&amp;chksm=fbde8c5dcca9054b5ee8b52ca82bb08b8b575b77efe0a9b9c7b4366ec7cd6206c6922e8c36e2&amp;scene=126&amp;sessionid=1656986409&amp;key=d3ce86b542790d2fbd73eba890f95b700474e1b4617a2ef9d2e211a68d1f9d2e2a510e8dab721f732d9549eb8f46075f97d1c218de8810cd6a5dd1c73eb5179b235e4efefbd376dfc8d8d02d07baf2277a11528c6c83468cd44027ff73a7f6156d0160cd0d12269508bec8c3fed8422b53ea96944fddeaa9749732a55423c415&amp;ascene=15&amp;uin=MTIwNTQyNzYzNA%3D%3D&amp;devicetype=Windows+10+x64&amp;version=6307001d&amp;lang=zh_CN&amp;session_us=gh_aaed4f3d0ecb&amp;exportkey=Aaikwd1qT3SXiH3VfZ6b0tc%3D&amp;acctmode=0&amp;pass_ticket=1kYGvd09SuTE387dwO%2B6FvsQcWvxLLCMM4MvmXX57w05Xj9ogHfWj1nDPRfIW6qL&amp;wx_header=0&amp;fontgear=2" TargetMode="External"/><Relationship Id="rId15" Type="http://schemas.openxmlformats.org/officeDocument/2006/relationships/image" Target="media/image1.jpeg"/><Relationship Id="rId10" Type="http://schemas.openxmlformats.org/officeDocument/2006/relationships/hyperlink" Target="javascript:fontZoom(14)" TargetMode="External"/><Relationship Id="rId19" Type="http://schemas.openxmlformats.org/officeDocument/2006/relationships/image" Target="media/image5.jpeg"/><Relationship Id="rId4" Type="http://schemas.openxmlformats.org/officeDocument/2006/relationships/hyperlink" Target="https://mp.weixin.qq.com/s?__biz=MzU1NDkyMTE1Nw==&amp;mid=2247496183&amp;idx=2&amp;sn=71dc252e11108ca88701bfbc7d1bfd3e&amp;chksm=fbde8c5dcca9054b5ee8b52ca82bb08b8b575b77efe0a9b9c7b4366ec7cd6206c6922e8c36e2&amp;scene=126&amp;sessionid=1656986409&amp;key=d3ce86b542790d2fbd73eba890f95b700474e1b4617a2ef9d2e211a68d1f9d2e2a510e8dab721f732d9549eb8f46075f97d1c218de8810cd6a5dd1c73eb5179b235e4efefbd376dfc8d8d02d07baf2277a11528c6c83468cd44027ff73a7f6156d0160cd0d12269508bec8c3fed8422b53ea96944fddeaa9749732a55423c415&amp;ascene=15&amp;uin=MTIwNTQyNzYzNA%3D%3D&amp;devicetype=Windows+10+x64&amp;version=6307001d&amp;lang=zh_CN&amp;session_us=gh_aaed4f3d0ecb&amp;exportkey=Aaikwd1qT3SXiH3VfZ6b0tc%3D&amp;acctmode=0&amp;pass_ticket=1kYGvd09SuTE387dwO%2B6FvsQcWvxLLCMM4MvmXX57w05Xj9ogHfWj1nDPRfIW6qL&amp;wx_header=0&amp;fontgear=2" TargetMode="External"/><Relationship Id="rId9" Type="http://schemas.openxmlformats.org/officeDocument/2006/relationships/hyperlink" Target="javascript:fontZoom(16)" TargetMode="External"/><Relationship Id="rId14" Type="http://schemas.openxmlformats.org/officeDocument/2006/relationships/hyperlink" Target="http://www.chinatax.gov.cn/chinatax/n367/c5176915/5176915/files/&#22833;&#25928;&#30340;&#21360;&#33457;&#31246;&#20248;&#24800;&#25919;&#31574;&#25991;&#20214;&#21450;&#26465;&#27454;&#30446;&#24405;.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961</Words>
  <Characters>5481</Characters>
  <Application>Microsoft Office Word</Application>
  <DocSecurity>0</DocSecurity>
  <Lines>45</Lines>
  <Paragraphs>12</Paragraphs>
  <ScaleCrop>false</ScaleCrop>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yuqing</dc:creator>
  <cp:keywords/>
  <dc:description/>
  <cp:lastModifiedBy>yuqing</cp:lastModifiedBy>
  <cp:revision>1</cp:revision>
  <dcterms:created xsi:type="dcterms:W3CDTF">2022-07-05T02:01:00Z</dcterms:created>
  <dcterms:modified xsi:type="dcterms:W3CDTF">2022-07-05T02:08:00Z</dcterms:modified>
</cp:coreProperties>
</file>