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A8" w14:textId="195CBBD7" w:rsidR="00202CB1" w:rsidRDefault="006B4FFE" w:rsidP="00087EF2">
      <w:pPr>
        <w:spacing w:afterLines="100" w:after="312" w:line="360" w:lineRule="auto"/>
        <w:jc w:val="center"/>
        <w:rPr>
          <w:rStyle w:val="fontstyle01"/>
          <w:rFonts w:ascii="黑体" w:eastAsia="黑体" w:hAnsi="黑体" w:hint="default"/>
        </w:rPr>
      </w:pPr>
      <w:r w:rsidRPr="006B4FFE">
        <w:rPr>
          <w:rStyle w:val="fontstyle01"/>
          <w:rFonts w:ascii="黑体" w:eastAsia="黑体" w:hAnsi="黑体"/>
        </w:rPr>
        <w:t>可收回金额的计量方法</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5357268C" w14:textId="38C837E3" w:rsidR="006B4FFE" w:rsidRPr="006B4FFE" w:rsidRDefault="006B4FFE" w:rsidP="006B4FFE">
      <w:pPr>
        <w:spacing w:line="360" w:lineRule="auto"/>
        <w:ind w:firstLineChars="200" w:firstLine="480"/>
        <w:rPr>
          <w:rStyle w:val="fontstyle11"/>
          <w:rFonts w:ascii="宋体" w:eastAsia="宋体" w:hAnsi="宋体"/>
          <w:sz w:val="24"/>
          <w:szCs w:val="24"/>
        </w:rPr>
      </w:pPr>
      <w:r w:rsidRPr="006B4FFE">
        <w:rPr>
          <w:rStyle w:val="fontstyle11"/>
          <w:rFonts w:ascii="宋体" w:eastAsia="宋体" w:hAnsi="宋体"/>
          <w:sz w:val="24"/>
          <w:szCs w:val="24"/>
        </w:rPr>
        <w:t>B公司于20X1年通过非同</w:t>
      </w:r>
      <w:proofErr w:type="gramStart"/>
      <w:r w:rsidRPr="006B4FFE">
        <w:rPr>
          <w:rStyle w:val="fontstyle11"/>
          <w:rFonts w:ascii="宋体" w:eastAsia="宋体" w:hAnsi="宋体"/>
          <w:sz w:val="24"/>
          <w:szCs w:val="24"/>
        </w:rPr>
        <w:t>一控制</w:t>
      </w:r>
      <w:proofErr w:type="gramEnd"/>
      <w:r w:rsidRPr="006B4FFE">
        <w:rPr>
          <w:rStyle w:val="fontstyle11"/>
          <w:rFonts w:ascii="宋体" w:eastAsia="宋体" w:hAnsi="宋体"/>
          <w:sz w:val="24"/>
          <w:szCs w:val="24"/>
        </w:rPr>
        <w:t>下企业合并购买某标的</w:t>
      </w:r>
      <w:r w:rsidRPr="006B4FFE">
        <w:rPr>
          <w:rStyle w:val="fontstyle11"/>
          <w:rFonts w:ascii="宋体" w:eastAsia="宋体" w:hAnsi="宋体" w:hint="eastAsia"/>
          <w:sz w:val="24"/>
          <w:szCs w:val="24"/>
        </w:rPr>
        <w:t>公司</w:t>
      </w:r>
      <w:r w:rsidRPr="006B4FFE">
        <w:rPr>
          <w:rStyle w:val="fontstyle11"/>
          <w:rFonts w:ascii="宋体" w:eastAsia="宋体" w:hAnsi="宋体"/>
          <w:sz w:val="24"/>
          <w:szCs w:val="24"/>
        </w:rPr>
        <w:t xml:space="preserve"> 100%</w:t>
      </w:r>
      <w:r w:rsidR="003D2507">
        <w:rPr>
          <w:rStyle w:val="fontstyle11"/>
          <w:rFonts w:ascii="宋体" w:eastAsia="宋体" w:hAnsi="宋体"/>
          <w:sz w:val="24"/>
          <w:szCs w:val="24"/>
        </w:rPr>
        <w:t xml:space="preserve"> </w:t>
      </w:r>
      <w:r w:rsidRPr="006B4FFE">
        <w:rPr>
          <w:rStyle w:val="fontstyle11"/>
          <w:rFonts w:ascii="宋体" w:eastAsia="宋体" w:hAnsi="宋体"/>
          <w:sz w:val="24"/>
          <w:szCs w:val="24"/>
        </w:rPr>
        <w:t>股权， 形成商誉 1 亿元。 20X2 年，因下游需求变</w:t>
      </w:r>
      <w:r w:rsidRPr="006B4FFE">
        <w:rPr>
          <w:rStyle w:val="fontstyle11"/>
          <w:rFonts w:ascii="宋体" w:eastAsia="宋体" w:hAnsi="宋体" w:hint="eastAsia"/>
          <w:sz w:val="24"/>
          <w:szCs w:val="24"/>
        </w:rPr>
        <w:t>化，</w:t>
      </w:r>
      <w:r w:rsidRPr="006B4FFE">
        <w:rPr>
          <w:rStyle w:val="fontstyle11"/>
          <w:rFonts w:ascii="宋体" w:eastAsia="宋体" w:hAnsi="宋体"/>
          <w:sz w:val="24"/>
          <w:szCs w:val="24"/>
        </w:rPr>
        <w:t>标的公司业务大量萎缩，业绩大幅下滑。</w:t>
      </w:r>
    </w:p>
    <w:p w14:paraId="3D81D784" w14:textId="525E1C56" w:rsidR="006B4FFE" w:rsidRDefault="006B4FFE" w:rsidP="006B4FFE">
      <w:pPr>
        <w:spacing w:line="360" w:lineRule="auto"/>
        <w:ind w:firstLineChars="200" w:firstLine="480"/>
        <w:rPr>
          <w:rStyle w:val="fontstyle11"/>
          <w:rFonts w:ascii="宋体" w:eastAsia="宋体" w:hAnsi="宋体"/>
          <w:sz w:val="24"/>
          <w:szCs w:val="24"/>
        </w:rPr>
      </w:pPr>
      <w:r w:rsidRPr="006B4FFE">
        <w:rPr>
          <w:rStyle w:val="fontstyle11"/>
          <w:rFonts w:ascii="宋体" w:eastAsia="宋体" w:hAnsi="宋体" w:hint="eastAsia"/>
          <w:sz w:val="24"/>
          <w:szCs w:val="24"/>
        </w:rPr>
        <w:t>假设标的公司所有业务被认定为一个资产组，</w:t>
      </w:r>
      <w:r w:rsidRPr="006B4FFE">
        <w:rPr>
          <w:rStyle w:val="fontstyle11"/>
          <w:rFonts w:ascii="宋体" w:eastAsia="宋体" w:hAnsi="宋体"/>
          <w:sz w:val="24"/>
          <w:szCs w:val="24"/>
        </w:rPr>
        <w:t>由于该资</w:t>
      </w:r>
      <w:r w:rsidRPr="006B4FFE">
        <w:rPr>
          <w:rStyle w:val="fontstyle11"/>
          <w:rFonts w:ascii="宋体" w:eastAsia="宋体" w:hAnsi="宋体" w:hint="eastAsia"/>
          <w:sz w:val="24"/>
          <w:szCs w:val="24"/>
        </w:rPr>
        <w:t>产组包括商誉，</w:t>
      </w:r>
      <w:r w:rsidRPr="006B4FFE">
        <w:rPr>
          <w:rStyle w:val="fontstyle11"/>
          <w:rFonts w:ascii="宋体" w:eastAsia="宋体" w:hAnsi="宋体"/>
          <w:sz w:val="24"/>
          <w:szCs w:val="24"/>
        </w:rPr>
        <w:t>因此， B 公司自 20X1 年起每年年末对该资产</w:t>
      </w:r>
      <w:r w:rsidRPr="006B4FFE">
        <w:rPr>
          <w:rStyle w:val="fontstyle11"/>
          <w:rFonts w:ascii="宋体" w:eastAsia="宋体" w:hAnsi="宋体" w:hint="eastAsia"/>
          <w:sz w:val="24"/>
          <w:szCs w:val="24"/>
        </w:rPr>
        <w:t>组进行减值测试。</w:t>
      </w:r>
      <w:r w:rsidRPr="006B4FFE">
        <w:rPr>
          <w:rStyle w:val="fontstyle11"/>
          <w:rFonts w:ascii="宋体" w:eastAsia="宋体" w:hAnsi="宋体"/>
          <w:sz w:val="24"/>
          <w:szCs w:val="24"/>
        </w:rPr>
        <w:t>在估计可收回金额时， 20X1 年末及 20X2</w:t>
      </w:r>
      <w:r>
        <w:rPr>
          <w:rStyle w:val="fontstyle11"/>
          <w:rFonts w:ascii="宋体" w:eastAsia="宋体" w:hAnsi="宋体"/>
          <w:sz w:val="24"/>
          <w:szCs w:val="24"/>
        </w:rPr>
        <w:t xml:space="preserve"> </w:t>
      </w:r>
      <w:r w:rsidRPr="006B4FFE">
        <w:rPr>
          <w:rStyle w:val="fontstyle11"/>
          <w:rFonts w:ascii="宋体" w:eastAsia="宋体" w:hAnsi="宋体" w:hint="eastAsia"/>
          <w:sz w:val="24"/>
          <w:szCs w:val="24"/>
        </w:rPr>
        <w:t>年末采用现金流量折现法；</w:t>
      </w:r>
      <w:r w:rsidRPr="006B4FFE">
        <w:rPr>
          <w:rStyle w:val="fontstyle11"/>
          <w:rFonts w:ascii="宋体" w:eastAsia="宋体" w:hAnsi="宋体"/>
          <w:sz w:val="24"/>
          <w:szCs w:val="24"/>
        </w:rPr>
        <w:t xml:space="preserve"> 20X3 年末，因标的公司业务大幅</w:t>
      </w:r>
      <w:r w:rsidRPr="006B4FFE">
        <w:rPr>
          <w:rStyle w:val="fontstyle11"/>
          <w:rFonts w:ascii="宋体" w:eastAsia="宋体" w:hAnsi="宋体" w:hint="eastAsia"/>
          <w:sz w:val="24"/>
          <w:szCs w:val="24"/>
        </w:rPr>
        <w:t>萎缩，</w:t>
      </w:r>
      <w:r w:rsidRPr="006B4FFE">
        <w:rPr>
          <w:rStyle w:val="fontstyle11"/>
          <w:rFonts w:ascii="宋体" w:eastAsia="宋体" w:hAnsi="宋体"/>
          <w:sz w:val="24"/>
          <w:szCs w:val="24"/>
        </w:rPr>
        <w:t>管理层认为无法合理判断标的公司能否持续运营，无</w:t>
      </w:r>
      <w:r w:rsidRPr="006B4FFE">
        <w:rPr>
          <w:rStyle w:val="fontstyle11"/>
          <w:rFonts w:ascii="宋体" w:eastAsia="宋体" w:hAnsi="宋体" w:hint="eastAsia"/>
          <w:sz w:val="24"/>
          <w:szCs w:val="24"/>
        </w:rPr>
        <w:t>法合理预测未来现金流，</w:t>
      </w:r>
      <w:r w:rsidRPr="006B4FFE">
        <w:rPr>
          <w:rStyle w:val="fontstyle11"/>
          <w:rFonts w:ascii="宋体" w:eastAsia="宋体" w:hAnsi="宋体"/>
          <w:sz w:val="24"/>
          <w:szCs w:val="24"/>
        </w:rPr>
        <w:t>因此 20X3 年末采用公允价值减去</w:t>
      </w:r>
      <w:r w:rsidRPr="006B4FFE">
        <w:rPr>
          <w:rStyle w:val="fontstyle11"/>
          <w:rFonts w:ascii="宋体" w:eastAsia="宋体" w:hAnsi="宋体" w:hint="eastAsia"/>
          <w:sz w:val="24"/>
          <w:szCs w:val="24"/>
        </w:rPr>
        <w:t>处置费用后的净额估计可收回金额。</w:t>
      </w:r>
    </w:p>
    <w:p w14:paraId="6DC6B1AC" w14:textId="74DFF067" w:rsidR="00F032E1" w:rsidRDefault="006B4FFE" w:rsidP="006B4FFE">
      <w:pPr>
        <w:spacing w:line="360" w:lineRule="auto"/>
        <w:ind w:firstLineChars="200" w:firstLine="480"/>
        <w:rPr>
          <w:rStyle w:val="fontstyle11"/>
          <w:rFonts w:ascii="宋体" w:eastAsia="宋体" w:hAnsi="宋体"/>
          <w:sz w:val="24"/>
          <w:szCs w:val="24"/>
        </w:rPr>
      </w:pPr>
      <w:r w:rsidRPr="006B4FFE">
        <w:rPr>
          <w:rStyle w:val="fontstyle11"/>
          <w:rFonts w:ascii="宋体" w:eastAsia="宋体" w:hAnsi="宋体" w:hint="eastAsia"/>
          <w:sz w:val="24"/>
          <w:szCs w:val="24"/>
        </w:rPr>
        <w:t>采用公允价值减去处置费用后的净额估计可收回金额时，</w:t>
      </w:r>
      <w:r w:rsidRPr="006B4FFE">
        <w:rPr>
          <w:rStyle w:val="fontstyle11"/>
          <w:rFonts w:ascii="宋体" w:eastAsia="宋体" w:hAnsi="宋体"/>
          <w:sz w:val="24"/>
          <w:szCs w:val="24"/>
        </w:rPr>
        <w:t>B 公司对资产组内不同单项资产采用不同方法进行评估。</w:t>
      </w:r>
      <w:r w:rsidRPr="006B4FFE">
        <w:rPr>
          <w:rStyle w:val="fontstyle11"/>
          <w:rFonts w:ascii="宋体" w:eastAsia="宋体" w:hAnsi="宋体" w:hint="eastAsia"/>
          <w:sz w:val="24"/>
          <w:szCs w:val="24"/>
        </w:rPr>
        <w:t>其中，</w:t>
      </w:r>
      <w:r w:rsidRPr="006B4FFE">
        <w:rPr>
          <w:rStyle w:val="fontstyle11"/>
          <w:rFonts w:ascii="宋体" w:eastAsia="宋体" w:hAnsi="宋体"/>
          <w:sz w:val="24"/>
          <w:szCs w:val="24"/>
        </w:rPr>
        <w:t>对于收购时资产组包含的专利、软件著作权，采用收</w:t>
      </w:r>
      <w:r w:rsidRPr="006B4FFE">
        <w:rPr>
          <w:rStyle w:val="fontstyle11"/>
          <w:rFonts w:ascii="宋体" w:eastAsia="宋体" w:hAnsi="宋体" w:hint="eastAsia"/>
          <w:sz w:val="24"/>
          <w:szCs w:val="24"/>
        </w:rPr>
        <w:t>益法评估，</w:t>
      </w:r>
      <w:r w:rsidRPr="006B4FFE">
        <w:rPr>
          <w:rStyle w:val="fontstyle11"/>
          <w:rFonts w:ascii="宋体" w:eastAsia="宋体" w:hAnsi="宋体"/>
          <w:sz w:val="24"/>
          <w:szCs w:val="24"/>
        </w:rPr>
        <w:t>即假设相关资产持续运营并给企业带来收益，对</w:t>
      </w:r>
      <w:r w:rsidRPr="006B4FFE">
        <w:rPr>
          <w:rStyle w:val="fontstyle11"/>
          <w:rFonts w:ascii="宋体" w:eastAsia="宋体" w:hAnsi="宋体" w:hint="eastAsia"/>
          <w:sz w:val="24"/>
          <w:szCs w:val="24"/>
        </w:rPr>
        <w:t>企业未来销售的收益进行预测，</w:t>
      </w:r>
      <w:r w:rsidRPr="006B4FFE">
        <w:rPr>
          <w:rStyle w:val="fontstyle11"/>
          <w:rFonts w:ascii="宋体" w:eastAsia="宋体" w:hAnsi="宋体"/>
          <w:sz w:val="24"/>
          <w:szCs w:val="24"/>
        </w:rPr>
        <w:t>并按该无形资产在未来年份</w:t>
      </w:r>
      <w:r w:rsidRPr="006B4FFE">
        <w:rPr>
          <w:rStyle w:val="fontstyle11"/>
          <w:rFonts w:ascii="宋体" w:eastAsia="宋体" w:hAnsi="宋体" w:hint="eastAsia"/>
          <w:sz w:val="24"/>
          <w:szCs w:val="24"/>
        </w:rPr>
        <w:t>收入提成率，</w:t>
      </w:r>
      <w:r w:rsidRPr="006B4FFE">
        <w:rPr>
          <w:rStyle w:val="fontstyle11"/>
          <w:rFonts w:ascii="宋体" w:eastAsia="宋体" w:hAnsi="宋体"/>
          <w:sz w:val="24"/>
          <w:szCs w:val="24"/>
        </w:rPr>
        <w:t>确定该无形资产给企业带来的收益，然后用适</w:t>
      </w:r>
      <w:r w:rsidRPr="006B4FFE">
        <w:rPr>
          <w:rStyle w:val="fontstyle11"/>
          <w:rFonts w:ascii="宋体" w:eastAsia="宋体" w:hAnsi="宋体" w:hint="eastAsia"/>
          <w:sz w:val="24"/>
          <w:szCs w:val="24"/>
        </w:rPr>
        <w:t>当的折现率折现、</w:t>
      </w:r>
      <w:proofErr w:type="gramStart"/>
      <w:r w:rsidRPr="006B4FFE">
        <w:rPr>
          <w:rStyle w:val="fontstyle11"/>
          <w:rFonts w:ascii="宋体" w:eastAsia="宋体" w:hAnsi="宋体"/>
          <w:sz w:val="24"/>
          <w:szCs w:val="24"/>
        </w:rPr>
        <w:t>加总即为</w:t>
      </w:r>
      <w:proofErr w:type="gramEnd"/>
      <w:r w:rsidRPr="006B4FFE">
        <w:rPr>
          <w:rStyle w:val="fontstyle11"/>
          <w:rFonts w:ascii="宋体" w:eastAsia="宋体" w:hAnsi="宋体"/>
          <w:sz w:val="24"/>
          <w:szCs w:val="24"/>
        </w:rPr>
        <w:t>评估值</w:t>
      </w:r>
      <w:r w:rsidR="00F032E1">
        <w:rPr>
          <w:rStyle w:val="fontstyle11"/>
          <w:rFonts w:ascii="宋体" w:eastAsia="宋体" w:hAnsi="宋体" w:hint="eastAsia"/>
          <w:sz w:val="24"/>
          <w:szCs w:val="24"/>
        </w:rPr>
        <w:t>。</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6BFBF0F5" w14:textId="3F9F82F7" w:rsidR="00BE4B09" w:rsidRDefault="003D2507" w:rsidP="003D2507">
      <w:pPr>
        <w:spacing w:line="360" w:lineRule="auto"/>
        <w:ind w:firstLineChars="200" w:firstLine="480"/>
        <w:rPr>
          <w:rStyle w:val="fontstyle01"/>
          <w:rFonts w:ascii="宋体" w:eastAsia="宋体" w:hAnsi="宋体" w:hint="default"/>
          <w:sz w:val="24"/>
          <w:szCs w:val="24"/>
        </w:rPr>
      </w:pPr>
      <w:r w:rsidRPr="003D2507">
        <w:rPr>
          <w:rStyle w:val="fontstyle01"/>
          <w:rFonts w:ascii="宋体" w:eastAsia="宋体" w:hAnsi="宋体" w:hint="default"/>
          <w:sz w:val="24"/>
          <w:szCs w:val="24"/>
        </w:rPr>
        <w:t>B 公司对资产组可收回金额进行计量的方法是否</w:t>
      </w:r>
      <w:r w:rsidRPr="003D2507">
        <w:rPr>
          <w:rStyle w:val="fontstyle01"/>
          <w:rFonts w:ascii="宋体" w:eastAsia="宋体" w:hAnsi="宋体"/>
          <w:sz w:val="24"/>
          <w:szCs w:val="24"/>
        </w:rPr>
        <w:t>正确</w:t>
      </w:r>
      <w:r w:rsidRPr="003D2507">
        <w:rPr>
          <w:rStyle w:val="fontstyle01"/>
          <w:rFonts w:ascii="宋体" w:eastAsia="宋体" w:hAnsi="宋体" w:hint="default"/>
          <w:sz w:val="24"/>
          <w:szCs w:val="24"/>
        </w:rPr>
        <w:t>?</w:t>
      </w:r>
    </w:p>
    <w:p w14:paraId="03FA7B1C" w14:textId="736E5D3D"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4B08AB1A" w14:textId="0E41D8DF" w:rsidR="003D2507" w:rsidRPr="003D2507" w:rsidRDefault="003D2507" w:rsidP="003D2507">
      <w:pPr>
        <w:spacing w:line="360" w:lineRule="auto"/>
        <w:ind w:firstLineChars="200" w:firstLine="480"/>
        <w:rPr>
          <w:rStyle w:val="fontstyle01"/>
          <w:rFonts w:ascii="宋体" w:eastAsia="宋体" w:hAnsi="宋体" w:hint="default"/>
          <w:sz w:val="24"/>
          <w:szCs w:val="24"/>
        </w:rPr>
      </w:pPr>
      <w:r w:rsidRPr="003D2507">
        <w:rPr>
          <w:rStyle w:val="fontstyle01"/>
          <w:rFonts w:ascii="宋体" w:eastAsia="宋体" w:hAnsi="宋体"/>
          <w:sz w:val="24"/>
          <w:szCs w:val="24"/>
        </w:rPr>
        <w:t>根据企业会计准则及相关规定，</w:t>
      </w:r>
      <w:r w:rsidRPr="003D2507">
        <w:rPr>
          <w:rStyle w:val="fontstyle01"/>
          <w:rFonts w:ascii="宋体" w:eastAsia="宋体" w:hAnsi="宋体" w:hint="default"/>
          <w:sz w:val="24"/>
          <w:szCs w:val="24"/>
        </w:rPr>
        <w:t>商誉应当包含在与其相</w:t>
      </w:r>
      <w:r w:rsidRPr="003D2507">
        <w:rPr>
          <w:rStyle w:val="fontstyle01"/>
          <w:rFonts w:ascii="宋体" w:eastAsia="宋体" w:hAnsi="宋体"/>
          <w:sz w:val="24"/>
          <w:szCs w:val="24"/>
        </w:rPr>
        <w:t>关的资产组或者资产组组合中进行减值测试。</w:t>
      </w:r>
      <w:r w:rsidRPr="003D2507">
        <w:rPr>
          <w:rStyle w:val="fontstyle01"/>
          <w:rFonts w:ascii="宋体" w:eastAsia="宋体" w:hAnsi="宋体" w:hint="default"/>
          <w:sz w:val="24"/>
          <w:szCs w:val="24"/>
        </w:rPr>
        <w:t>资产组的可收</w:t>
      </w:r>
      <w:r w:rsidRPr="003D2507">
        <w:rPr>
          <w:rStyle w:val="fontstyle01"/>
          <w:rFonts w:ascii="宋体" w:eastAsia="宋体" w:hAnsi="宋体"/>
          <w:sz w:val="24"/>
          <w:szCs w:val="24"/>
        </w:rPr>
        <w:t>回金额应当按照该资产组的公允价值减去处置费用后的净额与其预计未来现金流量的现值两者之间较高者确定。</w:t>
      </w:r>
      <w:r w:rsidRPr="003D2507">
        <w:rPr>
          <w:rStyle w:val="fontstyle01"/>
          <w:rFonts w:ascii="宋体" w:eastAsia="宋体" w:hAnsi="宋体" w:hint="default"/>
          <w:sz w:val="24"/>
          <w:szCs w:val="24"/>
        </w:rPr>
        <w:t>企业</w:t>
      </w:r>
      <w:r w:rsidRPr="003D2507">
        <w:rPr>
          <w:rStyle w:val="fontstyle01"/>
          <w:rFonts w:ascii="宋体" w:eastAsia="宋体" w:hAnsi="宋体"/>
          <w:sz w:val="24"/>
          <w:szCs w:val="24"/>
        </w:rPr>
        <w:t>按照企业会计准则的有关规定无法可靠估计资产的公允价值减去处置费用后的净额的，</w:t>
      </w:r>
      <w:r w:rsidRPr="003D2507">
        <w:rPr>
          <w:rStyle w:val="fontstyle01"/>
          <w:rFonts w:ascii="宋体" w:eastAsia="宋体" w:hAnsi="宋体" w:hint="default"/>
          <w:sz w:val="24"/>
          <w:szCs w:val="24"/>
        </w:rPr>
        <w:t>应当以该资产预计未来现金流</w:t>
      </w:r>
      <w:r w:rsidRPr="003D2507">
        <w:rPr>
          <w:rStyle w:val="fontstyle01"/>
          <w:rFonts w:ascii="宋体" w:eastAsia="宋体" w:hAnsi="宋体"/>
          <w:sz w:val="24"/>
          <w:szCs w:val="24"/>
        </w:rPr>
        <w:t>量的现值作为其可收回金额。</w:t>
      </w:r>
    </w:p>
    <w:p w14:paraId="4A76C662" w14:textId="2A8DE63B" w:rsidR="003D2507" w:rsidRPr="003D2507" w:rsidRDefault="003D2507" w:rsidP="003D2507">
      <w:pPr>
        <w:spacing w:line="360" w:lineRule="auto"/>
        <w:ind w:firstLineChars="200" w:firstLine="480"/>
        <w:rPr>
          <w:rStyle w:val="fontstyle01"/>
          <w:rFonts w:ascii="宋体" w:eastAsia="宋体" w:hAnsi="宋体" w:hint="default"/>
          <w:sz w:val="24"/>
          <w:szCs w:val="24"/>
        </w:rPr>
      </w:pPr>
      <w:r w:rsidRPr="003D2507">
        <w:rPr>
          <w:rStyle w:val="fontstyle01"/>
          <w:rFonts w:ascii="宋体" w:eastAsia="宋体" w:hAnsi="宋体"/>
          <w:sz w:val="24"/>
          <w:szCs w:val="24"/>
        </w:rPr>
        <w:t>本案例中，</w:t>
      </w:r>
      <w:r w:rsidRPr="003D2507">
        <w:rPr>
          <w:rStyle w:val="fontstyle01"/>
          <w:rFonts w:ascii="宋体" w:eastAsia="宋体" w:hAnsi="宋体" w:hint="default"/>
          <w:sz w:val="24"/>
          <w:szCs w:val="24"/>
        </w:rPr>
        <w:t>B 公司在 20X1 年末及 20X2 年末采用现金流</w:t>
      </w:r>
      <w:r w:rsidRPr="003D2507">
        <w:rPr>
          <w:rStyle w:val="fontstyle01"/>
          <w:rFonts w:ascii="宋体" w:eastAsia="宋体" w:hAnsi="宋体"/>
          <w:sz w:val="24"/>
          <w:szCs w:val="24"/>
        </w:rPr>
        <w:t>量折现</w:t>
      </w:r>
      <w:proofErr w:type="gramStart"/>
      <w:r w:rsidRPr="003D2507">
        <w:rPr>
          <w:rStyle w:val="fontstyle01"/>
          <w:rFonts w:ascii="宋体" w:eastAsia="宋体" w:hAnsi="宋体"/>
          <w:sz w:val="24"/>
          <w:szCs w:val="24"/>
        </w:rPr>
        <w:t>法估计</w:t>
      </w:r>
      <w:proofErr w:type="gramEnd"/>
      <w:r w:rsidRPr="003D2507">
        <w:rPr>
          <w:rStyle w:val="fontstyle01"/>
          <w:rFonts w:ascii="宋体" w:eastAsia="宋体" w:hAnsi="宋体"/>
          <w:sz w:val="24"/>
          <w:szCs w:val="24"/>
        </w:rPr>
        <w:t>可收回金额，</w:t>
      </w:r>
      <w:r w:rsidRPr="003D2507">
        <w:rPr>
          <w:rStyle w:val="fontstyle01"/>
          <w:rFonts w:ascii="宋体" w:eastAsia="宋体" w:hAnsi="宋体" w:hint="default"/>
          <w:sz w:val="24"/>
          <w:szCs w:val="24"/>
        </w:rPr>
        <w:t>未明确采用现金流量折现</w:t>
      </w:r>
      <w:proofErr w:type="gramStart"/>
      <w:r w:rsidRPr="003D2507">
        <w:rPr>
          <w:rStyle w:val="fontstyle01"/>
          <w:rFonts w:ascii="宋体" w:eastAsia="宋体" w:hAnsi="宋体" w:hint="default"/>
          <w:sz w:val="24"/>
          <w:szCs w:val="24"/>
        </w:rPr>
        <w:t>法估计</w:t>
      </w:r>
      <w:proofErr w:type="gramEnd"/>
      <w:r w:rsidRPr="003D2507">
        <w:rPr>
          <w:rStyle w:val="fontstyle01"/>
          <w:rFonts w:ascii="宋体" w:eastAsia="宋体" w:hAnsi="宋体"/>
          <w:sz w:val="24"/>
          <w:szCs w:val="24"/>
        </w:rPr>
        <w:t>的金额是否为公允价值减去处置费用后的净额与其预计未来现金流量的现值两者之间较高者，</w:t>
      </w:r>
      <w:r w:rsidRPr="003D2507">
        <w:rPr>
          <w:rStyle w:val="fontstyle01"/>
          <w:rFonts w:ascii="宋体" w:eastAsia="宋体" w:hAnsi="宋体" w:hint="default"/>
          <w:sz w:val="24"/>
          <w:szCs w:val="24"/>
        </w:rPr>
        <w:t>亦未明确采用现金流量</w:t>
      </w:r>
      <w:r w:rsidRPr="003D2507">
        <w:rPr>
          <w:rStyle w:val="fontstyle01"/>
          <w:rFonts w:ascii="宋体" w:eastAsia="宋体" w:hAnsi="宋体"/>
          <w:sz w:val="24"/>
          <w:szCs w:val="24"/>
        </w:rPr>
        <w:t>折现</w:t>
      </w:r>
      <w:proofErr w:type="gramStart"/>
      <w:r w:rsidRPr="003D2507">
        <w:rPr>
          <w:rStyle w:val="fontstyle01"/>
          <w:rFonts w:ascii="宋体" w:eastAsia="宋体" w:hAnsi="宋体"/>
          <w:sz w:val="24"/>
          <w:szCs w:val="24"/>
        </w:rPr>
        <w:t>法估计</w:t>
      </w:r>
      <w:proofErr w:type="gramEnd"/>
      <w:r w:rsidRPr="003D2507">
        <w:rPr>
          <w:rStyle w:val="fontstyle01"/>
          <w:rFonts w:ascii="宋体" w:eastAsia="宋体" w:hAnsi="宋体"/>
          <w:sz w:val="24"/>
          <w:szCs w:val="24"/>
        </w:rPr>
        <w:t>的可收回金额是否高于资产账面价值。</w:t>
      </w:r>
      <w:r w:rsidRPr="003D2507">
        <w:rPr>
          <w:rStyle w:val="fontstyle01"/>
          <w:rFonts w:ascii="宋体" w:eastAsia="宋体" w:hAnsi="宋体" w:hint="default"/>
          <w:sz w:val="24"/>
          <w:szCs w:val="24"/>
        </w:rPr>
        <w:t xml:space="preserve"> 如果按照</w:t>
      </w:r>
      <w:r>
        <w:rPr>
          <w:rStyle w:val="fontstyle01"/>
          <w:rFonts w:ascii="宋体" w:eastAsia="宋体" w:hAnsi="宋体" w:hint="default"/>
          <w:sz w:val="24"/>
          <w:szCs w:val="24"/>
        </w:rPr>
        <w:t xml:space="preserve"> </w:t>
      </w:r>
      <w:r w:rsidRPr="003D2507">
        <w:rPr>
          <w:rStyle w:val="fontstyle01"/>
          <w:rFonts w:ascii="宋体" w:eastAsia="宋体" w:hAnsi="宋体" w:hint="default"/>
          <w:sz w:val="24"/>
          <w:szCs w:val="24"/>
        </w:rPr>
        <w:t>B 公司在 20X3 年测试商誉减值的逻辑，即公允价值减处置费</w:t>
      </w:r>
      <w:r w:rsidRPr="003D2507">
        <w:rPr>
          <w:rStyle w:val="fontstyle01"/>
          <w:rFonts w:ascii="宋体" w:eastAsia="宋体" w:hAnsi="宋体"/>
          <w:sz w:val="24"/>
          <w:szCs w:val="24"/>
        </w:rPr>
        <w:t>用的净额能够可靠计量，除非</w:t>
      </w:r>
      <w:r w:rsidRPr="003D2507">
        <w:rPr>
          <w:rStyle w:val="fontstyle01"/>
          <w:rFonts w:ascii="宋体" w:eastAsia="宋体" w:hAnsi="宋体" w:hint="default"/>
          <w:sz w:val="24"/>
          <w:szCs w:val="24"/>
        </w:rPr>
        <w:t xml:space="preserve"> B 公</w:t>
      </w:r>
      <w:r w:rsidRPr="003D2507">
        <w:rPr>
          <w:rStyle w:val="fontstyle01"/>
          <w:rFonts w:ascii="宋体" w:eastAsia="宋体" w:hAnsi="宋体" w:hint="default"/>
          <w:sz w:val="24"/>
          <w:szCs w:val="24"/>
        </w:rPr>
        <w:lastRenderedPageBreak/>
        <w:t>司认为测试 20X1 年与 20X2</w:t>
      </w:r>
      <w:r w:rsidRPr="003D2507">
        <w:rPr>
          <w:rStyle w:val="fontstyle01"/>
          <w:rFonts w:ascii="宋体" w:eastAsia="宋体" w:hAnsi="宋体"/>
          <w:sz w:val="24"/>
          <w:szCs w:val="24"/>
        </w:rPr>
        <w:t>年未来现金流量的现值更加可靠且测试的结果表明未来现金流量的现值已经高于其账面价值。</w:t>
      </w:r>
      <w:r w:rsidRPr="003D2507">
        <w:rPr>
          <w:rStyle w:val="fontstyle01"/>
          <w:rFonts w:ascii="宋体" w:eastAsia="宋体" w:hAnsi="宋体" w:hint="default"/>
          <w:sz w:val="24"/>
          <w:szCs w:val="24"/>
        </w:rPr>
        <w:t>否则， B 公司在 20X1 年</w:t>
      </w:r>
      <w:r w:rsidRPr="003D2507">
        <w:rPr>
          <w:rStyle w:val="fontstyle01"/>
          <w:rFonts w:ascii="宋体" w:eastAsia="宋体" w:hAnsi="宋体"/>
          <w:sz w:val="24"/>
          <w:szCs w:val="24"/>
        </w:rPr>
        <w:t>与</w:t>
      </w:r>
      <w:r w:rsidRPr="003D2507">
        <w:rPr>
          <w:rStyle w:val="fontstyle01"/>
          <w:rFonts w:ascii="宋体" w:eastAsia="宋体" w:hAnsi="宋体" w:hint="default"/>
          <w:sz w:val="24"/>
          <w:szCs w:val="24"/>
        </w:rPr>
        <w:t xml:space="preserve"> 20X2 年应根据其在 20X3 </w:t>
      </w:r>
      <w:proofErr w:type="gramStart"/>
      <w:r w:rsidRPr="003D2507">
        <w:rPr>
          <w:rStyle w:val="fontstyle01"/>
          <w:rFonts w:ascii="宋体" w:eastAsia="宋体" w:hAnsi="宋体" w:hint="default"/>
          <w:sz w:val="24"/>
          <w:szCs w:val="24"/>
        </w:rPr>
        <w:t>年一致</w:t>
      </w:r>
      <w:proofErr w:type="gramEnd"/>
      <w:r w:rsidRPr="003D2507">
        <w:rPr>
          <w:rStyle w:val="fontstyle01"/>
          <w:rFonts w:ascii="宋体" w:eastAsia="宋体" w:hAnsi="宋体" w:hint="default"/>
          <w:sz w:val="24"/>
          <w:szCs w:val="24"/>
        </w:rPr>
        <w:t>的考虑测试包括该商誉的</w:t>
      </w:r>
      <w:r w:rsidRPr="003D2507">
        <w:rPr>
          <w:rStyle w:val="fontstyle01"/>
          <w:rFonts w:ascii="宋体" w:eastAsia="宋体" w:hAnsi="宋体"/>
          <w:sz w:val="24"/>
          <w:szCs w:val="24"/>
        </w:rPr>
        <w:t>资产组或资产组组合的公允价值减处置费用的净额，</w:t>
      </w:r>
      <w:r w:rsidRPr="003D2507">
        <w:rPr>
          <w:rStyle w:val="fontstyle01"/>
          <w:rFonts w:ascii="宋体" w:eastAsia="宋体" w:hAnsi="宋体" w:hint="default"/>
          <w:sz w:val="24"/>
          <w:szCs w:val="24"/>
        </w:rPr>
        <w:t>并取两</w:t>
      </w:r>
      <w:r w:rsidRPr="003D2507">
        <w:rPr>
          <w:rStyle w:val="fontstyle01"/>
          <w:rFonts w:ascii="宋体" w:eastAsia="宋体" w:hAnsi="宋体"/>
          <w:sz w:val="24"/>
          <w:szCs w:val="24"/>
        </w:rPr>
        <w:t>者之间较高者确定其可收回金额。</w:t>
      </w:r>
    </w:p>
    <w:p w14:paraId="41D8DC1F" w14:textId="0BB7D27D" w:rsidR="003D2507" w:rsidRPr="003D2507" w:rsidRDefault="003D2507" w:rsidP="003D2507">
      <w:pPr>
        <w:spacing w:line="360" w:lineRule="auto"/>
        <w:ind w:firstLineChars="200" w:firstLine="480"/>
        <w:rPr>
          <w:rStyle w:val="fontstyle01"/>
          <w:rFonts w:ascii="宋体" w:eastAsia="宋体" w:hAnsi="宋体" w:hint="default"/>
          <w:sz w:val="24"/>
          <w:szCs w:val="24"/>
        </w:rPr>
      </w:pPr>
      <w:r w:rsidRPr="003D2507">
        <w:rPr>
          <w:rStyle w:val="fontstyle01"/>
          <w:rFonts w:ascii="宋体" w:eastAsia="宋体" w:hAnsi="宋体" w:hint="default"/>
          <w:sz w:val="24"/>
          <w:szCs w:val="24"/>
        </w:rPr>
        <w:t>20X3 年末管理层因无法合理预测未来现金流，采用公允</w:t>
      </w:r>
      <w:r w:rsidRPr="003D2507">
        <w:rPr>
          <w:rStyle w:val="fontstyle01"/>
          <w:rFonts w:ascii="宋体" w:eastAsia="宋体" w:hAnsi="宋体"/>
          <w:sz w:val="24"/>
          <w:szCs w:val="24"/>
        </w:rPr>
        <w:t>价值减去处置费用后的净额估计可收回金额。</w:t>
      </w:r>
      <w:r w:rsidRPr="003D2507">
        <w:rPr>
          <w:rStyle w:val="fontstyle01"/>
          <w:rFonts w:ascii="宋体" w:eastAsia="宋体" w:hAnsi="宋体" w:hint="default"/>
          <w:sz w:val="24"/>
          <w:szCs w:val="24"/>
        </w:rPr>
        <w:t>该方法与之前</w:t>
      </w:r>
      <w:r w:rsidRPr="003D2507">
        <w:rPr>
          <w:rStyle w:val="fontstyle01"/>
          <w:rFonts w:ascii="宋体" w:eastAsia="宋体" w:hAnsi="宋体"/>
          <w:sz w:val="24"/>
          <w:szCs w:val="24"/>
        </w:rPr>
        <w:t>两年估计可收回金额的方法不一致。</w:t>
      </w:r>
      <w:r w:rsidRPr="003D2507">
        <w:rPr>
          <w:rStyle w:val="fontstyle01"/>
          <w:rFonts w:ascii="宋体" w:eastAsia="宋体" w:hAnsi="宋体" w:hint="default"/>
          <w:sz w:val="24"/>
          <w:szCs w:val="24"/>
        </w:rPr>
        <w:t>通常，商誉减值测试评</w:t>
      </w:r>
      <w:r w:rsidRPr="003D2507">
        <w:rPr>
          <w:rStyle w:val="fontstyle01"/>
          <w:rFonts w:ascii="宋体" w:eastAsia="宋体" w:hAnsi="宋体"/>
          <w:sz w:val="24"/>
          <w:szCs w:val="24"/>
        </w:rPr>
        <w:t>估方法应当与以前会计期间商誉减值测试采用的评估方法保持一致，</w:t>
      </w:r>
      <w:r w:rsidRPr="003D2507">
        <w:rPr>
          <w:rStyle w:val="fontstyle01"/>
          <w:rFonts w:ascii="宋体" w:eastAsia="宋体" w:hAnsi="宋体" w:hint="default"/>
          <w:sz w:val="24"/>
          <w:szCs w:val="24"/>
        </w:rPr>
        <w:t>除非有证据显示变更后的评估方法得出的评估结</w:t>
      </w:r>
      <w:r w:rsidRPr="003D2507">
        <w:rPr>
          <w:rStyle w:val="fontstyle01"/>
          <w:rFonts w:ascii="宋体" w:eastAsia="宋体" w:hAnsi="宋体"/>
          <w:sz w:val="24"/>
          <w:szCs w:val="24"/>
        </w:rPr>
        <w:t>论更具合理性，</w:t>
      </w:r>
      <w:r w:rsidRPr="003D2507">
        <w:rPr>
          <w:rStyle w:val="fontstyle01"/>
          <w:rFonts w:ascii="宋体" w:eastAsia="宋体" w:hAnsi="宋体" w:hint="default"/>
          <w:sz w:val="24"/>
          <w:szCs w:val="24"/>
        </w:rPr>
        <w:t>或者因以前会计期间采用评估方法依据的市</w:t>
      </w:r>
      <w:r w:rsidRPr="003D2507">
        <w:rPr>
          <w:rStyle w:val="fontstyle01"/>
          <w:rFonts w:ascii="宋体" w:eastAsia="宋体" w:hAnsi="宋体"/>
          <w:sz w:val="24"/>
          <w:szCs w:val="24"/>
        </w:rPr>
        <w:t>场数据发生重大变化而不再适用。</w:t>
      </w:r>
    </w:p>
    <w:p w14:paraId="66D64D18" w14:textId="77C3B89A" w:rsidR="00087EF2" w:rsidRPr="00010439" w:rsidRDefault="003D2507" w:rsidP="003D2507">
      <w:pPr>
        <w:spacing w:line="360" w:lineRule="auto"/>
        <w:ind w:firstLineChars="200" w:firstLine="480"/>
        <w:rPr>
          <w:rStyle w:val="fontstyle01"/>
          <w:rFonts w:ascii="宋体" w:eastAsia="宋体" w:hAnsi="宋体" w:hint="default"/>
          <w:sz w:val="24"/>
          <w:szCs w:val="24"/>
        </w:rPr>
      </w:pPr>
      <w:r w:rsidRPr="003D2507">
        <w:rPr>
          <w:rStyle w:val="fontstyle01"/>
          <w:rFonts w:ascii="宋体" w:eastAsia="宋体" w:hAnsi="宋体"/>
          <w:sz w:val="24"/>
          <w:szCs w:val="24"/>
        </w:rPr>
        <w:t>案例中，</w:t>
      </w:r>
      <w:r w:rsidRPr="003D2507">
        <w:rPr>
          <w:rStyle w:val="fontstyle01"/>
          <w:rFonts w:ascii="宋体" w:eastAsia="宋体" w:hAnsi="宋体" w:hint="default"/>
          <w:sz w:val="24"/>
          <w:szCs w:val="24"/>
        </w:rPr>
        <w:t>因标的公司业务大幅萎缩，管理层认为无法合</w:t>
      </w:r>
      <w:r w:rsidRPr="003D2507">
        <w:rPr>
          <w:rStyle w:val="fontstyle01"/>
          <w:rFonts w:ascii="宋体" w:eastAsia="宋体" w:hAnsi="宋体"/>
          <w:sz w:val="24"/>
          <w:szCs w:val="24"/>
        </w:rPr>
        <w:t>理判断标的公司能否持续运营，</w:t>
      </w:r>
      <w:r w:rsidRPr="003D2507">
        <w:rPr>
          <w:rStyle w:val="fontstyle01"/>
          <w:rFonts w:ascii="宋体" w:eastAsia="宋体" w:hAnsi="宋体" w:hint="default"/>
          <w:sz w:val="24"/>
          <w:szCs w:val="24"/>
        </w:rPr>
        <w:t>因此采用公允价值减处置费</w:t>
      </w:r>
      <w:r w:rsidRPr="003D2507">
        <w:rPr>
          <w:rStyle w:val="fontstyle01"/>
          <w:rFonts w:ascii="宋体" w:eastAsia="宋体" w:hAnsi="宋体"/>
          <w:sz w:val="24"/>
          <w:szCs w:val="24"/>
        </w:rPr>
        <w:t>用后的净额作为资产组的可收回金额，</w:t>
      </w:r>
      <w:r w:rsidRPr="003D2507">
        <w:rPr>
          <w:rStyle w:val="fontstyle01"/>
          <w:rFonts w:ascii="宋体" w:eastAsia="宋体" w:hAnsi="宋体" w:hint="default"/>
          <w:sz w:val="24"/>
          <w:szCs w:val="24"/>
        </w:rPr>
        <w:t>可能导致无法准确计</w:t>
      </w:r>
      <w:r w:rsidRPr="003D2507">
        <w:rPr>
          <w:rStyle w:val="fontstyle01"/>
          <w:rFonts w:ascii="宋体" w:eastAsia="宋体" w:hAnsi="宋体"/>
          <w:sz w:val="24"/>
          <w:szCs w:val="24"/>
        </w:rPr>
        <w:t>算商誉减值金额。</w:t>
      </w:r>
      <w:r w:rsidRPr="003D2507">
        <w:rPr>
          <w:rStyle w:val="fontstyle01"/>
          <w:rFonts w:ascii="宋体" w:eastAsia="宋体" w:hAnsi="宋体" w:hint="default"/>
          <w:sz w:val="24"/>
          <w:szCs w:val="24"/>
        </w:rPr>
        <w:t>但在评估资产组公允价值时，B 公司又假</w:t>
      </w:r>
      <w:r w:rsidRPr="003D2507">
        <w:rPr>
          <w:rStyle w:val="fontstyle01"/>
          <w:rFonts w:ascii="宋体" w:eastAsia="宋体" w:hAnsi="宋体"/>
          <w:sz w:val="24"/>
          <w:szCs w:val="24"/>
        </w:rPr>
        <w:t>设资产组中部分资产持续运营并给企业带来收益，</w:t>
      </w:r>
      <w:r w:rsidRPr="003D2507">
        <w:rPr>
          <w:rStyle w:val="fontstyle01"/>
          <w:rFonts w:ascii="宋体" w:eastAsia="宋体" w:hAnsi="宋体" w:hint="default"/>
          <w:sz w:val="24"/>
          <w:szCs w:val="24"/>
        </w:rPr>
        <w:t>采用收益</w:t>
      </w:r>
      <w:r w:rsidRPr="003D2507">
        <w:rPr>
          <w:rStyle w:val="fontstyle01"/>
          <w:rFonts w:ascii="宋体" w:eastAsia="宋体" w:hAnsi="宋体"/>
          <w:sz w:val="24"/>
          <w:szCs w:val="24"/>
        </w:rPr>
        <w:t>法确定部分资产的公允价值，</w:t>
      </w:r>
      <w:r w:rsidRPr="003D2507">
        <w:rPr>
          <w:rStyle w:val="fontstyle01"/>
          <w:rFonts w:ascii="宋体" w:eastAsia="宋体" w:hAnsi="宋体" w:hint="default"/>
          <w:sz w:val="24"/>
          <w:szCs w:val="24"/>
        </w:rPr>
        <w:t>与对商誉所在资产组运营情况</w:t>
      </w:r>
      <w:r w:rsidRPr="003D2507">
        <w:rPr>
          <w:rStyle w:val="fontstyle01"/>
          <w:rFonts w:ascii="宋体" w:eastAsia="宋体" w:hAnsi="宋体"/>
          <w:sz w:val="24"/>
          <w:szCs w:val="24"/>
        </w:rPr>
        <w:t>的判断存在矛盾。</w:t>
      </w:r>
      <w:r w:rsidRPr="003D2507">
        <w:rPr>
          <w:rStyle w:val="fontstyle01"/>
          <w:rFonts w:ascii="宋体" w:eastAsia="宋体" w:hAnsi="宋体" w:hint="default"/>
          <w:sz w:val="24"/>
          <w:szCs w:val="24"/>
        </w:rPr>
        <w:t xml:space="preserve"> B 公司在运用估值技术对资产组可收回金</w:t>
      </w:r>
      <w:r w:rsidRPr="003D2507">
        <w:rPr>
          <w:rStyle w:val="fontstyle01"/>
          <w:rFonts w:ascii="宋体" w:eastAsia="宋体" w:hAnsi="宋体"/>
          <w:sz w:val="24"/>
          <w:szCs w:val="24"/>
        </w:rPr>
        <w:t>额进行估计时，</w:t>
      </w:r>
      <w:r w:rsidRPr="003D2507">
        <w:rPr>
          <w:rStyle w:val="fontstyle01"/>
          <w:rFonts w:ascii="宋体" w:eastAsia="宋体" w:hAnsi="宋体" w:hint="default"/>
          <w:sz w:val="24"/>
          <w:szCs w:val="24"/>
        </w:rPr>
        <w:t>应当以资产的当前状况为基础，对资产</w:t>
      </w:r>
      <w:proofErr w:type="gramStart"/>
      <w:r w:rsidRPr="003D2507">
        <w:rPr>
          <w:rStyle w:val="fontstyle01"/>
          <w:rFonts w:ascii="宋体" w:eastAsia="宋体" w:hAnsi="宋体" w:hint="default"/>
          <w:sz w:val="24"/>
          <w:szCs w:val="24"/>
        </w:rPr>
        <w:t>组及</w:t>
      </w:r>
      <w:r w:rsidRPr="003D2507">
        <w:rPr>
          <w:rStyle w:val="fontstyle01"/>
          <w:rFonts w:ascii="宋体" w:eastAsia="宋体" w:hAnsi="宋体"/>
          <w:sz w:val="24"/>
          <w:szCs w:val="24"/>
        </w:rPr>
        <w:t>其</w:t>
      </w:r>
      <w:proofErr w:type="gramEnd"/>
      <w:r w:rsidRPr="003D2507">
        <w:rPr>
          <w:rStyle w:val="fontstyle01"/>
          <w:rFonts w:ascii="宋体" w:eastAsia="宋体" w:hAnsi="宋体"/>
          <w:sz w:val="24"/>
          <w:szCs w:val="24"/>
        </w:rPr>
        <w:t>单项资产公允价值进行估计的假设条件不应存在相互矛盾。</w:t>
      </w:r>
    </w:p>
    <w:sectPr w:rsidR="00087EF2" w:rsidRPr="000104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DFEC" w14:textId="77777777" w:rsidR="00302904" w:rsidRDefault="00302904" w:rsidP="00087EF2">
      <w:r>
        <w:separator/>
      </w:r>
    </w:p>
  </w:endnote>
  <w:endnote w:type="continuationSeparator" w:id="0">
    <w:p w14:paraId="7BEA33AA" w14:textId="77777777" w:rsidR="00302904" w:rsidRDefault="00302904"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33F3" w14:textId="77777777" w:rsidR="00302904" w:rsidRDefault="00302904" w:rsidP="00087EF2">
      <w:r>
        <w:separator/>
      </w:r>
    </w:p>
  </w:footnote>
  <w:footnote w:type="continuationSeparator" w:id="0">
    <w:p w14:paraId="43F2FBDB" w14:textId="77777777" w:rsidR="00302904" w:rsidRDefault="00302904"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10439"/>
    <w:rsid w:val="00087EF2"/>
    <w:rsid w:val="00202CB1"/>
    <w:rsid w:val="00270D05"/>
    <w:rsid w:val="00301D22"/>
    <w:rsid w:val="00302904"/>
    <w:rsid w:val="00337283"/>
    <w:rsid w:val="003D2507"/>
    <w:rsid w:val="006B4FFE"/>
    <w:rsid w:val="00742BB7"/>
    <w:rsid w:val="00754622"/>
    <w:rsid w:val="0078558B"/>
    <w:rsid w:val="00841353"/>
    <w:rsid w:val="00897CD6"/>
    <w:rsid w:val="00B836E2"/>
    <w:rsid w:val="00BE4B09"/>
    <w:rsid w:val="00C362FF"/>
    <w:rsid w:val="00D07514"/>
    <w:rsid w:val="00EA6E1E"/>
    <w:rsid w:val="00ED1CF5"/>
    <w:rsid w:val="00F03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JONTEN JONTEN</cp:lastModifiedBy>
  <cp:revision>2</cp:revision>
  <dcterms:created xsi:type="dcterms:W3CDTF">2023-12-21T05:59:00Z</dcterms:created>
  <dcterms:modified xsi:type="dcterms:W3CDTF">2023-12-21T05:59:00Z</dcterms:modified>
</cp:coreProperties>
</file>