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8EA8" w14:textId="58A463A9" w:rsidR="00202CB1" w:rsidRDefault="00A97913" w:rsidP="00087EF2">
      <w:pPr>
        <w:spacing w:afterLines="100" w:after="312" w:line="360" w:lineRule="auto"/>
        <w:jc w:val="center"/>
        <w:rPr>
          <w:rStyle w:val="fontstyle01"/>
          <w:rFonts w:ascii="黑体" w:eastAsia="黑体" w:hAnsi="黑体" w:hint="default"/>
        </w:rPr>
      </w:pPr>
      <w:r w:rsidRPr="00A97913">
        <w:rPr>
          <w:rStyle w:val="fontstyle01"/>
          <w:rFonts w:ascii="黑体" w:eastAsia="黑体" w:hAnsi="黑体" w:hint="default"/>
        </w:rPr>
        <w:t>审计机构未及时履行信息披露义务相关问题</w:t>
      </w:r>
    </w:p>
    <w:p w14:paraId="032AA862" w14:textId="7DAEB273" w:rsidR="00202CB1" w:rsidRP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案例背景</w:t>
      </w:r>
      <w:r w:rsidR="00202CB1" w:rsidRPr="00202CB1">
        <w:rPr>
          <w:rStyle w:val="fontstyle01"/>
          <w:rFonts w:ascii="宋体" w:eastAsia="宋体" w:hAnsi="宋体" w:hint="default"/>
          <w:b/>
          <w:bCs/>
          <w:sz w:val="24"/>
          <w:szCs w:val="24"/>
        </w:rPr>
        <w:t>：</w:t>
      </w:r>
    </w:p>
    <w:p w14:paraId="634276D6" w14:textId="7FCE2499" w:rsidR="00A97913" w:rsidRDefault="00A97913" w:rsidP="00A97913">
      <w:pPr>
        <w:spacing w:line="360" w:lineRule="auto"/>
        <w:ind w:firstLineChars="200" w:firstLine="480"/>
        <w:rPr>
          <w:rStyle w:val="fontstyle11"/>
          <w:rFonts w:ascii="宋体" w:eastAsia="宋体" w:hAnsi="宋体"/>
          <w:sz w:val="24"/>
          <w:szCs w:val="24"/>
        </w:rPr>
      </w:pPr>
      <w:r w:rsidRPr="00A97913">
        <w:rPr>
          <w:rStyle w:val="fontstyle11"/>
          <w:rFonts w:ascii="宋体" w:eastAsia="宋体" w:hAnsi="宋体" w:hint="eastAsia"/>
          <w:sz w:val="24"/>
          <w:szCs w:val="24"/>
        </w:rPr>
        <w:t>甲公司于</w:t>
      </w:r>
      <w:r w:rsidRPr="00A97913">
        <w:rPr>
          <w:rStyle w:val="fontstyle11"/>
          <w:rFonts w:ascii="宋体" w:eastAsia="宋体" w:hAnsi="宋体"/>
          <w:sz w:val="24"/>
          <w:szCs w:val="24"/>
        </w:rPr>
        <w:t xml:space="preserve"> 20X2</w:t>
      </w:r>
      <w:r>
        <w:rPr>
          <w:rStyle w:val="fontstyle11"/>
          <w:rFonts w:ascii="宋体" w:eastAsia="宋体" w:hAnsi="宋体"/>
          <w:sz w:val="24"/>
          <w:szCs w:val="24"/>
        </w:rPr>
        <w:t xml:space="preserve"> </w:t>
      </w:r>
      <w:r w:rsidRPr="00A97913">
        <w:rPr>
          <w:rStyle w:val="fontstyle11"/>
          <w:rFonts w:ascii="宋体" w:eastAsia="宋体" w:hAnsi="宋体"/>
          <w:sz w:val="24"/>
          <w:szCs w:val="24"/>
        </w:rPr>
        <w:t>年 12 月 25 日召开董事会，审议通过</w:t>
      </w:r>
      <w:r w:rsidRPr="00A97913">
        <w:rPr>
          <w:rStyle w:val="fontstyle11"/>
          <w:rFonts w:ascii="宋体" w:eastAsia="宋体" w:hAnsi="宋体" w:hint="eastAsia"/>
          <w:sz w:val="24"/>
          <w:szCs w:val="24"/>
        </w:rPr>
        <w:t>《</w:t>
      </w:r>
      <w:r w:rsidRPr="00A97913">
        <w:rPr>
          <w:rStyle w:val="fontstyle11"/>
          <w:rFonts w:ascii="宋体" w:eastAsia="宋体" w:hAnsi="宋体"/>
          <w:sz w:val="24"/>
          <w:szCs w:val="24"/>
        </w:rPr>
        <w:t>关于变更会计师事务所的议案》，12 月 29 日披露了《关于变</w:t>
      </w:r>
      <w:r w:rsidRPr="00A97913">
        <w:rPr>
          <w:rStyle w:val="fontstyle11"/>
          <w:rFonts w:ascii="宋体" w:eastAsia="宋体" w:hAnsi="宋体" w:hint="eastAsia"/>
          <w:sz w:val="24"/>
          <w:szCs w:val="24"/>
        </w:rPr>
        <w:t>更会计师事务所的公告》</w:t>
      </w:r>
      <w:r w:rsidRPr="00A97913">
        <w:rPr>
          <w:rStyle w:val="fontstyle11"/>
          <w:rFonts w:ascii="宋体" w:eastAsia="宋体" w:hAnsi="宋体"/>
          <w:sz w:val="24"/>
          <w:szCs w:val="24"/>
        </w:rPr>
        <w:t>。甲公司于 20X3 年 1 月 7 日披露 20X3</w:t>
      </w:r>
      <w:r w:rsidR="00C32AFA">
        <w:rPr>
          <w:rStyle w:val="fontstyle11"/>
          <w:rFonts w:ascii="宋体" w:eastAsia="宋体" w:hAnsi="宋体"/>
          <w:sz w:val="24"/>
          <w:szCs w:val="24"/>
        </w:rPr>
        <w:t xml:space="preserve"> </w:t>
      </w:r>
      <w:r w:rsidRPr="00A97913">
        <w:rPr>
          <w:rStyle w:val="fontstyle11"/>
          <w:rFonts w:ascii="宋体" w:eastAsia="宋体" w:hAnsi="宋体" w:hint="eastAsia"/>
          <w:sz w:val="24"/>
          <w:szCs w:val="24"/>
        </w:rPr>
        <w:t>年第一次临时股东大会会议资料</w:t>
      </w:r>
      <w:r>
        <w:rPr>
          <w:rStyle w:val="fontstyle11"/>
          <w:rFonts w:ascii="宋体" w:eastAsia="宋体" w:hAnsi="宋体" w:hint="eastAsia"/>
          <w:sz w:val="24"/>
          <w:szCs w:val="24"/>
        </w:rPr>
        <w:t>，</w:t>
      </w:r>
      <w:r w:rsidRPr="00A97913">
        <w:rPr>
          <w:rStyle w:val="fontstyle11"/>
          <w:rFonts w:ascii="宋体" w:eastAsia="宋体" w:hAnsi="宋体"/>
          <w:sz w:val="24"/>
          <w:szCs w:val="24"/>
        </w:rPr>
        <w:t>并于 1 月 16 日召开 20X3 年第</w:t>
      </w:r>
      <w:r w:rsidRPr="00A97913">
        <w:rPr>
          <w:rStyle w:val="fontstyle11"/>
          <w:rFonts w:ascii="宋体" w:eastAsia="宋体" w:hAnsi="宋体" w:hint="eastAsia"/>
          <w:sz w:val="24"/>
          <w:szCs w:val="24"/>
        </w:rPr>
        <w:t>一次临时股东大会审议通过变更会计师事务所的议案。</w:t>
      </w:r>
      <w:r w:rsidRPr="00A97913">
        <w:rPr>
          <w:rStyle w:val="fontstyle11"/>
          <w:rFonts w:ascii="宋体" w:eastAsia="宋体" w:hAnsi="宋体"/>
          <w:sz w:val="24"/>
          <w:szCs w:val="24"/>
        </w:rPr>
        <w:t>议案表</w:t>
      </w:r>
      <w:r w:rsidRPr="00A97913">
        <w:rPr>
          <w:rStyle w:val="fontstyle11"/>
          <w:rFonts w:ascii="宋体" w:eastAsia="宋体" w:hAnsi="宋体" w:hint="eastAsia"/>
          <w:sz w:val="24"/>
          <w:szCs w:val="24"/>
        </w:rPr>
        <w:t>明，</w:t>
      </w:r>
      <w:r w:rsidRPr="00A97913">
        <w:rPr>
          <w:rStyle w:val="fontstyle11"/>
          <w:rFonts w:ascii="宋体" w:eastAsia="宋体" w:hAnsi="宋体"/>
          <w:sz w:val="24"/>
          <w:szCs w:val="24"/>
        </w:rPr>
        <w:t>新聘任的年审机构 A 会计师事务所及项目签字合伙人 B 某近</w:t>
      </w:r>
      <w:r w:rsidRPr="00A97913">
        <w:rPr>
          <w:rStyle w:val="fontstyle11"/>
          <w:rFonts w:ascii="宋体" w:eastAsia="宋体" w:hAnsi="宋体" w:hint="eastAsia"/>
          <w:sz w:val="24"/>
          <w:szCs w:val="24"/>
        </w:rPr>
        <w:t>三年不存在因执业行为受到监管部门处罚的情况。</w:t>
      </w:r>
      <w:r w:rsidRPr="00A97913">
        <w:rPr>
          <w:rStyle w:val="fontstyle11"/>
          <w:rFonts w:ascii="宋体" w:eastAsia="宋体" w:hAnsi="宋体"/>
          <w:sz w:val="24"/>
          <w:szCs w:val="24"/>
        </w:rPr>
        <w:t>但事后发现，</w:t>
      </w:r>
      <w:r w:rsidRPr="00A97913">
        <w:rPr>
          <w:rStyle w:val="fontstyle11"/>
          <w:rFonts w:ascii="宋体" w:eastAsia="宋体" w:hAnsi="宋体" w:hint="eastAsia"/>
          <w:sz w:val="24"/>
          <w:szCs w:val="24"/>
        </w:rPr>
        <w:t>相关监管部门在</w:t>
      </w:r>
      <w:r w:rsidRPr="00A97913">
        <w:rPr>
          <w:rStyle w:val="fontstyle11"/>
          <w:rFonts w:ascii="宋体" w:eastAsia="宋体" w:hAnsi="宋体"/>
          <w:sz w:val="24"/>
          <w:szCs w:val="24"/>
        </w:rPr>
        <w:t xml:space="preserve"> 20X2 年 12 月 31 日对 A 会计师事务所及 B 某出</w:t>
      </w:r>
      <w:r w:rsidRPr="00A97913">
        <w:rPr>
          <w:rStyle w:val="fontstyle11"/>
          <w:rFonts w:ascii="宋体" w:eastAsia="宋体" w:hAnsi="宋体" w:hint="eastAsia"/>
          <w:sz w:val="24"/>
          <w:szCs w:val="24"/>
        </w:rPr>
        <w:t>具了行政处罚决定，</w:t>
      </w:r>
      <w:r w:rsidRPr="00A97913">
        <w:rPr>
          <w:rStyle w:val="fontstyle11"/>
          <w:rFonts w:ascii="宋体" w:eastAsia="宋体" w:hAnsi="宋体"/>
          <w:sz w:val="24"/>
          <w:szCs w:val="24"/>
        </w:rPr>
        <w:t>A 会计师事务所及 B 某也已于 1 月 9 日签收</w:t>
      </w:r>
      <w:r w:rsidRPr="00A97913">
        <w:rPr>
          <w:rStyle w:val="fontstyle11"/>
          <w:rFonts w:ascii="宋体" w:eastAsia="宋体" w:hAnsi="宋体" w:hint="eastAsia"/>
          <w:sz w:val="24"/>
          <w:szCs w:val="24"/>
        </w:rPr>
        <w:t>了行政处罚决定书。</w:t>
      </w:r>
      <w:r w:rsidRPr="00A97913">
        <w:rPr>
          <w:rStyle w:val="fontstyle11"/>
          <w:rFonts w:ascii="宋体" w:eastAsia="宋体" w:hAnsi="宋体"/>
          <w:sz w:val="24"/>
          <w:szCs w:val="24"/>
        </w:rPr>
        <w:t>A 会计师事务所及 B 某未将上述情况及时告</w:t>
      </w:r>
      <w:r w:rsidRPr="00A97913">
        <w:rPr>
          <w:rStyle w:val="fontstyle11"/>
          <w:rFonts w:ascii="宋体" w:eastAsia="宋体" w:hAnsi="宋体" w:hint="eastAsia"/>
          <w:sz w:val="24"/>
          <w:szCs w:val="24"/>
        </w:rPr>
        <w:t>知上市公司，</w:t>
      </w:r>
      <w:r w:rsidRPr="00A97913">
        <w:rPr>
          <w:rStyle w:val="fontstyle11"/>
          <w:rFonts w:ascii="宋体" w:eastAsia="宋体" w:hAnsi="宋体"/>
          <w:sz w:val="24"/>
          <w:szCs w:val="24"/>
        </w:rPr>
        <w:t>上述做法是否恰当？</w:t>
      </w:r>
    </w:p>
    <w:p w14:paraId="616487E0" w14:textId="77777777"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问题</w:t>
      </w:r>
      <w:r w:rsidR="00202CB1" w:rsidRPr="00202CB1">
        <w:rPr>
          <w:rStyle w:val="fontstyle01"/>
          <w:rFonts w:ascii="宋体" w:eastAsia="宋体" w:hAnsi="宋体" w:hint="default"/>
          <w:b/>
          <w:bCs/>
          <w:sz w:val="24"/>
          <w:szCs w:val="24"/>
        </w:rPr>
        <w:t>：</w:t>
      </w:r>
    </w:p>
    <w:p w14:paraId="3B38E72C" w14:textId="126FC7E2" w:rsidR="00202CB1" w:rsidRPr="00087EF2" w:rsidRDefault="00A97913" w:rsidP="00A97913">
      <w:pPr>
        <w:spacing w:line="360" w:lineRule="auto"/>
        <w:ind w:firstLineChars="200" w:firstLine="480"/>
        <w:rPr>
          <w:rStyle w:val="fontstyle01"/>
          <w:rFonts w:ascii="宋体" w:eastAsia="宋体" w:hAnsi="宋体" w:hint="default"/>
          <w:sz w:val="24"/>
          <w:szCs w:val="24"/>
        </w:rPr>
      </w:pPr>
      <w:r w:rsidRPr="00A97913">
        <w:rPr>
          <w:rStyle w:val="fontstyle01"/>
          <w:rFonts w:ascii="宋体" w:eastAsia="宋体" w:hAnsi="宋体" w:hint="default"/>
          <w:sz w:val="24"/>
          <w:szCs w:val="24"/>
        </w:rPr>
        <w:t>上市公司会计师事务所及签字会计师收到监管部门的处罚，应当如何履行信息披露义务？</w:t>
      </w:r>
    </w:p>
    <w:p w14:paraId="03FA7B1C" w14:textId="77777777"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具体分析</w:t>
      </w:r>
      <w:r w:rsidR="00202CB1" w:rsidRPr="00202CB1">
        <w:rPr>
          <w:rStyle w:val="fontstyle01"/>
          <w:rFonts w:ascii="宋体" w:eastAsia="宋体" w:hAnsi="宋体" w:hint="default"/>
          <w:b/>
          <w:bCs/>
          <w:sz w:val="24"/>
          <w:szCs w:val="24"/>
        </w:rPr>
        <w:t>：</w:t>
      </w:r>
    </w:p>
    <w:p w14:paraId="0CEC8D27" w14:textId="076F0C44" w:rsidR="00A97913" w:rsidRDefault="00A97913" w:rsidP="006F383F">
      <w:pPr>
        <w:spacing w:line="360" w:lineRule="auto"/>
        <w:ind w:firstLineChars="200" w:firstLine="480"/>
        <w:rPr>
          <w:rStyle w:val="fontstyle01"/>
          <w:rFonts w:ascii="宋体" w:eastAsia="宋体" w:hAnsi="宋体" w:hint="default"/>
          <w:sz w:val="24"/>
          <w:szCs w:val="24"/>
        </w:rPr>
      </w:pPr>
      <w:r w:rsidRPr="00A97913">
        <w:rPr>
          <w:rStyle w:val="fontstyle01"/>
          <w:rFonts w:ascii="宋体" w:eastAsia="宋体" w:hAnsi="宋体" w:hint="default"/>
          <w:sz w:val="24"/>
          <w:szCs w:val="24"/>
        </w:rPr>
        <w:t>根据《上海证券交易所股票上市规则（</w:t>
      </w:r>
      <w:r w:rsidR="00C32AFA">
        <w:rPr>
          <w:rStyle w:val="fontstyle01"/>
          <w:rFonts w:ascii="宋体" w:eastAsia="宋体" w:hAnsi="宋体" w:hint="default"/>
          <w:sz w:val="24"/>
          <w:szCs w:val="24"/>
        </w:rPr>
        <w:t xml:space="preserve"> </w:t>
      </w:r>
      <w:r w:rsidRPr="00A97913">
        <w:rPr>
          <w:rStyle w:val="fontstyle01"/>
          <w:rFonts w:ascii="宋体" w:eastAsia="宋体" w:hAnsi="宋体" w:hint="default"/>
          <w:sz w:val="24"/>
          <w:szCs w:val="24"/>
        </w:rPr>
        <w:t>2022 年 1 月修订）》</w:t>
      </w:r>
      <w:r>
        <w:rPr>
          <w:rStyle w:val="fontstyle01"/>
          <w:rFonts w:ascii="宋体" w:eastAsia="宋体" w:hAnsi="宋体" w:hint="default"/>
          <w:sz w:val="24"/>
          <w:szCs w:val="24"/>
        </w:rPr>
        <w:t xml:space="preserve"> </w:t>
      </w:r>
      <w:r w:rsidRPr="00A97913">
        <w:rPr>
          <w:rStyle w:val="fontstyle01"/>
          <w:rFonts w:ascii="宋体" w:eastAsia="宋体" w:hAnsi="宋体" w:hint="default"/>
          <w:sz w:val="24"/>
          <w:szCs w:val="24"/>
        </w:rPr>
        <w:t>（以下简称《 股票上市规则》）第 1.4 条、第 2.1.3 条的规定，中介机构等相关信息披露义务人应当按照有关规定履行信息披露义务，并积极配合上市公司做好信息披露工作，及时告知公司已发生或者拟发生的可能对公司股票及其衍生品种交易价格产生较大影响的事项。本案例中，A</w:t>
      </w:r>
      <w:r w:rsidR="00C32AFA">
        <w:rPr>
          <w:rStyle w:val="fontstyle01"/>
          <w:rFonts w:ascii="宋体" w:eastAsia="宋体" w:hAnsi="宋体" w:hint="default"/>
          <w:sz w:val="24"/>
          <w:szCs w:val="24"/>
        </w:rPr>
        <w:t xml:space="preserve"> </w:t>
      </w:r>
      <w:r w:rsidRPr="00A97913">
        <w:rPr>
          <w:rStyle w:val="fontstyle01"/>
          <w:rFonts w:ascii="宋体" w:eastAsia="宋体" w:hAnsi="宋体" w:hint="default"/>
          <w:sz w:val="24"/>
          <w:szCs w:val="24"/>
        </w:rPr>
        <w:t>会计师事务所及 B 某在股东大会召开前已签收并知悉自身受到行政处罚的情况，但未在股东大会召开前及时告知上市公司， 未积极配合上市公司做好信上海证券交易所会计监管动态息披露工作，违反了前述规则的相关规定。审计机构属于《股票上市规则》规范的信息披露义务人，应当按照相关规则积极配合上市公司做好信息披露工作。</w:t>
      </w:r>
    </w:p>
    <w:p w14:paraId="66D64D18" w14:textId="77777777" w:rsidR="00087EF2" w:rsidRDefault="00087EF2" w:rsidP="00202CB1">
      <w:pPr>
        <w:spacing w:line="360" w:lineRule="auto"/>
        <w:ind w:firstLineChars="200" w:firstLine="480"/>
        <w:rPr>
          <w:rStyle w:val="fontstyle01"/>
          <w:rFonts w:ascii="宋体" w:eastAsia="宋体" w:hAnsi="宋体" w:hint="default"/>
          <w:sz w:val="24"/>
          <w:szCs w:val="24"/>
        </w:rPr>
      </w:pPr>
    </w:p>
    <w:sectPr w:rsidR="00087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5C1A" w14:textId="77777777" w:rsidR="00C57C48" w:rsidRDefault="00C57C48" w:rsidP="00087EF2">
      <w:r>
        <w:separator/>
      </w:r>
    </w:p>
  </w:endnote>
  <w:endnote w:type="continuationSeparator" w:id="0">
    <w:p w14:paraId="4377B4FF" w14:textId="77777777" w:rsidR="00C57C48" w:rsidRDefault="00C57C48" w:rsidP="000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TimesNewRomanPSMT">
    <w:altName w:val="Times New Roman"/>
    <w:panose1 w:val="00000000000000000000"/>
    <w:charset w:val="00"/>
    <w:family w:val="roman"/>
    <w:notTrueType/>
    <w:pitch w:val="default"/>
  </w:font>
  <w:font w:name="MicrosoftYaHe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A7CC" w14:textId="77777777" w:rsidR="00C57C48" w:rsidRDefault="00C57C48" w:rsidP="00087EF2">
      <w:r>
        <w:separator/>
      </w:r>
    </w:p>
  </w:footnote>
  <w:footnote w:type="continuationSeparator" w:id="0">
    <w:p w14:paraId="057DFDB8" w14:textId="77777777" w:rsidR="00C57C48" w:rsidRDefault="00C57C48" w:rsidP="0008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14"/>
    <w:rsid w:val="00087EF2"/>
    <w:rsid w:val="00202CB1"/>
    <w:rsid w:val="0032607B"/>
    <w:rsid w:val="006F383F"/>
    <w:rsid w:val="0078558B"/>
    <w:rsid w:val="009A41A7"/>
    <w:rsid w:val="00A74506"/>
    <w:rsid w:val="00A97913"/>
    <w:rsid w:val="00C32AFA"/>
    <w:rsid w:val="00C57C48"/>
    <w:rsid w:val="00D07514"/>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287B"/>
  <w15:chartTrackingRefBased/>
  <w15:docId w15:val="{2D5C1F98-E07B-41ED-AF97-67981D00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07514"/>
    <w:rPr>
      <w:rFonts w:ascii="华文仿宋" w:eastAsia="华文仿宋" w:hAnsi="华文仿宋" w:hint="eastAsia"/>
      <w:b w:val="0"/>
      <w:bCs w:val="0"/>
      <w:i w:val="0"/>
      <w:iCs w:val="0"/>
      <w:color w:val="000000"/>
      <w:sz w:val="30"/>
      <w:szCs w:val="30"/>
    </w:rPr>
  </w:style>
  <w:style w:type="character" w:customStyle="1" w:styleId="fontstyle11">
    <w:name w:val="fontstyle11"/>
    <w:basedOn w:val="a0"/>
    <w:rsid w:val="00D07514"/>
    <w:rPr>
      <w:rFonts w:ascii="TimesNewRomanPSMT" w:hAnsi="TimesNewRomanPSMT" w:hint="default"/>
      <w:b w:val="0"/>
      <w:bCs w:val="0"/>
      <w:i w:val="0"/>
      <w:iCs w:val="0"/>
      <w:color w:val="000000"/>
      <w:sz w:val="28"/>
      <w:szCs w:val="28"/>
    </w:rPr>
  </w:style>
  <w:style w:type="character" w:customStyle="1" w:styleId="fontstyle31">
    <w:name w:val="fontstyle31"/>
    <w:basedOn w:val="a0"/>
    <w:rsid w:val="00D07514"/>
    <w:rPr>
      <w:rFonts w:ascii="MicrosoftYaHei" w:hAnsi="MicrosoftYaHei" w:hint="default"/>
      <w:b w:val="0"/>
      <w:bCs w:val="0"/>
      <w:i w:val="0"/>
      <w:iCs w:val="0"/>
      <w:color w:val="000000"/>
      <w:sz w:val="16"/>
      <w:szCs w:val="16"/>
    </w:rPr>
  </w:style>
  <w:style w:type="character" w:customStyle="1" w:styleId="fontstyle41">
    <w:name w:val="fontstyle41"/>
    <w:basedOn w:val="a0"/>
    <w:rsid w:val="00D07514"/>
    <w:rPr>
      <w:rFonts w:ascii="Calibri" w:hAnsi="Calibri" w:cs="Calibri" w:hint="default"/>
      <w:b w:val="0"/>
      <w:bCs w:val="0"/>
      <w:i w:val="0"/>
      <w:iCs w:val="0"/>
      <w:color w:val="000000"/>
      <w:sz w:val="18"/>
      <w:szCs w:val="18"/>
    </w:rPr>
  </w:style>
  <w:style w:type="paragraph" w:styleId="a3">
    <w:name w:val="header"/>
    <w:basedOn w:val="a"/>
    <w:link w:val="a4"/>
    <w:uiPriority w:val="99"/>
    <w:unhideWhenUsed/>
    <w:rsid w:val="00087EF2"/>
    <w:pPr>
      <w:tabs>
        <w:tab w:val="center" w:pos="4153"/>
        <w:tab w:val="right" w:pos="8306"/>
      </w:tabs>
      <w:snapToGrid w:val="0"/>
      <w:jc w:val="center"/>
    </w:pPr>
    <w:rPr>
      <w:sz w:val="18"/>
      <w:szCs w:val="18"/>
    </w:rPr>
  </w:style>
  <w:style w:type="character" w:customStyle="1" w:styleId="a4">
    <w:name w:val="页眉 字符"/>
    <w:basedOn w:val="a0"/>
    <w:link w:val="a3"/>
    <w:uiPriority w:val="99"/>
    <w:rsid w:val="00087EF2"/>
    <w:rPr>
      <w:sz w:val="18"/>
      <w:szCs w:val="18"/>
    </w:rPr>
  </w:style>
  <w:style w:type="paragraph" w:styleId="a5">
    <w:name w:val="footer"/>
    <w:basedOn w:val="a"/>
    <w:link w:val="a6"/>
    <w:uiPriority w:val="99"/>
    <w:unhideWhenUsed/>
    <w:rsid w:val="00087EF2"/>
    <w:pPr>
      <w:tabs>
        <w:tab w:val="center" w:pos="4153"/>
        <w:tab w:val="right" w:pos="8306"/>
      </w:tabs>
      <w:snapToGrid w:val="0"/>
      <w:jc w:val="left"/>
    </w:pPr>
    <w:rPr>
      <w:sz w:val="18"/>
      <w:szCs w:val="18"/>
    </w:rPr>
  </w:style>
  <w:style w:type="character" w:customStyle="1" w:styleId="a6">
    <w:name w:val="页脚 字符"/>
    <w:basedOn w:val="a0"/>
    <w:link w:val="a5"/>
    <w:uiPriority w:val="99"/>
    <w:rsid w:val="00087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JONTEN JONTEN</cp:lastModifiedBy>
  <cp:revision>6</cp:revision>
  <dcterms:created xsi:type="dcterms:W3CDTF">2023-08-02T03:01:00Z</dcterms:created>
  <dcterms:modified xsi:type="dcterms:W3CDTF">2023-12-21T08:02:00Z</dcterms:modified>
</cp:coreProperties>
</file>