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8EA8" w14:textId="55DB0DB3" w:rsidR="00202CB1" w:rsidRDefault="007B4DA0" w:rsidP="000E583C">
      <w:pPr>
        <w:spacing w:afterLines="100" w:after="312" w:line="360" w:lineRule="auto"/>
        <w:jc w:val="center"/>
        <w:rPr>
          <w:rStyle w:val="fontstyle01"/>
          <w:rFonts w:ascii="黑体" w:eastAsia="黑体" w:hAnsi="黑体" w:hint="default"/>
        </w:rPr>
      </w:pPr>
      <w:r w:rsidRPr="007B4DA0">
        <w:rPr>
          <w:rStyle w:val="fontstyle01"/>
          <w:rFonts w:ascii="黑体" w:eastAsia="黑体" w:hAnsi="黑体"/>
        </w:rPr>
        <w:t>关于</w:t>
      </w:r>
      <w:r w:rsidR="00E07F33" w:rsidRPr="00E07F33">
        <w:rPr>
          <w:rStyle w:val="fontstyle01"/>
          <w:rFonts w:ascii="黑体" w:eastAsia="黑体" w:hAnsi="黑体"/>
        </w:rPr>
        <w:t>与汇率挂钩的结构性存款分类</w:t>
      </w:r>
      <w:r w:rsidR="00023A7C" w:rsidRPr="00023A7C">
        <w:rPr>
          <w:rStyle w:val="fontstyle01"/>
          <w:rFonts w:ascii="黑体" w:eastAsia="黑体" w:hAnsi="黑体"/>
        </w:rPr>
        <w:t>处理</w:t>
      </w:r>
    </w:p>
    <w:p w14:paraId="032AA862" w14:textId="7DAEB273" w:rsidR="00202CB1" w:rsidRP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案例背景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DC6B1AC" w14:textId="68B287B6" w:rsidR="00F032E1" w:rsidRDefault="00E07F33" w:rsidP="00E07F33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E07F33">
        <w:rPr>
          <w:rStyle w:val="fontstyle11"/>
          <w:rFonts w:ascii="宋体" w:eastAsia="宋体" w:hAnsi="宋体"/>
          <w:sz w:val="24"/>
          <w:szCs w:val="24"/>
        </w:rPr>
        <w:t>A 公司购买某款结构性理财产品，拟持有至到期。根据其产品说</w:t>
      </w:r>
      <w:r w:rsidRPr="00E07F33">
        <w:rPr>
          <w:rStyle w:val="fontstyle11"/>
          <w:rFonts w:ascii="宋体" w:eastAsia="宋体" w:hAnsi="宋体" w:hint="eastAsia"/>
          <w:sz w:val="24"/>
          <w:szCs w:val="24"/>
        </w:rPr>
        <w:t>明书，</w:t>
      </w:r>
      <w:r w:rsidRPr="00E07F33">
        <w:rPr>
          <w:rStyle w:val="fontstyle11"/>
          <w:rFonts w:ascii="宋体" w:eastAsia="宋体" w:hAnsi="宋体"/>
          <w:sz w:val="24"/>
          <w:szCs w:val="24"/>
        </w:rPr>
        <w:t>该产品与欧元兑美元中间价挂钩。具体条款为，若观察期内欧</w:t>
      </w:r>
      <w:r w:rsidRPr="00E07F33">
        <w:rPr>
          <w:rStyle w:val="fontstyle11"/>
          <w:rFonts w:ascii="宋体" w:eastAsia="宋体" w:hAnsi="宋体" w:hint="eastAsia"/>
          <w:sz w:val="24"/>
          <w:szCs w:val="24"/>
        </w:rPr>
        <w:t>元兑美元价格一直处于目标区间内，</w:t>
      </w:r>
      <w:r w:rsidRPr="00E07F33">
        <w:rPr>
          <w:rStyle w:val="fontstyle11"/>
          <w:rFonts w:ascii="宋体" w:eastAsia="宋体" w:hAnsi="宋体"/>
          <w:sz w:val="24"/>
          <w:szCs w:val="24"/>
        </w:rPr>
        <w:t>则客户可获得</w:t>
      </w:r>
      <w:proofErr w:type="gramStart"/>
      <w:r w:rsidRPr="00E07F33">
        <w:rPr>
          <w:rStyle w:val="fontstyle11"/>
          <w:rFonts w:ascii="宋体" w:eastAsia="宋体" w:hAnsi="宋体"/>
          <w:sz w:val="24"/>
          <w:szCs w:val="24"/>
        </w:rPr>
        <w:t>最高年化预期</w:t>
      </w:r>
      <w:proofErr w:type="gramEnd"/>
      <w:r w:rsidRPr="00E07F33">
        <w:rPr>
          <w:rStyle w:val="fontstyle11"/>
          <w:rFonts w:ascii="宋体" w:eastAsia="宋体" w:hAnsi="宋体"/>
          <w:sz w:val="24"/>
          <w:szCs w:val="24"/>
        </w:rPr>
        <w:t>收益</w:t>
      </w:r>
      <w:r w:rsidRPr="00E07F33">
        <w:rPr>
          <w:rStyle w:val="fontstyle11"/>
          <w:rFonts w:ascii="宋体" w:eastAsia="宋体" w:hAnsi="宋体" w:hint="eastAsia"/>
          <w:sz w:val="24"/>
          <w:szCs w:val="24"/>
        </w:rPr>
        <w:t>率</w:t>
      </w:r>
      <w:r w:rsidRPr="00E07F33">
        <w:rPr>
          <w:rStyle w:val="fontstyle11"/>
          <w:rFonts w:ascii="宋体" w:eastAsia="宋体" w:hAnsi="宋体"/>
          <w:sz w:val="24"/>
          <w:szCs w:val="24"/>
        </w:rPr>
        <w:t xml:space="preserve"> 4%；若观察期内欧元兑美元价格一直处于目标区间外，则客户可</w:t>
      </w:r>
      <w:r w:rsidRPr="00E07F33">
        <w:rPr>
          <w:rStyle w:val="fontstyle11"/>
          <w:rFonts w:ascii="宋体" w:eastAsia="宋体" w:hAnsi="宋体" w:hint="eastAsia"/>
          <w:sz w:val="24"/>
          <w:szCs w:val="24"/>
        </w:rPr>
        <w:t>获得</w:t>
      </w:r>
      <w:proofErr w:type="gramStart"/>
      <w:r w:rsidRPr="00E07F33">
        <w:rPr>
          <w:rStyle w:val="fontstyle11"/>
          <w:rFonts w:ascii="宋体" w:eastAsia="宋体" w:hAnsi="宋体" w:hint="eastAsia"/>
          <w:sz w:val="24"/>
          <w:szCs w:val="24"/>
        </w:rPr>
        <w:t>最低年化预期</w:t>
      </w:r>
      <w:proofErr w:type="gramEnd"/>
      <w:r w:rsidRPr="00E07F33">
        <w:rPr>
          <w:rStyle w:val="fontstyle11"/>
          <w:rFonts w:ascii="宋体" w:eastAsia="宋体" w:hAnsi="宋体" w:hint="eastAsia"/>
          <w:sz w:val="24"/>
          <w:szCs w:val="24"/>
        </w:rPr>
        <w:t>收益率</w:t>
      </w:r>
      <w:r w:rsidRPr="00E07F33">
        <w:rPr>
          <w:rStyle w:val="fontstyle11"/>
          <w:rFonts w:ascii="宋体" w:eastAsia="宋体" w:hAnsi="宋体"/>
          <w:sz w:val="24"/>
          <w:szCs w:val="24"/>
        </w:rPr>
        <w:t xml:space="preserve"> 1.5%；若观察期内欧元兑美元价格曾处于</w:t>
      </w:r>
      <w:r w:rsidRPr="00E07F33">
        <w:rPr>
          <w:rStyle w:val="fontstyle11"/>
          <w:rFonts w:ascii="宋体" w:eastAsia="宋体" w:hAnsi="宋体" w:hint="eastAsia"/>
          <w:sz w:val="24"/>
          <w:szCs w:val="24"/>
        </w:rPr>
        <w:t>目标区间外，</w:t>
      </w:r>
      <w:r w:rsidRPr="00E07F33">
        <w:rPr>
          <w:rStyle w:val="fontstyle11"/>
          <w:rFonts w:ascii="宋体" w:eastAsia="宋体" w:hAnsi="宋体"/>
          <w:sz w:val="24"/>
          <w:szCs w:val="24"/>
        </w:rPr>
        <w:t>则</w:t>
      </w:r>
      <w:proofErr w:type="gramStart"/>
      <w:r w:rsidRPr="00E07F33">
        <w:rPr>
          <w:rStyle w:val="fontstyle11"/>
          <w:rFonts w:ascii="宋体" w:eastAsia="宋体" w:hAnsi="宋体"/>
          <w:sz w:val="24"/>
          <w:szCs w:val="24"/>
        </w:rPr>
        <w:t>产品年化预期</w:t>
      </w:r>
      <w:proofErr w:type="gramEnd"/>
      <w:r w:rsidRPr="00E07F33">
        <w:rPr>
          <w:rStyle w:val="fontstyle11"/>
          <w:rFonts w:ascii="宋体" w:eastAsia="宋体" w:hAnsi="宋体"/>
          <w:sz w:val="24"/>
          <w:szCs w:val="24"/>
        </w:rPr>
        <w:t>收益率为 1.5%-4%</w:t>
      </w:r>
      <w:r>
        <w:rPr>
          <w:rStyle w:val="fontstyle11"/>
          <w:rFonts w:ascii="宋体" w:eastAsia="宋体" w:hAnsi="宋体"/>
          <w:sz w:val="24"/>
          <w:szCs w:val="24"/>
        </w:rPr>
        <w:t xml:space="preserve"> </w:t>
      </w:r>
      <w:r w:rsidRPr="00E07F33">
        <w:rPr>
          <w:rStyle w:val="fontstyle11"/>
          <w:rFonts w:ascii="宋体" w:eastAsia="宋体" w:hAnsi="宋体"/>
          <w:sz w:val="24"/>
          <w:szCs w:val="24"/>
        </w:rPr>
        <w:t>。A 公司将该款结构</w:t>
      </w:r>
      <w:r w:rsidRPr="00E07F33">
        <w:rPr>
          <w:rStyle w:val="fontstyle11"/>
          <w:rFonts w:ascii="宋体" w:eastAsia="宋体" w:hAnsi="宋体" w:hint="eastAsia"/>
          <w:sz w:val="24"/>
          <w:szCs w:val="24"/>
        </w:rPr>
        <w:t>性产品分类为以摊</w:t>
      </w:r>
      <w:proofErr w:type="gramStart"/>
      <w:r w:rsidRPr="00E07F33">
        <w:rPr>
          <w:rStyle w:val="fontstyle11"/>
          <w:rFonts w:ascii="宋体" w:eastAsia="宋体" w:hAnsi="宋体" w:hint="eastAsia"/>
          <w:sz w:val="24"/>
          <w:szCs w:val="24"/>
        </w:rPr>
        <w:t>余成本</w:t>
      </w:r>
      <w:proofErr w:type="gramEnd"/>
      <w:r w:rsidRPr="00E07F33">
        <w:rPr>
          <w:rStyle w:val="fontstyle11"/>
          <w:rFonts w:ascii="宋体" w:eastAsia="宋体" w:hAnsi="宋体" w:hint="eastAsia"/>
          <w:sz w:val="24"/>
          <w:szCs w:val="24"/>
        </w:rPr>
        <w:t>计量的金融资产，</w:t>
      </w:r>
      <w:r w:rsidRPr="00E07F33">
        <w:rPr>
          <w:rStyle w:val="fontstyle11"/>
          <w:rFonts w:ascii="宋体" w:eastAsia="宋体" w:hAnsi="宋体"/>
          <w:sz w:val="24"/>
          <w:szCs w:val="24"/>
        </w:rPr>
        <w:t>并列报为其他流动资产</w:t>
      </w:r>
      <w:r w:rsidR="007142A9" w:rsidRPr="007142A9">
        <w:rPr>
          <w:rStyle w:val="fontstyle11"/>
          <w:rFonts w:ascii="宋体" w:eastAsia="宋体" w:hAnsi="宋体" w:hint="eastAsia"/>
          <w:sz w:val="24"/>
          <w:szCs w:val="24"/>
        </w:rPr>
        <w:t>。</w:t>
      </w:r>
    </w:p>
    <w:p w14:paraId="616487E0" w14:textId="77777777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问题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BFBF0F5" w14:textId="67B79E75" w:rsidR="00BE4B09" w:rsidRPr="00F44368" w:rsidRDefault="00E07F33" w:rsidP="009E3F21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E07F33">
        <w:rPr>
          <w:rStyle w:val="fontstyle01"/>
          <w:rFonts w:ascii="宋体" w:eastAsia="宋体" w:hAnsi="宋体" w:hint="default"/>
          <w:sz w:val="24"/>
          <w:szCs w:val="24"/>
        </w:rPr>
        <w:t>A 公司关于结构性存款的会计处理是否正确</w:t>
      </w:r>
      <w:r w:rsidR="007B4DA0">
        <w:rPr>
          <w:rStyle w:val="fontstyle01"/>
          <w:rFonts w:ascii="宋体" w:eastAsia="宋体" w:hAnsi="宋体"/>
          <w:sz w:val="24"/>
          <w:szCs w:val="24"/>
        </w:rPr>
        <w:t>？</w:t>
      </w:r>
    </w:p>
    <w:p w14:paraId="03FA7B1C" w14:textId="736E5D3D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具体分析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02DC8B2B" w14:textId="19BA2092" w:rsidR="00E07F33" w:rsidRPr="00E07F33" w:rsidRDefault="00E07F33" w:rsidP="00E07F33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E07F33">
        <w:rPr>
          <w:rStyle w:val="fontstyle01"/>
          <w:rFonts w:ascii="宋体" w:eastAsia="宋体" w:hAnsi="宋体"/>
          <w:sz w:val="24"/>
          <w:szCs w:val="24"/>
        </w:rPr>
        <w:t>根据《</w:t>
      </w:r>
      <w:r w:rsidRPr="00E07F33">
        <w:rPr>
          <w:rStyle w:val="fontstyle01"/>
          <w:rFonts w:ascii="宋体" w:eastAsia="宋体" w:hAnsi="宋体" w:hint="default"/>
          <w:sz w:val="24"/>
          <w:szCs w:val="24"/>
        </w:rPr>
        <w:t>企业会计准则第 22 号——金融工具确认和计量》及应用</w:t>
      </w:r>
      <w:r w:rsidRPr="00E07F33">
        <w:rPr>
          <w:rStyle w:val="fontstyle01"/>
          <w:rFonts w:ascii="宋体" w:eastAsia="宋体" w:hAnsi="宋体"/>
          <w:sz w:val="24"/>
          <w:szCs w:val="24"/>
        </w:rPr>
        <w:t>指南相关规定，</w:t>
      </w:r>
      <w:r w:rsidRPr="00E07F33">
        <w:rPr>
          <w:rStyle w:val="fontstyle01"/>
          <w:rFonts w:ascii="宋体" w:eastAsia="宋体" w:hAnsi="宋体" w:hint="default"/>
          <w:sz w:val="24"/>
          <w:szCs w:val="24"/>
        </w:rPr>
        <w:t>企业分类为摊</w:t>
      </w:r>
      <w:proofErr w:type="gramStart"/>
      <w:r w:rsidRPr="00E07F33">
        <w:rPr>
          <w:rStyle w:val="fontstyle01"/>
          <w:rFonts w:ascii="宋体" w:eastAsia="宋体" w:hAnsi="宋体" w:hint="default"/>
          <w:sz w:val="24"/>
          <w:szCs w:val="24"/>
        </w:rPr>
        <w:t>余成本</w:t>
      </w:r>
      <w:proofErr w:type="gramEnd"/>
      <w:r w:rsidRPr="00E07F33">
        <w:rPr>
          <w:rStyle w:val="fontstyle01"/>
          <w:rFonts w:ascii="宋体" w:eastAsia="宋体" w:hAnsi="宋体" w:hint="default"/>
          <w:sz w:val="24"/>
          <w:szCs w:val="24"/>
        </w:rPr>
        <w:t>计量的金融资产和以公允价值计</w:t>
      </w:r>
      <w:r w:rsidRPr="00E07F33">
        <w:rPr>
          <w:rStyle w:val="fontstyle01"/>
          <w:rFonts w:ascii="宋体" w:eastAsia="宋体" w:hAnsi="宋体"/>
          <w:sz w:val="24"/>
          <w:szCs w:val="24"/>
        </w:rPr>
        <w:t>量且其变动计入其他综合收益的金融资产，</w:t>
      </w:r>
      <w:r w:rsidRPr="00E07F33">
        <w:rPr>
          <w:rStyle w:val="fontstyle01"/>
          <w:rFonts w:ascii="宋体" w:eastAsia="宋体" w:hAnsi="宋体" w:hint="default"/>
          <w:sz w:val="24"/>
          <w:szCs w:val="24"/>
        </w:rPr>
        <w:t>其合同现金流量特征，应</w:t>
      </w:r>
      <w:r w:rsidRPr="00E07F33">
        <w:rPr>
          <w:rStyle w:val="fontstyle01"/>
          <w:rFonts w:ascii="宋体" w:eastAsia="宋体" w:hAnsi="宋体"/>
          <w:sz w:val="24"/>
          <w:szCs w:val="24"/>
        </w:rPr>
        <w:t>当与基本借贷安排相一致。</w:t>
      </w:r>
    </w:p>
    <w:p w14:paraId="3C514A6D" w14:textId="63E269D7" w:rsidR="00E07F33" w:rsidRPr="00E07F33" w:rsidRDefault="00E07F33" w:rsidP="00E07F33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E07F33">
        <w:rPr>
          <w:rStyle w:val="fontstyle01"/>
          <w:rFonts w:ascii="宋体" w:eastAsia="宋体" w:hAnsi="宋体"/>
          <w:sz w:val="24"/>
          <w:szCs w:val="24"/>
        </w:rPr>
        <w:t>企业持有的结构性存款，</w:t>
      </w:r>
      <w:r w:rsidRPr="00E07F33">
        <w:rPr>
          <w:rStyle w:val="fontstyle01"/>
          <w:rFonts w:ascii="宋体" w:eastAsia="宋体" w:hAnsi="宋体" w:hint="default"/>
          <w:sz w:val="24"/>
          <w:szCs w:val="24"/>
        </w:rPr>
        <w:t>应当按照金融资产合同现金流量特征和</w:t>
      </w:r>
      <w:r w:rsidRPr="00E07F33">
        <w:rPr>
          <w:rStyle w:val="fontstyle01"/>
          <w:rFonts w:ascii="宋体" w:eastAsia="宋体" w:hAnsi="宋体"/>
          <w:sz w:val="24"/>
          <w:szCs w:val="24"/>
        </w:rPr>
        <w:t>金融资产管理的业务模式确定其分类。</w:t>
      </w:r>
      <w:r w:rsidRPr="00E07F33">
        <w:rPr>
          <w:rStyle w:val="fontstyle01"/>
          <w:rFonts w:ascii="宋体" w:eastAsia="宋体" w:hAnsi="宋体" w:hint="default"/>
          <w:sz w:val="24"/>
          <w:szCs w:val="24"/>
        </w:rPr>
        <w:t>根据《中国银保监会办公厅关</w:t>
      </w:r>
      <w:r w:rsidRPr="00E07F33">
        <w:rPr>
          <w:rStyle w:val="fontstyle01"/>
          <w:rFonts w:ascii="宋体" w:eastAsia="宋体" w:hAnsi="宋体"/>
          <w:sz w:val="24"/>
          <w:szCs w:val="24"/>
        </w:rPr>
        <w:t>于进一步规范商业银行结构性存款业务的通知》（</w:t>
      </w:r>
      <w:r w:rsidRPr="00E07F33">
        <w:rPr>
          <w:rStyle w:val="fontstyle01"/>
          <w:rFonts w:ascii="宋体" w:eastAsia="宋体" w:hAnsi="宋体" w:hint="default"/>
          <w:sz w:val="24"/>
          <w:szCs w:val="24"/>
        </w:rPr>
        <w:t>银保监办发〔2019〕204号）对结构性存款的定义，结构性存款的收益与利率、汇率、指</w:t>
      </w:r>
      <w:r w:rsidRPr="00E07F33">
        <w:rPr>
          <w:rStyle w:val="fontstyle01"/>
          <w:rFonts w:ascii="宋体" w:eastAsia="宋体" w:hAnsi="宋体"/>
          <w:sz w:val="24"/>
          <w:szCs w:val="24"/>
        </w:rPr>
        <w:t>数等的波动挂钩或者与某实体的信用情况挂钩。符合上述定义的金融资产通常不满足合同现金流量测试，</w:t>
      </w:r>
      <w:r w:rsidRPr="00E07F33">
        <w:rPr>
          <w:rStyle w:val="fontstyle01"/>
          <w:rFonts w:ascii="宋体" w:eastAsia="宋体" w:hAnsi="宋体" w:hint="default"/>
          <w:sz w:val="24"/>
          <w:szCs w:val="24"/>
        </w:rPr>
        <w:t>企业应当将其分类为以公允价值</w:t>
      </w:r>
      <w:r w:rsidRPr="00E07F33">
        <w:rPr>
          <w:rStyle w:val="fontstyle01"/>
          <w:rFonts w:ascii="宋体" w:eastAsia="宋体" w:hAnsi="宋体"/>
          <w:sz w:val="24"/>
          <w:szCs w:val="24"/>
        </w:rPr>
        <w:t>计量且其变动计入当期损益的金融资产，</w:t>
      </w:r>
      <w:r w:rsidRPr="00E07F33">
        <w:rPr>
          <w:rStyle w:val="fontstyle01"/>
          <w:rFonts w:ascii="宋体" w:eastAsia="宋体" w:hAnsi="宋体" w:hint="default"/>
          <w:sz w:val="24"/>
          <w:szCs w:val="24"/>
        </w:rPr>
        <w:t>记入“交易性金融资产”科</w:t>
      </w:r>
      <w:r w:rsidRPr="00E07F33">
        <w:rPr>
          <w:rStyle w:val="fontstyle01"/>
          <w:rFonts w:ascii="宋体" w:eastAsia="宋体" w:hAnsi="宋体"/>
          <w:sz w:val="24"/>
          <w:szCs w:val="24"/>
        </w:rPr>
        <w:t>目。</w:t>
      </w:r>
    </w:p>
    <w:p w14:paraId="66D64D18" w14:textId="04042745" w:rsidR="00087EF2" w:rsidRPr="00010439" w:rsidRDefault="00E07F33" w:rsidP="00E07F33">
      <w:pPr>
        <w:spacing w:line="360" w:lineRule="auto"/>
        <w:ind w:firstLineChars="200" w:firstLine="480"/>
        <w:rPr>
          <w:rStyle w:val="fontstyle01"/>
          <w:rFonts w:ascii="宋体" w:eastAsia="宋体" w:hAnsi="宋体"/>
          <w:sz w:val="24"/>
          <w:szCs w:val="24"/>
        </w:rPr>
      </w:pPr>
      <w:r w:rsidRPr="00E07F33">
        <w:rPr>
          <w:rStyle w:val="fontstyle01"/>
          <w:rFonts w:ascii="宋体" w:eastAsia="宋体" w:hAnsi="宋体"/>
          <w:sz w:val="24"/>
          <w:szCs w:val="24"/>
        </w:rPr>
        <w:t>案例中，</w:t>
      </w:r>
      <w:r w:rsidRPr="00E07F33">
        <w:rPr>
          <w:rStyle w:val="fontstyle01"/>
          <w:rFonts w:ascii="宋体" w:eastAsia="宋体" w:hAnsi="宋体" w:hint="default"/>
          <w:sz w:val="24"/>
          <w:szCs w:val="24"/>
        </w:rPr>
        <w:t>A 公司购买的结构性存款与欧元兑美元的汇率挂钩，</w:t>
      </w:r>
      <w:proofErr w:type="gramStart"/>
      <w:r w:rsidRPr="00E07F33">
        <w:rPr>
          <w:rStyle w:val="fontstyle01"/>
          <w:rFonts w:ascii="宋体" w:eastAsia="宋体" w:hAnsi="宋体" w:hint="default"/>
          <w:sz w:val="24"/>
          <w:szCs w:val="24"/>
        </w:rPr>
        <w:t>年</w:t>
      </w:r>
      <w:r w:rsidRPr="00E07F33">
        <w:rPr>
          <w:rStyle w:val="fontstyle01"/>
          <w:rFonts w:ascii="宋体" w:eastAsia="宋体" w:hAnsi="宋体"/>
          <w:sz w:val="24"/>
          <w:szCs w:val="24"/>
        </w:rPr>
        <w:t>化预期</w:t>
      </w:r>
      <w:proofErr w:type="gramEnd"/>
      <w:r w:rsidRPr="00E07F33">
        <w:rPr>
          <w:rStyle w:val="fontstyle01"/>
          <w:rFonts w:ascii="宋体" w:eastAsia="宋体" w:hAnsi="宋体"/>
          <w:sz w:val="24"/>
          <w:szCs w:val="24"/>
        </w:rPr>
        <w:t>收益率在</w:t>
      </w:r>
      <w:r w:rsidRPr="00E07F33">
        <w:rPr>
          <w:rStyle w:val="fontstyle01"/>
          <w:rFonts w:ascii="宋体" w:eastAsia="宋体" w:hAnsi="宋体" w:hint="default"/>
          <w:sz w:val="24"/>
          <w:szCs w:val="24"/>
        </w:rPr>
        <w:t xml:space="preserve"> 1.5%到 4%之间波动，由于其利息具有浮动性，因此</w:t>
      </w:r>
      <w:r w:rsidRPr="00E07F33">
        <w:rPr>
          <w:rStyle w:val="fontstyle01"/>
          <w:rFonts w:ascii="宋体" w:eastAsia="宋体" w:hAnsi="宋体"/>
          <w:sz w:val="24"/>
          <w:szCs w:val="24"/>
        </w:rPr>
        <w:t>合同现金流量特征与基本借贷安排不一致，</w:t>
      </w:r>
      <w:r w:rsidRPr="00E07F33">
        <w:rPr>
          <w:rStyle w:val="fontstyle01"/>
          <w:rFonts w:ascii="宋体" w:eastAsia="宋体" w:hAnsi="宋体" w:hint="default"/>
          <w:sz w:val="24"/>
          <w:szCs w:val="24"/>
        </w:rPr>
        <w:t>不应将其分类为以摊</w:t>
      </w:r>
      <w:proofErr w:type="gramStart"/>
      <w:r w:rsidRPr="00E07F33">
        <w:rPr>
          <w:rStyle w:val="fontstyle01"/>
          <w:rFonts w:ascii="宋体" w:eastAsia="宋体" w:hAnsi="宋体" w:hint="default"/>
          <w:sz w:val="24"/>
          <w:szCs w:val="24"/>
        </w:rPr>
        <w:t>余成</w:t>
      </w:r>
      <w:r w:rsidRPr="00E07F33">
        <w:rPr>
          <w:rStyle w:val="fontstyle01"/>
          <w:rFonts w:ascii="宋体" w:eastAsia="宋体" w:hAnsi="宋体"/>
          <w:sz w:val="24"/>
          <w:szCs w:val="24"/>
        </w:rPr>
        <w:t>本</w:t>
      </w:r>
      <w:proofErr w:type="gramEnd"/>
      <w:r w:rsidRPr="00E07F33">
        <w:rPr>
          <w:rStyle w:val="fontstyle01"/>
          <w:rFonts w:ascii="宋体" w:eastAsia="宋体" w:hAnsi="宋体"/>
          <w:sz w:val="24"/>
          <w:szCs w:val="24"/>
        </w:rPr>
        <w:t>计量的金融资产，</w:t>
      </w:r>
      <w:r w:rsidRPr="00E07F33">
        <w:rPr>
          <w:rStyle w:val="fontstyle01"/>
          <w:rFonts w:ascii="宋体" w:eastAsia="宋体" w:hAnsi="宋体" w:hint="default"/>
          <w:sz w:val="24"/>
          <w:szCs w:val="24"/>
        </w:rPr>
        <w:t>应将该结构性存款整体分类为以公允价值计量且</w:t>
      </w:r>
      <w:r w:rsidRPr="00E07F33">
        <w:rPr>
          <w:rStyle w:val="fontstyle01"/>
          <w:rFonts w:ascii="宋体" w:eastAsia="宋体" w:hAnsi="宋体"/>
          <w:sz w:val="24"/>
          <w:szCs w:val="24"/>
        </w:rPr>
        <w:t>其变动计入当期损益的金融资产</w:t>
      </w:r>
      <w:r w:rsidR="00023A7C" w:rsidRPr="00023A7C">
        <w:rPr>
          <w:rStyle w:val="fontstyle01"/>
          <w:rFonts w:ascii="宋体" w:eastAsia="宋体" w:hAnsi="宋体" w:hint="default"/>
          <w:sz w:val="24"/>
          <w:szCs w:val="24"/>
        </w:rPr>
        <w:t>。</w:t>
      </w:r>
    </w:p>
    <w:sectPr w:rsidR="00087EF2" w:rsidRPr="0001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4F6C" w14:textId="77777777" w:rsidR="00A30713" w:rsidRDefault="00A30713" w:rsidP="00087EF2">
      <w:r>
        <w:separator/>
      </w:r>
    </w:p>
  </w:endnote>
  <w:endnote w:type="continuationSeparator" w:id="0">
    <w:p w14:paraId="54C969A4" w14:textId="77777777" w:rsidR="00A30713" w:rsidRDefault="00A30713" w:rsidP="000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051B" w14:textId="77777777" w:rsidR="00A30713" w:rsidRDefault="00A30713" w:rsidP="00087EF2">
      <w:r>
        <w:separator/>
      </w:r>
    </w:p>
  </w:footnote>
  <w:footnote w:type="continuationSeparator" w:id="0">
    <w:p w14:paraId="29E0ECF2" w14:textId="77777777" w:rsidR="00A30713" w:rsidRDefault="00A30713" w:rsidP="0008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4"/>
    <w:rsid w:val="00010439"/>
    <w:rsid w:val="00023A7C"/>
    <w:rsid w:val="00037863"/>
    <w:rsid w:val="00087EF2"/>
    <w:rsid w:val="000E583C"/>
    <w:rsid w:val="001F52A1"/>
    <w:rsid w:val="00202CB1"/>
    <w:rsid w:val="00270D05"/>
    <w:rsid w:val="00301D22"/>
    <w:rsid w:val="00337283"/>
    <w:rsid w:val="003D2507"/>
    <w:rsid w:val="006B4FFE"/>
    <w:rsid w:val="007142A9"/>
    <w:rsid w:val="00742BB7"/>
    <w:rsid w:val="00754622"/>
    <w:rsid w:val="0078558B"/>
    <w:rsid w:val="007B4DA0"/>
    <w:rsid w:val="00841353"/>
    <w:rsid w:val="00897CD6"/>
    <w:rsid w:val="009E3F21"/>
    <w:rsid w:val="00A30713"/>
    <w:rsid w:val="00B836E2"/>
    <w:rsid w:val="00BE4B09"/>
    <w:rsid w:val="00C362FF"/>
    <w:rsid w:val="00C64510"/>
    <w:rsid w:val="00D07514"/>
    <w:rsid w:val="00E07F33"/>
    <w:rsid w:val="00EA6E1E"/>
    <w:rsid w:val="00ED1CF5"/>
    <w:rsid w:val="00F032E1"/>
    <w:rsid w:val="00F4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E287B"/>
  <w15:chartTrackingRefBased/>
  <w15:docId w15:val="{2D5C1F98-E07B-41ED-AF97-67981D0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7514"/>
    <w:rPr>
      <w:rFonts w:ascii="华文仿宋" w:eastAsia="华文仿宋" w:hAnsi="华文仿宋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D075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7514"/>
    <w:rPr>
      <w:rFonts w:ascii="MicrosoftYaHei" w:hAnsi="MicrosoftYaHe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0751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87E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JONTEN JONTEN</cp:lastModifiedBy>
  <cp:revision>2</cp:revision>
  <dcterms:created xsi:type="dcterms:W3CDTF">2023-12-21T07:20:00Z</dcterms:created>
  <dcterms:modified xsi:type="dcterms:W3CDTF">2023-12-21T07:20:00Z</dcterms:modified>
</cp:coreProperties>
</file>