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6019C2BD" w:rsidR="00202CB1" w:rsidRDefault="001F52A1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1F52A1">
        <w:rPr>
          <w:rStyle w:val="fontstyle01"/>
          <w:rFonts w:ascii="黑体" w:eastAsia="黑体" w:hAnsi="黑体"/>
        </w:rPr>
        <w:t>关于预期信用损失的计提问题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DC6B1AC" w14:textId="645FF406" w:rsidR="00F032E1" w:rsidRDefault="001F52A1" w:rsidP="001F52A1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1F52A1">
        <w:rPr>
          <w:rStyle w:val="fontstyle11"/>
          <w:rFonts w:ascii="宋体" w:eastAsia="宋体" w:hAnsi="宋体"/>
          <w:sz w:val="24"/>
          <w:szCs w:val="24"/>
        </w:rPr>
        <w:t>A 公司对于应收账款及合同资产减值，均按照相当于整个存续期</w:t>
      </w:r>
      <w:r w:rsidRPr="001F52A1">
        <w:rPr>
          <w:rStyle w:val="fontstyle11"/>
          <w:rFonts w:ascii="宋体" w:eastAsia="宋体" w:hAnsi="宋体" w:hint="eastAsia"/>
          <w:sz w:val="24"/>
          <w:szCs w:val="24"/>
        </w:rPr>
        <w:t>内预期信用损失的金额计量其损失准备</w:t>
      </w:r>
      <w:r>
        <w:rPr>
          <w:rStyle w:val="fontstyle11"/>
          <w:rFonts w:ascii="宋体" w:eastAsia="宋体" w:hAnsi="宋体" w:hint="eastAsia"/>
          <w:sz w:val="24"/>
          <w:szCs w:val="24"/>
        </w:rPr>
        <w:t>。</w:t>
      </w:r>
      <w:r w:rsidRPr="001F52A1">
        <w:rPr>
          <w:rStyle w:val="fontstyle11"/>
          <w:rFonts w:ascii="宋体" w:eastAsia="宋体" w:hAnsi="宋体"/>
          <w:sz w:val="24"/>
          <w:szCs w:val="24"/>
        </w:rPr>
        <w:t>对于同一客户、相同期限的</w:t>
      </w:r>
      <w:r w:rsidRPr="001F52A1">
        <w:rPr>
          <w:rStyle w:val="fontstyle11"/>
          <w:rFonts w:ascii="宋体" w:eastAsia="宋体" w:hAnsi="宋体" w:hint="eastAsia"/>
          <w:sz w:val="24"/>
          <w:szCs w:val="24"/>
        </w:rPr>
        <w:t>应收账款和合同资产，</w:t>
      </w:r>
      <w:r w:rsidRPr="001F52A1">
        <w:rPr>
          <w:rStyle w:val="fontstyle11"/>
          <w:rFonts w:ascii="宋体" w:eastAsia="宋体" w:hAnsi="宋体"/>
          <w:sz w:val="24"/>
          <w:szCs w:val="24"/>
        </w:rPr>
        <w:t xml:space="preserve"> A 公司预期信用损失计提比率不同。其中</w:t>
      </w:r>
      <w:r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1F52A1">
        <w:rPr>
          <w:rStyle w:val="fontstyle11"/>
          <w:rFonts w:ascii="宋体" w:eastAsia="宋体" w:hAnsi="宋体"/>
          <w:sz w:val="24"/>
          <w:szCs w:val="24"/>
        </w:rPr>
        <w:t>应</w:t>
      </w:r>
      <w:r w:rsidRPr="001F52A1">
        <w:rPr>
          <w:rStyle w:val="fontstyle11"/>
          <w:rFonts w:ascii="宋体" w:eastAsia="宋体" w:hAnsi="宋体" w:hint="eastAsia"/>
          <w:sz w:val="24"/>
          <w:szCs w:val="24"/>
        </w:rPr>
        <w:t>收账款预期信用损失率为</w:t>
      </w:r>
      <w:r w:rsidRPr="001F52A1">
        <w:rPr>
          <w:rStyle w:val="fontstyle11"/>
          <w:rFonts w:ascii="宋体" w:eastAsia="宋体" w:hAnsi="宋体"/>
          <w:sz w:val="24"/>
          <w:szCs w:val="24"/>
        </w:rPr>
        <w:t xml:space="preserve"> 7.83%， 合同资产预期信用损失率为 5%</w:t>
      </w:r>
      <w:r>
        <w:rPr>
          <w:rStyle w:val="fontstyle11"/>
          <w:rFonts w:ascii="宋体" w:eastAsia="宋体" w:hAnsi="宋体"/>
          <w:sz w:val="24"/>
          <w:szCs w:val="24"/>
        </w:rPr>
        <w:t xml:space="preserve"> </w:t>
      </w:r>
      <w:r w:rsidRPr="001F52A1">
        <w:rPr>
          <w:rStyle w:val="fontstyle11"/>
          <w:rFonts w:ascii="宋体" w:eastAsia="宋体" w:hAnsi="宋体" w:hint="eastAsia"/>
          <w:sz w:val="24"/>
          <w:szCs w:val="24"/>
        </w:rPr>
        <w:t>且</w:t>
      </w:r>
      <w:r w:rsidRPr="001F52A1">
        <w:rPr>
          <w:rStyle w:val="fontstyle11"/>
          <w:rFonts w:ascii="宋体" w:eastAsia="宋体" w:hAnsi="宋体"/>
          <w:sz w:val="24"/>
          <w:szCs w:val="24"/>
        </w:rPr>
        <w:t xml:space="preserve"> A 公司未在财务报表附注中说明计提比例不同的原因及合理性</w:t>
      </w:r>
      <w:r w:rsidR="007142A9" w:rsidRPr="007142A9">
        <w:rPr>
          <w:rStyle w:val="fontstyle11"/>
          <w:rFonts w:ascii="宋体" w:eastAsia="宋体" w:hAnsi="宋体" w:hint="eastAsia"/>
          <w:sz w:val="24"/>
          <w:szCs w:val="24"/>
        </w:rPr>
        <w:t>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78E5C6E2" w:rsidR="00BE4B09" w:rsidRPr="00F44368" w:rsidRDefault="007142A9" w:rsidP="009E3F2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7142A9">
        <w:rPr>
          <w:rStyle w:val="fontstyle01"/>
          <w:rFonts w:ascii="宋体" w:eastAsia="宋体" w:hAnsi="宋体" w:hint="default"/>
          <w:sz w:val="24"/>
          <w:szCs w:val="24"/>
        </w:rPr>
        <w:t>A 公司</w:t>
      </w:r>
      <w:r w:rsidR="001F52A1" w:rsidRPr="001F52A1">
        <w:rPr>
          <w:rStyle w:val="fontstyle01"/>
          <w:rFonts w:ascii="宋体" w:eastAsia="宋体" w:hAnsi="宋体"/>
          <w:sz w:val="24"/>
          <w:szCs w:val="24"/>
        </w:rPr>
        <w:t>关于应收账款及合同资产减值的会计处理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是否合理？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04AC42CF" w14:textId="3901C87C" w:rsidR="001F52A1" w:rsidRDefault="007142A9" w:rsidP="001F52A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7142A9">
        <w:rPr>
          <w:rStyle w:val="fontstyle01"/>
          <w:rFonts w:ascii="宋体" w:eastAsia="宋体" w:hAnsi="宋体" w:hint="default"/>
          <w:sz w:val="24"/>
          <w:szCs w:val="24"/>
        </w:rPr>
        <w:t>根据</w:t>
      </w:r>
      <w:r w:rsidR="001F52A1" w:rsidRPr="001F52A1">
        <w:rPr>
          <w:rStyle w:val="fontstyle01"/>
          <w:rFonts w:ascii="宋体" w:eastAsia="宋体" w:hAnsi="宋体"/>
          <w:sz w:val="24"/>
          <w:szCs w:val="24"/>
        </w:rPr>
        <w:t>《</w:t>
      </w:r>
      <w:r w:rsidR="001F52A1" w:rsidRPr="001F52A1">
        <w:rPr>
          <w:rStyle w:val="fontstyle01"/>
          <w:rFonts w:ascii="宋体" w:eastAsia="宋体" w:hAnsi="宋体" w:hint="default"/>
          <w:sz w:val="24"/>
          <w:szCs w:val="24"/>
        </w:rPr>
        <w:t>企业会计准则第 22 号——金融工具确认和计量》 及应用</w:t>
      </w:r>
      <w:r w:rsidR="001F52A1" w:rsidRPr="001F52A1">
        <w:rPr>
          <w:rStyle w:val="fontstyle01"/>
          <w:rFonts w:ascii="宋体" w:eastAsia="宋体" w:hAnsi="宋体"/>
          <w:sz w:val="24"/>
          <w:szCs w:val="24"/>
        </w:rPr>
        <w:t>指南相关规定，</w:t>
      </w:r>
      <w:r w:rsidR="001F52A1" w:rsidRPr="001F52A1">
        <w:rPr>
          <w:rStyle w:val="fontstyle01"/>
          <w:rFonts w:ascii="宋体" w:eastAsia="宋体" w:hAnsi="宋体" w:hint="default"/>
          <w:sz w:val="24"/>
          <w:szCs w:val="24"/>
        </w:rPr>
        <w:t xml:space="preserve"> 以预期信用损失为基础进行减值会计处理并确认损失</w:t>
      </w:r>
      <w:r w:rsidR="001F52A1" w:rsidRPr="001F52A1">
        <w:rPr>
          <w:rStyle w:val="fontstyle01"/>
          <w:rFonts w:ascii="宋体" w:eastAsia="宋体" w:hAnsi="宋体"/>
          <w:sz w:val="24"/>
          <w:szCs w:val="24"/>
        </w:rPr>
        <w:t>准备的资产为：</w:t>
      </w:r>
      <w:r w:rsidR="001F52A1" w:rsidRPr="001F52A1">
        <w:rPr>
          <w:rStyle w:val="fontstyle01"/>
          <w:rFonts w:ascii="宋体" w:eastAsia="宋体" w:hAnsi="宋体" w:hint="default"/>
          <w:sz w:val="24"/>
          <w:szCs w:val="24"/>
        </w:rPr>
        <w:t xml:space="preserve"> （1）分类为以摊</w:t>
      </w:r>
      <w:proofErr w:type="gramStart"/>
      <w:r w:rsidR="001F52A1" w:rsidRPr="001F52A1">
        <w:rPr>
          <w:rStyle w:val="fontstyle01"/>
          <w:rFonts w:ascii="宋体" w:eastAsia="宋体" w:hAnsi="宋体" w:hint="default"/>
          <w:sz w:val="24"/>
          <w:szCs w:val="24"/>
        </w:rPr>
        <w:t>余成本</w:t>
      </w:r>
      <w:proofErr w:type="gramEnd"/>
      <w:r w:rsidR="001F52A1" w:rsidRPr="001F52A1">
        <w:rPr>
          <w:rStyle w:val="fontstyle01"/>
          <w:rFonts w:ascii="宋体" w:eastAsia="宋体" w:hAnsi="宋体" w:hint="default"/>
          <w:sz w:val="24"/>
          <w:szCs w:val="24"/>
        </w:rPr>
        <w:t>计量的金融资产和分类为以</w:t>
      </w:r>
      <w:r w:rsidR="001F52A1" w:rsidRPr="001F52A1">
        <w:rPr>
          <w:rStyle w:val="fontstyle01"/>
          <w:rFonts w:ascii="宋体" w:eastAsia="宋体" w:hAnsi="宋体"/>
          <w:sz w:val="24"/>
          <w:szCs w:val="24"/>
        </w:rPr>
        <w:t>公允价值计量且其变动计入其他综合收益的金融资产；</w:t>
      </w:r>
      <w:r w:rsidR="001F52A1">
        <w:rPr>
          <w:rStyle w:val="fontstyle01"/>
          <w:rFonts w:ascii="宋体" w:eastAsia="宋体" w:hAnsi="宋体" w:hint="default"/>
          <w:sz w:val="24"/>
          <w:szCs w:val="24"/>
        </w:rPr>
        <w:t xml:space="preserve"> </w:t>
      </w:r>
      <w:r w:rsidR="001F52A1" w:rsidRPr="001F52A1">
        <w:rPr>
          <w:rStyle w:val="fontstyle01"/>
          <w:rFonts w:ascii="宋体" w:eastAsia="宋体" w:hAnsi="宋体" w:hint="default"/>
          <w:sz w:val="24"/>
          <w:szCs w:val="24"/>
        </w:rPr>
        <w:t>（2）租赁应</w:t>
      </w:r>
      <w:r w:rsidR="001F52A1" w:rsidRPr="001F52A1">
        <w:rPr>
          <w:rStyle w:val="fontstyle01"/>
          <w:rFonts w:ascii="宋体" w:eastAsia="宋体" w:hAnsi="宋体"/>
          <w:sz w:val="24"/>
          <w:szCs w:val="24"/>
        </w:rPr>
        <w:t>收款；</w:t>
      </w:r>
      <w:r w:rsidR="001F52A1" w:rsidRPr="001F52A1">
        <w:rPr>
          <w:rStyle w:val="fontstyle01"/>
          <w:rFonts w:ascii="宋体" w:eastAsia="宋体" w:hAnsi="宋体" w:hint="default"/>
          <w:sz w:val="24"/>
          <w:szCs w:val="24"/>
        </w:rPr>
        <w:t xml:space="preserve"> （3）合同资产； （4）企业发行的分类为以公允价值计量且其</w:t>
      </w:r>
      <w:r w:rsidR="001F52A1" w:rsidRPr="001F52A1">
        <w:rPr>
          <w:rStyle w:val="fontstyle01"/>
          <w:rFonts w:ascii="宋体" w:eastAsia="宋体" w:hAnsi="宋体"/>
          <w:sz w:val="24"/>
          <w:szCs w:val="24"/>
        </w:rPr>
        <w:t>变动计入当期损益的金融负债以外的贷款承诺和财</w:t>
      </w:r>
      <w:proofErr w:type="gramStart"/>
      <w:r w:rsidR="001F52A1" w:rsidRPr="001F52A1">
        <w:rPr>
          <w:rStyle w:val="fontstyle01"/>
          <w:rFonts w:ascii="宋体" w:eastAsia="宋体" w:hAnsi="宋体"/>
          <w:sz w:val="24"/>
          <w:szCs w:val="24"/>
        </w:rPr>
        <w:t>务</w:t>
      </w:r>
      <w:proofErr w:type="gramEnd"/>
      <w:r w:rsidR="001F52A1" w:rsidRPr="001F52A1">
        <w:rPr>
          <w:rStyle w:val="fontstyle01"/>
          <w:rFonts w:ascii="宋体" w:eastAsia="宋体" w:hAnsi="宋体"/>
          <w:sz w:val="24"/>
          <w:szCs w:val="24"/>
        </w:rPr>
        <w:t>担保合同。</w:t>
      </w:r>
    </w:p>
    <w:p w14:paraId="66D64D18" w14:textId="14631AFC" w:rsidR="00087EF2" w:rsidRPr="00010439" w:rsidRDefault="001F52A1" w:rsidP="001F52A1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1F52A1">
        <w:rPr>
          <w:rStyle w:val="fontstyle01"/>
          <w:rFonts w:ascii="宋体" w:eastAsia="宋体" w:hAnsi="宋体"/>
          <w:sz w:val="24"/>
          <w:szCs w:val="24"/>
        </w:rPr>
        <w:t>预期信用损失模型下，</w:t>
      </w:r>
      <w:r w:rsidRPr="001F52A1">
        <w:rPr>
          <w:rStyle w:val="fontstyle01"/>
          <w:rFonts w:ascii="宋体" w:eastAsia="宋体" w:hAnsi="宋体" w:hint="default"/>
          <w:sz w:val="24"/>
          <w:szCs w:val="24"/>
        </w:rPr>
        <w:t>预期信用损失以客户的违约风险为基础，</w:t>
      </w:r>
      <w:r w:rsidRPr="001F52A1">
        <w:rPr>
          <w:rStyle w:val="fontstyle01"/>
          <w:rFonts w:ascii="宋体" w:eastAsia="宋体" w:hAnsi="宋体"/>
          <w:sz w:val="24"/>
          <w:szCs w:val="24"/>
        </w:rPr>
        <w:t>同一客户的违约风险相同，</w:t>
      </w:r>
      <w:r w:rsidRPr="001F52A1">
        <w:rPr>
          <w:rStyle w:val="fontstyle01"/>
          <w:rFonts w:ascii="宋体" w:eastAsia="宋体" w:hAnsi="宋体" w:hint="default"/>
          <w:sz w:val="24"/>
          <w:szCs w:val="24"/>
        </w:rPr>
        <w:t>对于同一客户、相同期限的合同资产与应</w:t>
      </w:r>
      <w:r w:rsidRPr="001F52A1">
        <w:rPr>
          <w:rStyle w:val="fontstyle01"/>
          <w:rFonts w:ascii="宋体" w:eastAsia="宋体" w:hAnsi="宋体"/>
          <w:sz w:val="24"/>
          <w:szCs w:val="24"/>
        </w:rPr>
        <w:t>收账款，</w:t>
      </w:r>
      <w:r w:rsidRPr="001F52A1">
        <w:rPr>
          <w:rStyle w:val="fontstyle01"/>
          <w:rFonts w:ascii="宋体" w:eastAsia="宋体" w:hAnsi="宋体" w:hint="default"/>
          <w:sz w:val="24"/>
          <w:szCs w:val="24"/>
        </w:rPr>
        <w:t>预期信用损失率通常是一致的，除非相关合同条款存在特殊</w:t>
      </w:r>
      <w:r w:rsidRPr="001F52A1">
        <w:rPr>
          <w:rStyle w:val="fontstyle01"/>
          <w:rFonts w:ascii="宋体" w:eastAsia="宋体" w:hAnsi="宋体"/>
          <w:sz w:val="24"/>
          <w:szCs w:val="24"/>
        </w:rPr>
        <w:t>约定等情况。</w:t>
      </w:r>
      <w:r w:rsidRPr="001F52A1">
        <w:rPr>
          <w:rStyle w:val="fontstyle01"/>
          <w:rFonts w:ascii="宋体" w:eastAsia="宋体" w:hAnsi="宋体" w:hint="default"/>
          <w:sz w:val="24"/>
          <w:szCs w:val="24"/>
        </w:rPr>
        <w:t>案例中，A 公司对于同一客户、相同期限的合同资产预</w:t>
      </w:r>
      <w:r w:rsidRPr="001F52A1">
        <w:rPr>
          <w:rStyle w:val="fontstyle01"/>
          <w:rFonts w:ascii="宋体" w:eastAsia="宋体" w:hAnsi="宋体"/>
          <w:sz w:val="24"/>
          <w:szCs w:val="24"/>
        </w:rPr>
        <w:t>期信用损失率低于应收账款预期信用损失率，</w:t>
      </w:r>
      <w:r w:rsidRPr="001F52A1">
        <w:rPr>
          <w:rStyle w:val="fontstyle01"/>
          <w:rFonts w:ascii="宋体" w:eastAsia="宋体" w:hAnsi="宋体" w:hint="default"/>
          <w:sz w:val="24"/>
          <w:szCs w:val="24"/>
        </w:rPr>
        <w:t xml:space="preserve"> 不符合准则的原则性要</w:t>
      </w:r>
      <w:r w:rsidRPr="001F52A1">
        <w:rPr>
          <w:rStyle w:val="fontstyle01"/>
          <w:rFonts w:ascii="宋体" w:eastAsia="宋体" w:hAnsi="宋体"/>
          <w:sz w:val="24"/>
          <w:szCs w:val="24"/>
        </w:rPr>
        <w:t>求。</w:t>
      </w:r>
      <w:r w:rsidRPr="001F52A1">
        <w:rPr>
          <w:rStyle w:val="fontstyle01"/>
          <w:rFonts w:ascii="宋体" w:eastAsia="宋体" w:hAnsi="宋体" w:hint="default"/>
          <w:sz w:val="24"/>
          <w:szCs w:val="24"/>
        </w:rPr>
        <w:t>如上述情况的产生确有充分合理的原因，A 公司应在财务报表附</w:t>
      </w:r>
      <w:r w:rsidRPr="001F52A1">
        <w:rPr>
          <w:rStyle w:val="fontstyle01"/>
          <w:rFonts w:ascii="宋体" w:eastAsia="宋体" w:hAnsi="宋体"/>
          <w:sz w:val="24"/>
          <w:szCs w:val="24"/>
        </w:rPr>
        <w:t>注中充分披露。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5F1C" w14:textId="77777777" w:rsidR="003C0F78" w:rsidRDefault="003C0F78" w:rsidP="00087EF2">
      <w:r>
        <w:separator/>
      </w:r>
    </w:p>
  </w:endnote>
  <w:endnote w:type="continuationSeparator" w:id="0">
    <w:p w14:paraId="69B5A4B2" w14:textId="77777777" w:rsidR="003C0F78" w:rsidRDefault="003C0F78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77F1" w14:textId="77777777" w:rsidR="003C0F78" w:rsidRDefault="003C0F78" w:rsidP="00087EF2">
      <w:r>
        <w:separator/>
      </w:r>
    </w:p>
  </w:footnote>
  <w:footnote w:type="continuationSeparator" w:id="0">
    <w:p w14:paraId="2D8A1D4E" w14:textId="77777777" w:rsidR="003C0F78" w:rsidRDefault="003C0F78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37863"/>
    <w:rsid w:val="00087EF2"/>
    <w:rsid w:val="000E583C"/>
    <w:rsid w:val="001F52A1"/>
    <w:rsid w:val="00202CB1"/>
    <w:rsid w:val="00270D05"/>
    <w:rsid w:val="00301D22"/>
    <w:rsid w:val="00337283"/>
    <w:rsid w:val="003C0F78"/>
    <w:rsid w:val="003D2507"/>
    <w:rsid w:val="006B4FFE"/>
    <w:rsid w:val="007142A9"/>
    <w:rsid w:val="00742BB7"/>
    <w:rsid w:val="00754622"/>
    <w:rsid w:val="0078558B"/>
    <w:rsid w:val="00841353"/>
    <w:rsid w:val="00897CD6"/>
    <w:rsid w:val="009E3F21"/>
    <w:rsid w:val="00B836E2"/>
    <w:rsid w:val="00BE4B09"/>
    <w:rsid w:val="00C362FF"/>
    <w:rsid w:val="00D07514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2023-12-21T06:56:00Z</dcterms:created>
  <dcterms:modified xsi:type="dcterms:W3CDTF">2023-12-21T06:56:00Z</dcterms:modified>
</cp:coreProperties>
</file>