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8EA8" w14:textId="69997990" w:rsidR="00202CB1" w:rsidRDefault="00C97EF3" w:rsidP="000E583C">
      <w:pPr>
        <w:spacing w:afterLines="100" w:after="312" w:line="360" w:lineRule="auto"/>
        <w:jc w:val="center"/>
        <w:rPr>
          <w:rStyle w:val="fontstyle01"/>
          <w:rFonts w:ascii="黑体" w:eastAsia="黑体" w:hAnsi="黑体" w:hint="default"/>
        </w:rPr>
      </w:pPr>
      <w:r w:rsidRPr="00C97EF3">
        <w:rPr>
          <w:rStyle w:val="fontstyle01"/>
          <w:rFonts w:ascii="黑体" w:eastAsia="黑体" w:hAnsi="黑体"/>
        </w:rPr>
        <w:t>以股抵债的债务重组收益确认时点的问题</w:t>
      </w:r>
    </w:p>
    <w:p w14:paraId="032AA862" w14:textId="7DAEB273" w:rsidR="00202CB1" w:rsidRP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案例背景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74778D90" w14:textId="6442FA17" w:rsidR="00C97EF3" w:rsidRPr="00C97EF3" w:rsidRDefault="00C97EF3" w:rsidP="00C97EF3">
      <w:pPr>
        <w:spacing w:line="360" w:lineRule="auto"/>
        <w:ind w:firstLineChars="200" w:firstLine="480"/>
        <w:rPr>
          <w:rStyle w:val="fontstyle11"/>
          <w:rFonts w:ascii="宋体" w:eastAsia="宋体" w:hAnsi="宋体"/>
          <w:sz w:val="24"/>
          <w:szCs w:val="24"/>
        </w:rPr>
      </w:pPr>
      <w:r w:rsidRPr="00C97EF3">
        <w:rPr>
          <w:rStyle w:val="fontstyle11"/>
          <w:rFonts w:ascii="宋体" w:eastAsia="宋体" w:hAnsi="宋体"/>
          <w:sz w:val="24"/>
          <w:szCs w:val="24"/>
        </w:rPr>
        <w:t>20X2 年 9 月， X 公司披露预重整方案，其中出资人权益</w:t>
      </w:r>
      <w:r w:rsidRPr="00C97EF3">
        <w:rPr>
          <w:rStyle w:val="fontstyle11"/>
          <w:rFonts w:ascii="宋体" w:eastAsia="宋体" w:hAnsi="宋体" w:hint="eastAsia"/>
          <w:sz w:val="24"/>
          <w:szCs w:val="24"/>
        </w:rPr>
        <w:t>调整方案规定，</w:t>
      </w:r>
      <w:r w:rsidRPr="00C97EF3">
        <w:rPr>
          <w:rStyle w:val="fontstyle11"/>
          <w:rFonts w:ascii="宋体" w:eastAsia="宋体" w:hAnsi="宋体"/>
          <w:sz w:val="24"/>
          <w:szCs w:val="24"/>
        </w:rPr>
        <w:t xml:space="preserve"> 以现有总股本为基数，按比例实施资本公积</w:t>
      </w:r>
      <w:r w:rsidRPr="00C97EF3">
        <w:rPr>
          <w:rStyle w:val="fontstyle11"/>
          <w:rFonts w:ascii="宋体" w:eastAsia="宋体" w:hAnsi="宋体" w:hint="eastAsia"/>
          <w:sz w:val="24"/>
          <w:szCs w:val="24"/>
        </w:rPr>
        <w:t>转增股本，</w:t>
      </w:r>
      <w:r w:rsidRPr="00C97EF3">
        <w:rPr>
          <w:rStyle w:val="fontstyle11"/>
          <w:rFonts w:ascii="宋体" w:eastAsia="宋体" w:hAnsi="宋体"/>
          <w:sz w:val="24"/>
          <w:szCs w:val="24"/>
        </w:rPr>
        <w:t>转增形成的股票不向原股东分配，全部用于清偿</w:t>
      </w:r>
      <w:r w:rsidRPr="00C97EF3">
        <w:rPr>
          <w:rStyle w:val="fontstyle11"/>
          <w:rFonts w:ascii="宋体" w:eastAsia="宋体" w:hAnsi="宋体" w:hint="eastAsia"/>
          <w:sz w:val="24"/>
          <w:szCs w:val="24"/>
        </w:rPr>
        <w:t>债务和引入重整投资人。</w:t>
      </w:r>
      <w:r w:rsidRPr="00C97EF3">
        <w:rPr>
          <w:rStyle w:val="fontstyle11"/>
          <w:rFonts w:ascii="宋体" w:eastAsia="宋体" w:hAnsi="宋体"/>
          <w:sz w:val="24"/>
          <w:szCs w:val="24"/>
        </w:rPr>
        <w:t>其中，部分股票以 5 元/股价格抵</w:t>
      </w:r>
      <w:r w:rsidRPr="00C97EF3">
        <w:rPr>
          <w:rStyle w:val="fontstyle11"/>
          <w:rFonts w:ascii="宋体" w:eastAsia="宋体" w:hAnsi="宋体" w:hint="eastAsia"/>
          <w:sz w:val="24"/>
          <w:szCs w:val="24"/>
        </w:rPr>
        <w:t>债给债权人，</w:t>
      </w:r>
      <w:r w:rsidRPr="00C97EF3">
        <w:rPr>
          <w:rStyle w:val="fontstyle11"/>
          <w:rFonts w:ascii="宋体" w:eastAsia="宋体" w:hAnsi="宋体"/>
          <w:sz w:val="24"/>
          <w:szCs w:val="24"/>
        </w:rPr>
        <w:t>用于清偿债务以化解债务风险；部分股票用于</w:t>
      </w:r>
      <w:r w:rsidRPr="00C97EF3">
        <w:rPr>
          <w:rStyle w:val="fontstyle11"/>
          <w:rFonts w:ascii="宋体" w:eastAsia="宋体" w:hAnsi="宋体" w:hint="eastAsia"/>
          <w:sz w:val="24"/>
          <w:szCs w:val="24"/>
        </w:rPr>
        <w:t>引入重整投资人，</w:t>
      </w:r>
      <w:r w:rsidRPr="00C97EF3">
        <w:rPr>
          <w:rStyle w:val="fontstyle11"/>
          <w:rFonts w:ascii="宋体" w:eastAsia="宋体" w:hAnsi="宋体"/>
          <w:sz w:val="24"/>
          <w:szCs w:val="24"/>
        </w:rPr>
        <w:t xml:space="preserve"> 重整投资人支付的价款部分用于支付本次</w:t>
      </w:r>
      <w:r w:rsidRPr="00C97EF3">
        <w:rPr>
          <w:rStyle w:val="fontstyle11"/>
          <w:rFonts w:ascii="宋体" w:eastAsia="宋体" w:hAnsi="宋体" w:hint="eastAsia"/>
          <w:sz w:val="24"/>
          <w:szCs w:val="24"/>
        </w:rPr>
        <w:t>破产费用及清偿部分债权，</w:t>
      </w:r>
      <w:r w:rsidRPr="00C97EF3">
        <w:rPr>
          <w:rStyle w:val="fontstyle11"/>
          <w:rFonts w:ascii="宋体" w:eastAsia="宋体" w:hAnsi="宋体"/>
          <w:sz w:val="24"/>
          <w:szCs w:val="24"/>
        </w:rPr>
        <w:t>剩余部分用于补充流动资金以提</w:t>
      </w:r>
      <w:r w:rsidRPr="00C97EF3">
        <w:rPr>
          <w:rStyle w:val="fontstyle11"/>
          <w:rFonts w:ascii="宋体" w:eastAsia="宋体" w:hAnsi="宋体" w:hint="eastAsia"/>
          <w:sz w:val="24"/>
          <w:szCs w:val="24"/>
        </w:rPr>
        <w:t>高公司经营能力。</w:t>
      </w:r>
    </w:p>
    <w:p w14:paraId="7BB35629" w14:textId="59952F0F" w:rsidR="00C97EF3" w:rsidRDefault="00C97EF3" w:rsidP="00C97EF3">
      <w:pPr>
        <w:spacing w:line="360" w:lineRule="auto"/>
        <w:ind w:firstLineChars="200" w:firstLine="480"/>
        <w:rPr>
          <w:rStyle w:val="fontstyle11"/>
          <w:rFonts w:ascii="宋体" w:eastAsia="宋体" w:hAnsi="宋体"/>
          <w:sz w:val="24"/>
          <w:szCs w:val="24"/>
        </w:rPr>
      </w:pPr>
      <w:r w:rsidRPr="00C97EF3">
        <w:rPr>
          <w:rStyle w:val="fontstyle11"/>
          <w:rFonts w:ascii="宋体" w:eastAsia="宋体" w:hAnsi="宋体"/>
          <w:sz w:val="24"/>
          <w:szCs w:val="24"/>
        </w:rPr>
        <w:t>20X2 年 11 月 1 日，法院裁定受理公司的重整申请，并</w:t>
      </w:r>
      <w:r w:rsidRPr="00C97EF3">
        <w:rPr>
          <w:rStyle w:val="fontstyle11"/>
          <w:rFonts w:ascii="宋体" w:eastAsia="宋体" w:hAnsi="宋体" w:hint="eastAsia"/>
          <w:sz w:val="24"/>
          <w:szCs w:val="24"/>
        </w:rPr>
        <w:t>指定管理人。</w:t>
      </w:r>
      <w:r w:rsidRPr="00C97EF3">
        <w:rPr>
          <w:rStyle w:val="fontstyle11"/>
          <w:rFonts w:ascii="宋体" w:eastAsia="宋体" w:hAnsi="宋体"/>
          <w:sz w:val="24"/>
          <w:szCs w:val="24"/>
        </w:rPr>
        <w:t xml:space="preserve"> 20X2 年 12 月 15 日，法院裁定批准重整计划。20X2 年 12 月 25 日，重整投资人支付约定的全部重整</w:t>
      </w:r>
      <w:proofErr w:type="gramStart"/>
      <w:r w:rsidRPr="00C97EF3">
        <w:rPr>
          <w:rStyle w:val="fontstyle11"/>
          <w:rFonts w:ascii="宋体" w:eastAsia="宋体" w:hAnsi="宋体"/>
          <w:sz w:val="24"/>
          <w:szCs w:val="24"/>
        </w:rPr>
        <w:t>投资款</w:t>
      </w:r>
      <w:r w:rsidRPr="00C97EF3">
        <w:rPr>
          <w:rStyle w:val="fontstyle11"/>
          <w:rFonts w:ascii="宋体" w:eastAsia="宋体" w:hAnsi="宋体" w:hint="eastAsia"/>
          <w:sz w:val="24"/>
          <w:szCs w:val="24"/>
        </w:rPr>
        <w:t>至管理</w:t>
      </w:r>
      <w:proofErr w:type="gramEnd"/>
      <w:r w:rsidRPr="00C97EF3">
        <w:rPr>
          <w:rStyle w:val="fontstyle11"/>
          <w:rFonts w:ascii="宋体" w:eastAsia="宋体" w:hAnsi="宋体" w:hint="eastAsia"/>
          <w:sz w:val="24"/>
          <w:szCs w:val="24"/>
        </w:rPr>
        <w:t>人指定账户，</w:t>
      </w:r>
      <w:r w:rsidRPr="00C97EF3">
        <w:rPr>
          <w:rStyle w:val="fontstyle11"/>
          <w:rFonts w:ascii="宋体" w:eastAsia="宋体" w:hAnsi="宋体"/>
          <w:sz w:val="24"/>
          <w:szCs w:val="24"/>
        </w:rPr>
        <w:t>截至 12 月底，需进行现金清偿的债务</w:t>
      </w:r>
      <w:r w:rsidRPr="00C97EF3">
        <w:rPr>
          <w:rStyle w:val="fontstyle11"/>
          <w:rFonts w:ascii="宋体" w:eastAsia="宋体" w:hAnsi="宋体" w:hint="eastAsia"/>
          <w:sz w:val="24"/>
          <w:szCs w:val="24"/>
        </w:rPr>
        <w:t>已偿还完毕。</w:t>
      </w:r>
      <w:r w:rsidRPr="00C97EF3">
        <w:rPr>
          <w:rStyle w:val="fontstyle11"/>
          <w:rFonts w:ascii="宋体" w:eastAsia="宋体" w:hAnsi="宋体"/>
          <w:sz w:val="24"/>
          <w:szCs w:val="24"/>
        </w:rPr>
        <w:t xml:space="preserve"> 20X3 年 1 月 5 日，资本公积转增股本的股份分</w:t>
      </w:r>
      <w:r w:rsidRPr="00C97EF3">
        <w:rPr>
          <w:rStyle w:val="fontstyle11"/>
          <w:rFonts w:ascii="宋体" w:eastAsia="宋体" w:hAnsi="宋体" w:hint="eastAsia"/>
          <w:sz w:val="24"/>
          <w:szCs w:val="24"/>
        </w:rPr>
        <w:t>别登记至重整投资人和管理人的证券账户，</w:t>
      </w:r>
      <w:r w:rsidRPr="00C97EF3">
        <w:rPr>
          <w:rStyle w:val="fontstyle11"/>
          <w:rFonts w:ascii="宋体" w:eastAsia="宋体" w:hAnsi="宋体"/>
          <w:sz w:val="24"/>
          <w:szCs w:val="24"/>
        </w:rPr>
        <w:t xml:space="preserve"> 管理人陆续完成</w:t>
      </w:r>
      <w:r w:rsidRPr="00C97EF3">
        <w:rPr>
          <w:rStyle w:val="fontstyle11"/>
          <w:rFonts w:ascii="宋体" w:eastAsia="宋体" w:hAnsi="宋体" w:hint="eastAsia"/>
          <w:sz w:val="24"/>
          <w:szCs w:val="24"/>
        </w:rPr>
        <w:t>向债权人划转股份的工作。</w:t>
      </w:r>
      <w:r w:rsidRPr="00C97EF3">
        <w:rPr>
          <w:rStyle w:val="fontstyle11"/>
          <w:rFonts w:ascii="宋体" w:eastAsia="宋体" w:hAnsi="宋体"/>
          <w:sz w:val="24"/>
          <w:szCs w:val="24"/>
        </w:rPr>
        <w:t xml:space="preserve"> 20X3 年 1 月 20 日，公司收到法</w:t>
      </w:r>
      <w:r w:rsidRPr="00C97EF3">
        <w:rPr>
          <w:rStyle w:val="fontstyle11"/>
          <w:rFonts w:ascii="宋体" w:eastAsia="宋体" w:hAnsi="宋体" w:hint="eastAsia"/>
          <w:sz w:val="24"/>
          <w:szCs w:val="24"/>
        </w:rPr>
        <w:t>院出具的民事裁定书，</w:t>
      </w:r>
      <w:r w:rsidRPr="00C97EF3">
        <w:rPr>
          <w:rStyle w:val="fontstyle11"/>
          <w:rFonts w:ascii="宋体" w:eastAsia="宋体" w:hAnsi="宋体"/>
          <w:sz w:val="24"/>
          <w:szCs w:val="24"/>
        </w:rPr>
        <w:t>裁定重整计划已执行完毕</w:t>
      </w:r>
      <w:r>
        <w:rPr>
          <w:rStyle w:val="fontstyle11"/>
          <w:rFonts w:ascii="宋体" w:eastAsia="宋体" w:hAnsi="宋体" w:hint="eastAsia"/>
          <w:sz w:val="24"/>
          <w:szCs w:val="24"/>
        </w:rPr>
        <w:t>。</w:t>
      </w:r>
    </w:p>
    <w:p w14:paraId="13950BA2" w14:textId="769C4FF4" w:rsidR="00C97EF3" w:rsidRDefault="00C97EF3" w:rsidP="00C97EF3">
      <w:pPr>
        <w:spacing w:line="360" w:lineRule="auto"/>
        <w:ind w:firstLineChars="200" w:firstLine="480"/>
        <w:rPr>
          <w:rStyle w:val="fontstyle11"/>
          <w:rFonts w:ascii="宋体" w:eastAsia="宋体" w:hAnsi="宋体" w:hint="eastAsia"/>
          <w:sz w:val="24"/>
          <w:szCs w:val="24"/>
        </w:rPr>
      </w:pPr>
      <w:r w:rsidRPr="00C97EF3">
        <w:rPr>
          <w:rStyle w:val="fontstyle11"/>
          <w:rFonts w:ascii="宋体" w:eastAsia="宋体" w:hAnsi="宋体"/>
          <w:sz w:val="24"/>
          <w:szCs w:val="24"/>
        </w:rPr>
        <w:t>X 公司认为截至 20X2 年末，破产重整计划的现金清偿部</w:t>
      </w:r>
      <w:r w:rsidRPr="00C97EF3">
        <w:rPr>
          <w:rStyle w:val="fontstyle11"/>
          <w:rFonts w:ascii="宋体" w:eastAsia="宋体" w:hAnsi="宋体" w:hint="eastAsia"/>
          <w:sz w:val="24"/>
          <w:szCs w:val="24"/>
        </w:rPr>
        <w:t>分已执行完毕，</w:t>
      </w:r>
      <w:r w:rsidRPr="00C97EF3">
        <w:rPr>
          <w:rStyle w:val="fontstyle11"/>
          <w:rFonts w:ascii="宋体" w:eastAsia="宋体" w:hAnsi="宋体"/>
          <w:sz w:val="24"/>
          <w:szCs w:val="24"/>
        </w:rPr>
        <w:t>重整投资人已支付股票的全部对价，破产重</w:t>
      </w:r>
      <w:r w:rsidRPr="00C97EF3">
        <w:rPr>
          <w:rStyle w:val="fontstyle11"/>
          <w:rFonts w:ascii="宋体" w:eastAsia="宋体" w:hAnsi="宋体" w:hint="eastAsia"/>
          <w:sz w:val="24"/>
          <w:szCs w:val="24"/>
        </w:rPr>
        <w:t>整方案继续执行不存在重大不确定性，</w:t>
      </w:r>
      <w:r w:rsidRPr="00C97EF3">
        <w:rPr>
          <w:rStyle w:val="fontstyle11"/>
          <w:rFonts w:ascii="宋体" w:eastAsia="宋体" w:hAnsi="宋体"/>
          <w:sz w:val="24"/>
          <w:szCs w:val="24"/>
        </w:rPr>
        <w:t>因此在 20X2 年年内</w:t>
      </w:r>
      <w:r w:rsidRPr="00C97EF3">
        <w:rPr>
          <w:rStyle w:val="fontstyle11"/>
          <w:rFonts w:ascii="宋体" w:eastAsia="宋体" w:hAnsi="宋体" w:hint="eastAsia"/>
          <w:sz w:val="24"/>
          <w:szCs w:val="24"/>
        </w:rPr>
        <w:t>确认破产重整收益。</w:t>
      </w:r>
    </w:p>
    <w:p w14:paraId="616487E0" w14:textId="77777777" w:rsid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问题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6BFBF0F5" w14:textId="1FDFB396" w:rsidR="00BE4B09" w:rsidRPr="00F44368" w:rsidRDefault="00C97EF3" w:rsidP="009E3F21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C97EF3">
        <w:rPr>
          <w:rStyle w:val="fontstyle01"/>
          <w:rFonts w:ascii="宋体" w:eastAsia="宋体" w:hAnsi="宋体" w:hint="default"/>
          <w:sz w:val="24"/>
          <w:szCs w:val="24"/>
        </w:rPr>
        <w:t>X 公司能否在 20X2 年确认债务重组收益？</w:t>
      </w:r>
    </w:p>
    <w:p w14:paraId="03FA7B1C" w14:textId="736E5D3D" w:rsidR="00202CB1" w:rsidRDefault="00D07514" w:rsidP="00202CB1">
      <w:pPr>
        <w:spacing w:line="360" w:lineRule="auto"/>
        <w:ind w:firstLineChars="200" w:firstLine="482"/>
        <w:rPr>
          <w:rStyle w:val="fontstyle01"/>
          <w:rFonts w:ascii="宋体" w:eastAsia="宋体" w:hAnsi="宋体" w:hint="default"/>
          <w:b/>
          <w:bCs/>
          <w:sz w:val="24"/>
          <w:szCs w:val="24"/>
        </w:rPr>
      </w:pPr>
      <w:r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具体分析</w:t>
      </w:r>
      <w:r w:rsidR="00202CB1" w:rsidRPr="00202CB1">
        <w:rPr>
          <w:rStyle w:val="fontstyle01"/>
          <w:rFonts w:ascii="宋体" w:eastAsia="宋体" w:hAnsi="宋体" w:hint="default"/>
          <w:b/>
          <w:bCs/>
          <w:sz w:val="24"/>
          <w:szCs w:val="24"/>
        </w:rPr>
        <w:t>：</w:t>
      </w:r>
    </w:p>
    <w:p w14:paraId="4D44734B" w14:textId="30D21D39" w:rsidR="00C97EF3" w:rsidRPr="00C97EF3" w:rsidRDefault="00C97EF3" w:rsidP="00C97EF3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C97EF3">
        <w:rPr>
          <w:rStyle w:val="fontstyle01"/>
          <w:rFonts w:ascii="宋体" w:eastAsia="宋体" w:hAnsi="宋体"/>
          <w:sz w:val="24"/>
          <w:szCs w:val="24"/>
        </w:rPr>
        <w:t>本案例中，</w:t>
      </w:r>
      <w:r w:rsidRPr="00C97EF3">
        <w:rPr>
          <w:rStyle w:val="fontstyle01"/>
          <w:rFonts w:ascii="宋体" w:eastAsia="宋体" w:hAnsi="宋体" w:hint="default"/>
          <w:sz w:val="24"/>
          <w:szCs w:val="24"/>
        </w:rPr>
        <w:t>破产重整计划对于债务清偿的约定包括两部</w:t>
      </w:r>
      <w:r w:rsidRPr="00C97EF3">
        <w:rPr>
          <w:rStyle w:val="fontstyle01"/>
          <w:rFonts w:ascii="宋体" w:eastAsia="宋体" w:hAnsi="宋体"/>
          <w:sz w:val="24"/>
          <w:szCs w:val="24"/>
        </w:rPr>
        <w:t>分，</w:t>
      </w:r>
      <w:r w:rsidRPr="00C97EF3">
        <w:rPr>
          <w:rStyle w:val="fontstyle01"/>
          <w:rFonts w:ascii="宋体" w:eastAsia="宋体" w:hAnsi="宋体" w:hint="default"/>
          <w:sz w:val="24"/>
          <w:szCs w:val="24"/>
        </w:rPr>
        <w:t>一部分是资本公积转增股本的部分股份直接清偿债务，</w:t>
      </w:r>
      <w:r w:rsidRPr="00C97EF3">
        <w:rPr>
          <w:rStyle w:val="fontstyle01"/>
          <w:rFonts w:ascii="宋体" w:eastAsia="宋体" w:hAnsi="宋体"/>
          <w:sz w:val="24"/>
          <w:szCs w:val="24"/>
        </w:rPr>
        <w:t>另一部分是资本公积转增股本的部分股份由重整投资人以现金认购，</w:t>
      </w:r>
      <w:r w:rsidRPr="00C97EF3">
        <w:rPr>
          <w:rStyle w:val="fontstyle01"/>
          <w:rFonts w:ascii="宋体" w:eastAsia="宋体" w:hAnsi="宋体" w:hint="default"/>
          <w:sz w:val="24"/>
          <w:szCs w:val="24"/>
        </w:rPr>
        <w:t>相关现金部分用于清偿债务。截至 20X2 年末，</w:t>
      </w:r>
      <w:r w:rsidRPr="00C97EF3">
        <w:rPr>
          <w:rStyle w:val="fontstyle01"/>
          <w:rFonts w:ascii="宋体" w:eastAsia="宋体" w:hAnsi="宋体"/>
          <w:sz w:val="24"/>
          <w:szCs w:val="24"/>
        </w:rPr>
        <w:t>仅重整投资人支付现金用于清偿债务的部分执行完成，</w:t>
      </w:r>
      <w:r w:rsidRPr="00C97EF3">
        <w:rPr>
          <w:rStyle w:val="fontstyle01"/>
          <w:rFonts w:ascii="宋体" w:eastAsia="宋体" w:hAnsi="宋体" w:hint="default"/>
          <w:sz w:val="24"/>
          <w:szCs w:val="24"/>
        </w:rPr>
        <w:t>以股</w:t>
      </w:r>
      <w:r w:rsidRPr="00C97EF3">
        <w:rPr>
          <w:rStyle w:val="fontstyle01"/>
          <w:rFonts w:ascii="宋体" w:eastAsia="宋体" w:hAnsi="宋体"/>
          <w:sz w:val="24"/>
          <w:szCs w:val="24"/>
        </w:rPr>
        <w:t>份直接偿债的部分尚未完成，</w:t>
      </w:r>
      <w:r w:rsidRPr="00C97EF3">
        <w:rPr>
          <w:rStyle w:val="fontstyle01"/>
          <w:rFonts w:ascii="宋体" w:eastAsia="宋体" w:hAnsi="宋体" w:hint="default"/>
          <w:sz w:val="24"/>
          <w:szCs w:val="24"/>
        </w:rPr>
        <w:t xml:space="preserve"> X 公司对该部分债务仍然存在</w:t>
      </w:r>
      <w:r w:rsidRPr="00C97EF3">
        <w:rPr>
          <w:rStyle w:val="fontstyle01"/>
          <w:rFonts w:ascii="宋体" w:eastAsia="宋体" w:hAnsi="宋体"/>
          <w:sz w:val="24"/>
          <w:szCs w:val="24"/>
        </w:rPr>
        <w:t>偿付义务，</w:t>
      </w:r>
      <w:r w:rsidRPr="00C97EF3">
        <w:rPr>
          <w:rStyle w:val="fontstyle01"/>
          <w:rFonts w:ascii="宋体" w:eastAsia="宋体" w:hAnsi="宋体" w:hint="default"/>
          <w:sz w:val="24"/>
          <w:szCs w:val="24"/>
        </w:rPr>
        <w:t>因此截至 20X2 年末不能终止确认相关债务。</w:t>
      </w:r>
    </w:p>
    <w:p w14:paraId="78005CFB" w14:textId="4D1B8A1F" w:rsidR="00C97EF3" w:rsidRPr="00C97EF3" w:rsidRDefault="00C97EF3" w:rsidP="00C97EF3">
      <w:pPr>
        <w:spacing w:line="360" w:lineRule="auto"/>
        <w:ind w:firstLineChars="200" w:firstLine="480"/>
        <w:rPr>
          <w:rStyle w:val="fontstyle01"/>
          <w:rFonts w:ascii="宋体" w:eastAsia="宋体" w:hAnsi="宋体" w:hint="default"/>
          <w:sz w:val="24"/>
          <w:szCs w:val="24"/>
        </w:rPr>
      </w:pPr>
      <w:r w:rsidRPr="00C97EF3">
        <w:rPr>
          <w:rStyle w:val="fontstyle01"/>
          <w:rFonts w:ascii="宋体" w:eastAsia="宋体" w:hAnsi="宋体"/>
          <w:sz w:val="24"/>
          <w:szCs w:val="24"/>
        </w:rPr>
        <w:t>根据《</w:t>
      </w:r>
      <w:r w:rsidRPr="00C97EF3">
        <w:rPr>
          <w:rStyle w:val="fontstyle01"/>
          <w:rFonts w:ascii="宋体" w:eastAsia="宋体" w:hAnsi="宋体" w:hint="default"/>
          <w:sz w:val="24"/>
          <w:szCs w:val="24"/>
        </w:rPr>
        <w:t>监管规则适用指引——会计类第 1 号》，由于涉</w:t>
      </w:r>
      <w:r w:rsidRPr="00C97EF3">
        <w:rPr>
          <w:rStyle w:val="fontstyle01"/>
          <w:rFonts w:ascii="宋体" w:eastAsia="宋体" w:hAnsi="宋体"/>
          <w:sz w:val="24"/>
          <w:szCs w:val="24"/>
        </w:rPr>
        <w:t>及破产重整的债务重</w:t>
      </w:r>
      <w:r w:rsidRPr="00C97EF3">
        <w:rPr>
          <w:rStyle w:val="fontstyle01"/>
          <w:rFonts w:ascii="宋体" w:eastAsia="宋体" w:hAnsi="宋体"/>
          <w:sz w:val="24"/>
          <w:szCs w:val="24"/>
        </w:rPr>
        <w:lastRenderedPageBreak/>
        <w:t>组协议执行过程及结果存在重大不确定性，</w:t>
      </w:r>
      <w:r w:rsidRPr="00C97EF3">
        <w:rPr>
          <w:rStyle w:val="fontstyle01"/>
          <w:rFonts w:ascii="宋体" w:eastAsia="宋体" w:hAnsi="宋体" w:hint="default"/>
          <w:sz w:val="24"/>
          <w:szCs w:val="24"/>
        </w:rPr>
        <w:t>因此，上市公司通常应在破产重整协议履行完毕后确</w:t>
      </w:r>
      <w:r w:rsidRPr="00C97EF3">
        <w:rPr>
          <w:rStyle w:val="fontstyle01"/>
          <w:rFonts w:ascii="宋体" w:eastAsia="宋体" w:hAnsi="宋体"/>
          <w:sz w:val="24"/>
          <w:szCs w:val="24"/>
        </w:rPr>
        <w:t>认债务重组收益，</w:t>
      </w:r>
      <w:r w:rsidRPr="00C97EF3">
        <w:rPr>
          <w:rStyle w:val="fontstyle01"/>
          <w:rFonts w:ascii="宋体" w:eastAsia="宋体" w:hAnsi="宋体" w:hint="default"/>
          <w:sz w:val="24"/>
          <w:szCs w:val="24"/>
        </w:rPr>
        <w:t>除非有确凿证据表明上述重大不确定性已</w:t>
      </w:r>
      <w:r w:rsidRPr="00C97EF3">
        <w:rPr>
          <w:rStyle w:val="fontstyle01"/>
          <w:rFonts w:ascii="宋体" w:eastAsia="宋体" w:hAnsi="宋体"/>
          <w:sz w:val="24"/>
          <w:szCs w:val="24"/>
        </w:rPr>
        <w:t>经消除。</w:t>
      </w:r>
    </w:p>
    <w:p w14:paraId="6CB0C5E6" w14:textId="5FCCC859" w:rsidR="00C97EF3" w:rsidRPr="00010439" w:rsidRDefault="00C97EF3" w:rsidP="00C97EF3">
      <w:pPr>
        <w:spacing w:line="360" w:lineRule="auto"/>
        <w:ind w:firstLineChars="200" w:firstLine="480"/>
        <w:rPr>
          <w:rStyle w:val="fontstyle01"/>
          <w:rFonts w:ascii="宋体" w:eastAsia="宋体" w:hAnsi="宋体"/>
          <w:sz w:val="24"/>
          <w:szCs w:val="24"/>
        </w:rPr>
      </w:pPr>
      <w:r w:rsidRPr="00C97EF3">
        <w:rPr>
          <w:rStyle w:val="fontstyle01"/>
          <w:rFonts w:ascii="宋体" w:eastAsia="宋体" w:hAnsi="宋体"/>
          <w:sz w:val="24"/>
          <w:szCs w:val="24"/>
        </w:rPr>
        <w:t>由于</w:t>
      </w:r>
      <w:r w:rsidRPr="00C97EF3">
        <w:rPr>
          <w:rStyle w:val="fontstyle01"/>
          <w:rFonts w:ascii="宋体" w:eastAsia="宋体" w:hAnsi="宋体" w:hint="default"/>
          <w:sz w:val="24"/>
          <w:szCs w:val="24"/>
        </w:rPr>
        <w:t xml:space="preserve"> 20X2 年末公司尚不能终止确认全部债务，破产重</w:t>
      </w:r>
      <w:r w:rsidRPr="00C97EF3">
        <w:rPr>
          <w:rStyle w:val="fontstyle01"/>
          <w:rFonts w:ascii="宋体" w:eastAsia="宋体" w:hAnsi="宋体"/>
          <w:sz w:val="24"/>
          <w:szCs w:val="24"/>
        </w:rPr>
        <w:t>整协议尚未履行完毕，</w:t>
      </w:r>
      <w:r w:rsidRPr="00C97EF3">
        <w:rPr>
          <w:rStyle w:val="fontstyle01"/>
          <w:rFonts w:ascii="宋体" w:eastAsia="宋体" w:hAnsi="宋体" w:hint="default"/>
          <w:sz w:val="24"/>
          <w:szCs w:val="24"/>
        </w:rPr>
        <w:t>因此不能在年内确认全部债务重组收</w:t>
      </w:r>
      <w:r w:rsidRPr="00C97EF3">
        <w:rPr>
          <w:rStyle w:val="fontstyle01"/>
          <w:rFonts w:ascii="宋体" w:eastAsia="宋体" w:hAnsi="宋体"/>
          <w:sz w:val="24"/>
          <w:szCs w:val="24"/>
        </w:rPr>
        <w:t>益</w:t>
      </w:r>
      <w:r>
        <w:rPr>
          <w:rStyle w:val="fontstyle01"/>
          <w:rFonts w:ascii="宋体" w:eastAsia="宋体" w:hAnsi="宋体"/>
          <w:sz w:val="24"/>
          <w:szCs w:val="24"/>
        </w:rPr>
        <w:t>。</w:t>
      </w:r>
    </w:p>
    <w:sectPr w:rsidR="00C97EF3" w:rsidRPr="00010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F865" w14:textId="77777777" w:rsidR="008D6F78" w:rsidRDefault="008D6F78" w:rsidP="00087EF2">
      <w:r>
        <w:separator/>
      </w:r>
    </w:p>
  </w:endnote>
  <w:endnote w:type="continuationSeparator" w:id="0">
    <w:p w14:paraId="15D32A98" w14:textId="77777777" w:rsidR="008D6F78" w:rsidRDefault="008D6F78" w:rsidP="0008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YaHe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55C9" w14:textId="77777777" w:rsidR="008D6F78" w:rsidRDefault="008D6F78" w:rsidP="00087EF2">
      <w:r>
        <w:separator/>
      </w:r>
    </w:p>
  </w:footnote>
  <w:footnote w:type="continuationSeparator" w:id="0">
    <w:p w14:paraId="0B8C35E0" w14:textId="77777777" w:rsidR="008D6F78" w:rsidRDefault="008D6F78" w:rsidP="00087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14"/>
    <w:rsid w:val="00010439"/>
    <w:rsid w:val="00023A7C"/>
    <w:rsid w:val="00037863"/>
    <w:rsid w:val="00087EF2"/>
    <w:rsid w:val="000E583C"/>
    <w:rsid w:val="001F52A1"/>
    <w:rsid w:val="00202CB1"/>
    <w:rsid w:val="00270D05"/>
    <w:rsid w:val="00301D22"/>
    <w:rsid w:val="00337283"/>
    <w:rsid w:val="003D2507"/>
    <w:rsid w:val="006B4FFE"/>
    <w:rsid w:val="007142A9"/>
    <w:rsid w:val="00742BB7"/>
    <w:rsid w:val="00754622"/>
    <w:rsid w:val="0078558B"/>
    <w:rsid w:val="007B4DA0"/>
    <w:rsid w:val="00841353"/>
    <w:rsid w:val="00897CD6"/>
    <w:rsid w:val="008D6F78"/>
    <w:rsid w:val="009E3F21"/>
    <w:rsid w:val="00A30713"/>
    <w:rsid w:val="00AC3572"/>
    <w:rsid w:val="00B836E2"/>
    <w:rsid w:val="00BE4B09"/>
    <w:rsid w:val="00C362FF"/>
    <w:rsid w:val="00C64510"/>
    <w:rsid w:val="00C97EF3"/>
    <w:rsid w:val="00D07514"/>
    <w:rsid w:val="00E07F33"/>
    <w:rsid w:val="00EA6E1E"/>
    <w:rsid w:val="00ED1CF5"/>
    <w:rsid w:val="00F032E1"/>
    <w:rsid w:val="00F4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E287B"/>
  <w15:chartTrackingRefBased/>
  <w15:docId w15:val="{2D5C1F98-E07B-41ED-AF97-67981D00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07514"/>
    <w:rPr>
      <w:rFonts w:ascii="华文仿宋" w:eastAsia="华文仿宋" w:hAnsi="华文仿宋" w:hint="eastAsia"/>
      <w:b w:val="0"/>
      <w:bCs w:val="0"/>
      <w:i w:val="0"/>
      <w:iCs w:val="0"/>
      <w:color w:val="000000"/>
      <w:sz w:val="30"/>
      <w:szCs w:val="30"/>
    </w:rPr>
  </w:style>
  <w:style w:type="character" w:customStyle="1" w:styleId="fontstyle11">
    <w:name w:val="fontstyle11"/>
    <w:basedOn w:val="a0"/>
    <w:rsid w:val="00D0751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07514"/>
    <w:rPr>
      <w:rFonts w:ascii="MicrosoftYaHei" w:hAnsi="MicrosoftYaHe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D07514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087EF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E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E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小明</dc:creator>
  <cp:keywords/>
  <dc:description/>
  <cp:lastModifiedBy>JONTEN JONTEN</cp:lastModifiedBy>
  <cp:revision>2</cp:revision>
  <dcterms:created xsi:type="dcterms:W3CDTF">2024-01-08T02:04:00Z</dcterms:created>
  <dcterms:modified xsi:type="dcterms:W3CDTF">2024-01-08T02:04:00Z</dcterms:modified>
</cp:coreProperties>
</file>