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附件2</w:t>
      </w:r>
    </w:p>
    <w:p/>
    <w:p>
      <w:pPr>
        <w:adjustRightInd w:val="0"/>
        <w:snapToGrid w:val="0"/>
        <w:jc w:val="center"/>
        <w:rPr>
          <w:rFonts w:hint="eastAsia" w:ascii="方正小标宋简体" w:eastAsia="方正小标宋简体" w:cs="Times New Roman" w:hAnsiTheme="majorEastAsia"/>
          <w:sz w:val="44"/>
          <w:szCs w:val="44"/>
        </w:rPr>
      </w:pPr>
      <w:r>
        <w:rPr>
          <w:rFonts w:hint="eastAsia" w:ascii="方正小标宋简体" w:eastAsia="方正小标宋简体" w:cs="Times New Roman" w:hAnsiTheme="majorEastAsia"/>
          <w:sz w:val="44"/>
          <w:szCs w:val="44"/>
        </w:rPr>
        <w:t>《深圳证券交易所上市公司自律监管指南</w:t>
      </w:r>
    </w:p>
    <w:p>
      <w:pPr>
        <w:adjustRightInd w:val="0"/>
        <w:snapToGrid w:val="0"/>
        <w:jc w:val="center"/>
        <w:rPr>
          <w:rFonts w:ascii="仿宋" w:hAnsi="仿宋" w:eastAsia="方正小标宋简体" w:cs="Times New Roman"/>
          <w:sz w:val="32"/>
          <w:szCs w:val="32"/>
        </w:rPr>
      </w:pPr>
      <w:r>
        <w:rPr>
          <w:rFonts w:hint="eastAsia" w:ascii="方正小标宋简体" w:eastAsia="方正小标宋简体" w:cs="Times New Roman" w:hAnsiTheme="majorEastAsia"/>
          <w:sz w:val="44"/>
          <w:szCs w:val="44"/>
        </w:rPr>
        <w:t>第1号——业务办理》修订说明</w:t>
      </w:r>
    </w:p>
    <w:p>
      <w:pPr>
        <w:tabs>
          <w:tab w:val="left" w:pos="1260"/>
        </w:tabs>
        <w:autoSpaceDE w:val="0"/>
        <w:autoSpaceDN w:val="0"/>
        <w:adjustRightInd w:val="0"/>
        <w:spacing w:line="560" w:lineRule="exact"/>
        <w:rPr>
          <w:rFonts w:ascii="仿宋" w:hAnsi="仿宋" w:eastAsia="仿宋" w:cs="Times New Roman"/>
          <w:color w:val="000000"/>
          <w:sz w:val="32"/>
          <w:szCs w:val="30"/>
        </w:rPr>
      </w:pPr>
    </w:p>
    <w:p>
      <w:pPr>
        <w:tabs>
          <w:tab w:val="left" w:pos="1260"/>
        </w:tabs>
        <w:autoSpaceDE w:val="0"/>
        <w:autoSpaceDN w:val="0"/>
        <w:adjustRightInd w:val="0"/>
        <w:spacing w:line="560" w:lineRule="exact"/>
        <w:ind w:firstLine="640" w:firstLineChars="200"/>
        <w:rPr>
          <w:rFonts w:ascii="仿宋" w:hAnsi="仿宋" w:eastAsia="仿宋" w:cs="Times New Roman"/>
          <w:color w:val="000000"/>
          <w:sz w:val="32"/>
          <w:szCs w:val="30"/>
        </w:rPr>
      </w:pPr>
      <w:r>
        <w:rPr>
          <w:rFonts w:hint="eastAsia" w:ascii="仿宋" w:hAnsi="仿宋" w:eastAsia="仿宋" w:cs="Times New Roman"/>
          <w:color w:val="000000"/>
          <w:sz w:val="32"/>
          <w:szCs w:val="30"/>
        </w:rPr>
        <w:t>2023年1月13日，在证监会统筹指导下，深圳证券交易所（以下简称本所）发布《关于加强退市风险公司2022年年度报告信息披露工作的通知》（以下简称《通知》），提高财务类*ST公司风险揭示频次和针对性，对促进退市风险有序释放和平稳出清发挥了积极作用。为贯彻落实中央经济工作会议和中央金融工作会议精神，健全退市风险“四早”防控机制，按照证监会统一部署，</w:t>
      </w:r>
      <w:r>
        <w:rPr>
          <w:rFonts w:hint="eastAsia" w:ascii="仿宋" w:hAnsi="仿宋" w:eastAsia="仿宋" w:cs="Times New Roman"/>
          <w:color w:val="000000"/>
          <w:sz w:val="32"/>
          <w:szCs w:val="30"/>
          <w:lang w:eastAsia="zh-CN"/>
        </w:rPr>
        <w:t>本所</w:t>
      </w:r>
      <w:r>
        <w:rPr>
          <w:rFonts w:hint="eastAsia" w:ascii="仿宋" w:hAnsi="仿宋" w:eastAsia="仿宋" w:cs="Times New Roman"/>
          <w:color w:val="000000"/>
          <w:sz w:val="32"/>
          <w:szCs w:val="30"/>
        </w:rPr>
        <w:t>将《通知》内容整体纳入《深圳证券交易所上市公司自律监管指南第1号——业务办理》（以下简称《1号指南》），新增</w:t>
      </w:r>
      <w:r>
        <w:rPr>
          <w:rFonts w:hint="eastAsia" w:ascii="仿宋" w:hAnsi="仿宋" w:eastAsia="仿宋" w:cs="Times New Roman"/>
          <w:color w:val="000000"/>
          <w:sz w:val="32"/>
          <w:szCs w:val="30"/>
          <w:lang w:eastAsia="zh-CN"/>
        </w:rPr>
        <w:t>“退市风险公司信息披露”章节，</w:t>
      </w:r>
      <w:r>
        <w:rPr>
          <w:rFonts w:hint="eastAsia" w:ascii="仿宋" w:hAnsi="仿宋" w:eastAsia="仿宋" w:cs="Times New Roman"/>
          <w:color w:val="000000"/>
          <w:sz w:val="32"/>
          <w:szCs w:val="30"/>
        </w:rPr>
        <w:t>同时针对新情况新问题进一步补充完善。修订内容如下：</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一、进一步强化财务类*ST公司风险揭示</w:t>
      </w:r>
    </w:p>
    <w:p>
      <w:pPr>
        <w:spacing w:line="560" w:lineRule="exact"/>
        <w:ind w:firstLine="643" w:firstLineChars="200"/>
        <w:rPr>
          <w:rFonts w:hint="eastAsia" w:ascii="仿宋" w:hAnsi="仿宋" w:eastAsia="仿宋" w:cs="Times New Roman"/>
          <w:color w:val="000000"/>
          <w:sz w:val="32"/>
          <w:szCs w:val="30"/>
          <w:lang w:eastAsia="zh-CN"/>
        </w:rPr>
      </w:pPr>
      <w:r>
        <w:rPr>
          <w:rFonts w:hint="eastAsia" w:ascii="仿宋" w:hAnsi="仿宋" w:eastAsia="仿宋" w:cs="Times New Roman"/>
          <w:b/>
          <w:sz w:val="32"/>
          <w:szCs w:val="32"/>
        </w:rPr>
        <w:t>一是将《通知》行之有效的监管要求予以固化。</w:t>
      </w:r>
      <w:r>
        <w:rPr>
          <w:rFonts w:hint="eastAsia" w:ascii="仿宋" w:hAnsi="仿宋" w:eastAsia="仿宋" w:cs="Times New Roman"/>
          <w:color w:val="000000"/>
          <w:sz w:val="32"/>
          <w:szCs w:val="30"/>
        </w:rPr>
        <w:t>比如财务类*ST公司应当在首次风险提示公告披露后至年度报告披露前，每十个交易日披露一次风险提示公告；在年度报告预约披露日前二十个交易日和十个交易日，披露年度报告编制及最新审计进展情况；董监高应当诚实守信、勤勉尽责，做好定期报告编制、审议和披露相关工作</w:t>
      </w:r>
      <w:r>
        <w:rPr>
          <w:rFonts w:hint="eastAsia" w:ascii="仿宋" w:hAnsi="仿宋" w:eastAsia="仿宋" w:cs="Times New Roman"/>
          <w:color w:val="000000"/>
          <w:sz w:val="32"/>
          <w:szCs w:val="30"/>
          <w:lang w:eastAsia="zh-CN"/>
        </w:rPr>
        <w:t>；会计师事务所应当严格按照审计准则等的要求，勤勉尽责、规范执业。</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color w:val="000000"/>
          <w:sz w:val="32"/>
          <w:szCs w:val="30"/>
        </w:rPr>
        <w:t>二是强化债务重组等重大交易监管。</w:t>
      </w:r>
      <w:r>
        <w:rPr>
          <w:rFonts w:hint="eastAsia" w:ascii="仿宋" w:hAnsi="仿宋" w:eastAsia="仿宋" w:cs="Times New Roman"/>
          <w:color w:val="000000"/>
          <w:sz w:val="32"/>
          <w:szCs w:val="30"/>
        </w:rPr>
        <w:t>针对退市风险公司年末突击实施债务重组或开展新业务，“保壳”动作频出的现象，</w:t>
      </w:r>
      <w:r>
        <w:rPr>
          <w:rFonts w:hint="eastAsia" w:ascii="仿宋" w:hAnsi="仿宋" w:eastAsia="仿宋" w:cs="Times New Roman"/>
          <w:b/>
          <w:sz w:val="32"/>
          <w:szCs w:val="32"/>
        </w:rPr>
        <w:t>一方面，</w:t>
      </w:r>
      <w:r>
        <w:rPr>
          <w:rFonts w:hint="eastAsia" w:ascii="仿宋" w:hAnsi="仿宋" w:eastAsia="仿宋" w:cs="Times New Roman"/>
          <w:sz w:val="32"/>
          <w:szCs w:val="32"/>
        </w:rPr>
        <w:t>明确公司在债务重组、资产捐赠等重大交易消除重大不确定性前不得随意披露，避免误导投资者。</w:t>
      </w:r>
      <w:r>
        <w:rPr>
          <w:rFonts w:hint="eastAsia" w:ascii="仿宋" w:hAnsi="仿宋" w:eastAsia="仿宋" w:cs="Times New Roman"/>
          <w:b/>
          <w:sz w:val="32"/>
          <w:szCs w:val="32"/>
        </w:rPr>
        <w:t>另一方面，</w:t>
      </w:r>
      <w:r>
        <w:rPr>
          <w:rFonts w:hint="eastAsia" w:ascii="仿宋" w:hAnsi="仿宋" w:eastAsia="仿宋" w:cs="Times New Roman"/>
          <w:sz w:val="32"/>
          <w:szCs w:val="32"/>
        </w:rPr>
        <w:t>提高重大交易实施门槛，对交易标的为公司股权的，除审计外，还要求进行评估并披露评估报告。</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三是新增无法披露年报重点风险提示。</w:t>
      </w:r>
      <w:r>
        <w:rPr>
          <w:rFonts w:hint="eastAsia" w:ascii="仿宋" w:hAnsi="仿宋" w:eastAsia="仿宋" w:cs="Times New Roman"/>
          <w:sz w:val="32"/>
          <w:szCs w:val="32"/>
        </w:rPr>
        <w:t>为避免退市风险公司</w:t>
      </w:r>
      <w:r>
        <w:rPr>
          <w:rFonts w:hint="eastAsia" w:ascii="仿宋" w:hAnsi="仿宋" w:eastAsia="仿宋" w:cs="Times New Roman"/>
          <w:sz w:val="32"/>
          <w:szCs w:val="32"/>
          <w:lang w:eastAsia="zh-CN"/>
        </w:rPr>
        <w:t>不履行</w:t>
      </w:r>
      <w:r>
        <w:rPr>
          <w:rFonts w:hint="eastAsia" w:ascii="仿宋" w:hAnsi="仿宋" w:eastAsia="仿宋" w:cs="Times New Roman"/>
          <w:sz w:val="32"/>
          <w:szCs w:val="32"/>
        </w:rPr>
        <w:t>信息披露</w:t>
      </w:r>
      <w:r>
        <w:rPr>
          <w:rFonts w:hint="eastAsia" w:ascii="仿宋" w:hAnsi="仿宋" w:eastAsia="仿宋" w:cs="Times New Roman"/>
          <w:sz w:val="32"/>
          <w:szCs w:val="32"/>
          <w:lang w:eastAsia="zh-CN"/>
        </w:rPr>
        <w:t>责任</w:t>
      </w:r>
      <w:r>
        <w:rPr>
          <w:rFonts w:hint="eastAsia" w:ascii="仿宋" w:hAnsi="仿宋" w:eastAsia="仿宋" w:cs="Times New Roman"/>
          <w:sz w:val="32"/>
          <w:szCs w:val="32"/>
        </w:rPr>
        <w:t>，影响风险揭示有效性、及时性，明确公司一旦出现无法按期披露年报风险的，应当作重点风险提示，推动相关</w:t>
      </w:r>
      <w:r>
        <w:rPr>
          <w:rFonts w:hint="eastAsia" w:ascii="仿宋" w:hAnsi="仿宋" w:eastAsia="仿宋" w:cs="Times New Roman"/>
          <w:sz w:val="32"/>
          <w:szCs w:val="32"/>
          <w:lang w:eastAsia="zh-CN"/>
        </w:rPr>
        <w:t>风险</w:t>
      </w:r>
      <w:r>
        <w:rPr>
          <w:rFonts w:hint="eastAsia" w:ascii="仿宋" w:hAnsi="仿宋" w:eastAsia="仿宋" w:cs="Times New Roman"/>
          <w:sz w:val="32"/>
          <w:szCs w:val="32"/>
        </w:rPr>
        <w:t>尽早释放，避免</w:t>
      </w:r>
      <w:r>
        <w:rPr>
          <w:rFonts w:hint="eastAsia" w:ascii="仿宋" w:hAnsi="仿宋" w:eastAsia="仿宋" w:cs="Times New Roman"/>
          <w:sz w:val="32"/>
          <w:szCs w:val="32"/>
          <w:lang w:eastAsia="zh-CN"/>
        </w:rPr>
        <w:t>市场预期不足</w:t>
      </w:r>
      <w:r>
        <w:rPr>
          <w:rFonts w:hint="eastAsia" w:ascii="仿宋" w:hAnsi="仿宋" w:eastAsia="仿宋"/>
          <w:color w:val="000000"/>
          <w:sz w:val="32"/>
          <w:szCs w:val="32"/>
        </w:rPr>
        <w:t>。</w:t>
      </w:r>
    </w:p>
    <w:p>
      <w:pPr>
        <w:spacing w:line="560" w:lineRule="exact"/>
        <w:ind w:firstLine="640" w:firstLineChars="200"/>
        <w:rPr>
          <w:rFonts w:ascii="仿宋" w:hAnsi="仿宋" w:eastAsia="仿宋"/>
          <w:bCs/>
          <w:color w:val="000000"/>
          <w:sz w:val="32"/>
          <w:szCs w:val="32"/>
        </w:rPr>
      </w:pPr>
      <w:r>
        <w:rPr>
          <w:rFonts w:hint="eastAsia" w:ascii="黑体" w:hAnsi="黑体" w:eastAsia="黑体" w:cs="黑体"/>
          <w:bCs/>
          <w:color w:val="000000"/>
          <w:sz w:val="32"/>
          <w:szCs w:val="32"/>
        </w:rPr>
        <w:t>二、新增交易类、重大违法类退市风险披露要求</w:t>
      </w:r>
    </w:p>
    <w:p>
      <w:pPr>
        <w:spacing w:line="56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一是交易类方面，</w:t>
      </w:r>
      <w:r>
        <w:rPr>
          <w:rFonts w:hint="eastAsia" w:ascii="仿宋" w:hAnsi="仿宋" w:eastAsia="仿宋"/>
          <w:color w:val="000000"/>
          <w:sz w:val="32"/>
          <w:szCs w:val="32"/>
        </w:rPr>
        <w:t>为防止</w:t>
      </w:r>
      <w:r>
        <w:rPr>
          <w:rFonts w:hint="eastAsia" w:ascii="仿宋" w:hAnsi="仿宋" w:eastAsia="仿宋"/>
          <w:color w:val="000000"/>
          <w:sz w:val="32"/>
          <w:szCs w:val="32"/>
          <w:lang w:eastAsia="zh-CN"/>
        </w:rPr>
        <w:t>公司</w:t>
      </w:r>
      <w:r>
        <w:rPr>
          <w:rFonts w:hint="eastAsia" w:ascii="仿宋" w:hAnsi="仿宋" w:eastAsia="仿宋"/>
          <w:color w:val="000000"/>
          <w:sz w:val="32"/>
          <w:szCs w:val="32"/>
        </w:rPr>
        <w:t>信息披露</w:t>
      </w:r>
      <w:r>
        <w:rPr>
          <w:rFonts w:hint="eastAsia" w:ascii="仿宋" w:hAnsi="仿宋" w:eastAsia="仿宋" w:cs="Times New Roman"/>
          <w:sz w:val="32"/>
          <w:szCs w:val="32"/>
        </w:rPr>
        <w:t>不当影响公司股价，扰乱市场秩序，</w:t>
      </w:r>
      <w:r>
        <w:rPr>
          <w:rFonts w:hint="eastAsia" w:ascii="仿宋" w:hAnsi="仿宋" w:eastAsia="仿宋"/>
          <w:bCs/>
          <w:color w:val="000000"/>
          <w:sz w:val="32"/>
          <w:szCs w:val="32"/>
        </w:rPr>
        <w:t>明确</w:t>
      </w:r>
      <w:r>
        <w:rPr>
          <w:rFonts w:hint="eastAsia" w:ascii="仿宋" w:hAnsi="仿宋" w:eastAsia="仿宋" w:cs="Times New Roman"/>
          <w:sz w:val="32"/>
          <w:szCs w:val="32"/>
        </w:rPr>
        <w:t>要求股票低于1元的公司在披露增持、回购、要约收购、控制权变更等公告时，应当充分说明其履约能力，本所可以要求相关方提供证明性文件。股票收盘价接近1元的公司参照执行。</w:t>
      </w:r>
    </w:p>
    <w:p>
      <w:pPr>
        <w:spacing w:line="56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二是重大违法类方面，</w:t>
      </w:r>
      <w:r>
        <w:rPr>
          <w:rFonts w:hint="eastAsia" w:ascii="仿宋" w:hAnsi="仿宋" w:eastAsia="仿宋"/>
          <w:color w:val="000000"/>
          <w:sz w:val="32"/>
          <w:szCs w:val="32"/>
        </w:rPr>
        <w:t>对于可</w:t>
      </w:r>
      <w:r>
        <w:rPr>
          <w:rFonts w:hint="eastAsia" w:ascii="仿宋" w:hAnsi="仿宋" w:eastAsia="仿宋"/>
          <w:bCs/>
          <w:color w:val="000000"/>
          <w:sz w:val="32"/>
          <w:szCs w:val="32"/>
        </w:rPr>
        <w:t>能触及重大违法强制退市情形的公司，现有规则要求公司在收到行政处罚事先告知书或有罪裁判后每五个交易日披露一次风险提示公告，本次修改进一步前移披露时点，新增立案或者被提起公诉期间每月披露一次风险提示公告的要求。</w:t>
      </w:r>
    </w:p>
    <w:p>
      <w:pPr>
        <w:spacing w:line="560" w:lineRule="exact"/>
        <w:ind w:firstLine="640" w:firstLineChars="200"/>
        <w:rPr>
          <w:rFonts w:ascii="仿宋" w:hAnsi="仿宋" w:eastAsia="仿宋"/>
          <w:bCs/>
          <w:color w:val="000000"/>
          <w:sz w:val="32"/>
          <w:szCs w:val="32"/>
        </w:rPr>
      </w:pPr>
      <w:r>
        <w:rPr>
          <w:rFonts w:hint="eastAsia" w:ascii="黑体" w:hAnsi="黑体" w:eastAsia="黑体" w:cs="黑体"/>
          <w:bCs/>
          <w:color w:val="000000"/>
          <w:sz w:val="32"/>
          <w:szCs w:val="32"/>
        </w:rPr>
        <w:t>三、强化董监高履职要求</w:t>
      </w:r>
    </w:p>
    <w:p>
      <w:pPr>
        <w:spacing w:line="560" w:lineRule="exact"/>
        <w:ind w:firstLine="640" w:firstLineChars="200"/>
        <w:jc w:val="both"/>
        <w:rPr>
          <w:rFonts w:ascii="仿宋" w:hAnsi="仿宋" w:eastAsia="仿宋" w:cs="Times New Roman"/>
          <w:sz w:val="32"/>
          <w:szCs w:val="32"/>
        </w:rPr>
      </w:pPr>
      <w:r>
        <w:rPr>
          <w:rFonts w:hint="eastAsia" w:ascii="仿宋" w:hAnsi="仿宋" w:eastAsia="仿宋"/>
          <w:bCs/>
          <w:color w:val="000000"/>
          <w:sz w:val="32"/>
          <w:szCs w:val="32"/>
          <w:lang w:eastAsia="zh-CN"/>
        </w:rPr>
        <w:t>为</w:t>
      </w:r>
      <w:r>
        <w:rPr>
          <w:rFonts w:hint="eastAsia" w:ascii="仿宋" w:hAnsi="仿宋" w:eastAsia="仿宋"/>
          <w:bCs/>
          <w:color w:val="000000"/>
          <w:sz w:val="32"/>
          <w:szCs w:val="32"/>
        </w:rPr>
        <w:t>发挥审计委员会对公司财务会计报告监督作用，</w:t>
      </w:r>
      <w:r>
        <w:rPr>
          <w:rFonts w:hint="eastAsia" w:ascii="仿宋" w:hAnsi="仿宋" w:eastAsia="仿宋" w:cs="Times New Roman"/>
          <w:sz w:val="32"/>
          <w:szCs w:val="32"/>
        </w:rPr>
        <w:t>增加审计委员会对财务信息的重点关注事项，要求关注财务会计报告及定期报告中财务信息的真实性、准确性、完整性，关注财务会计报告的重大会计和审计问题。</w:t>
      </w:r>
      <w:r>
        <w:rPr>
          <w:rFonts w:hint="eastAsia" w:ascii="仿宋" w:hAnsi="仿宋" w:eastAsia="仿宋" w:cs="Times New Roman"/>
          <w:b/>
          <w:bCs/>
          <w:sz w:val="32"/>
          <w:szCs w:val="32"/>
        </w:rPr>
        <w:t>此外，</w:t>
      </w:r>
      <w:r>
        <w:rPr>
          <w:rFonts w:hint="eastAsia" w:ascii="仿宋" w:hAnsi="仿宋" w:eastAsia="仿宋" w:cs="Times New Roman"/>
          <w:bCs/>
          <w:sz w:val="32"/>
          <w:szCs w:val="32"/>
        </w:rPr>
        <w:t>进一步压严</w:t>
      </w:r>
      <w:r>
        <w:rPr>
          <w:rFonts w:hint="eastAsia" w:ascii="仿宋" w:hAnsi="仿宋" w:eastAsia="仿宋" w:cs="Times New Roman"/>
          <w:sz w:val="32"/>
          <w:szCs w:val="32"/>
        </w:rPr>
        <w:t>压实退市风险公司董监高责任，要求其督促公司依法依规履行信息披露义务，审慎地发布影响公司上市地位相关的信息，确保真实、准确、完整。</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76"/>
    <w:rsid w:val="0001205D"/>
    <w:rsid w:val="00025B6D"/>
    <w:rsid w:val="000304C4"/>
    <w:rsid w:val="00044405"/>
    <w:rsid w:val="00062436"/>
    <w:rsid w:val="00076B27"/>
    <w:rsid w:val="00086040"/>
    <w:rsid w:val="000A661A"/>
    <w:rsid w:val="000C784A"/>
    <w:rsid w:val="000E0665"/>
    <w:rsid w:val="001065D5"/>
    <w:rsid w:val="00126DA9"/>
    <w:rsid w:val="0013661F"/>
    <w:rsid w:val="00144C45"/>
    <w:rsid w:val="00151375"/>
    <w:rsid w:val="00162C67"/>
    <w:rsid w:val="00167EB2"/>
    <w:rsid w:val="00185ED5"/>
    <w:rsid w:val="00186D2F"/>
    <w:rsid w:val="00192A1C"/>
    <w:rsid w:val="001B0704"/>
    <w:rsid w:val="001F25DA"/>
    <w:rsid w:val="001F594D"/>
    <w:rsid w:val="0020392E"/>
    <w:rsid w:val="0021658D"/>
    <w:rsid w:val="002421FA"/>
    <w:rsid w:val="00245ED5"/>
    <w:rsid w:val="002536AB"/>
    <w:rsid w:val="00254E5F"/>
    <w:rsid w:val="00263C5A"/>
    <w:rsid w:val="00270BFC"/>
    <w:rsid w:val="00272C2D"/>
    <w:rsid w:val="00290896"/>
    <w:rsid w:val="00294AFA"/>
    <w:rsid w:val="002B097F"/>
    <w:rsid w:val="002B25D1"/>
    <w:rsid w:val="002C32DD"/>
    <w:rsid w:val="002D1395"/>
    <w:rsid w:val="002E3A71"/>
    <w:rsid w:val="002F7FEB"/>
    <w:rsid w:val="0032159D"/>
    <w:rsid w:val="00325E96"/>
    <w:rsid w:val="00381F18"/>
    <w:rsid w:val="0039239C"/>
    <w:rsid w:val="00392D44"/>
    <w:rsid w:val="003B3FD7"/>
    <w:rsid w:val="003D0117"/>
    <w:rsid w:val="003F1F98"/>
    <w:rsid w:val="003F2036"/>
    <w:rsid w:val="004054CD"/>
    <w:rsid w:val="004056BF"/>
    <w:rsid w:val="00407A5D"/>
    <w:rsid w:val="00407D19"/>
    <w:rsid w:val="00414B69"/>
    <w:rsid w:val="00420C28"/>
    <w:rsid w:val="004230DE"/>
    <w:rsid w:val="004237D5"/>
    <w:rsid w:val="004562E0"/>
    <w:rsid w:val="00464ADE"/>
    <w:rsid w:val="00471ACF"/>
    <w:rsid w:val="00495728"/>
    <w:rsid w:val="004A538A"/>
    <w:rsid w:val="004A6DB8"/>
    <w:rsid w:val="004C4E87"/>
    <w:rsid w:val="004D0ABF"/>
    <w:rsid w:val="004D3060"/>
    <w:rsid w:val="004E023C"/>
    <w:rsid w:val="004E5B8D"/>
    <w:rsid w:val="00503989"/>
    <w:rsid w:val="00503FA5"/>
    <w:rsid w:val="00511AC6"/>
    <w:rsid w:val="0051310E"/>
    <w:rsid w:val="00522A76"/>
    <w:rsid w:val="00533C1B"/>
    <w:rsid w:val="00535493"/>
    <w:rsid w:val="005545FC"/>
    <w:rsid w:val="0055677E"/>
    <w:rsid w:val="00562910"/>
    <w:rsid w:val="0057260B"/>
    <w:rsid w:val="00592CEA"/>
    <w:rsid w:val="005F378A"/>
    <w:rsid w:val="00601AFF"/>
    <w:rsid w:val="00601E80"/>
    <w:rsid w:val="00616CDF"/>
    <w:rsid w:val="00661323"/>
    <w:rsid w:val="006720D8"/>
    <w:rsid w:val="0068639C"/>
    <w:rsid w:val="0069575A"/>
    <w:rsid w:val="006A6390"/>
    <w:rsid w:val="006F0414"/>
    <w:rsid w:val="006F0B43"/>
    <w:rsid w:val="00705DE6"/>
    <w:rsid w:val="0076376A"/>
    <w:rsid w:val="007644C3"/>
    <w:rsid w:val="00772C29"/>
    <w:rsid w:val="00784BD1"/>
    <w:rsid w:val="00786DDF"/>
    <w:rsid w:val="007C302A"/>
    <w:rsid w:val="007D5834"/>
    <w:rsid w:val="007E2471"/>
    <w:rsid w:val="007F0FF4"/>
    <w:rsid w:val="007F2767"/>
    <w:rsid w:val="0080469B"/>
    <w:rsid w:val="00816655"/>
    <w:rsid w:val="008208A8"/>
    <w:rsid w:val="00841A65"/>
    <w:rsid w:val="0084453F"/>
    <w:rsid w:val="008611DE"/>
    <w:rsid w:val="00891828"/>
    <w:rsid w:val="008C131D"/>
    <w:rsid w:val="008C211D"/>
    <w:rsid w:val="008C4276"/>
    <w:rsid w:val="008C6D09"/>
    <w:rsid w:val="00901A18"/>
    <w:rsid w:val="0091609D"/>
    <w:rsid w:val="009210F4"/>
    <w:rsid w:val="00921F00"/>
    <w:rsid w:val="00934017"/>
    <w:rsid w:val="00934C35"/>
    <w:rsid w:val="00947AA1"/>
    <w:rsid w:val="009539E5"/>
    <w:rsid w:val="00962FE2"/>
    <w:rsid w:val="00972BCE"/>
    <w:rsid w:val="009A0985"/>
    <w:rsid w:val="009B4650"/>
    <w:rsid w:val="009D3319"/>
    <w:rsid w:val="009E5047"/>
    <w:rsid w:val="009F060B"/>
    <w:rsid w:val="00A0305E"/>
    <w:rsid w:val="00A20986"/>
    <w:rsid w:val="00A32121"/>
    <w:rsid w:val="00A821B4"/>
    <w:rsid w:val="00A94F53"/>
    <w:rsid w:val="00AB7421"/>
    <w:rsid w:val="00AF743E"/>
    <w:rsid w:val="00B00754"/>
    <w:rsid w:val="00B026BF"/>
    <w:rsid w:val="00B15EEB"/>
    <w:rsid w:val="00B22EBC"/>
    <w:rsid w:val="00B2582C"/>
    <w:rsid w:val="00B2647D"/>
    <w:rsid w:val="00B3190D"/>
    <w:rsid w:val="00B44BF5"/>
    <w:rsid w:val="00B473B6"/>
    <w:rsid w:val="00B5522B"/>
    <w:rsid w:val="00B72872"/>
    <w:rsid w:val="00BA672C"/>
    <w:rsid w:val="00BD6F71"/>
    <w:rsid w:val="00C11EEE"/>
    <w:rsid w:val="00C30865"/>
    <w:rsid w:val="00C35F6E"/>
    <w:rsid w:val="00C37475"/>
    <w:rsid w:val="00C51F09"/>
    <w:rsid w:val="00C52DB4"/>
    <w:rsid w:val="00C54775"/>
    <w:rsid w:val="00C567D5"/>
    <w:rsid w:val="00C6537D"/>
    <w:rsid w:val="00C725EA"/>
    <w:rsid w:val="00C8577D"/>
    <w:rsid w:val="00C93B36"/>
    <w:rsid w:val="00C9531C"/>
    <w:rsid w:val="00CE2AFC"/>
    <w:rsid w:val="00CF24AA"/>
    <w:rsid w:val="00D06EBD"/>
    <w:rsid w:val="00D123DD"/>
    <w:rsid w:val="00D24CEB"/>
    <w:rsid w:val="00D66107"/>
    <w:rsid w:val="00D66472"/>
    <w:rsid w:val="00D728BC"/>
    <w:rsid w:val="00DB66D4"/>
    <w:rsid w:val="00DE35EF"/>
    <w:rsid w:val="00E01C26"/>
    <w:rsid w:val="00E177B6"/>
    <w:rsid w:val="00E316C0"/>
    <w:rsid w:val="00E33D9B"/>
    <w:rsid w:val="00E51FA0"/>
    <w:rsid w:val="00E52AC5"/>
    <w:rsid w:val="00E778BB"/>
    <w:rsid w:val="00E81C64"/>
    <w:rsid w:val="00E917B1"/>
    <w:rsid w:val="00E97D4C"/>
    <w:rsid w:val="00EA6551"/>
    <w:rsid w:val="00EA7E48"/>
    <w:rsid w:val="00EB7168"/>
    <w:rsid w:val="00ED503B"/>
    <w:rsid w:val="00EF1792"/>
    <w:rsid w:val="00EF2980"/>
    <w:rsid w:val="00EF406A"/>
    <w:rsid w:val="00F002DE"/>
    <w:rsid w:val="00F01BCC"/>
    <w:rsid w:val="00F04AE4"/>
    <w:rsid w:val="00F230FE"/>
    <w:rsid w:val="00F30D05"/>
    <w:rsid w:val="00F311E6"/>
    <w:rsid w:val="00F32DCE"/>
    <w:rsid w:val="00F369C3"/>
    <w:rsid w:val="00F542E5"/>
    <w:rsid w:val="00F646D0"/>
    <w:rsid w:val="00F75BE0"/>
    <w:rsid w:val="00F75C01"/>
    <w:rsid w:val="00F92108"/>
    <w:rsid w:val="00F96E14"/>
    <w:rsid w:val="00FA021E"/>
    <w:rsid w:val="00FA17AB"/>
    <w:rsid w:val="00FD536B"/>
    <w:rsid w:val="01515BCD"/>
    <w:rsid w:val="019F3337"/>
    <w:rsid w:val="01C247F0"/>
    <w:rsid w:val="03353A41"/>
    <w:rsid w:val="0395216D"/>
    <w:rsid w:val="043560BB"/>
    <w:rsid w:val="050634BB"/>
    <w:rsid w:val="05C64E5C"/>
    <w:rsid w:val="062B6E9A"/>
    <w:rsid w:val="064C4C64"/>
    <w:rsid w:val="064E0167"/>
    <w:rsid w:val="06904E22"/>
    <w:rsid w:val="06B5558D"/>
    <w:rsid w:val="07CD3E5B"/>
    <w:rsid w:val="08323A96"/>
    <w:rsid w:val="09BA5C05"/>
    <w:rsid w:val="0A5606E2"/>
    <w:rsid w:val="0A7C7EC1"/>
    <w:rsid w:val="0B753148"/>
    <w:rsid w:val="0BFC66C8"/>
    <w:rsid w:val="0CEE7CC6"/>
    <w:rsid w:val="0D303D18"/>
    <w:rsid w:val="0DD5693F"/>
    <w:rsid w:val="0DEA6655"/>
    <w:rsid w:val="0F8010AE"/>
    <w:rsid w:val="11250330"/>
    <w:rsid w:val="11846AEE"/>
    <w:rsid w:val="1232711B"/>
    <w:rsid w:val="12B3683D"/>
    <w:rsid w:val="15BC5673"/>
    <w:rsid w:val="16257E16"/>
    <w:rsid w:val="16312677"/>
    <w:rsid w:val="17380F22"/>
    <w:rsid w:val="17C73392"/>
    <w:rsid w:val="18236A9B"/>
    <w:rsid w:val="1A1B1235"/>
    <w:rsid w:val="1AB44CDE"/>
    <w:rsid w:val="1B102545"/>
    <w:rsid w:val="1B2A5D78"/>
    <w:rsid w:val="1BD276B4"/>
    <w:rsid w:val="1C0960D8"/>
    <w:rsid w:val="1DBD5AD3"/>
    <w:rsid w:val="1DC80A69"/>
    <w:rsid w:val="1E7B3D90"/>
    <w:rsid w:val="1F4B69E7"/>
    <w:rsid w:val="1F561FFC"/>
    <w:rsid w:val="20181F6D"/>
    <w:rsid w:val="20A61AE2"/>
    <w:rsid w:val="2196568E"/>
    <w:rsid w:val="22FD7853"/>
    <w:rsid w:val="248A5E6C"/>
    <w:rsid w:val="24DA2BBE"/>
    <w:rsid w:val="252D708C"/>
    <w:rsid w:val="257B4C0D"/>
    <w:rsid w:val="259322B4"/>
    <w:rsid w:val="25FD5DBC"/>
    <w:rsid w:val="294778BF"/>
    <w:rsid w:val="29CE3CF8"/>
    <w:rsid w:val="29E25DC6"/>
    <w:rsid w:val="29EC00CB"/>
    <w:rsid w:val="29EE0F5B"/>
    <w:rsid w:val="2B5327A4"/>
    <w:rsid w:val="2B5E10AB"/>
    <w:rsid w:val="2BD5193A"/>
    <w:rsid w:val="2CBA470F"/>
    <w:rsid w:val="2D857478"/>
    <w:rsid w:val="2E1C51B6"/>
    <w:rsid w:val="2F0241AF"/>
    <w:rsid w:val="317E6AC1"/>
    <w:rsid w:val="320B79AA"/>
    <w:rsid w:val="323D6B00"/>
    <w:rsid w:val="33874918"/>
    <w:rsid w:val="34A81D2C"/>
    <w:rsid w:val="35AF70D3"/>
    <w:rsid w:val="36A15E2F"/>
    <w:rsid w:val="37F97ADA"/>
    <w:rsid w:val="394E1745"/>
    <w:rsid w:val="397877DC"/>
    <w:rsid w:val="39825EE7"/>
    <w:rsid w:val="398648EE"/>
    <w:rsid w:val="3A6E6DEA"/>
    <w:rsid w:val="3AEB7A38"/>
    <w:rsid w:val="3CCA2749"/>
    <w:rsid w:val="3E430A84"/>
    <w:rsid w:val="3FC37EB5"/>
    <w:rsid w:val="3FCF5C3C"/>
    <w:rsid w:val="405C6B25"/>
    <w:rsid w:val="40640ABA"/>
    <w:rsid w:val="40F01597"/>
    <w:rsid w:val="419E1DAA"/>
    <w:rsid w:val="42B03AF6"/>
    <w:rsid w:val="43875283"/>
    <w:rsid w:val="43C76B41"/>
    <w:rsid w:val="43D92B24"/>
    <w:rsid w:val="45154265"/>
    <w:rsid w:val="475415F8"/>
    <w:rsid w:val="47652830"/>
    <w:rsid w:val="48DC3316"/>
    <w:rsid w:val="495E03EC"/>
    <w:rsid w:val="4C493915"/>
    <w:rsid w:val="4F03062F"/>
    <w:rsid w:val="4F5612B4"/>
    <w:rsid w:val="50791A93"/>
    <w:rsid w:val="50CD0D36"/>
    <w:rsid w:val="51262341"/>
    <w:rsid w:val="522B58DB"/>
    <w:rsid w:val="53C005F6"/>
    <w:rsid w:val="54B21203"/>
    <w:rsid w:val="56183302"/>
    <w:rsid w:val="57E91B7D"/>
    <w:rsid w:val="59DB4679"/>
    <w:rsid w:val="59F1258C"/>
    <w:rsid w:val="5A121821"/>
    <w:rsid w:val="5A7E7705"/>
    <w:rsid w:val="5AFC1BC3"/>
    <w:rsid w:val="5B13347C"/>
    <w:rsid w:val="5B4311B8"/>
    <w:rsid w:val="5B6F4A8F"/>
    <w:rsid w:val="5B9F1601"/>
    <w:rsid w:val="5BE537D4"/>
    <w:rsid w:val="5D3A4FFF"/>
    <w:rsid w:val="5DB736CF"/>
    <w:rsid w:val="5E3F48AD"/>
    <w:rsid w:val="5E4162A8"/>
    <w:rsid w:val="5E9F5BCB"/>
    <w:rsid w:val="5F205220"/>
    <w:rsid w:val="602830FF"/>
    <w:rsid w:val="60E9228D"/>
    <w:rsid w:val="611A0EA3"/>
    <w:rsid w:val="61970898"/>
    <w:rsid w:val="61A54BBF"/>
    <w:rsid w:val="61EF3D39"/>
    <w:rsid w:val="62570027"/>
    <w:rsid w:val="629812BF"/>
    <w:rsid w:val="63310878"/>
    <w:rsid w:val="636D582F"/>
    <w:rsid w:val="643F5B88"/>
    <w:rsid w:val="647F0B6F"/>
    <w:rsid w:val="64FA2A38"/>
    <w:rsid w:val="656E3791"/>
    <w:rsid w:val="65954230"/>
    <w:rsid w:val="665916FA"/>
    <w:rsid w:val="66A65095"/>
    <w:rsid w:val="689457A1"/>
    <w:rsid w:val="69E92CFF"/>
    <w:rsid w:val="6A072AD7"/>
    <w:rsid w:val="6AC662D2"/>
    <w:rsid w:val="6C120F5B"/>
    <w:rsid w:val="6C784183"/>
    <w:rsid w:val="6DFF5CD6"/>
    <w:rsid w:val="6E270FFB"/>
    <w:rsid w:val="6FAC3CC5"/>
    <w:rsid w:val="6FB03FF6"/>
    <w:rsid w:val="6FFC14C6"/>
    <w:rsid w:val="71263532"/>
    <w:rsid w:val="712E5597"/>
    <w:rsid w:val="73A338C6"/>
    <w:rsid w:val="73D8658A"/>
    <w:rsid w:val="74977860"/>
    <w:rsid w:val="75442FF2"/>
    <w:rsid w:val="75625E25"/>
    <w:rsid w:val="75C86E1A"/>
    <w:rsid w:val="76094C4F"/>
    <w:rsid w:val="76F51E90"/>
    <w:rsid w:val="7A53517D"/>
    <w:rsid w:val="7A5E5F9F"/>
    <w:rsid w:val="7AAE6176"/>
    <w:rsid w:val="7AC21415"/>
    <w:rsid w:val="7B2D3022"/>
    <w:rsid w:val="7BA332D8"/>
    <w:rsid w:val="7BB44BEA"/>
    <w:rsid w:val="7D1763C6"/>
    <w:rsid w:val="7D897EF4"/>
    <w:rsid w:val="7DA02AA7"/>
    <w:rsid w:val="7EB85C4E"/>
    <w:rsid w:val="7FE4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CAC20-7747-4BF1-AC45-0A45A5AE15E6}">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1158</Characters>
  <Lines>9</Lines>
  <Paragraphs>2</Paragraphs>
  <TotalTime>3</TotalTime>
  <ScaleCrop>false</ScaleCrop>
  <LinksUpToDate>false</LinksUpToDate>
  <CharactersWithSpaces>1358</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2023-03-22T06:35:00Z</dcterms:created>
  <dc:creator>赵格致</dc:creator>
  <cp:lastModifiedBy>辛雅婷</cp:lastModifiedBy>
  <cp:lastPrinted>2023-12-27T10:27:00Z</cp:lastPrinted>
  <dcterms:modified xsi:type="dcterms:W3CDTF">2023-12-29T14:49:59Z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3BB3FAEE26B845769F22C9167338E88A</vt:lpwstr>
  </property>
</Properties>
</file>