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olor w:val="000000"/>
          <w:sz w:val="32"/>
          <w:szCs w:val="30"/>
          <w:lang w:val="en-US" w:eastAsia="zh-CN"/>
        </w:rPr>
      </w:pPr>
      <w:bookmarkStart w:id="97" w:name="_GoBack"/>
      <w:bookmarkEnd w:id="97"/>
      <w:r>
        <w:rPr>
          <w:rFonts w:hint="eastAsia" w:ascii="黑体" w:hAnsi="黑体" w:eastAsia="黑体"/>
          <w:color w:val="000000"/>
          <w:sz w:val="32"/>
          <w:szCs w:val="30"/>
        </w:rPr>
        <w:t>附件</w:t>
      </w:r>
      <w:r>
        <w:rPr>
          <w:rFonts w:hint="eastAsia" w:ascii="黑体" w:hAnsi="黑体" w:eastAsia="黑体"/>
          <w:color w:val="000000"/>
          <w:sz w:val="32"/>
          <w:szCs w:val="30"/>
          <w:lang w:val="en-US" w:eastAsia="zh-CN"/>
        </w:rPr>
        <w:t>1</w:t>
      </w:r>
    </w:p>
    <w:p>
      <w:pPr>
        <w:spacing w:line="560" w:lineRule="exact"/>
        <w:rPr>
          <w:rFonts w:ascii="黑体" w:hAnsi="黑体" w:eastAsia="黑体"/>
          <w:color w:val="000000"/>
          <w:sz w:val="32"/>
          <w:szCs w:val="30"/>
        </w:rPr>
      </w:pPr>
    </w:p>
    <w:p>
      <w:pPr>
        <w:widowControl/>
        <w:snapToGrid w:val="0"/>
        <w:jc w:val="center"/>
        <w:rPr>
          <w:rFonts w:ascii="方正小标宋简体" w:hAnsi="Times New Roman" w:eastAsia="方正小标宋简体"/>
          <w:sz w:val="44"/>
          <w:szCs w:val="44"/>
        </w:rPr>
      </w:pPr>
      <w:r>
        <w:rPr>
          <w:rFonts w:ascii="方正小标宋简体" w:hAnsi="Times New Roman" w:eastAsia="方正小标宋简体"/>
          <w:sz w:val="44"/>
          <w:szCs w:val="44"/>
        </w:rPr>
        <w:t>深圳证券交易所创业板上市公司</w:t>
      </w:r>
      <w:r>
        <w:rPr>
          <w:rFonts w:hint="eastAsia" w:ascii="方正小标宋简体" w:hAnsi="Times New Roman" w:eastAsia="方正小标宋简体"/>
          <w:sz w:val="44"/>
          <w:szCs w:val="44"/>
        </w:rPr>
        <w:t>自律监管</w:t>
      </w:r>
      <w:r>
        <w:rPr>
          <w:rFonts w:ascii="方正小标宋简体" w:hAnsi="Times New Roman" w:eastAsia="方正小标宋简体"/>
          <w:sz w:val="44"/>
          <w:szCs w:val="44"/>
        </w:rPr>
        <w:t>指南第1号——业务办理</w:t>
      </w:r>
    </w:p>
    <w:p>
      <w:pPr>
        <w:widowControl/>
        <w:snapToGrid w:val="0"/>
        <w:jc w:val="center"/>
        <w:rPr>
          <w:rFonts w:ascii="方正小标宋简体" w:hAnsi="Times New Roman" w:eastAsia="方正小标宋简体"/>
          <w:sz w:val="44"/>
          <w:szCs w:val="44"/>
        </w:rPr>
      </w:pPr>
      <w:r>
        <w:rPr>
          <w:rFonts w:ascii="方正小标宋简体" w:hAnsi="Times New Roman" w:eastAsia="方正小标宋简体"/>
          <w:sz w:val="44"/>
          <w:szCs w:val="44"/>
        </w:rPr>
        <w:t>（202</w:t>
      </w:r>
      <w:r>
        <w:rPr>
          <w:rFonts w:hint="eastAsia" w:ascii="方正小标宋简体" w:hAnsi="Times New Roman" w:eastAsia="方正小标宋简体"/>
          <w:sz w:val="44"/>
          <w:szCs w:val="44"/>
        </w:rPr>
        <w:t>3</w:t>
      </w:r>
      <w:r>
        <w:rPr>
          <w:rFonts w:ascii="方正小标宋简体" w:hAnsi="Times New Roman" w:eastAsia="方正小标宋简体"/>
          <w:sz w:val="44"/>
          <w:szCs w:val="44"/>
        </w:rPr>
        <w:t>年</w:t>
      </w:r>
      <w:r>
        <w:rPr>
          <w:rFonts w:hint="eastAsia" w:ascii="方正小标宋简体" w:hAnsi="Times New Roman" w:eastAsia="方正小标宋简体"/>
          <w:sz w:val="44"/>
          <w:szCs w:val="44"/>
        </w:rPr>
        <w:t>12月</w:t>
      </w:r>
      <w:r>
        <w:rPr>
          <w:rFonts w:ascii="方正小标宋简体" w:hAnsi="Times New Roman" w:eastAsia="方正小标宋简体"/>
          <w:sz w:val="44"/>
          <w:szCs w:val="44"/>
        </w:rPr>
        <w:t>修订）</w:t>
      </w:r>
    </w:p>
    <w:p>
      <w:pPr>
        <w:tabs>
          <w:tab w:val="left" w:pos="3828"/>
        </w:tabs>
        <w:jc w:val="center"/>
        <w:rPr>
          <w:rFonts w:ascii="仿宋" w:hAnsi="仿宋" w:eastAsia="仿宋"/>
          <w:b/>
          <w:szCs w:val="28"/>
        </w:rPr>
      </w:pPr>
    </w:p>
    <w:p>
      <w:pPr>
        <w:tabs>
          <w:tab w:val="left" w:pos="3828"/>
        </w:tabs>
        <w:jc w:val="center"/>
        <w:rPr>
          <w:rFonts w:ascii="仿宋" w:hAnsi="仿宋" w:eastAsia="仿宋"/>
          <w:b/>
          <w:szCs w:val="28"/>
        </w:rPr>
      </w:pPr>
    </w:p>
    <w:p>
      <w:pPr>
        <w:spacing w:line="560" w:lineRule="exact"/>
        <w:ind w:firstLine="640" w:firstLineChars="200"/>
        <w:jc w:val="left"/>
        <w:rPr>
          <w:rFonts w:ascii="仿宋" w:hAnsi="仿宋" w:eastAsia="仿宋"/>
          <w:b/>
          <w:szCs w:val="28"/>
        </w:rPr>
      </w:pPr>
      <w:r>
        <w:rPr>
          <w:rFonts w:ascii="仿宋" w:hAnsi="仿宋" w:eastAsia="仿宋"/>
          <w:sz w:val="32"/>
          <w:szCs w:val="32"/>
        </w:rPr>
        <w:t>为</w:t>
      </w:r>
      <w:r>
        <w:rPr>
          <w:rFonts w:hint="eastAsia" w:ascii="仿宋" w:hAnsi="仿宋" w:eastAsia="仿宋"/>
          <w:sz w:val="32"/>
          <w:szCs w:val="32"/>
        </w:rPr>
        <w:t>了</w:t>
      </w:r>
      <w:r>
        <w:rPr>
          <w:rFonts w:ascii="仿宋" w:hAnsi="仿宋" w:eastAsia="仿宋"/>
          <w:sz w:val="32"/>
          <w:szCs w:val="32"/>
        </w:rPr>
        <w:t>规范深圳证券交易所（以下简称本所）创业板上市公司各项业务办理行为，明确业务办理程序</w:t>
      </w:r>
      <w:r>
        <w:rPr>
          <w:rFonts w:hint="eastAsia" w:ascii="仿宋" w:hAnsi="仿宋" w:eastAsia="仿宋"/>
          <w:sz w:val="32"/>
          <w:szCs w:val="32"/>
        </w:rPr>
        <w:t>和要求</w:t>
      </w:r>
      <w:r>
        <w:rPr>
          <w:rFonts w:ascii="仿宋" w:hAnsi="仿宋" w:eastAsia="仿宋"/>
          <w:sz w:val="32"/>
          <w:szCs w:val="32"/>
        </w:rPr>
        <w:t>，</w:t>
      </w:r>
      <w:r>
        <w:rPr>
          <w:rFonts w:hint="eastAsia" w:ascii="仿宋" w:hAnsi="仿宋" w:eastAsia="仿宋"/>
          <w:sz w:val="32"/>
          <w:szCs w:val="32"/>
        </w:rPr>
        <w:t>提高上市公司信息披露质量，</w:t>
      </w:r>
      <w:r>
        <w:rPr>
          <w:rFonts w:ascii="仿宋" w:hAnsi="仿宋" w:eastAsia="仿宋"/>
          <w:sz w:val="32"/>
          <w:szCs w:val="32"/>
        </w:rPr>
        <w:t>根据《中华人民共和国公司法》</w:t>
      </w:r>
      <w:r>
        <w:rPr>
          <w:rFonts w:hint="eastAsia" w:ascii="仿宋" w:hAnsi="仿宋" w:eastAsia="仿宋"/>
          <w:sz w:val="32"/>
          <w:szCs w:val="32"/>
        </w:rPr>
        <w:t>（以下简称《公司法》）、</w:t>
      </w:r>
      <w:r>
        <w:rPr>
          <w:rFonts w:ascii="仿宋" w:hAnsi="仿宋" w:eastAsia="仿宋"/>
          <w:sz w:val="32"/>
          <w:szCs w:val="32"/>
        </w:rPr>
        <w:t>《中华人民共和国证券法》</w:t>
      </w:r>
      <w:r>
        <w:rPr>
          <w:rFonts w:hint="eastAsia" w:ascii="仿宋" w:hAnsi="仿宋" w:eastAsia="仿宋"/>
          <w:sz w:val="32"/>
          <w:szCs w:val="32"/>
        </w:rPr>
        <w:t>（以下简称《证券法》）等法律、行政法规、部门规章、规范性文件（以下统称法律法规）以及《深圳证券交易所创业板股票上市规则》和本所上市公司自律监管指引等有关规定，制定本指南</w:t>
      </w:r>
      <w:r>
        <w:rPr>
          <w:rFonts w:ascii="仿宋" w:hAnsi="仿宋" w:eastAsia="仿宋"/>
          <w:sz w:val="32"/>
          <w:szCs w:val="32"/>
        </w:rPr>
        <w:t>。</w:t>
      </w:r>
    </w:p>
    <w:p>
      <w:pPr>
        <w:tabs>
          <w:tab w:val="left" w:pos="3828"/>
        </w:tabs>
        <w:ind w:firstLine="422"/>
        <w:jc w:val="center"/>
        <w:rPr>
          <w:rFonts w:ascii="Times New Roman" w:hAnsi="Times New Roman" w:eastAsia="方正仿宋简体"/>
          <w:sz w:val="32"/>
          <w:szCs w:val="32"/>
        </w:rPr>
      </w:pPr>
      <w:r>
        <w:rPr>
          <w:rFonts w:ascii="Times New Roman" w:hAnsi="Times New Roman" w:eastAsia="方正仿宋简体"/>
          <w:b/>
          <w:szCs w:val="28"/>
        </w:rPr>
        <w:br w:type="page"/>
      </w:r>
    </w:p>
    <w:sdt>
      <w:sdtPr>
        <w:rPr>
          <w:rFonts w:hint="eastAsia" w:ascii="仿宋" w:hAnsi="仿宋" w:eastAsia="仿宋" w:cs="仿宋"/>
          <w:b/>
          <w:bCs/>
          <w:kern w:val="44"/>
          <w:sz w:val="32"/>
          <w:szCs w:val="32"/>
        </w:rPr>
        <w:id w:val="147473372"/>
        <w:docPartObj>
          <w:docPartGallery w:val="Table of Contents"/>
          <w:docPartUnique/>
        </w:docPartObj>
      </w:sdtPr>
      <w:sdtEndPr>
        <w:rPr>
          <w:rFonts w:hint="eastAsia" w:ascii="仿宋" w:hAnsi="仿宋" w:eastAsia="仿宋" w:cs="Times New Roman"/>
          <w:b/>
          <w:bCs/>
          <w:kern w:val="44"/>
          <w:sz w:val="44"/>
          <w:szCs w:val="32"/>
        </w:rPr>
      </w:sdtEndPr>
      <w:sdtContent>
        <w:p>
          <w:pPr>
            <w:jc w:val="center"/>
            <w:rPr>
              <w:rFonts w:ascii="仿宋" w:hAnsi="仿宋" w:eastAsia="仿宋" w:cs="仿宋"/>
              <w:b/>
              <w:bCs/>
              <w:sz w:val="32"/>
              <w:szCs w:val="32"/>
            </w:rPr>
          </w:pPr>
          <w:r>
            <w:rPr>
              <w:rFonts w:hint="eastAsia" w:ascii="仿宋" w:hAnsi="仿宋" w:eastAsia="仿宋" w:cs="仿宋"/>
              <w:b/>
              <w:bCs/>
              <w:sz w:val="32"/>
              <w:szCs w:val="32"/>
            </w:rPr>
            <w:t>目录</w:t>
          </w:r>
        </w:p>
        <w:p>
          <w:pPr>
            <w:pStyle w:val="227"/>
            <w:tabs>
              <w:tab w:val="right" w:leader="dot" w:pos="8306"/>
            </w:tabs>
            <w:rPr>
              <w:rFonts w:ascii="仿宋" w:hAnsi="仿宋" w:eastAsia="仿宋" w:cs="仿宋"/>
              <w:b/>
              <w:sz w:val="32"/>
              <w:szCs w:val="32"/>
            </w:rPr>
          </w:pPr>
          <w:r>
            <w:rPr>
              <w:rFonts w:hint="eastAsia" w:ascii="仿宋" w:hAnsi="仿宋" w:eastAsia="仿宋" w:cs="仿宋"/>
              <w:kern w:val="2"/>
              <w:sz w:val="32"/>
              <w:szCs w:val="32"/>
            </w:rPr>
            <w:fldChar w:fldCharType="begin"/>
          </w:r>
          <w:r>
            <w:rPr>
              <w:rFonts w:hint="eastAsia" w:ascii="仿宋" w:hAnsi="仿宋" w:eastAsia="仿宋" w:cs="仿宋"/>
              <w:kern w:val="2"/>
              <w:sz w:val="32"/>
              <w:szCs w:val="32"/>
            </w:rPr>
            <w:instrText xml:space="preserve">TOC \o "1-2" \h \u </w:instrText>
          </w:r>
          <w:r>
            <w:rPr>
              <w:rFonts w:hint="eastAsia" w:ascii="仿宋" w:hAnsi="仿宋" w:eastAsia="仿宋" w:cs="仿宋"/>
              <w:kern w:val="2"/>
              <w:sz w:val="32"/>
              <w:szCs w:val="32"/>
            </w:rPr>
            <w:fldChar w:fldCharType="separate"/>
          </w:r>
          <w:r>
            <w:fldChar w:fldCharType="begin"/>
          </w:r>
          <w:r>
            <w:instrText xml:space="preserve"> HYPERLINK \l "_Toc22667" </w:instrText>
          </w:r>
          <w:r>
            <w:fldChar w:fldCharType="separate"/>
          </w:r>
          <w:r>
            <w:rPr>
              <w:rFonts w:hint="eastAsia" w:ascii="仿宋" w:hAnsi="仿宋" w:eastAsia="仿宋" w:cs="仿宋"/>
              <w:b/>
              <w:sz w:val="32"/>
              <w:szCs w:val="32"/>
            </w:rPr>
            <w:t>第一章 信息披露</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_Toc22667 \h </w:instrText>
          </w:r>
          <w:r>
            <w:rPr>
              <w:rFonts w:hint="eastAsia" w:ascii="仿宋" w:hAnsi="仿宋" w:eastAsia="仿宋" w:cs="仿宋"/>
              <w:b/>
              <w:sz w:val="32"/>
              <w:szCs w:val="32"/>
            </w:rPr>
            <w:fldChar w:fldCharType="separate"/>
          </w:r>
          <w:r>
            <w:rPr>
              <w:rFonts w:hint="eastAsia" w:ascii="仿宋" w:hAnsi="仿宋" w:eastAsia="仿宋" w:cs="仿宋"/>
              <w:b/>
              <w:sz w:val="32"/>
              <w:szCs w:val="32"/>
            </w:rPr>
            <w:t>1</w:t>
          </w:r>
          <w:r>
            <w:rPr>
              <w:rFonts w:hint="eastAsia" w:ascii="仿宋" w:hAnsi="仿宋" w:eastAsia="仿宋" w:cs="仿宋"/>
              <w:b/>
              <w:sz w:val="32"/>
              <w:szCs w:val="32"/>
            </w:rPr>
            <w:fldChar w:fldCharType="end"/>
          </w:r>
          <w:r>
            <w:rPr>
              <w:rFonts w:hint="eastAsia" w:ascii="仿宋" w:hAnsi="仿宋" w:eastAsia="仿宋" w:cs="仿宋"/>
              <w:b/>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"_Toc7175" </w:instrText>
          </w:r>
          <w:r>
            <w:fldChar w:fldCharType="separate"/>
          </w:r>
          <w:r>
            <w:rPr>
              <w:rFonts w:hint="eastAsia" w:ascii="仿宋" w:hAnsi="仿宋" w:eastAsia="仿宋" w:cs="仿宋"/>
              <w:sz w:val="32"/>
              <w:szCs w:val="32"/>
            </w:rPr>
            <w:t>第一节 信息披露事务</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_Toc7175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"_Toc1034" </w:instrText>
          </w:r>
          <w:r>
            <w:fldChar w:fldCharType="separate"/>
          </w:r>
          <w:r>
            <w:rPr>
              <w:rFonts w:hint="eastAsia" w:ascii="仿宋" w:hAnsi="仿宋" w:eastAsia="仿宋" w:cs="仿宋"/>
              <w:sz w:val="32"/>
              <w:szCs w:val="32"/>
            </w:rPr>
            <w:t>第二节 定期报告披露相关事宜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_Toc1034 \h </w:instrText>
          </w:r>
          <w:r>
            <w:rPr>
              <w:rFonts w:hint="eastAsia" w:ascii="仿宋" w:hAnsi="仿宋" w:eastAsia="仿宋" w:cs="仿宋"/>
              <w:sz w:val="32"/>
              <w:szCs w:val="32"/>
            </w:rPr>
            <w:fldChar w:fldCharType="separate"/>
          </w:r>
          <w:r>
            <w:rPr>
              <w:rFonts w:hint="eastAsia" w:ascii="仿宋" w:hAnsi="仿宋" w:eastAsia="仿宋" w:cs="仿宋"/>
              <w:sz w:val="32"/>
              <w:szCs w:val="32"/>
            </w:rPr>
            <w:t>48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"_Toc13963" </w:instrText>
          </w:r>
          <w:r>
            <w:fldChar w:fldCharType="separate"/>
          </w:r>
          <w:r>
            <w:rPr>
              <w:rFonts w:hint="eastAsia" w:ascii="仿宋" w:hAnsi="仿宋" w:eastAsia="仿宋" w:cs="仿宋"/>
              <w:sz w:val="32"/>
              <w:szCs w:val="32"/>
            </w:rPr>
            <w:t>第三节 营业收入扣除相关事项</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_Toc13963 \h </w:instrText>
          </w:r>
          <w:r>
            <w:rPr>
              <w:rFonts w:hint="eastAsia" w:ascii="仿宋" w:hAnsi="仿宋" w:eastAsia="仿宋" w:cs="仿宋"/>
              <w:sz w:val="32"/>
              <w:szCs w:val="32"/>
            </w:rPr>
            <w:fldChar w:fldCharType="separate"/>
          </w:r>
          <w:r>
            <w:rPr>
              <w:rFonts w:hint="eastAsia" w:ascii="仿宋" w:hAnsi="仿宋" w:eastAsia="仿宋" w:cs="仿宋"/>
              <w:sz w:val="32"/>
              <w:szCs w:val="32"/>
            </w:rPr>
            <w:t>94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"_Toc6557" </w:instrText>
          </w:r>
          <w:r>
            <w:fldChar w:fldCharType="separate"/>
          </w:r>
          <w:r>
            <w:rPr>
              <w:rFonts w:hint="eastAsia" w:ascii="仿宋" w:hAnsi="仿宋" w:eastAsia="仿宋" w:cs="仿宋"/>
              <w:sz w:val="32"/>
              <w:szCs w:val="32"/>
            </w:rPr>
            <w:t>第四节 限售股份解除限售</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_Toc6557 \h </w:instrText>
          </w:r>
          <w:r>
            <w:rPr>
              <w:rFonts w:hint="eastAsia" w:ascii="仿宋" w:hAnsi="仿宋" w:eastAsia="仿宋" w:cs="仿宋"/>
              <w:sz w:val="32"/>
              <w:szCs w:val="32"/>
            </w:rPr>
            <w:fldChar w:fldCharType="separate"/>
          </w:r>
          <w:r>
            <w:rPr>
              <w:rFonts w:hint="eastAsia" w:ascii="仿宋" w:hAnsi="仿宋" w:eastAsia="仿宋" w:cs="仿宋"/>
              <w:sz w:val="32"/>
              <w:szCs w:val="32"/>
            </w:rPr>
            <w:t>100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"_Toc4629" </w:instrText>
          </w:r>
          <w:r>
            <w:fldChar w:fldCharType="separate"/>
          </w:r>
          <w:r>
            <w:rPr>
              <w:rFonts w:hint="eastAsia" w:ascii="仿宋" w:hAnsi="仿宋" w:eastAsia="仿宋" w:cs="仿宋"/>
              <w:sz w:val="32"/>
              <w:szCs w:val="32"/>
            </w:rPr>
            <w:t>第五节 变更公司名称</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_Toc4629 \h </w:instrText>
          </w:r>
          <w:r>
            <w:rPr>
              <w:rFonts w:hint="eastAsia" w:ascii="仿宋" w:hAnsi="仿宋" w:eastAsia="仿宋" w:cs="仿宋"/>
              <w:sz w:val="32"/>
              <w:szCs w:val="32"/>
            </w:rPr>
            <w:fldChar w:fldCharType="separate"/>
          </w:r>
          <w:r>
            <w:rPr>
              <w:rFonts w:hint="eastAsia" w:ascii="仿宋" w:hAnsi="仿宋" w:eastAsia="仿宋" w:cs="仿宋"/>
              <w:sz w:val="32"/>
              <w:szCs w:val="32"/>
            </w:rPr>
            <w:t>104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"_Toc20304" </w:instrText>
          </w:r>
          <w:r>
            <w:fldChar w:fldCharType="separate"/>
          </w:r>
          <w:r>
            <w:rPr>
              <w:rFonts w:hint="eastAsia" w:ascii="仿宋" w:hAnsi="仿宋" w:eastAsia="仿宋" w:cs="仿宋"/>
              <w:sz w:val="32"/>
              <w:szCs w:val="32"/>
            </w:rPr>
            <w:t>第六节 融资融券、转融通相关事项</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_Toc20304 \h </w:instrText>
          </w:r>
          <w:r>
            <w:rPr>
              <w:rFonts w:hint="eastAsia" w:ascii="仿宋" w:hAnsi="仿宋" w:eastAsia="仿宋" w:cs="仿宋"/>
              <w:sz w:val="32"/>
              <w:szCs w:val="32"/>
            </w:rPr>
            <w:fldChar w:fldCharType="separate"/>
          </w:r>
          <w:r>
            <w:rPr>
              <w:rFonts w:hint="eastAsia" w:ascii="仿宋" w:hAnsi="仿宋" w:eastAsia="仿宋" w:cs="仿宋"/>
              <w:sz w:val="32"/>
              <w:szCs w:val="32"/>
            </w:rPr>
            <w:t>108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"_Toc16552" </w:instrText>
          </w:r>
          <w:r>
            <w:fldChar w:fldCharType="separate"/>
          </w:r>
          <w:r>
            <w:rPr>
              <w:rFonts w:hint="eastAsia" w:ascii="仿宋" w:hAnsi="仿宋" w:eastAsia="仿宋" w:cs="仿宋"/>
              <w:sz w:val="32"/>
              <w:szCs w:val="32"/>
            </w:rPr>
            <w:t>第七节 退市风险公司信息披露</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_Toc16552 \h </w:instrText>
          </w:r>
          <w:r>
            <w:rPr>
              <w:rFonts w:hint="eastAsia" w:ascii="仿宋" w:hAnsi="仿宋" w:eastAsia="仿宋" w:cs="仿宋"/>
              <w:sz w:val="32"/>
              <w:szCs w:val="32"/>
            </w:rPr>
            <w:fldChar w:fldCharType="separate"/>
          </w:r>
          <w:r>
            <w:rPr>
              <w:rFonts w:hint="eastAsia" w:ascii="仿宋" w:hAnsi="仿宋" w:eastAsia="仿宋" w:cs="仿宋"/>
              <w:sz w:val="32"/>
              <w:szCs w:val="32"/>
            </w:rPr>
            <w:t>111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7"/>
            <w:tabs>
              <w:tab w:val="right" w:leader="dot" w:pos="8306"/>
            </w:tabs>
            <w:rPr>
              <w:rFonts w:ascii="仿宋" w:hAnsi="仿宋" w:eastAsia="仿宋" w:cs="仿宋"/>
              <w:b/>
              <w:sz w:val="32"/>
              <w:szCs w:val="32"/>
            </w:rPr>
          </w:pPr>
          <w:r>
            <w:fldChar w:fldCharType="begin"/>
          </w:r>
          <w:r>
            <w:instrText xml:space="preserve"> HYPERLINK \l "_Toc23221" </w:instrText>
          </w:r>
          <w:r>
            <w:fldChar w:fldCharType="separate"/>
          </w:r>
          <w:r>
            <w:rPr>
              <w:rFonts w:hint="eastAsia" w:ascii="仿宋" w:hAnsi="仿宋" w:eastAsia="仿宋" w:cs="仿宋"/>
              <w:b/>
              <w:sz w:val="32"/>
              <w:szCs w:val="32"/>
            </w:rPr>
            <w:t>第二章  公司治理</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_Toc23221 \h </w:instrText>
          </w:r>
          <w:r>
            <w:rPr>
              <w:rFonts w:hint="eastAsia" w:ascii="仿宋" w:hAnsi="仿宋" w:eastAsia="仿宋" w:cs="仿宋"/>
              <w:b/>
              <w:sz w:val="32"/>
              <w:szCs w:val="32"/>
            </w:rPr>
            <w:fldChar w:fldCharType="separate"/>
          </w:r>
          <w:r>
            <w:rPr>
              <w:rFonts w:hint="eastAsia" w:ascii="仿宋" w:hAnsi="仿宋" w:eastAsia="仿宋" w:cs="仿宋"/>
              <w:b/>
              <w:sz w:val="32"/>
              <w:szCs w:val="32"/>
            </w:rPr>
            <w:t>122</w:t>
          </w:r>
          <w:r>
            <w:rPr>
              <w:rFonts w:hint="eastAsia" w:ascii="仿宋" w:hAnsi="仿宋" w:eastAsia="仿宋" w:cs="仿宋"/>
              <w:b/>
              <w:sz w:val="32"/>
              <w:szCs w:val="32"/>
            </w:rPr>
            <w:fldChar w:fldCharType="end"/>
          </w:r>
          <w:r>
            <w:rPr>
              <w:rFonts w:hint="eastAsia" w:ascii="仿宋" w:hAnsi="仿宋" w:eastAsia="仿宋" w:cs="仿宋"/>
              <w:b/>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"_Toc18107" </w:instrText>
          </w:r>
          <w:r>
            <w:fldChar w:fldCharType="separate"/>
          </w:r>
          <w:r>
            <w:rPr>
              <w:rFonts w:hint="eastAsia" w:ascii="仿宋" w:hAnsi="仿宋" w:eastAsia="仿宋" w:cs="仿宋"/>
              <w:sz w:val="32"/>
              <w:szCs w:val="32"/>
            </w:rPr>
            <w:t>第一节 股东大会</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_Toc18107 \h </w:instrText>
          </w:r>
          <w:r>
            <w:rPr>
              <w:rFonts w:hint="eastAsia" w:ascii="仿宋" w:hAnsi="仿宋" w:eastAsia="仿宋" w:cs="仿宋"/>
              <w:sz w:val="32"/>
              <w:szCs w:val="32"/>
            </w:rPr>
            <w:fldChar w:fldCharType="separate"/>
          </w:r>
          <w:r>
            <w:rPr>
              <w:rFonts w:hint="eastAsia" w:ascii="仿宋" w:hAnsi="仿宋" w:eastAsia="仿宋" w:cs="仿宋"/>
              <w:sz w:val="32"/>
              <w:szCs w:val="32"/>
            </w:rPr>
            <w:t>122</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"_Toc1746" </w:instrText>
          </w:r>
          <w:r>
            <w:fldChar w:fldCharType="separate"/>
          </w:r>
          <w:r>
            <w:rPr>
              <w:rFonts w:hint="eastAsia" w:ascii="仿宋" w:hAnsi="仿宋" w:eastAsia="仿宋" w:cs="仿宋"/>
              <w:sz w:val="32"/>
              <w:szCs w:val="32"/>
            </w:rPr>
            <w:t>第二节 股权激励</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_Toc1746 \h </w:instrText>
          </w:r>
          <w:r>
            <w:rPr>
              <w:rFonts w:hint="eastAsia" w:ascii="仿宋" w:hAnsi="仿宋" w:eastAsia="仿宋" w:cs="仿宋"/>
              <w:sz w:val="32"/>
              <w:szCs w:val="32"/>
            </w:rPr>
            <w:fldChar w:fldCharType="separate"/>
          </w:r>
          <w:r>
            <w:rPr>
              <w:rFonts w:hint="eastAsia" w:ascii="仿宋" w:hAnsi="仿宋" w:eastAsia="仿宋" w:cs="仿宋"/>
              <w:sz w:val="32"/>
              <w:szCs w:val="32"/>
            </w:rPr>
            <w:t>144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"_Toc25090" </w:instrText>
          </w:r>
          <w:r>
            <w:fldChar w:fldCharType="separate"/>
          </w:r>
          <w:r>
            <w:rPr>
              <w:rFonts w:hint="eastAsia" w:ascii="仿宋" w:hAnsi="仿宋" w:eastAsia="仿宋" w:cs="仿宋"/>
              <w:sz w:val="32"/>
              <w:szCs w:val="32"/>
            </w:rPr>
            <w:t>第三节 董事会秘书和证券事务代表管理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_Toc25090 \h </w:instrText>
          </w:r>
          <w:r>
            <w:rPr>
              <w:rFonts w:hint="eastAsia" w:ascii="仿宋" w:hAnsi="仿宋" w:eastAsia="仿宋" w:cs="仿宋"/>
              <w:sz w:val="32"/>
              <w:szCs w:val="32"/>
            </w:rPr>
            <w:fldChar w:fldCharType="separate"/>
          </w:r>
          <w:r>
            <w:rPr>
              <w:rFonts w:hint="eastAsia" w:ascii="仿宋" w:hAnsi="仿宋" w:eastAsia="仿宋" w:cs="仿宋"/>
              <w:sz w:val="32"/>
              <w:szCs w:val="32"/>
            </w:rPr>
            <w:t>186</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"_Toc17990" </w:instrText>
          </w:r>
          <w:r>
            <w:fldChar w:fldCharType="separate"/>
          </w:r>
          <w:r>
            <w:rPr>
              <w:rFonts w:hint="eastAsia" w:ascii="仿宋" w:hAnsi="仿宋" w:eastAsia="仿宋" w:cs="仿宋"/>
              <w:sz w:val="32"/>
              <w:szCs w:val="32"/>
            </w:rPr>
            <w:t>第四节 独立董事管理</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_Toc17990 \h </w:instrText>
          </w:r>
          <w:r>
            <w:rPr>
              <w:rFonts w:hint="eastAsia" w:ascii="仿宋" w:hAnsi="仿宋" w:eastAsia="仿宋" w:cs="仿宋"/>
              <w:sz w:val="32"/>
              <w:szCs w:val="32"/>
            </w:rPr>
            <w:fldChar w:fldCharType="separate"/>
          </w:r>
          <w:r>
            <w:rPr>
              <w:rFonts w:hint="eastAsia" w:ascii="仿宋" w:hAnsi="仿宋" w:eastAsia="仿宋" w:cs="仿宋"/>
              <w:sz w:val="32"/>
              <w:szCs w:val="32"/>
            </w:rPr>
            <w:t>188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"_Toc8049" </w:instrText>
          </w:r>
          <w:r>
            <w:fldChar w:fldCharType="separate"/>
          </w:r>
          <w:r>
            <w:rPr>
              <w:rFonts w:hint="eastAsia" w:ascii="仿宋" w:hAnsi="仿宋" w:eastAsia="仿宋" w:cs="仿宋"/>
              <w:sz w:val="32"/>
              <w:szCs w:val="32"/>
            </w:rPr>
            <w:t>第五节 上市公司股东业务</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_Toc8049 \h </w:instrText>
          </w:r>
          <w:r>
            <w:rPr>
              <w:rFonts w:hint="eastAsia" w:ascii="仿宋" w:hAnsi="仿宋" w:eastAsia="仿宋" w:cs="仿宋"/>
              <w:sz w:val="32"/>
              <w:szCs w:val="32"/>
            </w:rPr>
            <w:fldChar w:fldCharType="separate"/>
          </w:r>
          <w:r>
            <w:rPr>
              <w:rFonts w:hint="eastAsia" w:ascii="仿宋" w:hAnsi="仿宋" w:eastAsia="仿宋" w:cs="仿宋"/>
              <w:sz w:val="32"/>
              <w:szCs w:val="32"/>
            </w:rPr>
            <w:t>192</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"_Toc3004" </w:instrText>
          </w:r>
          <w:r>
            <w:fldChar w:fldCharType="separate"/>
          </w:r>
          <w:r>
            <w:rPr>
              <w:rFonts w:hint="eastAsia" w:ascii="仿宋" w:hAnsi="仿宋" w:eastAsia="仿宋" w:cs="仿宋"/>
              <w:sz w:val="32"/>
              <w:szCs w:val="32"/>
            </w:rPr>
            <w:t>第六节 业绩说明会相关事宜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_Toc3004 \h </w:instrText>
          </w:r>
          <w:r>
            <w:rPr>
              <w:rFonts w:hint="eastAsia" w:ascii="仿宋" w:hAnsi="仿宋" w:eastAsia="仿宋" w:cs="仿宋"/>
              <w:sz w:val="32"/>
              <w:szCs w:val="32"/>
            </w:rPr>
            <w:fldChar w:fldCharType="separate"/>
          </w:r>
          <w:r>
            <w:rPr>
              <w:rFonts w:hint="eastAsia" w:ascii="仿宋" w:hAnsi="仿宋" w:eastAsia="仿宋" w:cs="仿宋"/>
              <w:sz w:val="32"/>
              <w:szCs w:val="32"/>
            </w:rPr>
            <w:t>200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"_Toc616" </w:instrText>
          </w:r>
          <w:r>
            <w:fldChar w:fldCharType="separate"/>
          </w:r>
          <w:r>
            <w:rPr>
              <w:rFonts w:hint="eastAsia" w:ascii="仿宋" w:hAnsi="仿宋" w:eastAsia="仿宋" w:cs="仿宋"/>
              <w:sz w:val="32"/>
              <w:szCs w:val="32"/>
            </w:rPr>
            <w:t>第七节 互动易平台相关事宜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_Toc616 \h </w:instrText>
          </w:r>
          <w:r>
            <w:rPr>
              <w:rFonts w:hint="eastAsia" w:ascii="仿宋" w:hAnsi="仿宋" w:eastAsia="仿宋" w:cs="仿宋"/>
              <w:sz w:val="32"/>
              <w:szCs w:val="32"/>
            </w:rPr>
            <w:fldChar w:fldCharType="separate"/>
          </w:r>
          <w:r>
            <w:rPr>
              <w:rFonts w:hint="eastAsia" w:ascii="仿宋" w:hAnsi="仿宋" w:eastAsia="仿宋" w:cs="仿宋"/>
              <w:sz w:val="32"/>
              <w:szCs w:val="32"/>
            </w:rPr>
            <w:t>205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7"/>
            <w:tabs>
              <w:tab w:val="right" w:leader="dot" w:pos="8306"/>
            </w:tabs>
            <w:rPr>
              <w:rFonts w:ascii="仿宋" w:hAnsi="仿宋" w:eastAsia="仿宋" w:cs="仿宋"/>
              <w:b/>
              <w:sz w:val="32"/>
              <w:szCs w:val="32"/>
            </w:rPr>
          </w:pPr>
          <w:r>
            <w:fldChar w:fldCharType="begin"/>
          </w:r>
          <w:r>
            <w:instrText xml:space="preserve"> HYPERLINK \l "_Toc17134" </w:instrText>
          </w:r>
          <w:r>
            <w:fldChar w:fldCharType="separate"/>
          </w:r>
          <w:r>
            <w:rPr>
              <w:rFonts w:hint="eastAsia" w:ascii="仿宋" w:hAnsi="仿宋" w:eastAsia="仿宋" w:cs="仿宋"/>
              <w:b/>
              <w:sz w:val="32"/>
              <w:szCs w:val="32"/>
            </w:rPr>
            <w:t>第三章  再融资及并购重组</w:t>
          </w:r>
          <w:r>
            <w:rPr>
              <w:rFonts w:hint="eastAsia" w:ascii="仿宋" w:hAnsi="仿宋" w:eastAsia="仿宋" w:cs="仿宋"/>
              <w:b/>
              <w:sz w:val="32"/>
              <w:szCs w:val="32"/>
            </w:rPr>
            <w:tab/>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PAGEREF _Toc17134 \h </w:instrText>
          </w:r>
          <w:r>
            <w:rPr>
              <w:rFonts w:hint="eastAsia" w:ascii="仿宋" w:hAnsi="仿宋" w:eastAsia="仿宋" w:cs="仿宋"/>
              <w:b/>
              <w:sz w:val="32"/>
              <w:szCs w:val="32"/>
            </w:rPr>
            <w:fldChar w:fldCharType="separate"/>
          </w:r>
          <w:r>
            <w:rPr>
              <w:rFonts w:hint="eastAsia" w:ascii="仿宋" w:hAnsi="仿宋" w:eastAsia="仿宋" w:cs="仿宋"/>
              <w:b/>
              <w:sz w:val="32"/>
              <w:szCs w:val="32"/>
            </w:rPr>
            <w:t>208</w:t>
          </w:r>
          <w:r>
            <w:rPr>
              <w:rFonts w:hint="eastAsia" w:ascii="仿宋" w:hAnsi="仿宋" w:eastAsia="仿宋" w:cs="仿宋"/>
              <w:b/>
              <w:sz w:val="32"/>
              <w:szCs w:val="32"/>
            </w:rPr>
            <w:fldChar w:fldCharType="end"/>
          </w:r>
          <w:r>
            <w:rPr>
              <w:rFonts w:hint="eastAsia" w:ascii="仿宋" w:hAnsi="仿宋" w:eastAsia="仿宋" w:cs="仿宋"/>
              <w:b/>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"_Toc20008" </w:instrText>
          </w:r>
          <w:r>
            <w:fldChar w:fldCharType="separate"/>
          </w:r>
          <w:r>
            <w:rPr>
              <w:rFonts w:hint="eastAsia" w:ascii="仿宋" w:hAnsi="仿宋" w:eastAsia="仿宋" w:cs="仿宋"/>
              <w:sz w:val="32"/>
              <w:szCs w:val="32"/>
            </w:rPr>
            <w:t>第一节 向不特定对象募集股份</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_Toc20008 \h </w:instrText>
          </w:r>
          <w:r>
            <w:rPr>
              <w:rFonts w:hint="eastAsia" w:ascii="仿宋" w:hAnsi="仿宋" w:eastAsia="仿宋" w:cs="仿宋"/>
              <w:sz w:val="32"/>
              <w:szCs w:val="32"/>
            </w:rPr>
            <w:fldChar w:fldCharType="separate"/>
          </w:r>
          <w:r>
            <w:rPr>
              <w:rFonts w:hint="eastAsia" w:ascii="仿宋" w:hAnsi="仿宋" w:eastAsia="仿宋" w:cs="仿宋"/>
              <w:sz w:val="32"/>
              <w:szCs w:val="32"/>
            </w:rPr>
            <w:t>208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"_Toc22212" </w:instrText>
          </w:r>
          <w:r>
            <w:fldChar w:fldCharType="separate"/>
          </w:r>
          <w:r>
            <w:rPr>
              <w:rFonts w:hint="eastAsia" w:ascii="仿宋" w:hAnsi="仿宋" w:eastAsia="仿宋" w:cs="仿宋"/>
              <w:sz w:val="32"/>
              <w:szCs w:val="32"/>
            </w:rPr>
            <w:t>第二节 向特定对象发行股票</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_Toc22212 \h </w:instrText>
          </w:r>
          <w:r>
            <w:rPr>
              <w:rFonts w:hint="eastAsia" w:ascii="仿宋" w:hAnsi="仿宋" w:eastAsia="仿宋" w:cs="仿宋"/>
              <w:sz w:val="32"/>
              <w:szCs w:val="32"/>
            </w:rPr>
            <w:fldChar w:fldCharType="separate"/>
          </w:r>
          <w:r>
            <w:rPr>
              <w:rFonts w:hint="eastAsia" w:ascii="仿宋" w:hAnsi="仿宋" w:eastAsia="仿宋" w:cs="仿宋"/>
              <w:sz w:val="32"/>
              <w:szCs w:val="32"/>
            </w:rPr>
            <w:t>221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"_Toc19456" </w:instrText>
          </w:r>
          <w:r>
            <w:fldChar w:fldCharType="separate"/>
          </w:r>
          <w:r>
            <w:rPr>
              <w:rFonts w:hint="eastAsia" w:ascii="仿宋" w:hAnsi="仿宋" w:eastAsia="仿宋" w:cs="仿宋"/>
              <w:sz w:val="32"/>
              <w:szCs w:val="32"/>
            </w:rPr>
            <w:t>第三节 向不特定对象发行可转换公司债券</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_Toc19456 \h </w:instrText>
          </w:r>
          <w:r>
            <w:rPr>
              <w:rFonts w:hint="eastAsia" w:ascii="仿宋" w:hAnsi="仿宋" w:eastAsia="仿宋" w:cs="仿宋"/>
              <w:sz w:val="32"/>
              <w:szCs w:val="32"/>
            </w:rPr>
            <w:fldChar w:fldCharType="separate"/>
          </w:r>
          <w:r>
            <w:rPr>
              <w:rFonts w:hint="eastAsia" w:ascii="仿宋" w:hAnsi="仿宋" w:eastAsia="仿宋" w:cs="仿宋"/>
              <w:sz w:val="32"/>
              <w:szCs w:val="32"/>
            </w:rPr>
            <w:t>228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"_Toc21838" </w:instrText>
          </w:r>
          <w:r>
            <w:fldChar w:fldCharType="separate"/>
          </w:r>
          <w:r>
            <w:rPr>
              <w:rFonts w:hint="eastAsia" w:ascii="仿宋" w:hAnsi="仿宋" w:eastAsia="仿宋" w:cs="仿宋"/>
              <w:sz w:val="32"/>
              <w:szCs w:val="32"/>
            </w:rPr>
            <w:t>第四节 向特定对象发行可转换公司债券</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_Toc21838 \h </w:instrText>
          </w:r>
          <w:r>
            <w:rPr>
              <w:rFonts w:hint="eastAsia" w:ascii="仿宋" w:hAnsi="仿宋" w:eastAsia="仿宋" w:cs="仿宋"/>
              <w:sz w:val="32"/>
              <w:szCs w:val="32"/>
            </w:rPr>
            <w:fldChar w:fldCharType="separate"/>
          </w:r>
          <w:r>
            <w:rPr>
              <w:rFonts w:hint="eastAsia" w:ascii="仿宋" w:hAnsi="仿宋" w:eastAsia="仿宋" w:cs="仿宋"/>
              <w:sz w:val="32"/>
              <w:szCs w:val="32"/>
            </w:rPr>
            <w:t>270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"_Toc31699" </w:instrText>
          </w:r>
          <w:r>
            <w:fldChar w:fldCharType="separate"/>
          </w:r>
          <w:r>
            <w:rPr>
              <w:rFonts w:hint="eastAsia" w:ascii="仿宋" w:hAnsi="仿宋" w:eastAsia="仿宋" w:cs="仿宋"/>
              <w:sz w:val="32"/>
              <w:szCs w:val="32"/>
            </w:rPr>
            <w:t>第五节 向原股东配售股份</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_Toc31699 \h </w:instrText>
          </w:r>
          <w:r>
            <w:rPr>
              <w:rFonts w:hint="eastAsia" w:ascii="仿宋" w:hAnsi="仿宋" w:eastAsia="仿宋" w:cs="仿宋"/>
              <w:sz w:val="32"/>
              <w:szCs w:val="32"/>
            </w:rPr>
            <w:fldChar w:fldCharType="separate"/>
          </w:r>
          <w:r>
            <w:rPr>
              <w:rFonts w:hint="eastAsia" w:ascii="仿宋" w:hAnsi="仿宋" w:eastAsia="仿宋" w:cs="仿宋"/>
              <w:sz w:val="32"/>
              <w:szCs w:val="32"/>
            </w:rPr>
            <w:t>279</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"_Toc2216" </w:instrText>
          </w:r>
          <w:r>
            <w:fldChar w:fldCharType="separate"/>
          </w:r>
          <w:r>
            <w:rPr>
              <w:rFonts w:hint="eastAsia" w:ascii="仿宋" w:hAnsi="仿宋" w:eastAsia="仿宋" w:cs="仿宋"/>
              <w:sz w:val="32"/>
              <w:szCs w:val="32"/>
            </w:rPr>
            <w:t>第六节 向特定对象发行优先股转让业务</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_Toc2216 \h </w:instrText>
          </w:r>
          <w:r>
            <w:rPr>
              <w:rFonts w:hint="eastAsia" w:ascii="仿宋" w:hAnsi="仿宋" w:eastAsia="仿宋" w:cs="仿宋"/>
              <w:sz w:val="32"/>
              <w:szCs w:val="32"/>
            </w:rPr>
            <w:fldChar w:fldCharType="separate"/>
          </w:r>
          <w:r>
            <w:rPr>
              <w:rFonts w:hint="eastAsia" w:ascii="仿宋" w:hAnsi="仿宋" w:eastAsia="仿宋" w:cs="仿宋"/>
              <w:sz w:val="32"/>
              <w:szCs w:val="32"/>
            </w:rPr>
            <w:t>291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"_Toc18921" </w:instrText>
          </w:r>
          <w:r>
            <w:fldChar w:fldCharType="separate"/>
          </w:r>
          <w:r>
            <w:rPr>
              <w:rFonts w:hint="eastAsia" w:ascii="仿宋" w:hAnsi="仿宋" w:eastAsia="仿宋" w:cs="仿宋"/>
              <w:sz w:val="32"/>
              <w:szCs w:val="32"/>
            </w:rPr>
            <w:t>第七节 现金选择权</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_Toc18921 \h </w:instrText>
          </w:r>
          <w:r>
            <w:rPr>
              <w:rFonts w:hint="eastAsia" w:ascii="仿宋" w:hAnsi="仿宋" w:eastAsia="仿宋" w:cs="仿宋"/>
              <w:sz w:val="32"/>
              <w:szCs w:val="32"/>
            </w:rPr>
            <w:fldChar w:fldCharType="separate"/>
          </w:r>
          <w:r>
            <w:rPr>
              <w:rFonts w:hint="eastAsia" w:ascii="仿宋" w:hAnsi="仿宋" w:eastAsia="仿宋" w:cs="仿宋"/>
              <w:sz w:val="32"/>
              <w:szCs w:val="32"/>
            </w:rPr>
            <w:t>301</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228"/>
            <w:tabs>
              <w:tab w:val="right" w:leader="dot" w:pos="8306"/>
            </w:tabs>
            <w:ind w:left="420"/>
            <w:rPr>
              <w:rFonts w:ascii="仿宋" w:hAnsi="仿宋" w:eastAsia="仿宋" w:cs="仿宋"/>
              <w:sz w:val="32"/>
              <w:szCs w:val="32"/>
            </w:rPr>
          </w:pPr>
          <w:r>
            <w:fldChar w:fldCharType="begin"/>
          </w:r>
          <w:r>
            <w:instrText xml:space="preserve"> HYPERLINK \l "_Toc21528" </w:instrText>
          </w:r>
          <w:r>
            <w:fldChar w:fldCharType="separate"/>
          </w:r>
          <w:r>
            <w:rPr>
              <w:rFonts w:hint="eastAsia" w:ascii="仿宋" w:hAnsi="仿宋" w:eastAsia="仿宋" w:cs="仿宋"/>
              <w:sz w:val="32"/>
              <w:szCs w:val="32"/>
            </w:rPr>
            <w:t>第八节 要约收购</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_Toc21528 \h </w:instrText>
          </w:r>
          <w:r>
            <w:rPr>
              <w:rFonts w:hint="eastAsia" w:ascii="仿宋" w:hAnsi="仿宋" w:eastAsia="仿宋" w:cs="仿宋"/>
              <w:sz w:val="32"/>
              <w:szCs w:val="32"/>
            </w:rPr>
            <w:fldChar w:fldCharType="separate"/>
          </w:r>
          <w:r>
            <w:rPr>
              <w:rFonts w:hint="eastAsia" w:ascii="仿宋" w:hAnsi="仿宋" w:eastAsia="仿宋" w:cs="仿宋"/>
              <w:sz w:val="32"/>
              <w:szCs w:val="32"/>
            </w:rPr>
            <w:t>315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62"/>
            <w:ind w:firstLine="0" w:firstLineChars="0"/>
            <w:outlineLvl w:val="9"/>
            <w:rPr>
              <w:rFonts w:ascii="仿宋" w:eastAsia="仿宋"/>
              <w:kern w:val="2"/>
              <w:sz w:val="32"/>
              <w:szCs w:val="32"/>
            </w:rPr>
            <w:sectPr>
              <w:footerReference r:id="rId3" w:type="default"/>
              <w:footerReference r:id="rId4" w:type="even"/>
              <w:pgSz w:w="11906" w:h="16838"/>
              <w:pgMar w:top="1440" w:right="1800" w:bottom="1440" w:left="1800" w:header="851" w:footer="992" w:gutter="0"/>
              <w:pgNumType w:start="1"/>
              <w:cols w:space="720" w:num="1"/>
              <w:docGrid w:type="lines" w:linePitch="312" w:charSpace="0"/>
            </w:sectPr>
          </w:pPr>
          <w:r>
            <w:rPr>
              <w:rFonts w:hint="eastAsia" w:ascii="仿宋" w:eastAsia="仿宋" w:cs="仿宋"/>
              <w:b/>
              <w:kern w:val="2"/>
              <w:sz w:val="32"/>
              <w:szCs w:val="32"/>
            </w:rPr>
            <w:fldChar w:fldCharType="end"/>
          </w:r>
        </w:p>
      </w:sdtContent>
    </w:sdt>
    <w:p>
      <w:pPr>
        <w:pStyle w:val="162"/>
        <w:ind w:firstLine="0" w:firstLineChars="0"/>
        <w:outlineLvl w:val="0"/>
        <w:rPr>
          <w:rFonts w:hAnsi="黑体"/>
          <w:sz w:val="32"/>
          <w:szCs w:val="32"/>
        </w:rPr>
      </w:pPr>
      <w:bookmarkStart w:id="0" w:name="_Toc22667"/>
      <w:r>
        <w:rPr>
          <w:rFonts w:hint="eastAsia" w:hAnsi="黑体"/>
          <w:sz w:val="36"/>
          <w:szCs w:val="36"/>
        </w:rPr>
        <w:t>第一章 信息披露</w:t>
      </w:r>
      <w:bookmarkEnd w:id="0"/>
    </w:p>
    <w:p>
      <w:pPr>
        <w:pStyle w:val="162"/>
        <w:spacing w:before="0" w:after="0"/>
        <w:ind w:firstLine="0" w:firstLineChars="0"/>
        <w:outlineLvl w:val="9"/>
        <w:rPr>
          <w:rFonts w:hAnsi="黑体"/>
          <w:sz w:val="32"/>
          <w:szCs w:val="32"/>
        </w:rPr>
      </w:pPr>
    </w:p>
    <w:p>
      <w:pPr>
        <w:pStyle w:val="162"/>
        <w:ind w:firstLine="0" w:firstLineChars="0"/>
        <w:outlineLvl w:val="1"/>
        <w:rPr>
          <w:rFonts w:hAnsi="黑体"/>
          <w:sz w:val="32"/>
          <w:szCs w:val="32"/>
        </w:rPr>
      </w:pPr>
      <w:bookmarkStart w:id="1" w:name="_Toc141954521"/>
      <w:bookmarkStart w:id="2" w:name="_Toc7175"/>
      <w:bookmarkStart w:id="3" w:name="_Toc129272517"/>
      <w:r>
        <w:rPr>
          <w:rFonts w:hint="eastAsia" w:hAnsi="黑体"/>
          <w:sz w:val="32"/>
          <w:szCs w:val="32"/>
        </w:rPr>
        <w:t>第一节 信息披露事务</w:t>
      </w:r>
      <w:bookmarkEnd w:id="1"/>
      <w:bookmarkEnd w:id="2"/>
      <w:bookmarkEnd w:id="3"/>
    </w:p>
    <w:p>
      <w:pPr>
        <w:spacing w:line="560" w:lineRule="exact"/>
        <w:ind w:firstLine="640" w:firstLineChars="200"/>
        <w:rPr>
          <w:rFonts w:ascii="Times New Roman" w:hAnsi="Times New Roman" w:eastAsia="黑体"/>
          <w:sz w:val="32"/>
          <w:szCs w:val="20"/>
        </w:rPr>
      </w:pPr>
      <w:r>
        <w:rPr>
          <w:rFonts w:ascii="Times New Roman" w:hAnsi="Times New Roman" w:eastAsia="黑体"/>
          <w:sz w:val="32"/>
          <w:szCs w:val="20"/>
        </w:rPr>
        <w:t>一、信息披露业务办理</w:t>
      </w:r>
    </w:p>
    <w:p>
      <w:pPr>
        <w:spacing w:line="560" w:lineRule="exact"/>
        <w:ind w:firstLine="640" w:firstLineChars="200"/>
        <w:rPr>
          <w:rFonts w:ascii="楷体" w:hAnsi="楷体" w:eastAsia="楷体"/>
          <w:sz w:val="32"/>
          <w:szCs w:val="32"/>
        </w:rPr>
      </w:pPr>
      <w:r>
        <w:rPr>
          <w:rFonts w:ascii="楷体" w:hAnsi="楷体" w:eastAsia="楷体"/>
          <w:sz w:val="32"/>
          <w:szCs w:val="32"/>
        </w:rPr>
        <w:t>（一）信息披露平台</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创业板</w:t>
      </w:r>
      <w:r>
        <w:rPr>
          <w:rFonts w:ascii="仿宋" w:hAnsi="仿宋" w:eastAsia="仿宋"/>
          <w:sz w:val="32"/>
          <w:szCs w:val="32"/>
        </w:rPr>
        <w:t>上市公司</w:t>
      </w:r>
      <w:r>
        <w:rPr>
          <w:rFonts w:hint="eastAsia" w:ascii="仿宋" w:hAnsi="仿宋" w:eastAsia="仿宋"/>
          <w:sz w:val="32"/>
          <w:szCs w:val="32"/>
        </w:rPr>
        <w:t>（以下简称上市公司）</w:t>
      </w:r>
      <w:r>
        <w:rPr>
          <w:rFonts w:ascii="仿宋" w:hAnsi="仿宋" w:eastAsia="仿宋"/>
          <w:sz w:val="32"/>
          <w:szCs w:val="32"/>
        </w:rPr>
        <w:t>应当使用本所信息披露业务技术平台的</w:t>
      </w:r>
      <w:r>
        <w:rPr>
          <w:rFonts w:hint="eastAsia" w:ascii="仿宋" w:hAnsi="仿宋" w:eastAsia="仿宋"/>
          <w:sz w:val="32"/>
          <w:szCs w:val="32"/>
        </w:rPr>
        <w:t>“</w:t>
      </w:r>
      <w:r>
        <w:rPr>
          <w:rFonts w:ascii="仿宋" w:hAnsi="仿宋" w:eastAsia="仿宋"/>
          <w:sz w:val="32"/>
          <w:szCs w:val="32"/>
        </w:rPr>
        <w:t>创业板业务专区</w:t>
      </w:r>
      <w:r>
        <w:rPr>
          <w:rFonts w:hint="eastAsia" w:ascii="仿宋" w:hAnsi="仿宋" w:eastAsia="仿宋"/>
          <w:sz w:val="32"/>
          <w:szCs w:val="32"/>
        </w:rPr>
        <w:t>”</w:t>
      </w:r>
      <w:r>
        <w:rPr>
          <w:rFonts w:ascii="仿宋" w:hAnsi="仿宋" w:eastAsia="仿宋"/>
          <w:sz w:val="32"/>
          <w:szCs w:val="32"/>
        </w:rPr>
        <w:t>（以下简称为业务专区）提交信息披露申请。为确保上市公司在网上业务中能正确标识实体身份，保障办理各项网上业务的安全性，本所向上市公司发放</w:t>
      </w:r>
      <w:r>
        <w:rPr>
          <w:rFonts w:hint="eastAsia" w:ascii="仿宋" w:hAnsi="仿宋" w:eastAsia="仿宋"/>
          <w:sz w:val="32"/>
          <w:szCs w:val="32"/>
        </w:rPr>
        <w:t>“</w:t>
      </w:r>
      <w:r>
        <w:rPr>
          <w:rFonts w:ascii="仿宋" w:hAnsi="仿宋" w:eastAsia="仿宋"/>
          <w:sz w:val="32"/>
          <w:szCs w:val="32"/>
        </w:rPr>
        <w:t>身份认证系统数字证书</w:t>
      </w:r>
      <w:r>
        <w:rPr>
          <w:rFonts w:hint="eastAsia" w:ascii="仿宋" w:hAnsi="仿宋" w:eastAsia="仿宋"/>
          <w:sz w:val="32"/>
          <w:szCs w:val="32"/>
        </w:rPr>
        <w:t>”</w:t>
      </w:r>
      <w:r>
        <w:rPr>
          <w:rFonts w:ascii="仿宋" w:hAnsi="仿宋" w:eastAsia="仿宋"/>
          <w:sz w:val="32"/>
          <w:szCs w:val="32"/>
        </w:rPr>
        <w:t>（以下简称数字证书）。数字证书应用于本所面向上市公司开放的各项网上业务，如网上信息披露申请、网络投票等。</w:t>
      </w:r>
      <w:r>
        <w:rPr>
          <w:rFonts w:hint="eastAsia" w:ascii="仿宋" w:hAnsi="仿宋" w:eastAsia="仿宋"/>
          <w:sz w:val="32"/>
          <w:szCs w:val="32"/>
        </w:rPr>
        <w:t>上市公司应当妥善保管数字证书及其密码，使用数字证书办理业务的行为视同上市公司的行为，上市公司应当承担由此产生的法律责任。</w:t>
      </w:r>
    </w:p>
    <w:p>
      <w:pPr>
        <w:spacing w:line="560" w:lineRule="exact"/>
        <w:ind w:firstLine="640" w:firstLineChars="200"/>
        <w:rPr>
          <w:rFonts w:ascii="仿宋" w:hAnsi="仿宋" w:eastAsia="仿宋"/>
          <w:sz w:val="32"/>
          <w:szCs w:val="32"/>
        </w:rPr>
      </w:pPr>
      <w:r>
        <w:rPr>
          <w:rFonts w:ascii="仿宋" w:hAnsi="仿宋" w:eastAsia="仿宋"/>
          <w:sz w:val="32"/>
          <w:szCs w:val="32"/>
        </w:rPr>
        <w:t>上市公司可通过深圳证券数字证书认证中心（</w:t>
      </w:r>
      <w:r>
        <w:rPr>
          <w:rFonts w:hint="eastAsia" w:ascii="仿宋" w:hAnsi="仿宋" w:eastAsia="仿宋"/>
          <w:sz w:val="32"/>
          <w:szCs w:val="32"/>
        </w:rPr>
        <w:t>联系电话：0755-88666172、0755-88666344，网站：http://ca.szse.cn/</w:t>
      </w:r>
      <w:r>
        <w:rPr>
          <w:rFonts w:ascii="仿宋" w:hAnsi="仿宋" w:eastAsia="仿宋"/>
          <w:sz w:val="32"/>
          <w:szCs w:val="32"/>
        </w:rPr>
        <w:t>）办理与数字证书相关的业务，如申领、挂失、冻结等。</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（二）信息披露方式</w:t>
      </w:r>
    </w:p>
    <w:p>
      <w:pPr>
        <w:spacing w:line="560" w:lineRule="exact"/>
        <w:ind w:firstLine="640" w:firstLineChars="200"/>
        <w:rPr>
          <w:rFonts w:ascii="仿宋" w:hAnsi="仿宋" w:eastAsia="仿宋"/>
          <w:sz w:val="32"/>
          <w:szCs w:val="32"/>
        </w:rPr>
      </w:pPr>
      <w:r>
        <w:rPr>
          <w:rFonts w:ascii="仿宋" w:hAnsi="仿宋" w:eastAsia="仿宋"/>
          <w:sz w:val="32"/>
          <w:szCs w:val="32"/>
        </w:rPr>
        <w:t>信息披露分为直通披露和非直通披露两种方式。</w:t>
      </w:r>
      <w:r>
        <w:rPr>
          <w:rFonts w:hint="eastAsia" w:ascii="仿宋" w:hAnsi="仿宋" w:eastAsia="仿宋"/>
          <w:sz w:val="32"/>
          <w:szCs w:val="32"/>
        </w:rPr>
        <w:t>公司应当通过本所业务专区和本所认可的其他方式将公告文件相关材料报送本所，并通过本所网站和符合中国证监会规定条件的媒体（以下统称符合条件媒体）对外披露。</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其中，直通披露是指上市公司按照本所相关规定，将应当对外披露的信息通过本所业务专区和本所认可的其他方式直接提交至符合条件媒体进行披露，本所事后进行形式审查的信息披露方式，也称为信息披露直通车。非直通披露是指上市公司提交的公告需经本所形式审查后提交给符合条件媒体的信息披露方式。</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hint="eastAsia" w:ascii="仿宋" w:hAnsi="仿宋" w:eastAsia="仿宋"/>
          <w:color w:val="000000"/>
          <w:sz w:val="32"/>
          <w:szCs w:val="32"/>
        </w:rPr>
        <w:t>本所上市公司信息披露原则上采用直通披露方式，最近一期信息披露考核结果为D的上市公司除外。如上市公司出现公司治理不健全、内部控制薄弱、涉嫌多项违法违规行为、公司信息披露受到市场广泛质疑、拒不配合监管等严重影响上市公司信息披露质量情形的，本所可将其调出直通车披露主体范围。同时，部分公告因涉及业务参数录入等原因，仅能以非直通披露的方式披露，上市公司可通过查询公告类别判断相关公告能否直通披露。</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（三）信息披露申请时间</w:t>
      </w:r>
    </w:p>
    <w:p>
      <w:pPr>
        <w:spacing w:line="560" w:lineRule="exact"/>
        <w:ind w:firstLine="640"/>
        <w:rPr>
          <w:rFonts w:ascii="仿宋" w:hAnsi="仿宋" w:eastAsia="仿宋"/>
          <w:sz w:val="32"/>
          <w:szCs w:val="20"/>
        </w:rPr>
      </w:pPr>
      <w:r>
        <w:rPr>
          <w:rFonts w:ascii="仿宋" w:hAnsi="仿宋" w:eastAsia="仿宋"/>
          <w:sz w:val="32"/>
          <w:szCs w:val="20"/>
        </w:rPr>
        <w:t>1</w:t>
      </w:r>
      <w:r>
        <w:rPr>
          <w:rFonts w:hint="eastAsia" w:ascii="仿宋" w:hAnsi="仿宋" w:eastAsia="仿宋"/>
          <w:sz w:val="32"/>
          <w:szCs w:val="32"/>
        </w:rPr>
        <w:t>．</w:t>
      </w:r>
      <w:r>
        <w:rPr>
          <w:rFonts w:ascii="仿宋" w:hAnsi="仿宋" w:eastAsia="仿宋"/>
          <w:sz w:val="32"/>
          <w:szCs w:val="20"/>
        </w:rPr>
        <w:t>直通披露</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早间披露时段（6：00～8：00）：允许上市公司提交拟披露日期为当日、次一日或次一交易日的信息披露申请，如申请的拟披露日期为当日且是直通披露的，经上市公司复核通过后，将于当日上午开市前在</w:t>
      </w:r>
      <w:r>
        <w:rPr>
          <w:rFonts w:hint="eastAsia" w:ascii="仿宋" w:hAnsi="仿宋" w:eastAsia="仿宋"/>
          <w:color w:val="000000"/>
          <w:sz w:val="32"/>
          <w:szCs w:val="32"/>
        </w:rPr>
        <w:t>符合条件媒体</w:t>
      </w:r>
      <w:r>
        <w:rPr>
          <w:rFonts w:ascii="仿宋" w:hAnsi="仿宋" w:eastAsia="仿宋"/>
          <w:color w:val="000000"/>
          <w:sz w:val="32"/>
          <w:szCs w:val="32"/>
        </w:rPr>
        <w:t>披露。</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午间披露时段（8:00～11:30）：允许上市公司提交拟披露日期为当日、次一日或次一交易日的信息披露申请，如申请的拟披露日期为当日且是直通披露的，经上市公司复核通过后，将于当日下午开市前在</w:t>
      </w:r>
      <w:r>
        <w:rPr>
          <w:rFonts w:hint="eastAsia" w:ascii="仿宋" w:hAnsi="仿宋" w:eastAsia="仿宋"/>
          <w:color w:val="000000"/>
          <w:sz w:val="32"/>
          <w:szCs w:val="32"/>
        </w:rPr>
        <w:t>符合条件媒体</w:t>
      </w:r>
      <w:r>
        <w:rPr>
          <w:rFonts w:ascii="仿宋" w:hAnsi="仿宋" w:eastAsia="仿宋"/>
          <w:color w:val="000000"/>
          <w:sz w:val="32"/>
          <w:szCs w:val="32"/>
        </w:rPr>
        <w:t>披露。</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晚间披露时段（11:30～20:30）：允许上市公司提交拟披露日期为当日、次一日、次一交易日的信息披露申请，对于直通披露的，经上市公司复核通过后，将于次一交易日上午开市前在</w:t>
      </w:r>
      <w:r>
        <w:rPr>
          <w:rFonts w:hint="eastAsia" w:ascii="仿宋" w:hAnsi="仿宋" w:eastAsia="仿宋"/>
          <w:color w:val="000000"/>
          <w:sz w:val="32"/>
          <w:szCs w:val="32"/>
        </w:rPr>
        <w:t>符合条件媒体</w:t>
      </w:r>
      <w:r>
        <w:rPr>
          <w:rFonts w:ascii="仿宋" w:hAnsi="仿宋" w:eastAsia="仿宋"/>
          <w:color w:val="000000"/>
          <w:sz w:val="32"/>
          <w:szCs w:val="32"/>
        </w:rPr>
        <w:t>披露</w:t>
      </w:r>
      <w:r>
        <w:rPr>
          <w:rFonts w:hint="eastAsia" w:ascii="仿宋" w:hAnsi="仿宋" w:eastAsia="仿宋"/>
          <w:color w:val="000000"/>
          <w:sz w:val="32"/>
          <w:szCs w:val="32"/>
        </w:rPr>
        <w:t>。</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单一非交易日或连续非交易日的最后一日时段（12:00～16:00）：上市公司</w:t>
      </w:r>
      <w:r>
        <w:rPr>
          <w:rFonts w:hint="eastAsia" w:ascii="仿宋" w:hAnsi="仿宋" w:eastAsia="仿宋"/>
          <w:color w:val="000000"/>
          <w:sz w:val="32"/>
          <w:szCs w:val="32"/>
        </w:rPr>
        <w:t>仅能</w:t>
      </w:r>
      <w:r>
        <w:rPr>
          <w:rFonts w:ascii="仿宋" w:hAnsi="仿宋" w:eastAsia="仿宋"/>
          <w:color w:val="000000"/>
          <w:sz w:val="32"/>
          <w:szCs w:val="32"/>
        </w:rPr>
        <w:t>提交拟披露日期为次一交易日的直通披露申请，经上市公司复核通过后，将于次一交易日上午开市前在</w:t>
      </w:r>
      <w:r>
        <w:rPr>
          <w:rFonts w:hint="eastAsia" w:ascii="仿宋" w:hAnsi="仿宋" w:eastAsia="仿宋"/>
          <w:color w:val="000000"/>
          <w:sz w:val="32"/>
          <w:szCs w:val="32"/>
        </w:rPr>
        <w:t>符合条件媒体</w:t>
      </w:r>
      <w:r>
        <w:rPr>
          <w:rFonts w:ascii="仿宋" w:hAnsi="仿宋" w:eastAsia="仿宋"/>
          <w:color w:val="000000"/>
          <w:sz w:val="32"/>
          <w:szCs w:val="32"/>
        </w:rPr>
        <w:t>披露。</w:t>
      </w:r>
    </w:p>
    <w:p>
      <w:pPr>
        <w:spacing w:line="560" w:lineRule="exact"/>
        <w:ind w:firstLine="640"/>
        <w:rPr>
          <w:rFonts w:ascii="仿宋" w:hAnsi="仿宋" w:eastAsia="仿宋"/>
          <w:sz w:val="32"/>
          <w:szCs w:val="20"/>
        </w:rPr>
      </w:pPr>
      <w:r>
        <w:rPr>
          <w:rFonts w:ascii="仿宋" w:hAnsi="仿宋" w:eastAsia="仿宋"/>
          <w:sz w:val="32"/>
          <w:szCs w:val="20"/>
        </w:rPr>
        <w:t>2</w:t>
      </w:r>
      <w:r>
        <w:rPr>
          <w:rFonts w:hint="eastAsia" w:ascii="仿宋" w:hAnsi="仿宋" w:eastAsia="仿宋"/>
          <w:sz w:val="32"/>
          <w:szCs w:val="32"/>
        </w:rPr>
        <w:t>．</w:t>
      </w:r>
      <w:r>
        <w:rPr>
          <w:rFonts w:ascii="仿宋" w:hAnsi="仿宋" w:eastAsia="仿宋"/>
          <w:sz w:val="32"/>
          <w:szCs w:val="20"/>
        </w:rPr>
        <w:t>非直通披露</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对于非直通披露的相关</w:t>
      </w:r>
      <w:r>
        <w:rPr>
          <w:rFonts w:ascii="仿宋" w:hAnsi="仿宋" w:eastAsia="仿宋"/>
          <w:sz w:val="32"/>
          <w:szCs w:val="32"/>
        </w:rPr>
        <w:t>公告，上市公司可以在交易日午间或下午3:00</w:t>
      </w:r>
      <w:r>
        <w:rPr>
          <w:rFonts w:ascii="仿宋" w:hAnsi="仿宋" w:eastAsia="仿宋"/>
          <w:color w:val="000000"/>
          <w:sz w:val="32"/>
          <w:szCs w:val="32"/>
        </w:rPr>
        <w:t>～</w:t>
      </w:r>
      <w:r>
        <w:rPr>
          <w:rFonts w:ascii="仿宋" w:hAnsi="仿宋" w:eastAsia="仿宋"/>
          <w:sz w:val="32"/>
          <w:szCs w:val="32"/>
        </w:rPr>
        <w:t>5:00提交。</w:t>
      </w:r>
    </w:p>
    <w:p>
      <w:pPr>
        <w:spacing w:line="560" w:lineRule="exact"/>
        <w:ind w:firstLine="640"/>
        <w:rPr>
          <w:rFonts w:ascii="仿宋" w:hAnsi="仿宋" w:eastAsia="仿宋"/>
          <w:sz w:val="32"/>
          <w:szCs w:val="20"/>
        </w:rPr>
      </w:pPr>
      <w:r>
        <w:rPr>
          <w:rFonts w:ascii="仿宋" w:hAnsi="仿宋" w:eastAsia="仿宋"/>
          <w:sz w:val="32"/>
          <w:szCs w:val="20"/>
        </w:rPr>
        <w:t>3</w:t>
      </w:r>
      <w:r>
        <w:rPr>
          <w:rFonts w:hint="eastAsia" w:ascii="仿宋" w:hAnsi="仿宋" w:eastAsia="仿宋"/>
          <w:sz w:val="32"/>
          <w:szCs w:val="32"/>
        </w:rPr>
        <w:t>．</w:t>
      </w:r>
      <w:r>
        <w:rPr>
          <w:rFonts w:ascii="仿宋" w:hAnsi="仿宋" w:eastAsia="仿宋"/>
          <w:sz w:val="32"/>
          <w:szCs w:val="20"/>
        </w:rPr>
        <w:t>定期报告特殊规定</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对于所有含有定期报告公告类别的信息披露申请，仅能在计划披露日的前一交易日提交，且披露日期必须选择公告提交日的次一日或次一交易日。</w:t>
      </w:r>
    </w:p>
    <w:p>
      <w:pPr>
        <w:spacing w:line="560" w:lineRule="exact"/>
        <w:ind w:firstLine="640"/>
        <w:rPr>
          <w:rFonts w:ascii="仿宋" w:hAnsi="仿宋" w:eastAsia="仿宋"/>
          <w:sz w:val="32"/>
          <w:szCs w:val="20"/>
        </w:rPr>
      </w:pPr>
      <w:r>
        <w:rPr>
          <w:rFonts w:ascii="仿宋" w:hAnsi="仿宋" w:eastAsia="仿宋"/>
          <w:sz w:val="32"/>
          <w:szCs w:val="20"/>
        </w:rPr>
        <w:t>4</w:t>
      </w:r>
      <w:r>
        <w:rPr>
          <w:rFonts w:hint="eastAsia" w:ascii="仿宋" w:hAnsi="仿宋" w:eastAsia="仿宋"/>
          <w:sz w:val="32"/>
          <w:szCs w:val="32"/>
        </w:rPr>
        <w:t>．</w:t>
      </w:r>
      <w:r>
        <w:rPr>
          <w:rFonts w:ascii="仿宋" w:hAnsi="仿宋" w:eastAsia="仿宋"/>
          <w:sz w:val="32"/>
          <w:szCs w:val="20"/>
        </w:rPr>
        <w:t>多地上市的披露时间要求</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hint="eastAsia" w:ascii="仿宋" w:hAnsi="仿宋" w:eastAsia="仿宋"/>
          <w:color w:val="000000"/>
          <w:sz w:val="32"/>
          <w:szCs w:val="32"/>
        </w:rPr>
        <w:t>在本所上市的公司同时有股票及其衍生品种在境外证券交易所上市的，</w:t>
      </w:r>
      <w:r>
        <w:rPr>
          <w:rFonts w:ascii="仿宋" w:hAnsi="仿宋" w:eastAsia="仿宋"/>
          <w:sz w:val="32"/>
          <w:szCs w:val="32"/>
        </w:rPr>
        <w:t>上市</w:t>
      </w:r>
      <w:r>
        <w:rPr>
          <w:rFonts w:hint="eastAsia" w:ascii="仿宋" w:hAnsi="仿宋" w:eastAsia="仿宋"/>
          <w:color w:val="000000"/>
          <w:sz w:val="32"/>
          <w:szCs w:val="32"/>
        </w:rPr>
        <w:t>公司及相关信息披露义务人应当保证境外证券交易所要求其披露的信息，同时在符合条件媒体上按照本指南和本所其他有关规定的要求对外披露。</w:t>
      </w:r>
    </w:p>
    <w:p>
      <w:pPr>
        <w:tabs>
          <w:tab w:val="left" w:pos="0"/>
        </w:tabs>
        <w:snapToGrid w:val="0"/>
        <w:spacing w:line="560" w:lineRule="exact"/>
        <w:ind w:firstLine="640" w:firstLineChars="200"/>
        <w:contextualSpacing/>
        <w:rPr>
          <w:rFonts w:ascii="Times New Roman" w:hAnsi="Times New Roman" w:eastAsia="方正仿宋简体"/>
          <w:color w:val="000000"/>
          <w:sz w:val="32"/>
          <w:szCs w:val="32"/>
        </w:rPr>
      </w:pPr>
      <w:r>
        <w:rPr>
          <w:rFonts w:ascii="仿宋" w:hAnsi="仿宋" w:eastAsia="仿宋"/>
          <w:sz w:val="32"/>
          <w:szCs w:val="32"/>
        </w:rPr>
        <w:t>上市</w:t>
      </w:r>
      <w:r>
        <w:rPr>
          <w:rFonts w:ascii="仿宋" w:hAnsi="仿宋" w:eastAsia="仿宋"/>
          <w:color w:val="000000"/>
          <w:sz w:val="32"/>
          <w:szCs w:val="32"/>
        </w:rPr>
        <w:t>公司及相关信息披露义务人在境外市场进行信息披露时，不属于本所市场信息披露时段的，应当在本所市场最近一个信息披露时段内予以披露。</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（四）信息披露流程</w:t>
      </w:r>
    </w:p>
    <w:p>
      <w:pPr>
        <w:spacing w:line="560" w:lineRule="exact"/>
        <w:ind w:firstLine="640"/>
        <w:rPr>
          <w:rFonts w:ascii="仿宋" w:hAnsi="仿宋" w:eastAsia="仿宋"/>
          <w:sz w:val="32"/>
          <w:szCs w:val="20"/>
        </w:rPr>
      </w:pPr>
      <w:r>
        <w:rPr>
          <w:rFonts w:ascii="仿宋" w:hAnsi="仿宋" w:eastAsia="仿宋"/>
          <w:sz w:val="32"/>
          <w:szCs w:val="20"/>
        </w:rPr>
        <w:t>1</w:t>
      </w:r>
      <w:r>
        <w:rPr>
          <w:rFonts w:hint="eastAsia" w:ascii="仿宋" w:hAnsi="仿宋" w:eastAsia="仿宋"/>
          <w:sz w:val="32"/>
          <w:szCs w:val="32"/>
        </w:rPr>
        <w:t>．</w:t>
      </w:r>
      <w:r>
        <w:rPr>
          <w:rFonts w:ascii="仿宋" w:hAnsi="仿宋" w:eastAsia="仿宋"/>
          <w:sz w:val="32"/>
          <w:szCs w:val="20"/>
        </w:rPr>
        <w:t>准备公告文件及报备材料</w:t>
      </w:r>
    </w:p>
    <w:p>
      <w:pPr>
        <w:tabs>
          <w:tab w:val="left" w:pos="90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上市公司及相关信息披露义务人应遵照本所《</w:t>
      </w:r>
      <w:r>
        <w:rPr>
          <w:rFonts w:hint="eastAsia" w:ascii="仿宋" w:hAnsi="仿宋" w:eastAsia="仿宋"/>
          <w:color w:val="000000"/>
          <w:sz w:val="32"/>
          <w:szCs w:val="32"/>
        </w:rPr>
        <w:t>创业板股票</w:t>
      </w:r>
      <w:r>
        <w:rPr>
          <w:rFonts w:ascii="仿宋" w:hAnsi="仿宋" w:eastAsia="仿宋"/>
          <w:color w:val="000000"/>
          <w:sz w:val="32"/>
          <w:szCs w:val="32"/>
        </w:rPr>
        <w:t>上市规则》</w:t>
      </w:r>
      <w:r>
        <w:rPr>
          <w:rFonts w:hint="eastAsia" w:ascii="仿宋" w:hAnsi="仿宋" w:eastAsia="仿宋"/>
          <w:color w:val="000000"/>
          <w:sz w:val="32"/>
          <w:szCs w:val="32"/>
        </w:rPr>
        <w:t>（以下简称《创业板上市规则》）</w:t>
      </w:r>
      <w:r>
        <w:rPr>
          <w:rFonts w:ascii="仿宋" w:hAnsi="仿宋" w:eastAsia="仿宋"/>
          <w:color w:val="000000"/>
          <w:sz w:val="32"/>
          <w:szCs w:val="32"/>
        </w:rPr>
        <w:t>及相关</w:t>
      </w:r>
      <w:r>
        <w:rPr>
          <w:rFonts w:hint="eastAsia" w:ascii="仿宋" w:hAnsi="仿宋" w:eastAsia="仿宋"/>
          <w:color w:val="000000"/>
          <w:sz w:val="32"/>
          <w:szCs w:val="32"/>
        </w:rPr>
        <w:t>自律监管指引、</w:t>
      </w:r>
      <w:r>
        <w:rPr>
          <w:rFonts w:ascii="仿宋" w:hAnsi="仿宋" w:eastAsia="仿宋"/>
          <w:color w:val="000000"/>
          <w:sz w:val="32"/>
          <w:szCs w:val="32"/>
        </w:rPr>
        <w:t>公告格式等要求编写公告文件及准备报备材料。</w:t>
      </w:r>
    </w:p>
    <w:p>
      <w:pPr>
        <w:spacing w:line="560" w:lineRule="exact"/>
        <w:ind w:firstLine="640"/>
        <w:rPr>
          <w:rFonts w:ascii="仿宋" w:hAnsi="仿宋" w:eastAsia="仿宋"/>
          <w:sz w:val="32"/>
          <w:szCs w:val="20"/>
        </w:rPr>
      </w:pPr>
      <w:r>
        <w:rPr>
          <w:rFonts w:ascii="仿宋" w:hAnsi="仿宋" w:eastAsia="仿宋"/>
          <w:sz w:val="32"/>
          <w:szCs w:val="20"/>
        </w:rPr>
        <w:t>2</w:t>
      </w:r>
      <w:r>
        <w:rPr>
          <w:rFonts w:hint="eastAsia" w:ascii="仿宋" w:hAnsi="仿宋" w:eastAsia="仿宋"/>
          <w:sz w:val="32"/>
          <w:szCs w:val="32"/>
        </w:rPr>
        <w:t>．</w:t>
      </w:r>
      <w:r>
        <w:rPr>
          <w:rFonts w:ascii="仿宋" w:hAnsi="仿宋" w:eastAsia="仿宋"/>
          <w:sz w:val="32"/>
          <w:szCs w:val="20"/>
        </w:rPr>
        <w:t>公告提交</w:t>
      </w:r>
    </w:p>
    <w:p>
      <w:pPr>
        <w:spacing w:line="560" w:lineRule="exact"/>
        <w:ind w:firstLine="640"/>
        <w:rPr>
          <w:rFonts w:ascii="仿宋" w:hAnsi="仿宋" w:eastAsia="仿宋"/>
          <w:sz w:val="32"/>
          <w:szCs w:val="20"/>
        </w:rPr>
      </w:pPr>
      <w:r>
        <w:rPr>
          <w:rFonts w:ascii="仿宋" w:hAnsi="仿宋" w:eastAsia="仿宋"/>
          <w:sz w:val="32"/>
          <w:szCs w:val="20"/>
        </w:rPr>
        <w:t>（1）登录业务专区</w:t>
      </w:r>
    </w:p>
    <w:p>
      <w:pPr>
        <w:tabs>
          <w:tab w:val="left" w:pos="900"/>
        </w:tabs>
        <w:snapToGrid w:val="0"/>
        <w:spacing w:line="560" w:lineRule="exact"/>
        <w:ind w:firstLine="640" w:firstLineChars="200"/>
        <w:contextualSpacing/>
        <w:rPr>
          <w:rFonts w:ascii="Times New Roman" w:hAnsi="Times New Roman" w:eastAsia="方正仿宋简体"/>
          <w:color w:val="000000"/>
          <w:sz w:val="32"/>
          <w:szCs w:val="32"/>
        </w:rPr>
      </w:pPr>
      <w:r>
        <w:rPr>
          <w:rFonts w:ascii="Times New Roman" w:hAnsi="Times New Roman" w:eastAsia="方正仿宋简体"/>
          <w:color w:val="000000"/>
          <w:sz w:val="32"/>
          <w:szCs w:val="32"/>
        </w:rPr>
        <w:t>上市公司经办人以数字证书方式登录业务专区，登录方式见附件1。点击进入</w:t>
      </w:r>
      <w:r>
        <w:rPr>
          <w:rFonts w:hint="eastAsia" w:ascii="Times New Roman" w:hAnsi="Times New Roman" w:eastAsia="方正仿宋简体"/>
          <w:color w:val="000000"/>
          <w:sz w:val="32"/>
          <w:szCs w:val="32"/>
        </w:rPr>
        <w:t>“</w:t>
      </w:r>
      <w:r>
        <w:rPr>
          <w:rFonts w:ascii="Times New Roman" w:hAnsi="Times New Roman" w:eastAsia="方正仿宋简体"/>
          <w:color w:val="000000"/>
          <w:sz w:val="32"/>
          <w:szCs w:val="32"/>
        </w:rPr>
        <w:t>信息披露业务</w:t>
      </w:r>
      <w:r>
        <w:rPr>
          <w:rFonts w:hint="eastAsia" w:ascii="Times New Roman" w:hAnsi="Times New Roman" w:eastAsia="方正仿宋简体"/>
          <w:color w:val="000000"/>
          <w:sz w:val="32"/>
          <w:szCs w:val="32"/>
        </w:rPr>
        <w:t>”</w:t>
      </w:r>
      <w:r>
        <w:rPr>
          <w:rFonts w:ascii="Times New Roman" w:hAnsi="Times New Roman" w:eastAsia="方正仿宋简体"/>
          <w:color w:val="000000"/>
          <w:sz w:val="32"/>
          <w:szCs w:val="32"/>
        </w:rPr>
        <w:t>选择</w:t>
      </w:r>
      <w:r>
        <w:rPr>
          <w:rFonts w:hint="eastAsia" w:ascii="Times New Roman" w:hAnsi="Times New Roman" w:eastAsia="方正仿宋简体"/>
          <w:color w:val="000000"/>
          <w:sz w:val="32"/>
          <w:szCs w:val="32"/>
        </w:rPr>
        <w:t>“</w:t>
      </w:r>
      <w:r>
        <w:rPr>
          <w:rFonts w:ascii="Times New Roman" w:hAnsi="Times New Roman" w:eastAsia="方正仿宋简体"/>
          <w:color w:val="000000"/>
          <w:sz w:val="32"/>
          <w:szCs w:val="32"/>
        </w:rPr>
        <w:t>信息披露申请</w:t>
      </w:r>
      <w:r>
        <w:rPr>
          <w:rFonts w:hint="eastAsia" w:ascii="Times New Roman" w:hAnsi="Times New Roman" w:eastAsia="方正仿宋简体"/>
          <w:color w:val="000000"/>
          <w:sz w:val="32"/>
          <w:szCs w:val="32"/>
        </w:rPr>
        <w:t>”</w:t>
      </w:r>
      <w:r>
        <w:rPr>
          <w:rFonts w:ascii="Times New Roman" w:hAnsi="Times New Roman" w:eastAsia="方正仿宋简体"/>
          <w:color w:val="000000"/>
          <w:sz w:val="32"/>
          <w:szCs w:val="32"/>
        </w:rPr>
        <w:t>，如图1-1所示：</w:t>
      </w:r>
    </w:p>
    <w:p>
      <w:pPr>
        <w:tabs>
          <w:tab w:val="left" w:pos="900"/>
        </w:tabs>
        <w:snapToGrid w:val="0"/>
        <w:spacing w:line="560" w:lineRule="exact"/>
        <w:ind w:firstLine="420" w:firstLineChars="200"/>
        <w:contextualSpacing/>
        <w:jc w:val="center"/>
        <w:rPr>
          <w:rFonts w:ascii="Times New Roman" w:hAnsi="Times New Roman" w:eastAsia="仿宋"/>
          <w:color w:val="000000"/>
          <w:sz w:val="24"/>
          <w:szCs w:val="24"/>
        </w:rPr>
      </w:pPr>
      <w:r>
        <w:drawing>
          <wp:anchor distT="0" distB="0" distL="114300" distR="114300" simplePos="0" relativeHeight="251675648" behindDoc="1" locked="0" layoutInCell="1" allowOverlap="1">
            <wp:simplePos x="0" y="0"/>
            <wp:positionH relativeFrom="margin">
              <wp:posOffset>30480</wp:posOffset>
            </wp:positionH>
            <wp:positionV relativeFrom="margin">
              <wp:posOffset>4053205</wp:posOffset>
            </wp:positionV>
            <wp:extent cx="5274310" cy="2680335"/>
            <wp:effectExtent l="0" t="0" r="2540" b="5715"/>
            <wp:wrapTight wrapText="bothSides">
              <wp:wrapPolygon>
                <wp:start x="0" y="0"/>
                <wp:lineTo x="0" y="21493"/>
                <wp:lineTo x="21532" y="21493"/>
                <wp:lineTo x="21532" y="0"/>
                <wp:lineTo x="0" y="0"/>
              </wp:wrapPolygon>
            </wp:wrapTight>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680335"/>
                    </a:xfrm>
                    <a:prstGeom prst="rect">
                      <a:avLst/>
                    </a:prstGeom>
                    <a:noFill/>
                  </pic:spPr>
                </pic:pic>
              </a:graphicData>
            </a:graphic>
          </wp:anchor>
        </w:drawing>
      </w:r>
    </w:p>
    <w:p>
      <w:pPr>
        <w:tabs>
          <w:tab w:val="left" w:pos="900"/>
        </w:tabs>
        <w:snapToGrid w:val="0"/>
        <w:spacing w:line="560" w:lineRule="exact"/>
        <w:ind w:firstLine="480" w:firstLineChars="200"/>
        <w:contextualSpacing/>
        <w:jc w:val="center"/>
        <w:rPr>
          <w:rFonts w:ascii="Times New Roman" w:hAnsi="Times New Roman" w:eastAsia="仿宋"/>
          <w:color w:val="000000"/>
          <w:sz w:val="24"/>
          <w:szCs w:val="24"/>
        </w:rPr>
      </w:pPr>
      <w:r>
        <w:rPr>
          <w:rFonts w:ascii="Times New Roman" w:hAnsi="Times New Roman" w:eastAsia="仿宋"/>
          <w:color w:val="000000"/>
          <w:sz w:val="24"/>
          <w:szCs w:val="24"/>
        </w:rPr>
        <w:t>图1-1：登录业务专区示</w:t>
      </w:r>
      <w:r>
        <w:rPr>
          <w:rFonts w:hint="eastAsia" w:ascii="Times New Roman" w:hAnsi="Times New Roman" w:eastAsia="仿宋"/>
          <w:color w:val="000000"/>
          <w:sz w:val="24"/>
          <w:szCs w:val="24"/>
        </w:rPr>
        <w:t>例</w:t>
      </w:r>
    </w:p>
    <w:p>
      <w:pPr>
        <w:spacing w:line="560" w:lineRule="exact"/>
        <w:ind w:firstLine="640"/>
        <w:rPr>
          <w:rFonts w:ascii="仿宋" w:hAnsi="仿宋" w:eastAsia="仿宋"/>
          <w:sz w:val="32"/>
          <w:szCs w:val="20"/>
        </w:rPr>
      </w:pPr>
      <w:r>
        <w:rPr>
          <w:rFonts w:ascii="仿宋" w:hAnsi="仿宋" w:eastAsia="仿宋"/>
          <w:sz w:val="32"/>
          <w:szCs w:val="20"/>
        </w:rPr>
        <w:t>（2）创建信息披露申请</w:t>
      </w:r>
    </w:p>
    <w:p>
      <w:pPr>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进入</w:t>
      </w:r>
      <w:r>
        <w:rPr>
          <w:rFonts w:hint="eastAsia" w:ascii="仿宋" w:hAnsi="仿宋" w:eastAsia="仿宋"/>
          <w:color w:val="000000"/>
          <w:sz w:val="32"/>
          <w:szCs w:val="32"/>
        </w:rPr>
        <w:t>“</w:t>
      </w:r>
      <w:r>
        <w:rPr>
          <w:rFonts w:ascii="仿宋" w:hAnsi="仿宋" w:eastAsia="仿宋"/>
          <w:color w:val="000000"/>
          <w:sz w:val="32"/>
          <w:szCs w:val="32"/>
        </w:rPr>
        <w:t>信息披露申请</w:t>
      </w:r>
      <w:r>
        <w:rPr>
          <w:rFonts w:hint="eastAsia" w:ascii="仿宋" w:hAnsi="仿宋" w:eastAsia="仿宋"/>
          <w:color w:val="000000"/>
          <w:sz w:val="32"/>
          <w:szCs w:val="32"/>
        </w:rPr>
        <w:t>”</w:t>
      </w:r>
      <w:r>
        <w:rPr>
          <w:rFonts w:ascii="仿宋" w:hAnsi="仿宋" w:eastAsia="仿宋"/>
          <w:color w:val="000000"/>
          <w:sz w:val="32"/>
          <w:szCs w:val="32"/>
        </w:rPr>
        <w:t>后，选择</w:t>
      </w:r>
      <w:r>
        <w:rPr>
          <w:rFonts w:hint="eastAsia" w:ascii="仿宋" w:hAnsi="仿宋" w:eastAsia="仿宋"/>
          <w:color w:val="000000"/>
          <w:sz w:val="32"/>
          <w:szCs w:val="32"/>
        </w:rPr>
        <w:t>“</w:t>
      </w:r>
      <w:r>
        <w:rPr>
          <w:rFonts w:ascii="仿宋" w:hAnsi="仿宋" w:eastAsia="仿宋"/>
          <w:color w:val="000000"/>
          <w:sz w:val="32"/>
          <w:szCs w:val="32"/>
        </w:rPr>
        <w:t>新建披露申请</w:t>
      </w:r>
      <w:r>
        <w:rPr>
          <w:rFonts w:hint="eastAsia" w:ascii="仿宋" w:hAnsi="仿宋" w:eastAsia="仿宋"/>
          <w:color w:val="000000"/>
          <w:sz w:val="32"/>
          <w:szCs w:val="32"/>
        </w:rPr>
        <w:t>”</w:t>
      </w:r>
      <w:r>
        <w:rPr>
          <w:rFonts w:ascii="仿宋" w:hAnsi="仿宋" w:eastAsia="仿宋"/>
          <w:color w:val="000000"/>
          <w:sz w:val="32"/>
          <w:szCs w:val="32"/>
        </w:rPr>
        <w:t>，系统将出现</w:t>
      </w:r>
      <w:r>
        <w:rPr>
          <w:rFonts w:hint="eastAsia" w:ascii="仿宋" w:hAnsi="仿宋" w:eastAsia="仿宋"/>
          <w:color w:val="000000"/>
          <w:sz w:val="32"/>
          <w:szCs w:val="32"/>
        </w:rPr>
        <w:t>“</w:t>
      </w:r>
      <w:r>
        <w:rPr>
          <w:rFonts w:ascii="仿宋" w:hAnsi="仿宋" w:eastAsia="仿宋"/>
          <w:color w:val="000000"/>
          <w:sz w:val="32"/>
          <w:szCs w:val="32"/>
        </w:rPr>
        <w:t>信息披露申请</w:t>
      </w:r>
      <w:r>
        <w:rPr>
          <w:rFonts w:hint="eastAsia" w:ascii="仿宋" w:hAnsi="仿宋" w:eastAsia="仿宋"/>
          <w:color w:val="000000"/>
          <w:sz w:val="32"/>
          <w:szCs w:val="32"/>
        </w:rPr>
        <w:t>”</w:t>
      </w:r>
      <w:r>
        <w:rPr>
          <w:rFonts w:ascii="仿宋" w:hAnsi="仿宋" w:eastAsia="仿宋"/>
          <w:color w:val="000000"/>
          <w:sz w:val="32"/>
          <w:szCs w:val="32"/>
        </w:rPr>
        <w:t>页面，如图1-2所示：</w:t>
      </w:r>
    </w:p>
    <w:p>
      <w:pPr>
        <w:tabs>
          <w:tab w:val="left" w:pos="7920"/>
        </w:tabs>
        <w:snapToGrid w:val="0"/>
        <w:spacing w:line="560" w:lineRule="exact"/>
        <w:ind w:firstLine="420" w:firstLineChars="200"/>
        <w:contextualSpacing/>
        <w:jc w:val="center"/>
        <w:rPr>
          <w:rFonts w:ascii="Times New Roman" w:hAnsi="Times New Roman" w:eastAsia="方正仿宋简体"/>
          <w:color w:val="000000"/>
          <w:kern w:val="0"/>
          <w:sz w:val="32"/>
          <w:szCs w:val="28"/>
        </w:rPr>
      </w:pPr>
      <w:r>
        <w:drawing>
          <wp:anchor distT="0" distB="0" distL="114300" distR="114300" simplePos="0" relativeHeight="251695104" behindDoc="1" locked="0" layoutInCell="1" allowOverlap="0">
            <wp:simplePos x="0" y="0"/>
            <wp:positionH relativeFrom="margin">
              <wp:posOffset>-60960</wp:posOffset>
            </wp:positionH>
            <wp:positionV relativeFrom="margin">
              <wp:posOffset>34925</wp:posOffset>
            </wp:positionV>
            <wp:extent cx="5279390" cy="3649345"/>
            <wp:effectExtent l="0" t="0" r="0" b="8255"/>
            <wp:wrapTight wrapText="bothSides">
              <wp:wrapPolygon>
                <wp:start x="0" y="0"/>
                <wp:lineTo x="0" y="21536"/>
                <wp:lineTo x="21512" y="21536"/>
                <wp:lineTo x="21512" y="0"/>
                <wp:lineTo x="0" y="0"/>
              </wp:wrapPolygon>
            </wp:wrapTight>
            <wp:docPr id="5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9390" cy="3649345"/>
                    </a:xfrm>
                    <a:prstGeom prst="rect">
                      <a:avLst/>
                    </a:prstGeom>
                    <a:noFill/>
                  </pic:spPr>
                </pic:pic>
              </a:graphicData>
            </a:graphic>
          </wp:anchor>
        </w:drawing>
      </w:r>
      <w:r>
        <w:rPr>
          <w:rFonts w:ascii="Times New Roman" w:hAnsi="Times New Roman" w:eastAsia="仿宋"/>
          <w:color w:val="000000"/>
          <w:sz w:val="24"/>
          <w:szCs w:val="24"/>
        </w:rPr>
        <w:t>图1-2：创建信息披露申请示</w:t>
      </w:r>
      <w:r>
        <w:rPr>
          <w:rFonts w:hint="eastAsia" w:ascii="Times New Roman" w:hAnsi="Times New Roman" w:eastAsia="仿宋"/>
          <w:color w:val="000000"/>
          <w:sz w:val="24"/>
          <w:szCs w:val="24"/>
        </w:rPr>
        <w:t>例</w:t>
      </w:r>
    </w:p>
    <w:p>
      <w:pPr>
        <w:tabs>
          <w:tab w:val="left" w:pos="7920"/>
        </w:tabs>
        <w:snapToGrid w:val="0"/>
        <w:spacing w:line="560" w:lineRule="exact"/>
        <w:ind w:firstLine="640" w:firstLineChars="200"/>
        <w:contextualSpacing/>
        <w:rPr>
          <w:rFonts w:ascii="仿宋" w:hAnsi="仿宋" w:eastAsia="仿宋"/>
          <w:color w:val="000000"/>
          <w:kern w:val="0"/>
          <w:sz w:val="32"/>
          <w:szCs w:val="28"/>
        </w:rPr>
      </w:pPr>
      <w:r>
        <w:rPr>
          <w:rFonts w:ascii="仿宋" w:hAnsi="仿宋" w:eastAsia="仿宋"/>
          <w:color w:val="000000"/>
          <w:kern w:val="0"/>
          <w:sz w:val="32"/>
          <w:szCs w:val="28"/>
        </w:rPr>
        <w:t>该页面中</w:t>
      </w:r>
      <w:r>
        <w:rPr>
          <w:rFonts w:hint="eastAsia" w:ascii="仿宋" w:hAnsi="仿宋" w:eastAsia="仿宋"/>
          <w:color w:val="000000"/>
          <w:kern w:val="0"/>
          <w:sz w:val="32"/>
          <w:szCs w:val="28"/>
        </w:rPr>
        <w:t>“</w:t>
      </w:r>
      <w:r>
        <w:rPr>
          <w:rFonts w:ascii="仿宋" w:hAnsi="仿宋" w:eastAsia="仿宋"/>
          <w:color w:val="000000"/>
          <w:kern w:val="0"/>
          <w:sz w:val="32"/>
          <w:szCs w:val="28"/>
        </w:rPr>
        <w:t>公司代码</w:t>
      </w:r>
      <w:r>
        <w:rPr>
          <w:rFonts w:hint="eastAsia" w:ascii="仿宋" w:hAnsi="仿宋" w:eastAsia="仿宋"/>
          <w:color w:val="000000"/>
          <w:kern w:val="0"/>
          <w:sz w:val="32"/>
          <w:szCs w:val="28"/>
        </w:rPr>
        <w:t>”</w:t>
      </w:r>
      <w:r>
        <w:rPr>
          <w:rFonts w:ascii="仿宋" w:hAnsi="仿宋" w:eastAsia="仿宋"/>
          <w:color w:val="000000"/>
          <w:kern w:val="0"/>
          <w:sz w:val="32"/>
          <w:szCs w:val="28"/>
        </w:rPr>
        <w:t>及</w:t>
      </w:r>
      <w:r>
        <w:rPr>
          <w:rFonts w:hint="eastAsia" w:ascii="仿宋" w:hAnsi="仿宋" w:eastAsia="仿宋"/>
          <w:color w:val="000000"/>
          <w:kern w:val="0"/>
          <w:sz w:val="32"/>
          <w:szCs w:val="28"/>
        </w:rPr>
        <w:t>“</w:t>
      </w:r>
      <w:r>
        <w:rPr>
          <w:rFonts w:ascii="仿宋" w:hAnsi="仿宋" w:eastAsia="仿宋"/>
          <w:color w:val="000000"/>
          <w:kern w:val="0"/>
          <w:sz w:val="32"/>
          <w:szCs w:val="28"/>
        </w:rPr>
        <w:t>公司简称</w:t>
      </w:r>
      <w:r>
        <w:rPr>
          <w:rFonts w:hint="eastAsia" w:ascii="仿宋" w:hAnsi="仿宋" w:eastAsia="仿宋"/>
          <w:color w:val="000000"/>
          <w:kern w:val="0"/>
          <w:sz w:val="32"/>
          <w:szCs w:val="28"/>
        </w:rPr>
        <w:t>”</w:t>
      </w:r>
      <w:r>
        <w:rPr>
          <w:rFonts w:ascii="仿宋" w:hAnsi="仿宋" w:eastAsia="仿宋"/>
          <w:color w:val="000000"/>
          <w:kern w:val="0"/>
          <w:sz w:val="32"/>
          <w:szCs w:val="28"/>
        </w:rPr>
        <w:t>为系统自动填写，上市公司应填写拟披露日期、是否申请停牌、拟披露报刊等信息，如果自动显示的经办人不是实际办理人，则应修改页面中经办人信息（上市公司应当准确填写经办人手机号码，本所将通过该手机号码短信通知上市公司经办人信息披露申请办理进展情况）。</w:t>
      </w:r>
    </w:p>
    <w:p>
      <w:pPr>
        <w:spacing w:line="560" w:lineRule="exact"/>
        <w:ind w:firstLine="640"/>
        <w:rPr>
          <w:rFonts w:ascii="仿宋" w:hAnsi="仿宋" w:eastAsia="仿宋"/>
          <w:sz w:val="32"/>
          <w:szCs w:val="20"/>
        </w:rPr>
      </w:pPr>
      <w:r>
        <w:rPr>
          <w:rFonts w:ascii="仿宋" w:hAnsi="仿宋" w:eastAsia="仿宋"/>
          <w:sz w:val="32"/>
          <w:szCs w:val="20"/>
        </w:rPr>
        <w:t>（3）添加公告类别</w:t>
      </w:r>
    </w:p>
    <w:p>
      <w:pPr>
        <w:snapToGrid w:val="0"/>
        <w:spacing w:line="560" w:lineRule="exact"/>
        <w:ind w:firstLine="640" w:firstLineChars="200"/>
        <w:contextualSpacing/>
        <w:rPr>
          <w:rFonts w:ascii="仿宋" w:hAnsi="仿宋" w:eastAsia="仿宋"/>
          <w:color w:val="000000"/>
          <w:sz w:val="28"/>
          <w:szCs w:val="28"/>
        </w:rPr>
      </w:pPr>
      <w:r>
        <w:rPr>
          <w:rFonts w:ascii="仿宋" w:hAnsi="仿宋" w:eastAsia="仿宋"/>
          <w:color w:val="000000"/>
          <w:sz w:val="32"/>
          <w:szCs w:val="28"/>
        </w:rPr>
        <w:t>点击</w:t>
      </w:r>
      <w:r>
        <w:rPr>
          <w:rFonts w:hint="eastAsia" w:ascii="仿宋" w:hAnsi="仿宋" w:eastAsia="仿宋"/>
          <w:color w:val="000000"/>
          <w:sz w:val="32"/>
          <w:szCs w:val="28"/>
        </w:rPr>
        <w:t>“</w:t>
      </w:r>
      <w:r>
        <w:rPr>
          <w:rFonts w:ascii="仿宋" w:hAnsi="仿宋" w:eastAsia="仿宋"/>
          <w:color w:val="000000"/>
          <w:sz w:val="32"/>
          <w:szCs w:val="28"/>
        </w:rPr>
        <w:t>新增公告类别</w:t>
      </w:r>
      <w:r>
        <w:rPr>
          <w:rFonts w:hint="eastAsia" w:ascii="仿宋" w:hAnsi="仿宋" w:eastAsia="仿宋"/>
          <w:color w:val="000000"/>
          <w:sz w:val="32"/>
          <w:szCs w:val="28"/>
        </w:rPr>
        <w:t>”</w:t>
      </w:r>
      <w:r>
        <w:rPr>
          <w:rFonts w:ascii="仿宋" w:hAnsi="仿宋" w:eastAsia="仿宋"/>
          <w:color w:val="000000"/>
          <w:sz w:val="32"/>
          <w:szCs w:val="28"/>
        </w:rPr>
        <w:t>，将出现备选的公告类别页面，如图1-3所示：</w:t>
      </w:r>
    </w:p>
    <w:p>
      <w:pPr>
        <w:snapToGrid w:val="0"/>
        <w:spacing w:line="560" w:lineRule="exact"/>
        <w:ind w:firstLine="420"/>
        <w:contextualSpacing/>
        <w:jc w:val="center"/>
        <w:rPr>
          <w:rFonts w:ascii="Times New Roman" w:hAnsi="Times New Roman" w:eastAsia="仿宋"/>
          <w:color w:val="000000"/>
          <w:sz w:val="28"/>
          <w:szCs w:val="28"/>
        </w:rPr>
      </w:pPr>
      <w:r>
        <w:drawing>
          <wp:anchor distT="0" distB="0" distL="114300" distR="114300" simplePos="0" relativeHeight="251670528" behindDoc="0" locked="0" layoutInCell="1" allowOverlap="1">
            <wp:simplePos x="0" y="0"/>
            <wp:positionH relativeFrom="margin">
              <wp:align>center</wp:align>
            </wp:positionH>
            <wp:positionV relativeFrom="margin">
              <wp:align>top</wp:align>
            </wp:positionV>
            <wp:extent cx="5039995" cy="3239770"/>
            <wp:effectExtent l="0" t="0" r="8255" b="0"/>
            <wp:wrapSquare wrapText="bothSides"/>
            <wp:docPr id="55" name="图片 26"/>
            <wp:cNvGraphicFramePr/>
            <a:graphic xmlns:a="http://schemas.openxmlformats.org/drawingml/2006/main">
              <a:graphicData uri="http://schemas.openxmlformats.org/drawingml/2006/picture">
                <pic:pic xmlns:pic="http://schemas.openxmlformats.org/drawingml/2006/picture">
                  <pic:nvPicPr>
                    <pic:cNvPr id="55" name="图片 2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039995" cy="3239770"/>
                    </a:xfrm>
                    <a:prstGeom prst="rect">
                      <a:avLst/>
                    </a:prstGeom>
                    <a:noFill/>
                  </pic:spPr>
                </pic:pic>
              </a:graphicData>
            </a:graphic>
          </wp:anchor>
        </w:drawing>
      </w:r>
      <w:r>
        <w:rPr>
          <w:rFonts w:ascii="Times New Roman" w:hAnsi="Times New Roman" w:eastAsia="仿宋"/>
          <w:color w:val="000000"/>
          <w:sz w:val="24"/>
          <w:szCs w:val="24"/>
        </w:rPr>
        <w:t>图1-3：添加公告类别示例1</w:t>
      </w:r>
    </w:p>
    <w:p>
      <w:pPr>
        <w:snapToGrid w:val="0"/>
        <w:spacing w:line="560" w:lineRule="exact"/>
        <w:ind w:firstLine="420"/>
        <w:contextualSpacing/>
        <w:rPr>
          <w:rFonts w:ascii="仿宋" w:hAnsi="仿宋" w:eastAsia="仿宋"/>
          <w:color w:val="000000"/>
          <w:sz w:val="32"/>
          <w:szCs w:val="28"/>
        </w:rPr>
      </w:pPr>
      <w:r>
        <w:rPr>
          <w:rFonts w:ascii="仿宋" w:hAnsi="仿宋" w:eastAsia="仿宋"/>
          <w:color w:val="000000"/>
          <w:sz w:val="32"/>
          <w:szCs w:val="28"/>
        </w:rPr>
        <w:t>上市公司有两种方式查询所需的公告类别：</w:t>
      </w:r>
    </w:p>
    <w:p>
      <w:pPr>
        <w:snapToGrid w:val="0"/>
        <w:spacing w:line="560" w:lineRule="exact"/>
        <w:ind w:firstLine="640" w:firstLineChars="200"/>
        <w:contextualSpacing/>
        <w:rPr>
          <w:rFonts w:ascii="仿宋" w:hAnsi="仿宋" w:eastAsia="仿宋"/>
          <w:color w:val="000000"/>
          <w:sz w:val="32"/>
          <w:szCs w:val="28"/>
        </w:rPr>
      </w:pPr>
      <w:r>
        <w:rPr>
          <w:rFonts w:hint="eastAsia" w:ascii="仿宋" w:hAnsi="仿宋" w:eastAsia="仿宋" w:cs="宋体"/>
          <w:color w:val="000000"/>
          <w:sz w:val="32"/>
          <w:szCs w:val="28"/>
        </w:rPr>
        <w:t>①</w:t>
      </w:r>
      <w:r>
        <w:rPr>
          <w:rFonts w:ascii="仿宋" w:hAnsi="仿宋" w:eastAsia="仿宋"/>
          <w:color w:val="000000"/>
          <w:sz w:val="32"/>
          <w:szCs w:val="28"/>
        </w:rPr>
        <w:t>按照</w:t>
      </w:r>
      <w:r>
        <w:rPr>
          <w:rFonts w:hint="eastAsia" w:ascii="仿宋" w:hAnsi="仿宋" w:eastAsia="仿宋"/>
          <w:color w:val="000000"/>
          <w:sz w:val="32"/>
          <w:szCs w:val="28"/>
        </w:rPr>
        <w:t>“</w:t>
      </w:r>
      <w:r>
        <w:rPr>
          <w:rFonts w:ascii="仿宋" w:hAnsi="仿宋" w:eastAsia="仿宋"/>
          <w:color w:val="000000"/>
          <w:sz w:val="32"/>
          <w:szCs w:val="28"/>
        </w:rPr>
        <w:t>公告类别</w:t>
      </w:r>
      <w:r>
        <w:rPr>
          <w:rFonts w:hint="eastAsia" w:ascii="仿宋" w:hAnsi="仿宋" w:eastAsia="仿宋"/>
          <w:color w:val="000000"/>
          <w:sz w:val="32"/>
          <w:szCs w:val="28"/>
        </w:rPr>
        <w:t>”</w:t>
      </w:r>
      <w:r>
        <w:rPr>
          <w:rFonts w:ascii="仿宋" w:hAnsi="仿宋" w:eastAsia="仿宋"/>
          <w:color w:val="000000"/>
          <w:sz w:val="32"/>
          <w:szCs w:val="28"/>
        </w:rPr>
        <w:t>树状结构体系（依据创业板公司管理部内部的业务类别编号排序，该体系将随着业务的发展而不断更新）查询、选择；</w:t>
      </w:r>
    </w:p>
    <w:p>
      <w:pPr>
        <w:snapToGrid w:val="0"/>
        <w:spacing w:line="560" w:lineRule="exact"/>
        <w:ind w:firstLine="640" w:firstLineChars="200"/>
        <w:contextualSpacing/>
        <w:rPr>
          <w:rFonts w:ascii="仿宋" w:hAnsi="仿宋" w:eastAsia="仿宋"/>
          <w:color w:val="000000"/>
          <w:sz w:val="32"/>
          <w:szCs w:val="28"/>
        </w:rPr>
      </w:pPr>
      <w:r>
        <w:rPr>
          <w:rFonts w:hint="eastAsia" w:ascii="仿宋" w:hAnsi="仿宋" w:eastAsia="仿宋" w:cs="宋体"/>
          <w:color w:val="000000"/>
          <w:sz w:val="32"/>
          <w:szCs w:val="28"/>
        </w:rPr>
        <w:t>②</w:t>
      </w:r>
      <w:r>
        <w:rPr>
          <w:rFonts w:ascii="仿宋" w:hAnsi="仿宋" w:eastAsia="仿宋"/>
          <w:color w:val="000000"/>
          <w:sz w:val="32"/>
          <w:szCs w:val="28"/>
        </w:rPr>
        <w:t>使用搜索功能，输入需要查询的公告类别的名称中的关键字，例如输入</w:t>
      </w:r>
      <w:r>
        <w:rPr>
          <w:rFonts w:hint="eastAsia" w:ascii="仿宋" w:hAnsi="仿宋" w:eastAsia="仿宋"/>
          <w:color w:val="000000"/>
          <w:sz w:val="32"/>
          <w:szCs w:val="28"/>
        </w:rPr>
        <w:t>“</w:t>
      </w:r>
      <w:r>
        <w:rPr>
          <w:rFonts w:ascii="仿宋" w:hAnsi="仿宋" w:eastAsia="仿宋"/>
          <w:color w:val="000000"/>
          <w:sz w:val="32"/>
          <w:szCs w:val="28"/>
        </w:rPr>
        <w:t>股东大会</w:t>
      </w:r>
      <w:r>
        <w:rPr>
          <w:rFonts w:hint="eastAsia" w:ascii="仿宋" w:hAnsi="仿宋" w:eastAsia="仿宋"/>
          <w:color w:val="000000"/>
          <w:sz w:val="32"/>
          <w:szCs w:val="28"/>
        </w:rPr>
        <w:t>”</w:t>
      </w:r>
      <w:r>
        <w:rPr>
          <w:rFonts w:ascii="仿宋" w:hAnsi="仿宋" w:eastAsia="仿宋"/>
          <w:color w:val="000000"/>
          <w:sz w:val="32"/>
          <w:szCs w:val="28"/>
        </w:rPr>
        <w:t>，再点击右侧的</w:t>
      </w:r>
      <w:r>
        <w:rPr>
          <w:rFonts w:hint="eastAsia" w:ascii="仿宋" w:hAnsi="仿宋" w:eastAsia="仿宋"/>
          <w:color w:val="000000"/>
          <w:sz w:val="32"/>
          <w:szCs w:val="28"/>
        </w:rPr>
        <w:t>“</w:t>
      </w:r>
      <w:r>
        <w:rPr>
          <w:rFonts w:ascii="仿宋" w:hAnsi="仿宋" w:eastAsia="仿宋"/>
          <w:color w:val="000000"/>
          <w:sz w:val="32"/>
          <w:szCs w:val="28"/>
        </w:rPr>
        <w:t>搜索</w:t>
      </w:r>
      <w:r>
        <w:rPr>
          <w:rFonts w:hint="eastAsia" w:ascii="仿宋" w:hAnsi="仿宋" w:eastAsia="仿宋"/>
          <w:color w:val="000000"/>
          <w:sz w:val="32"/>
          <w:szCs w:val="28"/>
        </w:rPr>
        <w:t>”</w:t>
      </w:r>
      <w:r>
        <w:rPr>
          <w:rFonts w:ascii="仿宋" w:hAnsi="仿宋" w:eastAsia="仿宋"/>
          <w:color w:val="000000"/>
          <w:sz w:val="32"/>
          <w:szCs w:val="28"/>
        </w:rPr>
        <w:t>按钮，页面将会展示公告类别树状体系中所有名称中含有</w:t>
      </w:r>
      <w:r>
        <w:rPr>
          <w:rFonts w:hint="eastAsia" w:ascii="仿宋" w:hAnsi="仿宋" w:eastAsia="仿宋"/>
          <w:color w:val="000000"/>
          <w:sz w:val="32"/>
          <w:szCs w:val="28"/>
        </w:rPr>
        <w:t>“</w:t>
      </w:r>
      <w:r>
        <w:rPr>
          <w:rFonts w:ascii="仿宋" w:hAnsi="仿宋" w:eastAsia="仿宋"/>
          <w:color w:val="000000"/>
          <w:sz w:val="32"/>
          <w:szCs w:val="28"/>
        </w:rPr>
        <w:t>股东大会</w:t>
      </w:r>
      <w:r>
        <w:rPr>
          <w:rFonts w:hint="eastAsia" w:ascii="仿宋" w:hAnsi="仿宋" w:eastAsia="仿宋"/>
          <w:color w:val="000000"/>
          <w:sz w:val="32"/>
          <w:szCs w:val="28"/>
        </w:rPr>
        <w:t>”</w:t>
      </w:r>
      <w:r>
        <w:rPr>
          <w:rFonts w:ascii="仿宋" w:hAnsi="仿宋" w:eastAsia="仿宋"/>
          <w:color w:val="000000"/>
          <w:sz w:val="32"/>
          <w:szCs w:val="28"/>
        </w:rPr>
        <w:t>字样的公告类别，便于上市公司在较少的类别中选取所需的公告类别。如图1-4所示：</w:t>
      </w:r>
    </w:p>
    <w:p>
      <w:pPr>
        <w:snapToGrid w:val="0"/>
        <w:spacing w:line="560" w:lineRule="exact"/>
        <w:ind w:firstLine="640" w:firstLineChars="200"/>
        <w:contextualSpacing/>
        <w:rPr>
          <w:rFonts w:ascii="仿宋" w:hAnsi="仿宋" w:eastAsia="仿宋"/>
          <w:color w:val="000000"/>
          <w:sz w:val="28"/>
          <w:szCs w:val="28"/>
        </w:rPr>
      </w:pPr>
      <w:r>
        <w:rPr>
          <w:rFonts w:ascii="仿宋" w:hAnsi="仿宋" w:eastAsia="仿宋"/>
          <w:color w:val="000000"/>
          <w:sz w:val="32"/>
          <w:szCs w:val="28"/>
        </w:rPr>
        <w:t>注意：上市公司办理业务时，只能选取公告小类，即名称前的数字编号为6位的公告类别。</w:t>
      </w:r>
    </w:p>
    <w:p>
      <w:pPr>
        <w:spacing w:line="560" w:lineRule="exact"/>
        <w:jc w:val="center"/>
        <w:rPr>
          <w:rFonts w:ascii="Times New Roman" w:hAnsi="Times New Roman" w:eastAsia="方正仿宋简体"/>
          <w:color w:val="000000"/>
          <w:sz w:val="28"/>
          <w:szCs w:val="28"/>
        </w:rPr>
      </w:pPr>
      <w:r>
        <w:drawing>
          <wp:anchor distT="0" distB="0" distL="114300" distR="114300" simplePos="0" relativeHeight="251661312" behindDoc="0" locked="0" layoutInCell="1" allowOverlap="1">
            <wp:simplePos x="0" y="0"/>
            <wp:positionH relativeFrom="column">
              <wp:posOffset>278130</wp:posOffset>
            </wp:positionH>
            <wp:positionV relativeFrom="paragraph">
              <wp:posOffset>209550</wp:posOffset>
            </wp:positionV>
            <wp:extent cx="5039995" cy="3239770"/>
            <wp:effectExtent l="0" t="0" r="8255" b="0"/>
            <wp:wrapTopAndBottom/>
            <wp:docPr id="54" name="图片 14"/>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39995" cy="3239770"/>
                    </a:xfrm>
                    <a:prstGeom prst="rect">
                      <a:avLst/>
                    </a:prstGeom>
                    <a:noFill/>
                  </pic:spPr>
                </pic:pic>
              </a:graphicData>
            </a:graphic>
          </wp:anchor>
        </w:drawing>
      </w:r>
      <w:r>
        <w:rPr>
          <w:rFonts w:ascii="Times New Roman" w:hAnsi="Times New Roman" w:eastAsia="方正仿宋简体"/>
          <w:color w:val="000000"/>
          <w:sz w:val="24"/>
          <w:szCs w:val="24"/>
        </w:rPr>
        <w:t>图1-4：添加公告类别示例2</w:t>
      </w:r>
    </w:p>
    <w:p>
      <w:pPr>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找到所需的公告类别后，可通过以下三种方式添加到该页面右侧的</w:t>
      </w:r>
      <w:r>
        <w:rPr>
          <w:rFonts w:hint="eastAsia" w:ascii="仿宋" w:hAnsi="仿宋" w:eastAsia="仿宋"/>
          <w:color w:val="000000"/>
          <w:sz w:val="32"/>
          <w:szCs w:val="28"/>
        </w:rPr>
        <w:t>“</w:t>
      </w:r>
      <w:r>
        <w:rPr>
          <w:rFonts w:ascii="仿宋" w:hAnsi="仿宋" w:eastAsia="仿宋"/>
          <w:color w:val="000000"/>
          <w:sz w:val="32"/>
          <w:szCs w:val="28"/>
        </w:rPr>
        <w:t>已选公告类别</w:t>
      </w:r>
      <w:r>
        <w:rPr>
          <w:rFonts w:hint="eastAsia" w:ascii="仿宋" w:hAnsi="仿宋" w:eastAsia="仿宋"/>
          <w:color w:val="000000"/>
          <w:sz w:val="32"/>
          <w:szCs w:val="28"/>
        </w:rPr>
        <w:t>”</w:t>
      </w:r>
      <w:r>
        <w:rPr>
          <w:rFonts w:ascii="仿宋" w:hAnsi="仿宋" w:eastAsia="仿宋"/>
          <w:color w:val="000000"/>
          <w:sz w:val="32"/>
          <w:szCs w:val="28"/>
        </w:rPr>
        <w:t>列表中：</w:t>
      </w:r>
    </w:p>
    <w:p>
      <w:pPr>
        <w:pStyle w:val="160"/>
        <w:numPr>
          <w:ilvl w:val="0"/>
          <w:numId w:val="1"/>
        </w:numPr>
        <w:spacing w:line="560" w:lineRule="exact"/>
        <w:ind w:firstLineChars="0"/>
        <w:rPr>
          <w:rFonts w:ascii="仿宋" w:hAnsi="仿宋" w:eastAsia="仿宋"/>
          <w:color w:val="000000"/>
          <w:sz w:val="32"/>
          <w:szCs w:val="28"/>
        </w:rPr>
      </w:pPr>
      <w:r>
        <w:rPr>
          <w:rFonts w:ascii="仿宋" w:hAnsi="仿宋" w:eastAsia="仿宋"/>
          <w:color w:val="000000"/>
          <w:sz w:val="32"/>
          <w:szCs w:val="28"/>
        </w:rPr>
        <w:t>双击该公告类别；</w:t>
      </w:r>
    </w:p>
    <w:p>
      <w:pPr>
        <w:pStyle w:val="160"/>
        <w:numPr>
          <w:ilvl w:val="0"/>
          <w:numId w:val="1"/>
        </w:numPr>
        <w:spacing w:line="560" w:lineRule="exact"/>
        <w:ind w:firstLineChars="0"/>
        <w:rPr>
          <w:rFonts w:ascii="仿宋" w:hAnsi="仿宋" w:eastAsia="仿宋"/>
          <w:color w:val="000000"/>
          <w:sz w:val="32"/>
          <w:szCs w:val="28"/>
        </w:rPr>
      </w:pPr>
      <w:r>
        <w:rPr>
          <w:rFonts w:ascii="仿宋" w:hAnsi="仿宋" w:eastAsia="仿宋"/>
          <w:color w:val="000000"/>
          <w:sz w:val="32"/>
          <w:szCs w:val="28"/>
        </w:rPr>
        <w:t>选中所需公告类别然后点击中间的</w:t>
      </w:r>
      <w:r>
        <w:rPr>
          <w:rFonts w:hint="eastAsia" w:ascii="仿宋" w:hAnsi="仿宋" w:eastAsia="仿宋"/>
          <w:color w:val="000000"/>
          <w:sz w:val="32"/>
          <w:szCs w:val="28"/>
        </w:rPr>
        <w:t>“</w:t>
      </w:r>
      <w:r>
        <w:rPr>
          <w:rFonts w:ascii="仿宋" w:hAnsi="仿宋" w:eastAsia="仿宋"/>
          <w:color w:val="000000"/>
          <w:sz w:val="32"/>
          <w:szCs w:val="28"/>
        </w:rPr>
        <w:drawing>
          <wp:inline distT="0" distB="0" distL="0" distR="0">
            <wp:extent cx="379730" cy="213995"/>
            <wp:effectExtent l="0" t="0" r="1270" b="0"/>
            <wp:docPr id="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79730" cy="213995"/>
                    </a:xfrm>
                    <a:prstGeom prst="rect">
                      <a:avLst/>
                    </a:prstGeom>
                    <a:noFill/>
                    <a:ln>
                      <a:noFill/>
                    </a:ln>
                  </pic:spPr>
                </pic:pic>
              </a:graphicData>
            </a:graphic>
          </wp:inline>
        </w:drawing>
      </w:r>
      <w:r>
        <w:rPr>
          <w:rFonts w:hint="eastAsia" w:ascii="仿宋" w:hAnsi="仿宋" w:eastAsia="仿宋"/>
          <w:color w:val="000000"/>
          <w:sz w:val="32"/>
          <w:szCs w:val="28"/>
        </w:rPr>
        <w:t>”</w:t>
      </w:r>
      <w:r>
        <w:rPr>
          <w:rFonts w:ascii="仿宋" w:hAnsi="仿宋" w:eastAsia="仿宋"/>
          <w:color w:val="000000"/>
          <w:sz w:val="32"/>
          <w:szCs w:val="28"/>
        </w:rPr>
        <w:t>；</w:t>
      </w:r>
    </w:p>
    <w:p>
      <w:pPr>
        <w:pStyle w:val="160"/>
        <w:numPr>
          <w:ilvl w:val="0"/>
          <w:numId w:val="1"/>
        </w:numPr>
        <w:spacing w:line="560" w:lineRule="exact"/>
        <w:ind w:firstLineChars="0"/>
        <w:rPr>
          <w:rFonts w:ascii="仿宋" w:hAnsi="仿宋" w:eastAsia="仿宋"/>
          <w:color w:val="000000"/>
          <w:sz w:val="32"/>
          <w:szCs w:val="28"/>
        </w:rPr>
      </w:pPr>
      <w:r>
        <w:drawing>
          <wp:anchor distT="0" distB="0" distL="114300" distR="114300" simplePos="0" relativeHeight="251696128" behindDoc="0" locked="0" layoutInCell="1" allowOverlap="0">
            <wp:simplePos x="0" y="0"/>
            <wp:positionH relativeFrom="column">
              <wp:posOffset>331470</wp:posOffset>
            </wp:positionH>
            <wp:positionV relativeFrom="paragraph">
              <wp:posOffset>829945</wp:posOffset>
            </wp:positionV>
            <wp:extent cx="4640580" cy="2248535"/>
            <wp:effectExtent l="0" t="0" r="7620" b="0"/>
            <wp:wrapSquare wrapText="bothSides"/>
            <wp:docPr id="53" name="图片 4"/>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640580" cy="2248535"/>
                    </a:xfrm>
                    <a:prstGeom prst="rect">
                      <a:avLst/>
                    </a:prstGeom>
                    <a:noFill/>
                  </pic:spPr>
                </pic:pic>
              </a:graphicData>
            </a:graphic>
          </wp:anchor>
        </w:drawing>
      </w:r>
      <w:r>
        <w:rPr>
          <w:rFonts w:ascii="仿宋" w:hAnsi="仿宋" w:eastAsia="仿宋"/>
          <w:color w:val="000000"/>
          <w:sz w:val="32"/>
          <w:szCs w:val="28"/>
        </w:rPr>
        <w:t>用鼠标拖拽至右侧的</w:t>
      </w:r>
      <w:r>
        <w:rPr>
          <w:rFonts w:hint="eastAsia" w:ascii="仿宋" w:hAnsi="仿宋" w:eastAsia="仿宋"/>
          <w:color w:val="000000"/>
          <w:sz w:val="32"/>
          <w:szCs w:val="28"/>
        </w:rPr>
        <w:t>“</w:t>
      </w:r>
      <w:r>
        <w:rPr>
          <w:rFonts w:ascii="仿宋" w:hAnsi="仿宋" w:eastAsia="仿宋"/>
          <w:color w:val="000000"/>
          <w:sz w:val="32"/>
          <w:szCs w:val="28"/>
        </w:rPr>
        <w:t>已选公告类别</w:t>
      </w:r>
      <w:r>
        <w:rPr>
          <w:rFonts w:hint="eastAsia" w:ascii="仿宋" w:hAnsi="仿宋" w:eastAsia="仿宋"/>
          <w:color w:val="000000"/>
          <w:sz w:val="32"/>
          <w:szCs w:val="28"/>
        </w:rPr>
        <w:t>”</w:t>
      </w:r>
      <w:r>
        <w:rPr>
          <w:rFonts w:ascii="仿宋" w:hAnsi="仿宋" w:eastAsia="仿宋"/>
          <w:color w:val="000000"/>
          <w:sz w:val="32"/>
          <w:szCs w:val="28"/>
        </w:rPr>
        <w:t>列表中。</w:t>
      </w:r>
      <w:r>
        <w:rPr>
          <w:rFonts w:hint="eastAsia" w:ascii="仿宋" w:hAnsi="仿宋" w:eastAsia="仿宋"/>
          <w:color w:val="000000"/>
          <w:sz w:val="32"/>
          <w:szCs w:val="28"/>
        </w:rPr>
        <w:t>如图1-5</w:t>
      </w:r>
      <w:r>
        <w:rPr>
          <w:rFonts w:ascii="仿宋" w:hAnsi="仿宋" w:eastAsia="仿宋"/>
          <w:color w:val="000000"/>
          <w:sz w:val="32"/>
          <w:szCs w:val="28"/>
        </w:rPr>
        <w:t>所示：</w:t>
      </w:r>
    </w:p>
    <w:p>
      <w:pPr>
        <w:spacing w:line="560" w:lineRule="exact"/>
        <w:jc w:val="center"/>
        <w:rPr>
          <w:rFonts w:ascii="Times New Roman" w:hAnsi="Times New Roman" w:eastAsia="方正仿宋简体"/>
          <w:color w:val="000000"/>
          <w:sz w:val="24"/>
          <w:szCs w:val="24"/>
        </w:rPr>
      </w:pPr>
      <w:r>
        <w:rPr>
          <w:rFonts w:ascii="Times New Roman" w:hAnsi="Times New Roman" w:eastAsia="方正仿宋简体"/>
          <w:color w:val="000000"/>
          <w:sz w:val="24"/>
          <w:szCs w:val="24"/>
        </w:rPr>
        <w:t>图1-5：添加公告类别示例3</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如果本所为这些公告类别提供了相应的备查规则，所有对应的规则将会显示在</w:t>
      </w:r>
      <w:r>
        <w:rPr>
          <w:rFonts w:hint="eastAsia" w:ascii="仿宋" w:hAnsi="仿宋" w:eastAsia="仿宋"/>
          <w:color w:val="000000"/>
          <w:sz w:val="32"/>
          <w:szCs w:val="28"/>
        </w:rPr>
        <w:t>“</w:t>
      </w:r>
      <w:r>
        <w:rPr>
          <w:rFonts w:ascii="仿宋" w:hAnsi="仿宋" w:eastAsia="仿宋"/>
          <w:color w:val="000000"/>
          <w:sz w:val="32"/>
          <w:szCs w:val="28"/>
        </w:rPr>
        <w:t>已选公告类别</w:t>
      </w:r>
      <w:r>
        <w:rPr>
          <w:rFonts w:hint="eastAsia" w:ascii="仿宋" w:hAnsi="仿宋" w:eastAsia="仿宋"/>
          <w:color w:val="000000"/>
          <w:sz w:val="32"/>
          <w:szCs w:val="28"/>
        </w:rPr>
        <w:t>”</w:t>
      </w:r>
      <w:r>
        <w:rPr>
          <w:rFonts w:ascii="仿宋" w:hAnsi="仿宋" w:eastAsia="仿宋"/>
          <w:color w:val="000000"/>
          <w:sz w:val="32"/>
          <w:szCs w:val="28"/>
        </w:rPr>
        <w:t>下</w:t>
      </w:r>
      <w:r>
        <w:rPr>
          <w:rFonts w:hint="eastAsia" w:ascii="仿宋" w:hAnsi="仿宋" w:eastAsia="仿宋"/>
          <w:color w:val="000000"/>
          <w:sz w:val="32"/>
          <w:szCs w:val="28"/>
        </w:rPr>
        <w:t>方</w:t>
      </w:r>
      <w:r>
        <w:rPr>
          <w:rFonts w:ascii="仿宋" w:hAnsi="仿宋" w:eastAsia="仿宋"/>
          <w:color w:val="000000"/>
          <w:sz w:val="32"/>
          <w:szCs w:val="28"/>
        </w:rPr>
        <w:t>的</w:t>
      </w:r>
      <w:r>
        <w:rPr>
          <w:rFonts w:hint="eastAsia" w:ascii="仿宋" w:hAnsi="仿宋" w:eastAsia="仿宋"/>
          <w:color w:val="000000"/>
          <w:sz w:val="32"/>
          <w:szCs w:val="28"/>
        </w:rPr>
        <w:t>“</w:t>
      </w:r>
      <w:r>
        <w:rPr>
          <w:rFonts w:ascii="仿宋" w:hAnsi="仿宋" w:eastAsia="仿宋"/>
          <w:color w:val="000000"/>
          <w:sz w:val="32"/>
          <w:szCs w:val="28"/>
        </w:rPr>
        <w:t>规则备查列表</w:t>
      </w:r>
      <w:r>
        <w:rPr>
          <w:rFonts w:hint="eastAsia" w:ascii="仿宋" w:hAnsi="仿宋" w:eastAsia="仿宋"/>
          <w:color w:val="000000"/>
          <w:sz w:val="32"/>
          <w:szCs w:val="28"/>
        </w:rPr>
        <w:t>”</w:t>
      </w:r>
      <w:r>
        <w:rPr>
          <w:rFonts w:ascii="仿宋" w:hAnsi="仿宋" w:eastAsia="仿宋"/>
          <w:color w:val="000000"/>
          <w:sz w:val="32"/>
          <w:szCs w:val="28"/>
        </w:rPr>
        <w:t>中（以发布时间倒序排列）。</w:t>
      </w:r>
    </w:p>
    <w:p>
      <w:pPr>
        <w:snapToGrid w:val="0"/>
        <w:spacing w:line="560" w:lineRule="exact"/>
        <w:ind w:firstLine="640" w:firstLineChars="200"/>
        <w:contextualSpacing/>
        <w:rPr>
          <w:rFonts w:ascii="仿宋" w:hAnsi="仿宋" w:eastAsia="仿宋"/>
          <w:color w:val="000000"/>
          <w:sz w:val="28"/>
          <w:szCs w:val="28"/>
        </w:rPr>
      </w:pPr>
      <w:r>
        <w:rPr>
          <w:rFonts w:ascii="仿宋" w:hAnsi="仿宋" w:eastAsia="仿宋"/>
          <w:color w:val="000000"/>
          <w:sz w:val="32"/>
          <w:szCs w:val="28"/>
        </w:rPr>
        <w:t>当上市公司添加了所有所需的</w:t>
      </w:r>
      <w:r>
        <w:rPr>
          <w:rFonts w:hint="eastAsia" w:ascii="仿宋" w:hAnsi="仿宋" w:eastAsia="仿宋"/>
          <w:color w:val="000000"/>
          <w:sz w:val="32"/>
          <w:szCs w:val="28"/>
        </w:rPr>
        <w:t>“</w:t>
      </w:r>
      <w:r>
        <w:rPr>
          <w:rFonts w:ascii="仿宋" w:hAnsi="仿宋" w:eastAsia="仿宋"/>
          <w:color w:val="000000"/>
          <w:sz w:val="32"/>
          <w:szCs w:val="28"/>
        </w:rPr>
        <w:t>公告类别</w:t>
      </w:r>
      <w:r>
        <w:rPr>
          <w:rFonts w:hint="eastAsia" w:ascii="仿宋" w:hAnsi="仿宋" w:eastAsia="仿宋"/>
          <w:color w:val="000000"/>
          <w:sz w:val="32"/>
          <w:szCs w:val="28"/>
        </w:rPr>
        <w:t>”</w:t>
      </w:r>
      <w:r>
        <w:rPr>
          <w:rFonts w:ascii="仿宋" w:hAnsi="仿宋" w:eastAsia="仿宋"/>
          <w:color w:val="000000"/>
          <w:sz w:val="32"/>
          <w:szCs w:val="28"/>
        </w:rPr>
        <w:t>后，点击</w:t>
      </w:r>
      <w:r>
        <w:rPr>
          <w:rFonts w:hint="eastAsia" w:ascii="仿宋" w:hAnsi="仿宋" w:eastAsia="仿宋"/>
          <w:color w:val="000000"/>
          <w:sz w:val="32"/>
          <w:szCs w:val="28"/>
        </w:rPr>
        <w:t>“</w:t>
      </w:r>
      <w:r>
        <w:rPr>
          <w:rFonts w:ascii="仿宋" w:hAnsi="仿宋" w:eastAsia="仿宋"/>
          <w:color w:val="000000"/>
          <w:sz w:val="32"/>
          <w:szCs w:val="28"/>
        </w:rPr>
        <w:t>确认</w:t>
      </w:r>
      <w:r>
        <w:rPr>
          <w:rFonts w:hint="eastAsia" w:ascii="仿宋" w:hAnsi="仿宋" w:eastAsia="仿宋"/>
          <w:color w:val="000000"/>
          <w:sz w:val="32"/>
          <w:szCs w:val="28"/>
        </w:rPr>
        <w:t>”</w:t>
      </w:r>
      <w:r>
        <w:rPr>
          <w:rFonts w:ascii="仿宋" w:hAnsi="仿宋" w:eastAsia="仿宋"/>
          <w:color w:val="000000"/>
          <w:sz w:val="32"/>
          <w:szCs w:val="28"/>
        </w:rPr>
        <w:t>按钮，将返回</w:t>
      </w:r>
      <w:r>
        <w:rPr>
          <w:rFonts w:hint="eastAsia" w:ascii="仿宋" w:hAnsi="仿宋" w:eastAsia="仿宋"/>
          <w:color w:val="000000"/>
          <w:sz w:val="32"/>
          <w:szCs w:val="28"/>
        </w:rPr>
        <w:t>“</w:t>
      </w:r>
      <w:r>
        <w:rPr>
          <w:rFonts w:ascii="仿宋" w:hAnsi="仿宋" w:eastAsia="仿宋"/>
          <w:color w:val="000000"/>
          <w:sz w:val="32"/>
          <w:szCs w:val="28"/>
        </w:rPr>
        <w:t>信息披露申请</w:t>
      </w:r>
      <w:r>
        <w:rPr>
          <w:rFonts w:hint="eastAsia" w:ascii="仿宋" w:hAnsi="仿宋" w:eastAsia="仿宋"/>
          <w:color w:val="000000"/>
          <w:sz w:val="32"/>
          <w:szCs w:val="28"/>
        </w:rPr>
        <w:t>”</w:t>
      </w:r>
      <w:r>
        <w:rPr>
          <w:rFonts w:ascii="仿宋" w:hAnsi="仿宋" w:eastAsia="仿宋"/>
          <w:color w:val="000000"/>
          <w:sz w:val="32"/>
          <w:szCs w:val="28"/>
        </w:rPr>
        <w:t>页面，如图1-6所示：</w:t>
      </w:r>
    </w:p>
    <w:p>
      <w:pPr>
        <w:snapToGrid w:val="0"/>
        <w:spacing w:line="560" w:lineRule="exact"/>
        <w:ind w:firstLine="420" w:firstLineChars="200"/>
        <w:contextualSpacing/>
        <w:rPr>
          <w:rFonts w:ascii="Times New Roman" w:hAnsi="Times New Roman" w:eastAsia="仿宋"/>
          <w:color w:val="000000"/>
          <w:sz w:val="28"/>
          <w:szCs w:val="28"/>
        </w:rPr>
      </w:pPr>
      <w:r>
        <w:drawing>
          <wp:anchor distT="0" distB="0" distL="114300" distR="114300" simplePos="0" relativeHeight="251676672" behindDoc="0" locked="0" layoutInCell="1" allowOverlap="1">
            <wp:simplePos x="0" y="0"/>
            <wp:positionH relativeFrom="column">
              <wp:posOffset>-143510</wp:posOffset>
            </wp:positionH>
            <wp:positionV relativeFrom="paragraph">
              <wp:posOffset>4445</wp:posOffset>
            </wp:positionV>
            <wp:extent cx="5274310" cy="3547745"/>
            <wp:effectExtent l="0" t="0" r="2540" b="0"/>
            <wp:wrapNone/>
            <wp:docPr id="5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3547745"/>
                    </a:xfrm>
                    <a:prstGeom prst="rect">
                      <a:avLst/>
                    </a:prstGeom>
                    <a:noFill/>
                  </pic:spPr>
                </pic:pic>
              </a:graphicData>
            </a:graphic>
          </wp:anchor>
        </w:drawing>
      </w:r>
    </w:p>
    <w:p>
      <w:pPr>
        <w:snapToGrid w:val="0"/>
        <w:spacing w:line="560" w:lineRule="exact"/>
        <w:ind w:firstLine="560" w:firstLineChars="200"/>
        <w:contextualSpacing/>
        <w:rPr>
          <w:rFonts w:ascii="Times New Roman" w:hAnsi="Times New Roman" w:eastAsia="仿宋"/>
          <w:color w:val="000000"/>
          <w:sz w:val="28"/>
          <w:szCs w:val="28"/>
        </w:rPr>
      </w:pPr>
    </w:p>
    <w:p>
      <w:pPr>
        <w:snapToGrid w:val="0"/>
        <w:spacing w:line="560" w:lineRule="exact"/>
        <w:ind w:firstLine="560" w:firstLineChars="200"/>
        <w:contextualSpacing/>
        <w:rPr>
          <w:rFonts w:ascii="Times New Roman" w:hAnsi="Times New Roman" w:eastAsia="仿宋"/>
          <w:color w:val="000000"/>
          <w:sz w:val="28"/>
          <w:szCs w:val="28"/>
        </w:rPr>
      </w:pPr>
    </w:p>
    <w:p>
      <w:pPr>
        <w:snapToGrid w:val="0"/>
        <w:spacing w:line="560" w:lineRule="exact"/>
        <w:ind w:firstLine="560" w:firstLineChars="200"/>
        <w:contextualSpacing/>
        <w:rPr>
          <w:rFonts w:ascii="Times New Roman" w:hAnsi="Times New Roman" w:eastAsia="仿宋"/>
          <w:color w:val="000000"/>
          <w:sz w:val="28"/>
          <w:szCs w:val="28"/>
        </w:rPr>
      </w:pPr>
    </w:p>
    <w:p>
      <w:pPr>
        <w:snapToGrid w:val="0"/>
        <w:spacing w:line="560" w:lineRule="exact"/>
        <w:ind w:firstLine="560" w:firstLineChars="200"/>
        <w:contextualSpacing/>
        <w:rPr>
          <w:rFonts w:ascii="Times New Roman" w:hAnsi="Times New Roman" w:eastAsia="仿宋"/>
          <w:color w:val="000000"/>
          <w:sz w:val="28"/>
          <w:szCs w:val="28"/>
        </w:rPr>
      </w:pPr>
    </w:p>
    <w:p>
      <w:pPr>
        <w:snapToGrid w:val="0"/>
        <w:spacing w:line="560" w:lineRule="exact"/>
        <w:ind w:firstLine="560" w:firstLineChars="200"/>
        <w:contextualSpacing/>
        <w:rPr>
          <w:rFonts w:ascii="Times New Roman" w:hAnsi="Times New Roman" w:eastAsia="仿宋"/>
          <w:color w:val="000000"/>
          <w:sz w:val="28"/>
          <w:szCs w:val="28"/>
        </w:rPr>
      </w:pPr>
    </w:p>
    <w:p>
      <w:pPr>
        <w:snapToGrid w:val="0"/>
        <w:spacing w:line="560" w:lineRule="exact"/>
        <w:ind w:firstLine="560" w:firstLineChars="200"/>
        <w:contextualSpacing/>
        <w:rPr>
          <w:rFonts w:ascii="Times New Roman" w:hAnsi="Times New Roman" w:eastAsia="仿宋"/>
          <w:color w:val="000000"/>
          <w:sz w:val="28"/>
          <w:szCs w:val="28"/>
        </w:rPr>
      </w:pPr>
    </w:p>
    <w:p>
      <w:pPr>
        <w:snapToGrid w:val="0"/>
        <w:spacing w:line="560" w:lineRule="exact"/>
        <w:ind w:firstLine="560" w:firstLineChars="200"/>
        <w:contextualSpacing/>
        <w:rPr>
          <w:rFonts w:ascii="Times New Roman" w:hAnsi="Times New Roman" w:eastAsia="仿宋"/>
          <w:color w:val="000000"/>
          <w:sz w:val="28"/>
          <w:szCs w:val="28"/>
        </w:rPr>
      </w:pPr>
    </w:p>
    <w:p>
      <w:pPr>
        <w:snapToGrid w:val="0"/>
        <w:spacing w:line="560" w:lineRule="exact"/>
        <w:ind w:firstLine="560" w:firstLineChars="200"/>
        <w:contextualSpacing/>
        <w:rPr>
          <w:rFonts w:ascii="Times New Roman" w:hAnsi="Times New Roman" w:eastAsia="仿宋"/>
          <w:color w:val="000000"/>
          <w:sz w:val="28"/>
          <w:szCs w:val="28"/>
        </w:rPr>
      </w:pPr>
    </w:p>
    <w:p>
      <w:pPr>
        <w:snapToGrid w:val="0"/>
        <w:spacing w:line="560" w:lineRule="exact"/>
        <w:ind w:firstLine="560" w:firstLineChars="200"/>
        <w:contextualSpacing/>
        <w:rPr>
          <w:rFonts w:ascii="Times New Roman" w:hAnsi="Times New Roman" w:eastAsia="仿宋"/>
          <w:color w:val="000000"/>
          <w:sz w:val="28"/>
          <w:szCs w:val="28"/>
        </w:rPr>
      </w:pPr>
    </w:p>
    <w:p>
      <w:pPr>
        <w:snapToGrid w:val="0"/>
        <w:spacing w:line="560" w:lineRule="exact"/>
        <w:ind w:firstLine="480" w:firstLineChars="200"/>
        <w:contextualSpacing/>
        <w:jc w:val="center"/>
        <w:rPr>
          <w:rFonts w:ascii="Times New Roman" w:hAnsi="Times New Roman" w:eastAsia="仿宋"/>
          <w:color w:val="000000"/>
          <w:sz w:val="24"/>
          <w:szCs w:val="24"/>
        </w:rPr>
      </w:pPr>
      <w:r>
        <w:rPr>
          <w:rFonts w:ascii="Times New Roman" w:hAnsi="Times New Roman" w:eastAsia="仿宋"/>
          <w:color w:val="000000"/>
          <w:sz w:val="24"/>
          <w:szCs w:val="24"/>
        </w:rPr>
        <w:t>图1-6 添加公告类别示例4</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该页面将显示已经添加的</w:t>
      </w:r>
      <w:r>
        <w:rPr>
          <w:rFonts w:hint="eastAsia" w:ascii="仿宋" w:hAnsi="仿宋" w:eastAsia="仿宋"/>
          <w:color w:val="000000"/>
          <w:sz w:val="32"/>
          <w:szCs w:val="28"/>
        </w:rPr>
        <w:t>“</w:t>
      </w:r>
      <w:r>
        <w:rPr>
          <w:rFonts w:ascii="仿宋" w:hAnsi="仿宋" w:eastAsia="仿宋"/>
          <w:color w:val="000000"/>
          <w:sz w:val="32"/>
          <w:szCs w:val="28"/>
        </w:rPr>
        <w:t>公告类别</w:t>
      </w:r>
      <w:r>
        <w:rPr>
          <w:rFonts w:hint="eastAsia" w:ascii="仿宋" w:hAnsi="仿宋" w:eastAsia="仿宋"/>
          <w:color w:val="000000"/>
          <w:sz w:val="32"/>
          <w:szCs w:val="28"/>
        </w:rPr>
        <w:t>”</w:t>
      </w:r>
      <w:r>
        <w:rPr>
          <w:rFonts w:ascii="仿宋" w:hAnsi="仿宋" w:eastAsia="仿宋"/>
          <w:color w:val="000000"/>
          <w:sz w:val="32"/>
          <w:szCs w:val="28"/>
        </w:rPr>
        <w:t>和选择这些公告类别可能需要参考的规则列表，并提供上市公司上传文件的区域。</w:t>
      </w:r>
    </w:p>
    <w:p>
      <w:pPr>
        <w:tabs>
          <w:tab w:val="left" w:pos="1440"/>
        </w:tabs>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如果上市公司发现本次选取的公告类别有误，可以点击相应公告类别右侧的</w:t>
      </w:r>
      <w:r>
        <w:rPr>
          <w:rFonts w:hint="eastAsia" w:ascii="仿宋" w:hAnsi="仿宋" w:eastAsia="仿宋"/>
          <w:color w:val="000000"/>
          <w:sz w:val="32"/>
          <w:szCs w:val="28"/>
        </w:rPr>
        <w:t>“</w:t>
      </w:r>
      <w:r>
        <w:rPr>
          <w:rFonts w:ascii="仿宋" w:hAnsi="仿宋" w:eastAsia="仿宋"/>
          <w:color w:val="000000"/>
          <w:sz w:val="32"/>
          <w:szCs w:val="28"/>
        </w:rPr>
        <w:t>删除</w:t>
      </w:r>
      <w:r>
        <w:rPr>
          <w:rFonts w:hint="eastAsia" w:ascii="仿宋" w:hAnsi="仿宋" w:eastAsia="仿宋"/>
          <w:color w:val="000000"/>
          <w:sz w:val="32"/>
          <w:szCs w:val="28"/>
        </w:rPr>
        <w:t>”</w:t>
      </w:r>
      <w:r>
        <w:rPr>
          <w:rFonts w:ascii="仿宋" w:hAnsi="仿宋" w:eastAsia="仿宋"/>
          <w:color w:val="000000"/>
          <w:sz w:val="32"/>
          <w:szCs w:val="28"/>
        </w:rPr>
        <w:t>按钮予以删除，如需添加其他公告类别，可以点击</w:t>
      </w:r>
      <w:r>
        <w:rPr>
          <w:rFonts w:hint="eastAsia" w:ascii="仿宋" w:hAnsi="仿宋" w:eastAsia="仿宋"/>
          <w:color w:val="000000"/>
          <w:sz w:val="32"/>
          <w:szCs w:val="28"/>
        </w:rPr>
        <w:t>“</w:t>
      </w:r>
      <w:r>
        <w:rPr>
          <w:rFonts w:ascii="仿宋" w:hAnsi="仿宋" w:eastAsia="仿宋"/>
          <w:color w:val="000000"/>
          <w:sz w:val="32"/>
          <w:szCs w:val="28"/>
        </w:rPr>
        <w:t>添加公告类别</w:t>
      </w:r>
      <w:r>
        <w:rPr>
          <w:rFonts w:hint="eastAsia" w:ascii="仿宋" w:hAnsi="仿宋" w:eastAsia="仿宋"/>
          <w:color w:val="000000"/>
          <w:sz w:val="32"/>
          <w:szCs w:val="28"/>
        </w:rPr>
        <w:t>”</w:t>
      </w:r>
      <w:r>
        <w:rPr>
          <w:rFonts w:ascii="仿宋" w:hAnsi="仿宋" w:eastAsia="仿宋"/>
          <w:color w:val="000000"/>
          <w:sz w:val="32"/>
          <w:szCs w:val="28"/>
        </w:rPr>
        <w:t>进行添加。</w:t>
      </w:r>
    </w:p>
    <w:p>
      <w:pPr>
        <w:tabs>
          <w:tab w:val="left" w:pos="7920"/>
        </w:tabs>
        <w:snapToGrid w:val="0"/>
        <w:spacing w:line="560" w:lineRule="exact"/>
        <w:ind w:firstLine="640" w:firstLineChars="200"/>
        <w:contextualSpacing/>
        <w:rPr>
          <w:rFonts w:ascii="仿宋" w:hAnsi="仿宋" w:eastAsia="仿宋"/>
          <w:color w:val="000000"/>
          <w:kern w:val="0"/>
          <w:sz w:val="32"/>
          <w:szCs w:val="28"/>
        </w:rPr>
      </w:pPr>
      <w:r>
        <w:rPr>
          <w:rFonts w:ascii="仿宋" w:hAnsi="仿宋" w:eastAsia="仿宋"/>
          <w:color w:val="000000"/>
          <w:kern w:val="0"/>
          <w:sz w:val="32"/>
          <w:szCs w:val="28"/>
        </w:rPr>
        <w:t>上市公司应当完整、准确地选择公告类别，不得错选、漏选公告类别，不得以直通披露公告类别代替事前审查公告类别。</w:t>
      </w:r>
    </w:p>
    <w:p>
      <w:pPr>
        <w:spacing w:line="560" w:lineRule="exact"/>
        <w:ind w:firstLine="640" w:firstLineChars="200"/>
        <w:rPr>
          <w:rFonts w:ascii="仿宋" w:hAnsi="仿宋" w:eastAsia="仿宋"/>
          <w:sz w:val="32"/>
          <w:szCs w:val="20"/>
        </w:rPr>
      </w:pPr>
      <w:r>
        <w:rPr>
          <w:rFonts w:ascii="仿宋" w:hAnsi="仿宋" w:eastAsia="仿宋"/>
          <w:sz w:val="32"/>
          <w:szCs w:val="20"/>
        </w:rPr>
        <w:t>（4）公告类别自查</w:t>
      </w:r>
    </w:p>
    <w:p>
      <w:pPr>
        <w:tabs>
          <w:tab w:val="left" w:pos="7920"/>
        </w:tabs>
        <w:snapToGrid w:val="0"/>
        <w:spacing w:line="560" w:lineRule="exact"/>
        <w:ind w:firstLine="640" w:firstLineChars="200"/>
        <w:contextualSpacing/>
        <w:rPr>
          <w:rFonts w:ascii="仿宋" w:hAnsi="仿宋" w:eastAsia="仿宋"/>
          <w:color w:val="000000"/>
          <w:kern w:val="0"/>
          <w:sz w:val="32"/>
          <w:szCs w:val="28"/>
        </w:rPr>
      </w:pPr>
      <w:r>
        <w:rPr>
          <w:rFonts w:ascii="仿宋" w:hAnsi="仿宋" w:eastAsia="仿宋"/>
          <w:color w:val="000000"/>
          <w:kern w:val="0"/>
          <w:sz w:val="32"/>
          <w:szCs w:val="28"/>
        </w:rPr>
        <w:t xml:space="preserve">公告类别添加完成后，应逐项确认已经选取的公告类别对应的披露要点和需提交的材料是否齐备，并完成数据填报（如适用），在提交公告前完成公告类别自查工作。    </w:t>
      </w:r>
    </w:p>
    <w:p>
      <w:pPr>
        <w:tabs>
          <w:tab w:val="left" w:pos="7920"/>
        </w:tabs>
        <w:snapToGrid w:val="0"/>
        <w:spacing w:line="560" w:lineRule="exact"/>
        <w:ind w:firstLine="640" w:firstLineChars="200"/>
        <w:contextualSpacing/>
        <w:rPr>
          <w:rFonts w:ascii="Times New Roman" w:hAnsi="Times New Roman" w:eastAsia="方正仿宋简体"/>
          <w:color w:val="000000"/>
          <w:sz w:val="28"/>
          <w:szCs w:val="28"/>
        </w:rPr>
      </w:pPr>
      <w:r>
        <w:rPr>
          <w:rFonts w:ascii="仿宋" w:hAnsi="仿宋" w:eastAsia="仿宋"/>
          <w:color w:val="000000"/>
          <w:kern w:val="0"/>
          <w:sz w:val="32"/>
          <w:szCs w:val="28"/>
        </w:rPr>
        <w:t>点击公告类别右端的</w:t>
      </w:r>
      <w:r>
        <w:rPr>
          <w:rFonts w:hint="eastAsia" w:ascii="仿宋" w:hAnsi="仿宋" w:eastAsia="仿宋"/>
          <w:color w:val="000000"/>
          <w:kern w:val="0"/>
          <w:sz w:val="32"/>
          <w:szCs w:val="28"/>
        </w:rPr>
        <w:t>“</w:t>
      </w:r>
      <w:r>
        <w:rPr>
          <w:rFonts w:ascii="仿宋" w:hAnsi="仿宋" w:eastAsia="仿宋"/>
          <w:color w:val="000000"/>
          <w:kern w:val="0"/>
          <w:sz w:val="32"/>
          <w:szCs w:val="28"/>
        </w:rPr>
        <w:t>披露要点</w:t>
      </w:r>
      <w:r>
        <w:rPr>
          <w:rFonts w:hint="eastAsia" w:ascii="仿宋" w:hAnsi="仿宋" w:eastAsia="仿宋"/>
          <w:color w:val="000000"/>
          <w:kern w:val="0"/>
          <w:sz w:val="32"/>
          <w:szCs w:val="28"/>
        </w:rPr>
        <w:t>”</w:t>
      </w:r>
      <w:r>
        <w:rPr>
          <w:rFonts w:ascii="仿宋" w:hAnsi="仿宋" w:eastAsia="仿宋"/>
          <w:color w:val="000000"/>
          <w:kern w:val="0"/>
          <w:sz w:val="32"/>
          <w:szCs w:val="28"/>
        </w:rPr>
        <w:t>链接，将显示图1-7所示页面：</w:t>
      </w:r>
    </w:p>
    <w:p>
      <w:pPr>
        <w:spacing w:line="560" w:lineRule="exact"/>
        <w:rPr>
          <w:rFonts w:ascii="Times New Roman" w:hAnsi="Times New Roman" w:eastAsia="方正仿宋简体"/>
          <w:color w:val="000000"/>
          <w:sz w:val="28"/>
          <w:szCs w:val="28"/>
        </w:rPr>
      </w:pPr>
      <w:r>
        <w:drawing>
          <wp:anchor distT="0" distB="0" distL="114300" distR="114300" simplePos="0" relativeHeight="251677696" behindDoc="0" locked="0" layoutInCell="1" allowOverlap="1">
            <wp:simplePos x="0" y="0"/>
            <wp:positionH relativeFrom="column">
              <wp:posOffset>-18415</wp:posOffset>
            </wp:positionH>
            <wp:positionV relativeFrom="paragraph">
              <wp:posOffset>67310</wp:posOffset>
            </wp:positionV>
            <wp:extent cx="5274310" cy="4251325"/>
            <wp:effectExtent l="0" t="0" r="2540" b="0"/>
            <wp:wrapNone/>
            <wp:docPr id="5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4251325"/>
                    </a:xfrm>
                    <a:prstGeom prst="rect">
                      <a:avLst/>
                    </a:prstGeom>
                    <a:noFill/>
                  </pic:spPr>
                </pic:pic>
              </a:graphicData>
            </a:graphic>
          </wp:anchor>
        </w:drawing>
      </w:r>
    </w:p>
    <w:p>
      <w:pPr>
        <w:spacing w:line="560" w:lineRule="exact"/>
        <w:rPr>
          <w:rFonts w:ascii="Times New Roman" w:hAnsi="Times New Roman" w:eastAsia="方正仿宋简体"/>
          <w:color w:val="000000"/>
          <w:sz w:val="28"/>
          <w:szCs w:val="28"/>
        </w:rPr>
      </w:pPr>
    </w:p>
    <w:p>
      <w:pPr>
        <w:spacing w:line="560" w:lineRule="exact"/>
        <w:rPr>
          <w:rFonts w:ascii="Times New Roman" w:hAnsi="Times New Roman" w:eastAsia="方正仿宋简体"/>
          <w:color w:val="000000"/>
          <w:sz w:val="28"/>
          <w:szCs w:val="28"/>
        </w:rPr>
      </w:pPr>
    </w:p>
    <w:p>
      <w:pPr>
        <w:spacing w:line="560" w:lineRule="exact"/>
        <w:rPr>
          <w:rFonts w:ascii="Times New Roman" w:hAnsi="Times New Roman" w:eastAsia="方正仿宋简体"/>
          <w:color w:val="000000"/>
          <w:sz w:val="28"/>
          <w:szCs w:val="28"/>
        </w:rPr>
      </w:pPr>
    </w:p>
    <w:p>
      <w:pPr>
        <w:spacing w:line="560" w:lineRule="exact"/>
        <w:rPr>
          <w:rFonts w:ascii="Times New Roman" w:hAnsi="Times New Roman" w:eastAsia="方正仿宋简体"/>
          <w:color w:val="000000"/>
          <w:sz w:val="28"/>
          <w:szCs w:val="28"/>
        </w:rPr>
      </w:pPr>
    </w:p>
    <w:p>
      <w:pPr>
        <w:spacing w:line="560" w:lineRule="exact"/>
        <w:rPr>
          <w:rFonts w:ascii="Times New Roman" w:hAnsi="Times New Roman" w:eastAsia="方正仿宋简体"/>
          <w:color w:val="000000"/>
          <w:sz w:val="28"/>
          <w:szCs w:val="28"/>
        </w:rPr>
      </w:pPr>
    </w:p>
    <w:p>
      <w:pPr>
        <w:spacing w:line="560" w:lineRule="exact"/>
        <w:rPr>
          <w:rFonts w:ascii="Times New Roman" w:hAnsi="Times New Roman" w:eastAsia="方正仿宋简体"/>
          <w:color w:val="000000"/>
          <w:sz w:val="28"/>
          <w:szCs w:val="28"/>
        </w:rPr>
      </w:pPr>
    </w:p>
    <w:p>
      <w:pPr>
        <w:spacing w:line="560" w:lineRule="exact"/>
        <w:rPr>
          <w:rFonts w:ascii="Times New Roman" w:hAnsi="Times New Roman" w:eastAsia="方正仿宋简体"/>
          <w:color w:val="000000"/>
          <w:sz w:val="28"/>
          <w:szCs w:val="28"/>
        </w:rPr>
      </w:pPr>
    </w:p>
    <w:p>
      <w:pPr>
        <w:spacing w:line="560" w:lineRule="exact"/>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480" w:firstLineChars="200"/>
        <w:contextualSpacing/>
        <w:jc w:val="center"/>
        <w:rPr>
          <w:rFonts w:ascii="Times New Roman" w:hAnsi="Times New Roman" w:eastAsia="方正仿宋简体"/>
          <w:color w:val="000000"/>
          <w:sz w:val="24"/>
          <w:szCs w:val="24"/>
        </w:rPr>
      </w:pPr>
    </w:p>
    <w:p>
      <w:pPr>
        <w:snapToGrid w:val="0"/>
        <w:spacing w:line="560" w:lineRule="exact"/>
        <w:ind w:firstLine="480" w:firstLineChars="200"/>
        <w:contextualSpacing/>
        <w:jc w:val="center"/>
        <w:rPr>
          <w:rFonts w:ascii="仿宋" w:hAnsi="仿宋" w:eastAsia="仿宋"/>
          <w:color w:val="000000"/>
          <w:sz w:val="24"/>
          <w:szCs w:val="24"/>
        </w:rPr>
      </w:pPr>
      <w:r>
        <w:rPr>
          <w:rFonts w:ascii="仿宋" w:hAnsi="仿宋" w:eastAsia="仿宋"/>
          <w:color w:val="000000"/>
          <w:sz w:val="24"/>
          <w:szCs w:val="24"/>
        </w:rPr>
        <w:t>图1-7 公告类别自查示例</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上市公司应对页面中提示的</w:t>
      </w:r>
      <w:r>
        <w:rPr>
          <w:rFonts w:hint="eastAsia" w:ascii="仿宋" w:hAnsi="仿宋" w:eastAsia="仿宋"/>
          <w:color w:val="000000"/>
          <w:sz w:val="32"/>
          <w:szCs w:val="28"/>
        </w:rPr>
        <w:t>“</w:t>
      </w:r>
      <w:r>
        <w:rPr>
          <w:rFonts w:ascii="仿宋" w:hAnsi="仿宋" w:eastAsia="仿宋"/>
          <w:color w:val="000000"/>
          <w:sz w:val="32"/>
          <w:szCs w:val="28"/>
        </w:rPr>
        <w:t>披露要点</w:t>
      </w:r>
      <w:r>
        <w:rPr>
          <w:rFonts w:hint="eastAsia" w:ascii="仿宋" w:hAnsi="仿宋" w:eastAsia="仿宋"/>
          <w:color w:val="000000"/>
          <w:sz w:val="32"/>
          <w:szCs w:val="28"/>
        </w:rPr>
        <w:t>”“</w:t>
      </w:r>
      <w:r>
        <w:rPr>
          <w:rFonts w:ascii="仿宋" w:hAnsi="仿宋" w:eastAsia="仿宋"/>
          <w:color w:val="000000"/>
          <w:sz w:val="32"/>
          <w:szCs w:val="28"/>
        </w:rPr>
        <w:t>需提交的材料</w:t>
      </w:r>
      <w:r>
        <w:rPr>
          <w:rFonts w:hint="eastAsia" w:ascii="仿宋" w:hAnsi="仿宋" w:eastAsia="仿宋"/>
          <w:color w:val="000000"/>
          <w:sz w:val="32"/>
          <w:szCs w:val="28"/>
        </w:rPr>
        <w:t>”</w:t>
      </w:r>
      <w:r>
        <w:rPr>
          <w:rFonts w:ascii="仿宋" w:hAnsi="仿宋" w:eastAsia="仿宋"/>
          <w:color w:val="000000"/>
          <w:sz w:val="32"/>
          <w:szCs w:val="28"/>
        </w:rPr>
        <w:t>进行逐项检查，并依据该次披露的实际情况点击左侧的</w:t>
      </w:r>
      <w:r>
        <w:rPr>
          <w:rFonts w:hint="eastAsia" w:ascii="仿宋" w:hAnsi="仿宋" w:eastAsia="仿宋"/>
          <w:color w:val="000000"/>
          <w:sz w:val="32"/>
          <w:szCs w:val="28"/>
        </w:rPr>
        <w:t>“</w:t>
      </w:r>
      <w:r>
        <w:rPr>
          <w:rFonts w:ascii="仿宋" w:hAnsi="仿宋" w:eastAsia="仿宋"/>
          <w:color w:val="000000"/>
          <w:sz w:val="32"/>
          <w:szCs w:val="28"/>
        </w:rPr>
        <w:t>是</w:t>
      </w:r>
      <w:r>
        <w:rPr>
          <w:rFonts w:hint="eastAsia" w:ascii="仿宋" w:hAnsi="仿宋" w:eastAsia="仿宋"/>
          <w:color w:val="000000"/>
          <w:sz w:val="32"/>
          <w:szCs w:val="28"/>
        </w:rPr>
        <w:t>”“</w:t>
      </w:r>
      <w:r>
        <w:rPr>
          <w:rFonts w:ascii="仿宋" w:hAnsi="仿宋" w:eastAsia="仿宋"/>
          <w:color w:val="000000"/>
          <w:sz w:val="32"/>
          <w:szCs w:val="28"/>
        </w:rPr>
        <w:t>否</w:t>
      </w:r>
      <w:r>
        <w:rPr>
          <w:rFonts w:hint="eastAsia" w:ascii="仿宋" w:hAnsi="仿宋" w:eastAsia="仿宋"/>
          <w:color w:val="000000"/>
          <w:sz w:val="32"/>
          <w:szCs w:val="28"/>
        </w:rPr>
        <w:t>”“</w:t>
      </w:r>
      <w:r>
        <w:rPr>
          <w:rFonts w:ascii="仿宋" w:hAnsi="仿宋" w:eastAsia="仿宋"/>
          <w:color w:val="000000"/>
          <w:sz w:val="32"/>
          <w:szCs w:val="28"/>
        </w:rPr>
        <w:t>不适用</w:t>
      </w:r>
      <w:r>
        <w:rPr>
          <w:rFonts w:hint="eastAsia" w:ascii="仿宋" w:hAnsi="仿宋" w:eastAsia="仿宋"/>
          <w:color w:val="000000"/>
          <w:sz w:val="32"/>
          <w:szCs w:val="28"/>
        </w:rPr>
        <w:t>”</w:t>
      </w:r>
      <w:r>
        <w:rPr>
          <w:rFonts w:ascii="仿宋" w:hAnsi="仿宋" w:eastAsia="仿宋"/>
          <w:color w:val="000000"/>
          <w:sz w:val="32"/>
          <w:szCs w:val="28"/>
        </w:rPr>
        <w:t>选项，如对照此处的披露要点发现已准备好的文件不符合要求，应对原文件进行修改，如文件已上传，还应进行替换操作。如页面中提示需进行填报数据项，应准确、完整的录入相关数据。</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该页面同时提供上传新的文件的功能（注意：该页面中的上传文件列表是本次信息披露申请过程中上传的所有文件，包括其他公告类别的文件），审查结束后，点击</w:t>
      </w:r>
      <w:r>
        <w:rPr>
          <w:rFonts w:hint="eastAsia" w:ascii="仿宋" w:hAnsi="仿宋" w:eastAsia="仿宋"/>
          <w:color w:val="000000"/>
          <w:sz w:val="32"/>
          <w:szCs w:val="28"/>
        </w:rPr>
        <w:t>“</w:t>
      </w:r>
      <w:r>
        <w:rPr>
          <w:rFonts w:ascii="仿宋" w:hAnsi="仿宋" w:eastAsia="仿宋"/>
          <w:color w:val="000000"/>
          <w:sz w:val="32"/>
          <w:szCs w:val="28"/>
        </w:rPr>
        <w:t>保存</w:t>
      </w:r>
      <w:r>
        <w:rPr>
          <w:rFonts w:hint="eastAsia" w:ascii="仿宋" w:hAnsi="仿宋" w:eastAsia="仿宋"/>
          <w:color w:val="000000"/>
          <w:sz w:val="32"/>
          <w:szCs w:val="28"/>
        </w:rPr>
        <w:t>”</w:t>
      </w:r>
      <w:r>
        <w:rPr>
          <w:rFonts w:ascii="仿宋" w:hAnsi="仿宋" w:eastAsia="仿宋"/>
          <w:color w:val="000000"/>
          <w:sz w:val="32"/>
          <w:szCs w:val="28"/>
        </w:rPr>
        <w:t>即可保存本次自查结果，否则点击</w:t>
      </w:r>
      <w:r>
        <w:rPr>
          <w:rFonts w:hint="eastAsia" w:ascii="仿宋" w:hAnsi="仿宋" w:eastAsia="仿宋"/>
          <w:color w:val="000000"/>
          <w:sz w:val="32"/>
          <w:szCs w:val="28"/>
        </w:rPr>
        <w:t>“</w:t>
      </w:r>
      <w:r>
        <w:rPr>
          <w:rFonts w:ascii="仿宋" w:hAnsi="仿宋" w:eastAsia="仿宋"/>
          <w:color w:val="000000"/>
          <w:sz w:val="32"/>
          <w:szCs w:val="28"/>
        </w:rPr>
        <w:t>返回</w:t>
      </w:r>
      <w:r>
        <w:rPr>
          <w:rFonts w:hint="eastAsia" w:ascii="仿宋" w:hAnsi="仿宋" w:eastAsia="仿宋"/>
          <w:color w:val="000000"/>
          <w:sz w:val="32"/>
          <w:szCs w:val="28"/>
        </w:rPr>
        <w:t>”</w:t>
      </w:r>
      <w:r>
        <w:rPr>
          <w:rFonts w:ascii="仿宋" w:hAnsi="仿宋" w:eastAsia="仿宋"/>
          <w:color w:val="000000"/>
          <w:sz w:val="32"/>
          <w:szCs w:val="28"/>
        </w:rPr>
        <w:t>将不会保存审查结果。</w:t>
      </w:r>
      <w:r>
        <w:rPr>
          <w:rFonts w:hint="eastAsia" w:ascii="仿宋" w:hAnsi="仿宋" w:eastAsia="仿宋"/>
          <w:color w:val="000000"/>
          <w:sz w:val="32"/>
          <w:szCs w:val="28"/>
        </w:rPr>
        <w:t>“</w:t>
      </w:r>
      <w:r>
        <w:rPr>
          <w:rFonts w:ascii="仿宋" w:hAnsi="仿宋" w:eastAsia="仿宋"/>
          <w:color w:val="000000"/>
          <w:sz w:val="32"/>
          <w:szCs w:val="28"/>
        </w:rPr>
        <w:t>保存</w:t>
      </w:r>
      <w:r>
        <w:rPr>
          <w:rFonts w:hint="eastAsia" w:ascii="仿宋" w:hAnsi="仿宋" w:eastAsia="仿宋"/>
          <w:color w:val="000000"/>
          <w:sz w:val="32"/>
          <w:szCs w:val="28"/>
        </w:rPr>
        <w:t>”</w:t>
      </w:r>
      <w:r>
        <w:rPr>
          <w:rFonts w:ascii="仿宋" w:hAnsi="仿宋" w:eastAsia="仿宋"/>
          <w:color w:val="000000"/>
          <w:sz w:val="32"/>
          <w:szCs w:val="28"/>
        </w:rPr>
        <w:t>或</w:t>
      </w:r>
      <w:r>
        <w:rPr>
          <w:rFonts w:hint="eastAsia" w:ascii="仿宋" w:hAnsi="仿宋" w:eastAsia="仿宋"/>
          <w:color w:val="000000"/>
          <w:sz w:val="32"/>
          <w:szCs w:val="28"/>
        </w:rPr>
        <w:t>“</w:t>
      </w:r>
      <w:r>
        <w:rPr>
          <w:rFonts w:ascii="仿宋" w:hAnsi="仿宋" w:eastAsia="仿宋"/>
          <w:color w:val="000000"/>
          <w:sz w:val="32"/>
          <w:szCs w:val="28"/>
        </w:rPr>
        <w:t>返回</w:t>
      </w:r>
      <w:r>
        <w:rPr>
          <w:rFonts w:hint="eastAsia" w:ascii="仿宋" w:hAnsi="仿宋" w:eastAsia="仿宋"/>
          <w:color w:val="000000"/>
          <w:sz w:val="32"/>
          <w:szCs w:val="28"/>
        </w:rPr>
        <w:t>”</w:t>
      </w:r>
      <w:r>
        <w:rPr>
          <w:rFonts w:ascii="仿宋" w:hAnsi="仿宋" w:eastAsia="仿宋"/>
          <w:color w:val="000000"/>
          <w:sz w:val="32"/>
          <w:szCs w:val="28"/>
        </w:rPr>
        <w:t>后，都将返回</w:t>
      </w:r>
      <w:r>
        <w:rPr>
          <w:rFonts w:hint="eastAsia" w:ascii="仿宋" w:hAnsi="仿宋" w:eastAsia="仿宋"/>
          <w:color w:val="000000"/>
          <w:sz w:val="32"/>
          <w:szCs w:val="28"/>
        </w:rPr>
        <w:t>“</w:t>
      </w:r>
      <w:r>
        <w:rPr>
          <w:rFonts w:ascii="仿宋" w:hAnsi="仿宋" w:eastAsia="仿宋"/>
          <w:color w:val="000000"/>
          <w:sz w:val="32"/>
          <w:szCs w:val="28"/>
        </w:rPr>
        <w:t>信息披露申请</w:t>
      </w:r>
      <w:r>
        <w:rPr>
          <w:rFonts w:hint="eastAsia" w:ascii="仿宋" w:hAnsi="仿宋" w:eastAsia="仿宋"/>
          <w:color w:val="000000"/>
          <w:sz w:val="32"/>
          <w:szCs w:val="28"/>
        </w:rPr>
        <w:t>”</w:t>
      </w:r>
      <w:r>
        <w:rPr>
          <w:rFonts w:ascii="仿宋" w:hAnsi="仿宋" w:eastAsia="仿宋"/>
          <w:color w:val="000000"/>
          <w:sz w:val="32"/>
          <w:szCs w:val="28"/>
        </w:rPr>
        <w:t>页面。</w:t>
      </w:r>
    </w:p>
    <w:p>
      <w:pPr>
        <w:spacing w:line="560" w:lineRule="exact"/>
        <w:ind w:firstLine="640"/>
        <w:rPr>
          <w:rFonts w:ascii="仿宋" w:hAnsi="仿宋" w:eastAsia="仿宋"/>
          <w:sz w:val="32"/>
          <w:szCs w:val="20"/>
        </w:rPr>
      </w:pPr>
      <w:r>
        <w:rPr>
          <w:rFonts w:ascii="仿宋" w:hAnsi="仿宋" w:eastAsia="仿宋"/>
          <w:sz w:val="32"/>
          <w:szCs w:val="20"/>
        </w:rPr>
        <w:t>（5）文件上传</w:t>
      </w:r>
    </w:p>
    <w:p>
      <w:pPr>
        <w:tabs>
          <w:tab w:val="left" w:pos="0"/>
          <w:tab w:val="left" w:pos="360"/>
          <w:tab w:val="left" w:pos="900"/>
          <w:tab w:val="left" w:pos="1260"/>
        </w:tabs>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在对所有公告类别完成自查后，上市公司点击</w:t>
      </w:r>
      <w:r>
        <w:rPr>
          <w:rFonts w:hint="eastAsia" w:ascii="仿宋" w:hAnsi="仿宋" w:eastAsia="仿宋"/>
          <w:color w:val="000000"/>
          <w:sz w:val="32"/>
          <w:szCs w:val="28"/>
        </w:rPr>
        <w:t>“</w:t>
      </w:r>
      <w:r>
        <w:rPr>
          <w:rFonts w:ascii="仿宋" w:hAnsi="仿宋" w:eastAsia="仿宋"/>
          <w:color w:val="000000"/>
          <w:sz w:val="32"/>
          <w:szCs w:val="28"/>
        </w:rPr>
        <w:t>上传文件</w:t>
      </w:r>
      <w:r>
        <w:rPr>
          <w:rFonts w:hint="eastAsia" w:ascii="仿宋" w:hAnsi="仿宋" w:eastAsia="仿宋"/>
          <w:color w:val="000000"/>
          <w:sz w:val="32"/>
          <w:szCs w:val="28"/>
        </w:rPr>
        <w:t>”</w:t>
      </w:r>
      <w:r>
        <w:rPr>
          <w:rFonts w:ascii="仿宋" w:hAnsi="仿宋" w:eastAsia="仿宋"/>
          <w:color w:val="000000"/>
          <w:sz w:val="32"/>
          <w:szCs w:val="28"/>
        </w:rPr>
        <w:t>按钮将公告文件及报备材料上传，部分公告类别配置了文件列表模板，此时只需要点击文件列表右边的</w:t>
      </w:r>
      <w:r>
        <w:rPr>
          <w:rFonts w:hint="eastAsia" w:ascii="仿宋" w:hAnsi="仿宋" w:eastAsia="仿宋"/>
          <w:color w:val="000000"/>
          <w:sz w:val="32"/>
          <w:szCs w:val="28"/>
        </w:rPr>
        <w:t>“</w:t>
      </w:r>
      <w:r>
        <w:rPr>
          <w:rFonts w:ascii="仿宋" w:hAnsi="仿宋" w:eastAsia="仿宋"/>
          <w:color w:val="000000"/>
          <w:sz w:val="32"/>
          <w:szCs w:val="28"/>
        </w:rPr>
        <w:t>上传</w:t>
      </w:r>
      <w:r>
        <w:rPr>
          <w:rFonts w:hint="eastAsia" w:ascii="仿宋" w:hAnsi="仿宋" w:eastAsia="仿宋"/>
          <w:color w:val="000000"/>
          <w:sz w:val="32"/>
          <w:szCs w:val="28"/>
        </w:rPr>
        <w:t>”</w:t>
      </w:r>
      <w:r>
        <w:rPr>
          <w:rFonts w:ascii="仿宋" w:hAnsi="仿宋" w:eastAsia="仿宋"/>
          <w:color w:val="000000"/>
          <w:sz w:val="32"/>
          <w:szCs w:val="28"/>
        </w:rPr>
        <w:t>按钮即可。对于带有盖章或签名的报备材料（如相关决议、中介机构报告、合同文件、协议或批文等），上市公司还可以通过传真方式向本所提交。上市公司应当保证该电子文档与原件完全一致。</w:t>
      </w:r>
    </w:p>
    <w:p>
      <w:pPr>
        <w:tabs>
          <w:tab w:val="left" w:pos="1080"/>
          <w:tab w:val="left" w:pos="1393"/>
          <w:tab w:val="left" w:pos="7920"/>
        </w:tabs>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上市公司在上传信息披露文件时，不同的公告文件或报备材料应当拆分成独立的电子文档，且电子文档名应与相关公告或报备材料的标题一致。</w:t>
      </w:r>
    </w:p>
    <w:p>
      <w:pPr>
        <w:tabs>
          <w:tab w:val="left" w:pos="1080"/>
          <w:tab w:val="left" w:pos="1393"/>
          <w:tab w:val="left" w:pos="7920"/>
        </w:tabs>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上市公司上传公告文件及报备材料后，应当准确选择上传文件的披露渠道（登报、上网、报备、优先显示），相关说明见附件2。</w:t>
      </w:r>
    </w:p>
    <w:p>
      <w:pPr>
        <w:snapToGrid w:val="0"/>
        <w:spacing w:line="560" w:lineRule="exact"/>
        <w:ind w:firstLine="640" w:firstLineChars="200"/>
        <w:contextualSpacing/>
        <w:rPr>
          <w:rFonts w:ascii="仿宋" w:hAnsi="仿宋" w:eastAsia="仿宋"/>
          <w:color w:val="000000"/>
          <w:sz w:val="28"/>
          <w:szCs w:val="28"/>
        </w:rPr>
      </w:pPr>
      <w:r>
        <w:rPr>
          <w:rFonts w:ascii="仿宋" w:hAnsi="仿宋" w:eastAsia="仿宋"/>
          <w:color w:val="000000"/>
          <w:sz w:val="32"/>
          <w:szCs w:val="28"/>
        </w:rPr>
        <w:t>如果上市公司点击</w:t>
      </w:r>
      <w:r>
        <w:rPr>
          <w:rFonts w:hint="eastAsia" w:ascii="仿宋" w:hAnsi="仿宋" w:eastAsia="仿宋"/>
          <w:color w:val="000000"/>
          <w:sz w:val="32"/>
          <w:szCs w:val="28"/>
        </w:rPr>
        <w:t>“</w:t>
      </w:r>
      <w:r>
        <w:rPr>
          <w:rFonts w:ascii="仿宋" w:hAnsi="仿宋" w:eastAsia="仿宋"/>
          <w:color w:val="000000"/>
          <w:sz w:val="32"/>
          <w:szCs w:val="28"/>
        </w:rPr>
        <w:t>信息披露申请</w:t>
      </w:r>
      <w:r>
        <w:rPr>
          <w:rFonts w:hint="eastAsia" w:ascii="仿宋" w:hAnsi="仿宋" w:eastAsia="仿宋"/>
          <w:color w:val="000000"/>
          <w:sz w:val="32"/>
          <w:szCs w:val="28"/>
        </w:rPr>
        <w:t>”</w:t>
      </w:r>
      <w:r>
        <w:rPr>
          <w:rFonts w:ascii="仿宋" w:hAnsi="仿宋" w:eastAsia="仿宋"/>
          <w:color w:val="000000"/>
          <w:sz w:val="32"/>
          <w:szCs w:val="28"/>
        </w:rPr>
        <w:t>页面中的</w:t>
      </w:r>
      <w:r>
        <w:rPr>
          <w:rFonts w:hint="eastAsia" w:ascii="仿宋" w:hAnsi="仿宋" w:eastAsia="仿宋"/>
          <w:color w:val="000000"/>
          <w:sz w:val="32"/>
          <w:szCs w:val="28"/>
        </w:rPr>
        <w:t>“</w:t>
      </w:r>
      <w:r>
        <w:rPr>
          <w:rFonts w:ascii="仿宋" w:hAnsi="仿宋" w:eastAsia="仿宋"/>
          <w:color w:val="000000"/>
          <w:sz w:val="32"/>
          <w:szCs w:val="28"/>
        </w:rPr>
        <w:t>下一步</w:t>
      </w:r>
      <w:r>
        <w:rPr>
          <w:rFonts w:hint="eastAsia" w:ascii="仿宋" w:hAnsi="仿宋" w:eastAsia="仿宋"/>
          <w:color w:val="000000"/>
          <w:sz w:val="32"/>
          <w:szCs w:val="28"/>
        </w:rPr>
        <w:t>”</w:t>
      </w:r>
      <w:r>
        <w:rPr>
          <w:rFonts w:ascii="仿宋" w:hAnsi="仿宋" w:eastAsia="仿宋"/>
          <w:color w:val="000000"/>
          <w:sz w:val="32"/>
          <w:szCs w:val="28"/>
        </w:rPr>
        <w:t>按钮，出现如图</w:t>
      </w:r>
      <w:r>
        <w:rPr>
          <w:rFonts w:ascii="仿宋" w:hAnsi="仿宋" w:eastAsia="仿宋"/>
          <w:color w:val="000000"/>
          <w:kern w:val="0"/>
          <w:sz w:val="32"/>
          <w:szCs w:val="28"/>
        </w:rPr>
        <w:t>1-8</w:t>
      </w:r>
      <w:r>
        <w:rPr>
          <w:rFonts w:ascii="仿宋" w:hAnsi="仿宋" w:eastAsia="仿宋"/>
          <w:color w:val="000000"/>
          <w:sz w:val="32"/>
          <w:szCs w:val="28"/>
        </w:rPr>
        <w:t>所示页面：</w:t>
      </w:r>
    </w:p>
    <w:p>
      <w:pPr>
        <w:tabs>
          <w:tab w:val="left" w:pos="7920"/>
        </w:tabs>
        <w:snapToGrid w:val="0"/>
        <w:spacing w:line="560" w:lineRule="exact"/>
        <w:contextualSpacing/>
        <w:jc w:val="center"/>
        <w:rPr>
          <w:rFonts w:ascii="仿宋" w:hAnsi="仿宋" w:eastAsia="仿宋"/>
          <w:color w:val="000000"/>
          <w:kern w:val="0"/>
          <w:sz w:val="28"/>
          <w:szCs w:val="28"/>
        </w:rPr>
      </w:pPr>
      <w:r>
        <w:drawing>
          <wp:anchor distT="0" distB="0" distL="114300" distR="114300" simplePos="0" relativeHeight="251662336" behindDoc="0" locked="0" layoutInCell="1" allowOverlap="1">
            <wp:simplePos x="0" y="0"/>
            <wp:positionH relativeFrom="column">
              <wp:posOffset>26670</wp:posOffset>
            </wp:positionH>
            <wp:positionV relativeFrom="paragraph">
              <wp:posOffset>198755</wp:posOffset>
            </wp:positionV>
            <wp:extent cx="5039995" cy="971550"/>
            <wp:effectExtent l="0" t="0" r="8255" b="0"/>
            <wp:wrapTopAndBottom/>
            <wp:docPr id="50" name="图片 16"/>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039995" cy="971550"/>
                    </a:xfrm>
                    <a:prstGeom prst="rect">
                      <a:avLst/>
                    </a:prstGeom>
                    <a:noFill/>
                  </pic:spPr>
                </pic:pic>
              </a:graphicData>
            </a:graphic>
          </wp:anchor>
        </w:drawing>
      </w:r>
      <w:r>
        <w:rPr>
          <w:rFonts w:ascii="仿宋" w:hAnsi="仿宋" w:eastAsia="仿宋"/>
          <w:color w:val="000000"/>
          <w:kern w:val="0"/>
          <w:sz w:val="24"/>
          <w:szCs w:val="24"/>
        </w:rPr>
        <w:t>图1-8 文件上传示例</w:t>
      </w:r>
    </w:p>
    <w:p>
      <w:pPr>
        <w:tabs>
          <w:tab w:val="left" w:pos="1080"/>
          <w:tab w:val="left" w:pos="1393"/>
          <w:tab w:val="left" w:pos="7920"/>
        </w:tabs>
        <w:snapToGrid w:val="0"/>
        <w:spacing w:line="560" w:lineRule="exact"/>
        <w:ind w:firstLine="640" w:firstLineChars="200"/>
        <w:contextualSpacing/>
        <w:rPr>
          <w:rFonts w:ascii="仿宋" w:hAnsi="仿宋" w:eastAsia="仿宋"/>
          <w:color w:val="000000"/>
          <w:kern w:val="0"/>
          <w:sz w:val="32"/>
          <w:szCs w:val="28"/>
        </w:rPr>
      </w:pPr>
      <w:r>
        <w:rPr>
          <w:rFonts w:ascii="仿宋" w:hAnsi="仿宋" w:eastAsia="仿宋"/>
          <w:color w:val="000000"/>
          <w:kern w:val="0"/>
          <w:sz w:val="32"/>
          <w:szCs w:val="28"/>
        </w:rPr>
        <w:t>该提示表示经办人未完成公告类别中披露要点或未通过公告填报数据项检查，红色底色标注未完成的公告类别。</w:t>
      </w:r>
    </w:p>
    <w:p>
      <w:pPr>
        <w:tabs>
          <w:tab w:val="left" w:pos="1080"/>
          <w:tab w:val="left" w:pos="1393"/>
          <w:tab w:val="left" w:pos="7920"/>
        </w:tabs>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kern w:val="0"/>
          <w:sz w:val="32"/>
          <w:szCs w:val="28"/>
        </w:rPr>
        <w:t>如果未完成信息披露申请的填写、自查，也可选择</w:t>
      </w:r>
      <w:r>
        <w:rPr>
          <w:rFonts w:hint="eastAsia" w:ascii="仿宋" w:hAnsi="仿宋" w:eastAsia="仿宋"/>
          <w:color w:val="000000"/>
          <w:kern w:val="0"/>
          <w:sz w:val="32"/>
          <w:szCs w:val="28"/>
        </w:rPr>
        <w:t>“</w:t>
      </w:r>
      <w:r>
        <w:rPr>
          <w:rFonts w:ascii="仿宋" w:hAnsi="仿宋" w:eastAsia="仿宋"/>
          <w:color w:val="000000"/>
          <w:kern w:val="0"/>
          <w:sz w:val="32"/>
          <w:szCs w:val="28"/>
        </w:rPr>
        <w:t>保存</w:t>
      </w:r>
      <w:r>
        <w:rPr>
          <w:rFonts w:hint="eastAsia" w:ascii="仿宋" w:hAnsi="仿宋" w:eastAsia="仿宋"/>
          <w:color w:val="000000"/>
          <w:kern w:val="0"/>
          <w:sz w:val="32"/>
          <w:szCs w:val="28"/>
        </w:rPr>
        <w:t>”</w:t>
      </w:r>
      <w:r>
        <w:rPr>
          <w:rFonts w:ascii="仿宋" w:hAnsi="仿宋" w:eastAsia="仿宋"/>
          <w:color w:val="000000"/>
          <w:kern w:val="0"/>
          <w:sz w:val="32"/>
          <w:szCs w:val="28"/>
        </w:rPr>
        <w:t>，待完成后提交。</w:t>
      </w:r>
      <w:r>
        <w:rPr>
          <w:rFonts w:ascii="仿宋" w:hAnsi="仿宋" w:eastAsia="仿宋"/>
          <w:color w:val="000000"/>
          <w:sz w:val="32"/>
          <w:szCs w:val="28"/>
        </w:rPr>
        <w:t>上市公司可以对已经进行的操作结果进行预览。</w:t>
      </w:r>
    </w:p>
    <w:p>
      <w:pPr>
        <w:spacing w:line="560" w:lineRule="exact"/>
        <w:ind w:firstLine="640"/>
        <w:rPr>
          <w:rFonts w:ascii="仿宋" w:hAnsi="仿宋" w:eastAsia="仿宋"/>
          <w:sz w:val="32"/>
          <w:szCs w:val="20"/>
        </w:rPr>
      </w:pPr>
      <w:r>
        <w:rPr>
          <w:rFonts w:ascii="仿宋" w:hAnsi="仿宋" w:eastAsia="仿宋"/>
          <w:sz w:val="32"/>
          <w:szCs w:val="20"/>
        </w:rPr>
        <w:t>（6）停</w:t>
      </w:r>
      <w:r>
        <w:rPr>
          <w:rFonts w:hint="eastAsia" w:ascii="仿宋" w:hAnsi="仿宋" w:eastAsia="仿宋"/>
          <w:sz w:val="32"/>
          <w:szCs w:val="20"/>
        </w:rPr>
        <w:t>复</w:t>
      </w:r>
      <w:r>
        <w:rPr>
          <w:rFonts w:ascii="仿宋" w:hAnsi="仿宋" w:eastAsia="仿宋"/>
          <w:sz w:val="32"/>
          <w:szCs w:val="20"/>
        </w:rPr>
        <w:t>牌申请</w:t>
      </w:r>
    </w:p>
    <w:p>
      <w:pPr>
        <w:tabs>
          <w:tab w:val="left" w:pos="7920"/>
        </w:tabs>
        <w:snapToGrid w:val="0"/>
        <w:spacing w:line="560" w:lineRule="exact"/>
        <w:ind w:firstLine="640" w:firstLineChars="200"/>
        <w:contextualSpacing/>
        <w:rPr>
          <w:rFonts w:ascii="仿宋" w:hAnsi="仿宋" w:eastAsia="仿宋"/>
          <w:color w:val="000000"/>
          <w:kern w:val="0"/>
          <w:sz w:val="32"/>
          <w:szCs w:val="28"/>
        </w:rPr>
      </w:pPr>
      <w:r>
        <w:rPr>
          <w:rFonts w:ascii="仿宋" w:hAnsi="仿宋" w:eastAsia="仿宋"/>
          <w:color w:val="000000"/>
          <w:kern w:val="0"/>
          <w:sz w:val="32"/>
          <w:szCs w:val="28"/>
        </w:rPr>
        <w:t>涉及停复牌的相关公告不能直通披露。如业务专区判断上市公司当次信息披露申请符合直通披露要求，并且上市公司同时提出了停复牌申请，系统将会给予提示：</w:t>
      </w:r>
      <w:r>
        <w:rPr>
          <w:rFonts w:hint="eastAsia" w:ascii="仿宋" w:hAnsi="仿宋" w:eastAsia="仿宋"/>
          <w:color w:val="000000"/>
          <w:kern w:val="0"/>
          <w:sz w:val="32"/>
          <w:szCs w:val="28"/>
        </w:rPr>
        <w:t>“</w:t>
      </w:r>
      <w:r>
        <w:rPr>
          <w:rFonts w:ascii="仿宋" w:hAnsi="仿宋" w:eastAsia="仿宋"/>
          <w:color w:val="000000"/>
          <w:kern w:val="0"/>
          <w:sz w:val="32"/>
          <w:szCs w:val="28"/>
        </w:rPr>
        <w:t>您选择的公告类型为事后审查公告，不需要申请停复牌，如需申请停复牌，请调整公告类别，或联系监管人员。</w:t>
      </w:r>
      <w:r>
        <w:rPr>
          <w:rFonts w:hint="eastAsia" w:ascii="仿宋" w:hAnsi="仿宋" w:eastAsia="仿宋"/>
          <w:color w:val="000000"/>
          <w:kern w:val="0"/>
          <w:sz w:val="32"/>
          <w:szCs w:val="28"/>
        </w:rPr>
        <w:t>”</w:t>
      </w:r>
    </w:p>
    <w:p>
      <w:pPr>
        <w:tabs>
          <w:tab w:val="left" w:pos="7920"/>
        </w:tabs>
        <w:snapToGrid w:val="0"/>
        <w:spacing w:line="560" w:lineRule="exact"/>
        <w:ind w:firstLine="640" w:firstLineChars="200"/>
        <w:contextualSpacing/>
        <w:rPr>
          <w:rFonts w:ascii="仿宋" w:hAnsi="仿宋" w:eastAsia="仿宋"/>
          <w:color w:val="000000"/>
          <w:kern w:val="0"/>
          <w:sz w:val="32"/>
          <w:szCs w:val="28"/>
        </w:rPr>
      </w:pPr>
      <w:r>
        <w:rPr>
          <w:rFonts w:ascii="仿宋" w:hAnsi="仿宋" w:eastAsia="仿宋"/>
          <w:color w:val="000000"/>
          <w:kern w:val="0"/>
          <w:sz w:val="32"/>
          <w:szCs w:val="28"/>
        </w:rPr>
        <w:t>上市公司信息披露的同时如需停复牌，应当在提交信息披露申请时，在</w:t>
      </w:r>
      <w:r>
        <w:rPr>
          <w:rFonts w:hint="eastAsia" w:ascii="仿宋" w:hAnsi="仿宋" w:eastAsia="仿宋"/>
          <w:color w:val="000000"/>
          <w:kern w:val="0"/>
          <w:sz w:val="32"/>
          <w:szCs w:val="28"/>
        </w:rPr>
        <w:t>“</w:t>
      </w:r>
      <w:r>
        <w:rPr>
          <w:rFonts w:ascii="仿宋" w:hAnsi="仿宋" w:eastAsia="仿宋"/>
          <w:color w:val="000000"/>
          <w:kern w:val="0"/>
          <w:sz w:val="32"/>
          <w:szCs w:val="28"/>
        </w:rPr>
        <w:t>是否申请停牌</w:t>
      </w:r>
      <w:r>
        <w:rPr>
          <w:rFonts w:hint="eastAsia" w:ascii="仿宋" w:hAnsi="仿宋" w:eastAsia="仿宋"/>
          <w:color w:val="000000"/>
          <w:kern w:val="0"/>
          <w:sz w:val="32"/>
          <w:szCs w:val="28"/>
        </w:rPr>
        <w:t>”</w:t>
      </w:r>
      <w:r>
        <w:rPr>
          <w:rFonts w:ascii="仿宋" w:hAnsi="仿宋" w:eastAsia="仿宋"/>
          <w:color w:val="000000"/>
          <w:kern w:val="0"/>
          <w:sz w:val="32"/>
          <w:szCs w:val="28"/>
        </w:rPr>
        <w:t>处选择需停复牌，并确定停复牌时间。</w:t>
      </w:r>
    </w:p>
    <w:p>
      <w:pPr>
        <w:tabs>
          <w:tab w:val="left" w:pos="7920"/>
        </w:tabs>
        <w:snapToGrid w:val="0"/>
        <w:spacing w:line="560" w:lineRule="exact"/>
        <w:ind w:firstLine="800" w:firstLineChars="250"/>
        <w:contextualSpacing/>
        <w:rPr>
          <w:rFonts w:ascii="仿宋" w:hAnsi="仿宋" w:eastAsia="仿宋"/>
          <w:color w:val="000000"/>
          <w:kern w:val="0"/>
          <w:sz w:val="32"/>
          <w:szCs w:val="28"/>
        </w:rPr>
      </w:pPr>
      <w:r>
        <w:rPr>
          <w:rFonts w:ascii="仿宋" w:hAnsi="仿宋" w:eastAsia="仿宋"/>
          <w:color w:val="000000"/>
          <w:kern w:val="0"/>
          <w:sz w:val="32"/>
          <w:szCs w:val="28"/>
        </w:rPr>
        <w:t>如无信息披露情形下，上市公司可按照以下路径申请停牌：</w:t>
      </w:r>
      <w:r>
        <w:rPr>
          <w:rFonts w:hint="eastAsia" w:ascii="仿宋" w:hAnsi="仿宋" w:eastAsia="仿宋"/>
          <w:color w:val="000000"/>
          <w:kern w:val="0"/>
          <w:sz w:val="32"/>
          <w:szCs w:val="28"/>
        </w:rPr>
        <w:t>“</w:t>
      </w:r>
      <w:r>
        <w:rPr>
          <w:rFonts w:ascii="仿宋" w:hAnsi="仿宋" w:eastAsia="仿宋"/>
          <w:color w:val="000000"/>
          <w:kern w:val="0"/>
          <w:sz w:val="32"/>
          <w:szCs w:val="28"/>
        </w:rPr>
        <w:t>信息披露业务—临时停牌申请</w:t>
      </w:r>
      <w:r>
        <w:rPr>
          <w:rFonts w:hint="eastAsia" w:ascii="仿宋" w:hAnsi="仿宋" w:eastAsia="仿宋"/>
          <w:color w:val="000000"/>
          <w:kern w:val="0"/>
          <w:sz w:val="32"/>
          <w:szCs w:val="28"/>
        </w:rPr>
        <w:t>”</w:t>
      </w:r>
      <w:r>
        <w:rPr>
          <w:rFonts w:ascii="仿宋" w:hAnsi="仿宋" w:eastAsia="仿宋"/>
          <w:color w:val="000000"/>
          <w:kern w:val="0"/>
          <w:sz w:val="32"/>
          <w:szCs w:val="28"/>
        </w:rPr>
        <w:t>。</w:t>
      </w:r>
    </w:p>
    <w:p>
      <w:pPr>
        <w:tabs>
          <w:tab w:val="left" w:pos="7920"/>
        </w:tabs>
        <w:spacing w:line="560" w:lineRule="exact"/>
        <w:ind w:firstLine="640" w:firstLineChars="200"/>
        <w:rPr>
          <w:rFonts w:ascii="仿宋" w:hAnsi="仿宋" w:eastAsia="仿宋"/>
          <w:color w:val="000000"/>
          <w:kern w:val="0"/>
          <w:sz w:val="28"/>
          <w:szCs w:val="28"/>
        </w:rPr>
      </w:pPr>
      <w:r>
        <w:rPr>
          <w:rFonts w:ascii="仿宋" w:hAnsi="仿宋" w:eastAsia="仿宋"/>
          <w:color w:val="000000"/>
          <w:kern w:val="0"/>
          <w:sz w:val="32"/>
          <w:szCs w:val="28"/>
        </w:rPr>
        <w:t>点击</w:t>
      </w:r>
      <w:r>
        <w:rPr>
          <w:rFonts w:hint="eastAsia" w:ascii="仿宋" w:hAnsi="仿宋" w:eastAsia="仿宋"/>
          <w:color w:val="000000"/>
          <w:kern w:val="0"/>
          <w:sz w:val="32"/>
          <w:szCs w:val="28"/>
        </w:rPr>
        <w:t>“</w:t>
      </w:r>
      <w:r>
        <w:rPr>
          <w:rFonts w:ascii="仿宋" w:hAnsi="仿宋" w:eastAsia="仿宋"/>
          <w:color w:val="000000"/>
          <w:kern w:val="0"/>
          <w:sz w:val="32"/>
          <w:szCs w:val="28"/>
        </w:rPr>
        <w:t>临时停牌申请</w:t>
      </w:r>
      <w:r>
        <w:rPr>
          <w:rFonts w:hint="eastAsia" w:ascii="仿宋" w:hAnsi="仿宋" w:eastAsia="仿宋"/>
          <w:color w:val="000000"/>
          <w:kern w:val="0"/>
          <w:sz w:val="32"/>
          <w:szCs w:val="28"/>
        </w:rPr>
        <w:t>”</w:t>
      </w:r>
      <w:r>
        <w:rPr>
          <w:rFonts w:ascii="仿宋" w:hAnsi="仿宋" w:eastAsia="仿宋"/>
          <w:color w:val="000000"/>
          <w:kern w:val="0"/>
          <w:sz w:val="32"/>
          <w:szCs w:val="28"/>
        </w:rPr>
        <w:t>后，显示图1-9所示页面：</w:t>
      </w:r>
    </w:p>
    <w:p>
      <w:pPr>
        <w:tabs>
          <w:tab w:val="left" w:pos="7920"/>
        </w:tabs>
        <w:spacing w:line="560" w:lineRule="exact"/>
        <w:ind w:firstLine="420" w:firstLineChars="200"/>
        <w:jc w:val="center"/>
        <w:rPr>
          <w:rFonts w:ascii="仿宋" w:hAnsi="仿宋" w:eastAsia="仿宋"/>
          <w:color w:val="000000"/>
          <w:sz w:val="24"/>
          <w:szCs w:val="24"/>
        </w:rPr>
      </w:pPr>
      <w:r>
        <w:drawing>
          <wp:anchor distT="0" distB="0" distL="114300" distR="114300" simplePos="0" relativeHeight="251678720" behindDoc="1" locked="0" layoutInCell="1" allowOverlap="1">
            <wp:simplePos x="0" y="0"/>
            <wp:positionH relativeFrom="column">
              <wp:posOffset>143510</wp:posOffset>
            </wp:positionH>
            <wp:positionV relativeFrom="paragraph">
              <wp:posOffset>86360</wp:posOffset>
            </wp:positionV>
            <wp:extent cx="4920615" cy="2531110"/>
            <wp:effectExtent l="0" t="0" r="0" b="2540"/>
            <wp:wrapTight wrapText="bothSides">
              <wp:wrapPolygon>
                <wp:start x="0" y="0"/>
                <wp:lineTo x="0" y="21459"/>
                <wp:lineTo x="21491" y="21459"/>
                <wp:lineTo x="21491" y="0"/>
                <wp:lineTo x="0" y="0"/>
              </wp:wrapPolygon>
            </wp:wrapTight>
            <wp:docPr id="4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20615" cy="2531110"/>
                    </a:xfrm>
                    <a:prstGeom prst="rect">
                      <a:avLst/>
                    </a:prstGeom>
                    <a:noFill/>
                  </pic:spPr>
                </pic:pic>
              </a:graphicData>
            </a:graphic>
          </wp:anchor>
        </w:drawing>
      </w:r>
      <w:r>
        <w:rPr>
          <w:rFonts w:ascii="仿宋" w:hAnsi="仿宋" w:eastAsia="仿宋"/>
          <w:color w:val="000000"/>
          <w:sz w:val="24"/>
          <w:szCs w:val="24"/>
        </w:rPr>
        <w:t>图1-9 停牌申请示例1</w:t>
      </w:r>
    </w:p>
    <w:p>
      <w:pPr>
        <w:spacing w:line="560" w:lineRule="exact"/>
        <w:ind w:firstLine="420" w:firstLineChars="200"/>
        <w:rPr>
          <w:rFonts w:ascii="仿宋" w:hAnsi="仿宋" w:eastAsia="仿宋"/>
          <w:color w:val="000000"/>
          <w:sz w:val="28"/>
          <w:szCs w:val="28"/>
        </w:rPr>
      </w:pPr>
      <w:r>
        <w:drawing>
          <wp:anchor distT="0" distB="0" distL="114300" distR="114300" simplePos="0" relativeHeight="251659264" behindDoc="1" locked="0" layoutInCell="1" allowOverlap="1">
            <wp:simplePos x="0" y="0"/>
            <wp:positionH relativeFrom="column">
              <wp:posOffset>203200</wp:posOffset>
            </wp:positionH>
            <wp:positionV relativeFrom="paragraph">
              <wp:posOffset>345440</wp:posOffset>
            </wp:positionV>
            <wp:extent cx="4819015" cy="2552700"/>
            <wp:effectExtent l="0" t="0" r="635" b="0"/>
            <wp:wrapNone/>
            <wp:docPr id="4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819015" cy="2552700"/>
                    </a:xfrm>
                    <a:prstGeom prst="rect">
                      <a:avLst/>
                    </a:prstGeom>
                    <a:noFill/>
                  </pic:spPr>
                </pic:pic>
              </a:graphicData>
            </a:graphic>
          </wp:anchor>
        </w:drawing>
      </w:r>
      <w:r>
        <w:rPr>
          <w:rFonts w:ascii="仿宋" w:hAnsi="仿宋" w:eastAsia="仿宋"/>
          <w:color w:val="000000"/>
          <w:sz w:val="32"/>
          <w:szCs w:val="28"/>
        </w:rPr>
        <w:t>点击</w:t>
      </w:r>
      <w:r>
        <w:rPr>
          <w:rFonts w:hint="eastAsia" w:ascii="仿宋" w:hAnsi="仿宋" w:eastAsia="仿宋"/>
          <w:color w:val="000000"/>
          <w:sz w:val="32"/>
          <w:szCs w:val="28"/>
        </w:rPr>
        <w:t>“</w:t>
      </w:r>
      <w:r>
        <w:rPr>
          <w:rFonts w:ascii="仿宋" w:hAnsi="仿宋" w:eastAsia="仿宋"/>
          <w:color w:val="000000"/>
          <w:sz w:val="32"/>
          <w:szCs w:val="28"/>
        </w:rPr>
        <w:t>新增临时停牌申请</w:t>
      </w:r>
      <w:r>
        <w:rPr>
          <w:rFonts w:hint="eastAsia" w:ascii="仿宋" w:hAnsi="仿宋" w:eastAsia="仿宋"/>
          <w:color w:val="000000"/>
          <w:sz w:val="32"/>
          <w:szCs w:val="28"/>
        </w:rPr>
        <w:t>”</w:t>
      </w:r>
      <w:r>
        <w:rPr>
          <w:rFonts w:ascii="仿宋" w:hAnsi="仿宋" w:eastAsia="仿宋"/>
          <w:color w:val="000000"/>
          <w:sz w:val="32"/>
          <w:szCs w:val="28"/>
        </w:rPr>
        <w:t>，如图1-10所示：</w:t>
      </w:r>
    </w:p>
    <w:p>
      <w:pPr>
        <w:spacing w:line="560" w:lineRule="exact"/>
        <w:ind w:firstLine="560" w:firstLineChars="200"/>
        <w:rPr>
          <w:rFonts w:ascii="Times New Roman" w:hAnsi="Times New Roman" w:eastAsia="方正仿宋简体"/>
          <w:color w:val="000000"/>
          <w:sz w:val="28"/>
          <w:szCs w:val="28"/>
        </w:rPr>
      </w:pPr>
    </w:p>
    <w:p>
      <w:pPr>
        <w:spacing w:line="560" w:lineRule="exact"/>
        <w:ind w:firstLine="560" w:firstLineChars="200"/>
        <w:rPr>
          <w:rFonts w:ascii="Times New Roman" w:hAnsi="Times New Roman" w:eastAsia="方正仿宋简体"/>
          <w:color w:val="000000"/>
          <w:sz w:val="28"/>
          <w:szCs w:val="28"/>
        </w:rPr>
      </w:pPr>
    </w:p>
    <w:p>
      <w:pPr>
        <w:spacing w:line="560" w:lineRule="exact"/>
        <w:ind w:firstLine="560" w:firstLineChars="200"/>
        <w:rPr>
          <w:rFonts w:ascii="Times New Roman" w:hAnsi="Times New Roman" w:eastAsia="方正仿宋简体"/>
          <w:color w:val="000000"/>
          <w:sz w:val="28"/>
          <w:szCs w:val="28"/>
        </w:rPr>
      </w:pPr>
    </w:p>
    <w:p>
      <w:pPr>
        <w:spacing w:line="560" w:lineRule="exact"/>
        <w:ind w:firstLine="560" w:firstLineChars="200"/>
        <w:rPr>
          <w:rFonts w:ascii="Times New Roman" w:hAnsi="Times New Roman" w:eastAsia="方正仿宋简体"/>
          <w:color w:val="000000"/>
          <w:sz w:val="28"/>
          <w:szCs w:val="28"/>
        </w:rPr>
      </w:pPr>
    </w:p>
    <w:p>
      <w:pPr>
        <w:spacing w:line="560" w:lineRule="exact"/>
        <w:ind w:firstLine="560" w:firstLineChars="200"/>
        <w:rPr>
          <w:rFonts w:ascii="Times New Roman" w:hAnsi="Times New Roman" w:eastAsia="方正仿宋简体"/>
          <w:color w:val="000000"/>
          <w:sz w:val="28"/>
          <w:szCs w:val="28"/>
        </w:rPr>
      </w:pPr>
    </w:p>
    <w:p>
      <w:pPr>
        <w:spacing w:line="560" w:lineRule="exact"/>
        <w:ind w:firstLine="560" w:firstLineChars="200"/>
        <w:rPr>
          <w:rFonts w:ascii="Times New Roman" w:hAnsi="Times New Roman" w:eastAsia="方正仿宋简体"/>
          <w:color w:val="000000"/>
          <w:sz w:val="28"/>
          <w:szCs w:val="28"/>
        </w:rPr>
      </w:pPr>
    </w:p>
    <w:p>
      <w:pPr>
        <w:snapToGrid w:val="0"/>
        <w:spacing w:line="560" w:lineRule="exact"/>
        <w:ind w:firstLine="480" w:firstLineChars="200"/>
        <w:contextualSpacing/>
        <w:jc w:val="center"/>
        <w:rPr>
          <w:rFonts w:ascii="Times New Roman" w:hAnsi="Times New Roman" w:eastAsia="方正仿宋简体"/>
          <w:color w:val="000000"/>
          <w:sz w:val="24"/>
          <w:szCs w:val="24"/>
        </w:rPr>
      </w:pPr>
    </w:p>
    <w:p>
      <w:pPr>
        <w:snapToGrid w:val="0"/>
        <w:spacing w:line="560" w:lineRule="exact"/>
        <w:ind w:firstLine="480" w:firstLineChars="200"/>
        <w:contextualSpacing/>
        <w:jc w:val="center"/>
        <w:rPr>
          <w:rFonts w:ascii="仿宋" w:hAnsi="仿宋" w:eastAsia="仿宋"/>
          <w:color w:val="000000"/>
          <w:sz w:val="24"/>
          <w:szCs w:val="24"/>
        </w:rPr>
      </w:pPr>
      <w:r>
        <w:rPr>
          <w:rFonts w:ascii="仿宋" w:hAnsi="仿宋" w:eastAsia="仿宋"/>
          <w:color w:val="000000"/>
          <w:sz w:val="24"/>
          <w:szCs w:val="24"/>
        </w:rPr>
        <w:t>图1-10 停牌申请示例2</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填写</w:t>
      </w:r>
      <w:r>
        <w:rPr>
          <w:rFonts w:hint="eastAsia" w:ascii="仿宋" w:hAnsi="仿宋" w:eastAsia="仿宋"/>
          <w:color w:val="000000"/>
          <w:sz w:val="32"/>
          <w:szCs w:val="28"/>
        </w:rPr>
        <w:t>“</w:t>
      </w:r>
      <w:r>
        <w:rPr>
          <w:rFonts w:ascii="仿宋" w:hAnsi="仿宋" w:eastAsia="仿宋"/>
          <w:color w:val="000000"/>
          <w:sz w:val="32"/>
          <w:szCs w:val="28"/>
        </w:rPr>
        <w:t>停牌日期</w:t>
      </w:r>
      <w:r>
        <w:rPr>
          <w:rFonts w:hint="eastAsia" w:ascii="仿宋" w:hAnsi="仿宋" w:eastAsia="仿宋"/>
          <w:color w:val="000000"/>
          <w:sz w:val="32"/>
          <w:szCs w:val="28"/>
        </w:rPr>
        <w:t>”“</w:t>
      </w:r>
      <w:r>
        <w:rPr>
          <w:rFonts w:ascii="仿宋" w:hAnsi="仿宋" w:eastAsia="仿宋"/>
          <w:color w:val="000000"/>
          <w:sz w:val="32"/>
          <w:szCs w:val="28"/>
        </w:rPr>
        <w:t>停牌时间</w:t>
      </w:r>
      <w:r>
        <w:rPr>
          <w:rFonts w:hint="eastAsia" w:ascii="仿宋" w:hAnsi="仿宋" w:eastAsia="仿宋"/>
          <w:color w:val="000000"/>
          <w:sz w:val="32"/>
          <w:szCs w:val="28"/>
        </w:rPr>
        <w:t>”“</w:t>
      </w:r>
      <w:r>
        <w:rPr>
          <w:rFonts w:ascii="仿宋" w:hAnsi="仿宋" w:eastAsia="仿宋"/>
          <w:color w:val="000000"/>
          <w:sz w:val="32"/>
          <w:szCs w:val="28"/>
        </w:rPr>
        <w:t>停牌说明</w:t>
      </w:r>
      <w:r>
        <w:rPr>
          <w:rFonts w:hint="eastAsia" w:ascii="仿宋" w:hAnsi="仿宋" w:eastAsia="仿宋"/>
          <w:color w:val="000000"/>
          <w:sz w:val="32"/>
          <w:szCs w:val="28"/>
        </w:rPr>
        <w:t>”</w:t>
      </w:r>
      <w:r>
        <w:rPr>
          <w:rFonts w:ascii="仿宋" w:hAnsi="仿宋" w:eastAsia="仿宋"/>
          <w:color w:val="000000"/>
          <w:sz w:val="32"/>
          <w:szCs w:val="28"/>
        </w:rPr>
        <w:t>，然后提交即可。</w:t>
      </w:r>
    </w:p>
    <w:p>
      <w:pPr>
        <w:tabs>
          <w:tab w:val="left" w:pos="900"/>
        </w:tabs>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上市公司在无信息披露情形下申请停牌后，应当及时披露停牌公告。</w:t>
      </w:r>
    </w:p>
    <w:p>
      <w:pPr>
        <w:spacing w:line="560" w:lineRule="exact"/>
        <w:ind w:firstLine="640"/>
        <w:rPr>
          <w:rFonts w:ascii="仿宋" w:hAnsi="仿宋" w:eastAsia="仿宋"/>
          <w:sz w:val="32"/>
          <w:szCs w:val="20"/>
        </w:rPr>
      </w:pPr>
      <w:r>
        <w:rPr>
          <w:rFonts w:ascii="仿宋" w:hAnsi="仿宋" w:eastAsia="仿宋"/>
          <w:sz w:val="32"/>
          <w:szCs w:val="20"/>
        </w:rPr>
        <w:t>（7）公告提交</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经办人对所有的公告类别逐一自查后，点击</w:t>
      </w:r>
      <w:r>
        <w:rPr>
          <w:rFonts w:hint="eastAsia" w:ascii="仿宋" w:hAnsi="仿宋" w:eastAsia="仿宋"/>
          <w:color w:val="000000"/>
          <w:sz w:val="32"/>
          <w:szCs w:val="28"/>
        </w:rPr>
        <w:t>“</w:t>
      </w:r>
      <w:r>
        <w:rPr>
          <w:rFonts w:ascii="仿宋" w:hAnsi="仿宋" w:eastAsia="仿宋"/>
          <w:color w:val="000000"/>
          <w:sz w:val="32"/>
          <w:szCs w:val="28"/>
        </w:rPr>
        <w:t>信息披露申请</w:t>
      </w:r>
      <w:r>
        <w:rPr>
          <w:rFonts w:hint="eastAsia" w:ascii="仿宋" w:hAnsi="仿宋" w:eastAsia="仿宋"/>
          <w:color w:val="000000"/>
          <w:sz w:val="32"/>
          <w:szCs w:val="28"/>
        </w:rPr>
        <w:t>”</w:t>
      </w:r>
      <w:r>
        <w:rPr>
          <w:rFonts w:ascii="仿宋" w:hAnsi="仿宋" w:eastAsia="仿宋"/>
          <w:color w:val="000000"/>
          <w:sz w:val="32"/>
          <w:szCs w:val="28"/>
        </w:rPr>
        <w:t>页面的</w:t>
      </w:r>
      <w:r>
        <w:rPr>
          <w:rFonts w:hint="eastAsia" w:ascii="仿宋" w:hAnsi="仿宋" w:eastAsia="仿宋"/>
          <w:color w:val="000000"/>
          <w:sz w:val="32"/>
          <w:szCs w:val="28"/>
        </w:rPr>
        <w:t>“</w:t>
      </w:r>
      <w:r>
        <w:rPr>
          <w:rFonts w:ascii="仿宋" w:hAnsi="仿宋" w:eastAsia="仿宋"/>
          <w:color w:val="000000"/>
          <w:sz w:val="32"/>
          <w:szCs w:val="28"/>
        </w:rPr>
        <w:t>下一步</w:t>
      </w:r>
      <w:r>
        <w:rPr>
          <w:rFonts w:hint="eastAsia" w:ascii="仿宋" w:hAnsi="仿宋" w:eastAsia="仿宋"/>
          <w:color w:val="000000"/>
          <w:sz w:val="32"/>
          <w:szCs w:val="28"/>
        </w:rPr>
        <w:t>”</w:t>
      </w:r>
      <w:r>
        <w:rPr>
          <w:rFonts w:ascii="仿宋" w:hAnsi="仿宋" w:eastAsia="仿宋"/>
          <w:color w:val="000000"/>
          <w:sz w:val="32"/>
          <w:szCs w:val="28"/>
        </w:rPr>
        <w:t>按钮，将显示</w:t>
      </w:r>
      <w:r>
        <w:rPr>
          <w:rFonts w:hint="eastAsia" w:ascii="仿宋" w:hAnsi="仿宋" w:eastAsia="仿宋"/>
          <w:color w:val="000000"/>
          <w:sz w:val="32"/>
          <w:szCs w:val="28"/>
        </w:rPr>
        <w:t>“</w:t>
      </w:r>
      <w:r>
        <w:rPr>
          <w:rFonts w:ascii="仿宋" w:hAnsi="仿宋" w:eastAsia="仿宋"/>
          <w:color w:val="000000"/>
          <w:sz w:val="32"/>
          <w:szCs w:val="28"/>
        </w:rPr>
        <w:t>提交</w:t>
      </w:r>
      <w:r>
        <w:rPr>
          <w:rFonts w:hint="eastAsia" w:ascii="仿宋" w:hAnsi="仿宋" w:eastAsia="仿宋"/>
          <w:color w:val="000000"/>
          <w:sz w:val="32"/>
          <w:szCs w:val="28"/>
        </w:rPr>
        <w:t>”</w:t>
      </w:r>
      <w:r>
        <w:rPr>
          <w:rFonts w:ascii="仿宋" w:hAnsi="仿宋" w:eastAsia="仿宋"/>
          <w:color w:val="000000"/>
          <w:sz w:val="32"/>
          <w:szCs w:val="28"/>
        </w:rPr>
        <w:t>页面。</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提交页面在</w:t>
      </w:r>
      <w:r>
        <w:rPr>
          <w:rFonts w:hint="eastAsia" w:ascii="仿宋" w:hAnsi="仿宋" w:eastAsia="仿宋"/>
          <w:color w:val="000000"/>
          <w:sz w:val="32"/>
          <w:szCs w:val="28"/>
        </w:rPr>
        <w:t>“</w:t>
      </w:r>
      <w:r>
        <w:rPr>
          <w:rFonts w:ascii="仿宋" w:hAnsi="仿宋" w:eastAsia="仿宋"/>
          <w:color w:val="000000"/>
          <w:sz w:val="32"/>
          <w:szCs w:val="28"/>
        </w:rPr>
        <w:t>信息披露申请</w:t>
      </w:r>
      <w:r>
        <w:rPr>
          <w:rFonts w:hint="eastAsia" w:ascii="仿宋" w:hAnsi="仿宋" w:eastAsia="仿宋"/>
          <w:color w:val="000000"/>
          <w:sz w:val="32"/>
          <w:szCs w:val="28"/>
        </w:rPr>
        <w:t>”</w:t>
      </w:r>
      <w:r>
        <w:rPr>
          <w:rFonts w:ascii="仿宋" w:hAnsi="仿宋" w:eastAsia="仿宋"/>
          <w:color w:val="000000"/>
          <w:sz w:val="32"/>
          <w:szCs w:val="28"/>
        </w:rPr>
        <w:t>页面中增加已添加公告类别的自查结果的内容，供经办人确认。经办人如不予确认，可以返回进行修改。</w:t>
      </w:r>
    </w:p>
    <w:p>
      <w:pPr>
        <w:snapToGrid w:val="0"/>
        <w:spacing w:line="560" w:lineRule="exact"/>
        <w:ind w:firstLine="640" w:firstLineChars="200"/>
        <w:contextualSpacing/>
        <w:rPr>
          <w:rFonts w:ascii="仿宋" w:hAnsi="仿宋" w:eastAsia="仿宋"/>
          <w:color w:val="000000"/>
          <w:sz w:val="28"/>
          <w:szCs w:val="28"/>
        </w:rPr>
      </w:pPr>
      <w:r>
        <w:rPr>
          <w:rFonts w:ascii="仿宋" w:hAnsi="仿宋" w:eastAsia="仿宋"/>
          <w:color w:val="000000"/>
          <w:sz w:val="32"/>
          <w:szCs w:val="28"/>
        </w:rPr>
        <w:t>确认后点击</w:t>
      </w:r>
      <w:r>
        <w:rPr>
          <w:rFonts w:hint="eastAsia" w:ascii="仿宋" w:hAnsi="仿宋" w:eastAsia="仿宋"/>
          <w:color w:val="000000"/>
          <w:sz w:val="32"/>
          <w:szCs w:val="28"/>
        </w:rPr>
        <w:t>“</w:t>
      </w:r>
      <w:r>
        <w:rPr>
          <w:rFonts w:ascii="仿宋" w:hAnsi="仿宋" w:eastAsia="仿宋"/>
          <w:color w:val="000000"/>
          <w:sz w:val="32"/>
          <w:szCs w:val="28"/>
        </w:rPr>
        <w:t>提交</w:t>
      </w:r>
      <w:r>
        <w:rPr>
          <w:rFonts w:hint="eastAsia" w:ascii="仿宋" w:hAnsi="仿宋" w:eastAsia="仿宋"/>
          <w:color w:val="000000"/>
          <w:sz w:val="32"/>
          <w:szCs w:val="28"/>
        </w:rPr>
        <w:t>”</w:t>
      </w:r>
      <w:r>
        <w:rPr>
          <w:rFonts w:ascii="仿宋" w:hAnsi="仿宋" w:eastAsia="仿宋"/>
          <w:color w:val="000000"/>
          <w:sz w:val="32"/>
          <w:szCs w:val="28"/>
        </w:rPr>
        <w:t>按钮，此时系统将全面检查该信息披露申请是否满足直通披露的要求。如果上市公司处于停牌状态，则还需要关注是否需要复牌，同时系统也将进行提示，如图1-11所示：</w:t>
      </w:r>
    </w:p>
    <w:p>
      <w:pPr>
        <w:spacing w:line="560" w:lineRule="exact"/>
        <w:ind w:firstLine="420"/>
        <w:jc w:val="center"/>
        <w:rPr>
          <w:rFonts w:ascii="仿宋" w:hAnsi="仿宋" w:eastAsia="仿宋"/>
          <w:color w:val="000000"/>
          <w:sz w:val="28"/>
          <w:szCs w:val="28"/>
        </w:rPr>
      </w:pPr>
      <w:r>
        <w:drawing>
          <wp:anchor distT="0" distB="0" distL="114300" distR="114300" simplePos="0" relativeHeight="251663360" behindDoc="0" locked="0" layoutInCell="1" allowOverlap="1">
            <wp:simplePos x="0" y="0"/>
            <wp:positionH relativeFrom="column">
              <wp:posOffset>175260</wp:posOffset>
            </wp:positionH>
            <wp:positionV relativeFrom="paragraph">
              <wp:posOffset>77470</wp:posOffset>
            </wp:positionV>
            <wp:extent cx="5039995" cy="2520315"/>
            <wp:effectExtent l="0" t="0" r="8255" b="0"/>
            <wp:wrapTopAndBottom/>
            <wp:docPr id="47" name="图片 10"/>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039995" cy="2520315"/>
                    </a:xfrm>
                    <a:prstGeom prst="rect">
                      <a:avLst/>
                    </a:prstGeom>
                    <a:noFill/>
                  </pic:spPr>
                </pic:pic>
              </a:graphicData>
            </a:graphic>
          </wp:anchor>
        </w:drawing>
      </w:r>
      <w:r>
        <w:rPr>
          <w:rFonts w:ascii="仿宋" w:hAnsi="仿宋" w:eastAsia="仿宋"/>
          <w:color w:val="000000"/>
          <w:sz w:val="24"/>
          <w:szCs w:val="24"/>
        </w:rPr>
        <w:t>图1-11 公告提交示例</w:t>
      </w:r>
    </w:p>
    <w:p>
      <w:pPr>
        <w:tabs>
          <w:tab w:val="left" w:pos="900"/>
        </w:tabs>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上市公司如需申请股票停复牌，则必须返回</w:t>
      </w:r>
      <w:r>
        <w:rPr>
          <w:rFonts w:hint="eastAsia" w:ascii="仿宋" w:hAnsi="仿宋" w:eastAsia="仿宋"/>
          <w:color w:val="000000"/>
          <w:sz w:val="32"/>
          <w:szCs w:val="28"/>
        </w:rPr>
        <w:t>“</w:t>
      </w:r>
      <w:r>
        <w:rPr>
          <w:rFonts w:ascii="仿宋" w:hAnsi="仿宋" w:eastAsia="仿宋"/>
          <w:color w:val="000000"/>
          <w:sz w:val="32"/>
          <w:szCs w:val="28"/>
        </w:rPr>
        <w:t>信息披露申请</w:t>
      </w:r>
      <w:r>
        <w:rPr>
          <w:rFonts w:hint="eastAsia" w:ascii="仿宋" w:hAnsi="仿宋" w:eastAsia="仿宋"/>
          <w:color w:val="000000"/>
          <w:sz w:val="32"/>
          <w:szCs w:val="28"/>
        </w:rPr>
        <w:t>”</w:t>
      </w:r>
      <w:r>
        <w:rPr>
          <w:rFonts w:ascii="仿宋" w:hAnsi="仿宋" w:eastAsia="仿宋"/>
          <w:color w:val="000000"/>
          <w:sz w:val="32"/>
          <w:szCs w:val="28"/>
        </w:rPr>
        <w:t>页面勾选</w:t>
      </w:r>
      <w:r>
        <w:rPr>
          <w:rFonts w:hint="eastAsia" w:ascii="仿宋" w:hAnsi="仿宋" w:eastAsia="仿宋"/>
          <w:color w:val="000000"/>
          <w:sz w:val="32"/>
          <w:szCs w:val="28"/>
        </w:rPr>
        <w:t>“</w:t>
      </w:r>
      <w:r>
        <w:rPr>
          <w:rFonts w:ascii="仿宋" w:hAnsi="仿宋" w:eastAsia="仿宋"/>
          <w:color w:val="000000"/>
          <w:sz w:val="32"/>
          <w:szCs w:val="28"/>
        </w:rPr>
        <w:t>申请停复牌</w:t>
      </w:r>
      <w:r>
        <w:rPr>
          <w:rFonts w:hint="eastAsia" w:ascii="仿宋" w:hAnsi="仿宋" w:eastAsia="仿宋"/>
          <w:color w:val="000000"/>
          <w:sz w:val="32"/>
          <w:szCs w:val="28"/>
        </w:rPr>
        <w:t>”</w:t>
      </w:r>
      <w:r>
        <w:rPr>
          <w:rFonts w:ascii="仿宋" w:hAnsi="仿宋" w:eastAsia="仿宋"/>
          <w:color w:val="000000"/>
          <w:sz w:val="32"/>
          <w:szCs w:val="28"/>
        </w:rPr>
        <w:t>，并设置停复牌日期和时间，同时添加与停复牌业务相关的公告类别。</w:t>
      </w:r>
    </w:p>
    <w:p>
      <w:pPr>
        <w:spacing w:line="560" w:lineRule="exact"/>
        <w:ind w:firstLine="640"/>
        <w:rPr>
          <w:rFonts w:ascii="仿宋" w:hAnsi="仿宋" w:eastAsia="仿宋"/>
          <w:sz w:val="32"/>
          <w:szCs w:val="20"/>
        </w:rPr>
      </w:pPr>
      <w:r>
        <w:rPr>
          <w:rFonts w:ascii="仿宋" w:hAnsi="仿宋" w:eastAsia="仿宋"/>
          <w:sz w:val="32"/>
          <w:szCs w:val="20"/>
        </w:rPr>
        <w:t>（8）公告复核（直通披露适用）</w:t>
      </w:r>
    </w:p>
    <w:p>
      <w:pPr>
        <w:snapToGrid w:val="0"/>
        <w:spacing w:line="560" w:lineRule="exact"/>
        <w:ind w:firstLine="640" w:firstLineChars="200"/>
        <w:contextualSpacing/>
        <w:rPr>
          <w:rFonts w:ascii="仿宋" w:hAnsi="仿宋" w:eastAsia="仿宋"/>
          <w:color w:val="000000"/>
          <w:sz w:val="28"/>
          <w:szCs w:val="28"/>
        </w:rPr>
      </w:pPr>
      <w:r>
        <w:rPr>
          <w:rFonts w:ascii="仿宋" w:hAnsi="仿宋" w:eastAsia="仿宋"/>
          <w:color w:val="000000"/>
          <w:sz w:val="32"/>
          <w:szCs w:val="28"/>
        </w:rPr>
        <w:t>上市公司经办人提交申请后，如果该信息披露申请符合直通披露标准，系统将显示如图1-12所示页面：</w:t>
      </w:r>
    </w:p>
    <w:p>
      <w:pPr>
        <w:snapToGrid w:val="0"/>
        <w:spacing w:line="560" w:lineRule="exact"/>
        <w:contextualSpacing/>
        <w:jc w:val="center"/>
        <w:rPr>
          <w:rFonts w:ascii="仿宋" w:hAnsi="仿宋" w:eastAsia="仿宋"/>
          <w:color w:val="000000"/>
          <w:sz w:val="24"/>
          <w:szCs w:val="24"/>
        </w:rPr>
      </w:pPr>
      <w:r>
        <w:drawing>
          <wp:anchor distT="0" distB="0" distL="114300" distR="114300" simplePos="0" relativeHeight="251664384" behindDoc="0" locked="0" layoutInCell="1" allowOverlap="1">
            <wp:simplePos x="0" y="0"/>
            <wp:positionH relativeFrom="column">
              <wp:posOffset>95885</wp:posOffset>
            </wp:positionH>
            <wp:positionV relativeFrom="paragraph">
              <wp:posOffset>34925</wp:posOffset>
            </wp:positionV>
            <wp:extent cx="4967605" cy="2789555"/>
            <wp:effectExtent l="0" t="0" r="4445" b="0"/>
            <wp:wrapTopAndBottom/>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967605" cy="2789555"/>
                    </a:xfrm>
                    <a:prstGeom prst="rect">
                      <a:avLst/>
                    </a:prstGeom>
                    <a:noFill/>
                  </pic:spPr>
                </pic:pic>
              </a:graphicData>
            </a:graphic>
          </wp:anchor>
        </w:drawing>
      </w:r>
      <w:r>
        <w:rPr>
          <w:rFonts w:ascii="仿宋" w:hAnsi="仿宋" w:eastAsia="仿宋"/>
          <w:color w:val="000000"/>
          <w:sz w:val="24"/>
          <w:szCs w:val="24"/>
        </w:rPr>
        <w:t>图1-12 公告复核示例1</w:t>
      </w:r>
    </w:p>
    <w:p>
      <w:pPr>
        <w:snapToGrid w:val="0"/>
        <w:spacing w:line="560" w:lineRule="exact"/>
        <w:ind w:firstLine="640" w:firstLineChars="200"/>
        <w:contextualSpacing/>
        <w:rPr>
          <w:rFonts w:ascii="仿宋" w:hAnsi="仿宋" w:eastAsia="仿宋"/>
          <w:color w:val="000000"/>
          <w:sz w:val="28"/>
          <w:szCs w:val="28"/>
        </w:rPr>
      </w:pPr>
      <w:r>
        <w:rPr>
          <w:rFonts w:ascii="仿宋" w:hAnsi="仿宋" w:eastAsia="仿宋"/>
          <w:color w:val="000000"/>
          <w:sz w:val="32"/>
          <w:szCs w:val="28"/>
        </w:rPr>
        <w:t>上市公司内部复核人员应登录</w:t>
      </w:r>
      <w:r>
        <w:rPr>
          <w:rFonts w:hint="eastAsia" w:ascii="仿宋" w:hAnsi="仿宋" w:eastAsia="仿宋"/>
          <w:color w:val="000000"/>
          <w:sz w:val="32"/>
          <w:szCs w:val="28"/>
        </w:rPr>
        <w:t>“</w:t>
      </w:r>
      <w:r>
        <w:rPr>
          <w:rFonts w:ascii="仿宋" w:hAnsi="仿宋" w:eastAsia="仿宋"/>
          <w:color w:val="000000"/>
          <w:sz w:val="32"/>
          <w:szCs w:val="28"/>
        </w:rPr>
        <w:t>业务专区</w:t>
      </w:r>
      <w:r>
        <w:rPr>
          <w:rFonts w:hint="eastAsia" w:ascii="仿宋" w:hAnsi="仿宋" w:eastAsia="仿宋"/>
          <w:color w:val="000000"/>
          <w:sz w:val="32"/>
          <w:szCs w:val="28"/>
        </w:rPr>
        <w:t>”</w:t>
      </w:r>
      <w:r>
        <w:rPr>
          <w:rFonts w:ascii="仿宋" w:hAnsi="仿宋" w:eastAsia="仿宋"/>
          <w:color w:val="000000"/>
          <w:sz w:val="32"/>
          <w:szCs w:val="28"/>
        </w:rPr>
        <w:t>，进入</w:t>
      </w:r>
      <w:r>
        <w:rPr>
          <w:rFonts w:hint="eastAsia" w:ascii="仿宋" w:hAnsi="仿宋" w:eastAsia="仿宋"/>
          <w:color w:val="000000"/>
          <w:sz w:val="32"/>
          <w:szCs w:val="28"/>
        </w:rPr>
        <w:t>“</w:t>
      </w:r>
      <w:r>
        <w:rPr>
          <w:rFonts w:ascii="仿宋" w:hAnsi="仿宋" w:eastAsia="仿宋"/>
          <w:color w:val="000000"/>
          <w:sz w:val="32"/>
          <w:szCs w:val="28"/>
        </w:rPr>
        <w:t>信息披露业务—信息披露申请</w:t>
      </w:r>
      <w:r>
        <w:rPr>
          <w:rFonts w:hint="eastAsia" w:ascii="仿宋" w:hAnsi="仿宋" w:eastAsia="仿宋"/>
          <w:color w:val="000000"/>
          <w:sz w:val="32"/>
          <w:szCs w:val="28"/>
        </w:rPr>
        <w:t>”</w:t>
      </w:r>
      <w:r>
        <w:rPr>
          <w:rFonts w:ascii="仿宋" w:hAnsi="仿宋" w:eastAsia="仿宋"/>
          <w:color w:val="000000"/>
          <w:sz w:val="32"/>
          <w:szCs w:val="28"/>
        </w:rPr>
        <w:t>，如图1-13所示：</w:t>
      </w:r>
    </w:p>
    <w:p>
      <w:pPr>
        <w:snapToGrid w:val="0"/>
        <w:spacing w:line="560" w:lineRule="exact"/>
        <w:ind w:firstLine="420"/>
        <w:contextualSpacing/>
        <w:jc w:val="center"/>
        <w:rPr>
          <w:rFonts w:ascii="仿宋" w:hAnsi="仿宋" w:eastAsia="仿宋"/>
          <w:color w:val="000000"/>
          <w:sz w:val="24"/>
          <w:szCs w:val="24"/>
        </w:rPr>
      </w:pPr>
      <w:r>
        <w:drawing>
          <wp:anchor distT="0" distB="0" distL="114300" distR="114300" simplePos="0" relativeHeight="251668480" behindDoc="0" locked="0" layoutInCell="1" allowOverlap="1">
            <wp:simplePos x="0" y="0"/>
            <wp:positionH relativeFrom="column">
              <wp:posOffset>144780</wp:posOffset>
            </wp:positionH>
            <wp:positionV relativeFrom="paragraph">
              <wp:posOffset>157480</wp:posOffset>
            </wp:positionV>
            <wp:extent cx="4914265" cy="1630680"/>
            <wp:effectExtent l="0" t="0" r="635" b="7620"/>
            <wp:wrapTopAndBottom/>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914265" cy="1630680"/>
                    </a:xfrm>
                    <a:prstGeom prst="rect">
                      <a:avLst/>
                    </a:prstGeom>
                    <a:noFill/>
                  </pic:spPr>
                </pic:pic>
              </a:graphicData>
            </a:graphic>
          </wp:anchor>
        </w:drawing>
      </w:r>
      <w:r>
        <w:rPr>
          <w:rFonts w:ascii="仿宋" w:hAnsi="仿宋" w:eastAsia="仿宋"/>
          <w:color w:val="000000"/>
          <w:sz w:val="24"/>
          <w:szCs w:val="24"/>
        </w:rPr>
        <w:t>图1-13 公告复核示例2</w:t>
      </w:r>
    </w:p>
    <w:p>
      <w:pPr>
        <w:tabs>
          <w:tab w:val="left" w:pos="7920"/>
        </w:tabs>
        <w:spacing w:line="560" w:lineRule="exact"/>
        <w:ind w:firstLine="640" w:firstLineChars="200"/>
        <w:rPr>
          <w:rFonts w:ascii="仿宋" w:hAnsi="仿宋" w:eastAsia="仿宋"/>
          <w:color w:val="000000"/>
          <w:kern w:val="0"/>
          <w:sz w:val="28"/>
          <w:szCs w:val="28"/>
        </w:rPr>
      </w:pPr>
      <w:r>
        <w:rPr>
          <w:rFonts w:ascii="仿宋" w:hAnsi="仿宋" w:eastAsia="仿宋"/>
          <w:color w:val="000000"/>
          <w:kern w:val="0"/>
          <w:sz w:val="32"/>
          <w:szCs w:val="28"/>
        </w:rPr>
        <w:t>上市公司内部复核人员点击</w:t>
      </w:r>
      <w:r>
        <w:rPr>
          <w:rFonts w:hint="eastAsia" w:ascii="仿宋" w:hAnsi="仿宋" w:eastAsia="仿宋"/>
          <w:color w:val="000000"/>
          <w:kern w:val="0"/>
          <w:sz w:val="32"/>
          <w:szCs w:val="28"/>
        </w:rPr>
        <w:t>“</w:t>
      </w:r>
      <w:r>
        <w:rPr>
          <w:rFonts w:ascii="仿宋" w:hAnsi="仿宋" w:eastAsia="仿宋"/>
          <w:color w:val="000000"/>
          <w:kern w:val="0"/>
          <w:sz w:val="32"/>
          <w:szCs w:val="28"/>
        </w:rPr>
        <w:t>复核</w:t>
      </w:r>
      <w:r>
        <w:rPr>
          <w:rFonts w:hint="eastAsia" w:ascii="仿宋" w:hAnsi="仿宋" w:eastAsia="仿宋"/>
          <w:color w:val="000000"/>
          <w:kern w:val="0"/>
          <w:sz w:val="32"/>
          <w:szCs w:val="28"/>
        </w:rPr>
        <w:t>”</w:t>
      </w:r>
      <w:r>
        <w:rPr>
          <w:rFonts w:ascii="仿宋" w:hAnsi="仿宋" w:eastAsia="仿宋"/>
          <w:color w:val="000000"/>
          <w:kern w:val="0"/>
          <w:sz w:val="32"/>
          <w:szCs w:val="28"/>
        </w:rPr>
        <w:t>，对上述信息披露公告进行复核，确保公告文件、公告类别、报备文件、填报数据项等准确性和完整性。如发现问题，点击</w:t>
      </w:r>
      <w:r>
        <w:rPr>
          <w:rFonts w:hint="eastAsia" w:ascii="仿宋" w:hAnsi="仿宋" w:eastAsia="仿宋"/>
          <w:color w:val="000000"/>
          <w:kern w:val="0"/>
          <w:sz w:val="32"/>
          <w:szCs w:val="28"/>
        </w:rPr>
        <w:t>“</w:t>
      </w:r>
      <w:r>
        <w:rPr>
          <w:rFonts w:ascii="仿宋" w:hAnsi="仿宋" w:eastAsia="仿宋"/>
          <w:color w:val="000000"/>
          <w:kern w:val="0"/>
          <w:sz w:val="32"/>
          <w:szCs w:val="28"/>
        </w:rPr>
        <w:t>复核不通过</w:t>
      </w:r>
      <w:r>
        <w:rPr>
          <w:rFonts w:hint="eastAsia" w:ascii="仿宋" w:hAnsi="仿宋" w:eastAsia="仿宋"/>
          <w:color w:val="000000"/>
          <w:kern w:val="0"/>
          <w:sz w:val="32"/>
          <w:szCs w:val="28"/>
        </w:rPr>
        <w:t>”</w:t>
      </w:r>
      <w:r>
        <w:rPr>
          <w:rFonts w:ascii="仿宋" w:hAnsi="仿宋" w:eastAsia="仿宋"/>
          <w:color w:val="000000"/>
          <w:kern w:val="0"/>
          <w:sz w:val="32"/>
          <w:szCs w:val="28"/>
        </w:rPr>
        <w:t>，信息披露申请审查状态将变更为</w:t>
      </w:r>
      <w:r>
        <w:rPr>
          <w:rFonts w:hint="eastAsia" w:ascii="仿宋" w:hAnsi="仿宋" w:eastAsia="仿宋"/>
          <w:color w:val="000000"/>
          <w:kern w:val="0"/>
          <w:sz w:val="32"/>
          <w:szCs w:val="28"/>
        </w:rPr>
        <w:t>“</w:t>
      </w:r>
      <w:r>
        <w:rPr>
          <w:rFonts w:ascii="仿宋" w:hAnsi="仿宋" w:eastAsia="仿宋"/>
          <w:color w:val="000000"/>
          <w:kern w:val="0"/>
          <w:sz w:val="32"/>
          <w:szCs w:val="28"/>
        </w:rPr>
        <w:t>复核不通过，须修改</w:t>
      </w:r>
      <w:r>
        <w:rPr>
          <w:rFonts w:hint="eastAsia" w:ascii="仿宋" w:hAnsi="仿宋" w:eastAsia="仿宋"/>
          <w:color w:val="000000"/>
          <w:kern w:val="0"/>
          <w:sz w:val="32"/>
          <w:szCs w:val="28"/>
        </w:rPr>
        <w:t>”</w:t>
      </w:r>
      <w:r>
        <w:rPr>
          <w:rFonts w:ascii="仿宋" w:hAnsi="仿宋" w:eastAsia="仿宋"/>
          <w:color w:val="000000"/>
          <w:kern w:val="0"/>
          <w:sz w:val="32"/>
          <w:szCs w:val="28"/>
        </w:rPr>
        <w:t>，流程将退回至上市公司经办人。如图1-14所示：</w:t>
      </w:r>
    </w:p>
    <w:p>
      <w:pPr>
        <w:tabs>
          <w:tab w:val="left" w:pos="7920"/>
        </w:tabs>
        <w:spacing w:line="560" w:lineRule="exact"/>
        <w:ind w:firstLine="420"/>
        <w:rPr>
          <w:rFonts w:ascii="Times New Roman" w:hAnsi="Times New Roman" w:eastAsia="仿宋"/>
          <w:color w:val="000000"/>
          <w:sz w:val="28"/>
          <w:szCs w:val="28"/>
        </w:rPr>
      </w:pPr>
      <w:r>
        <w:drawing>
          <wp:anchor distT="0" distB="0" distL="114300" distR="114300" simplePos="0" relativeHeight="251679744" behindDoc="1" locked="0" layoutInCell="1" allowOverlap="1">
            <wp:simplePos x="0" y="0"/>
            <wp:positionH relativeFrom="column">
              <wp:posOffset>304800</wp:posOffset>
            </wp:positionH>
            <wp:positionV relativeFrom="paragraph">
              <wp:posOffset>78740</wp:posOffset>
            </wp:positionV>
            <wp:extent cx="4643120" cy="3877310"/>
            <wp:effectExtent l="0" t="0" r="5080" b="8890"/>
            <wp:wrapTight wrapText="bothSides">
              <wp:wrapPolygon>
                <wp:start x="0" y="0"/>
                <wp:lineTo x="0" y="21543"/>
                <wp:lineTo x="21535" y="21543"/>
                <wp:lineTo x="21535" y="0"/>
                <wp:lineTo x="0" y="0"/>
              </wp:wrapPolygon>
            </wp:wrapTight>
            <wp:docPr id="4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643120" cy="3877310"/>
                    </a:xfrm>
                    <a:prstGeom prst="rect">
                      <a:avLst/>
                    </a:prstGeom>
                    <a:noFill/>
                  </pic:spPr>
                </pic:pic>
              </a:graphicData>
            </a:graphic>
          </wp:anchor>
        </w:drawing>
      </w:r>
    </w:p>
    <w:p>
      <w:pPr>
        <w:tabs>
          <w:tab w:val="left" w:pos="7920"/>
        </w:tabs>
        <w:spacing w:line="560" w:lineRule="exact"/>
        <w:ind w:firstLine="420"/>
        <w:rPr>
          <w:rFonts w:ascii="Times New Roman" w:hAnsi="Times New Roman" w:eastAsia="仿宋"/>
          <w:color w:val="000000"/>
          <w:sz w:val="28"/>
          <w:szCs w:val="28"/>
        </w:rPr>
      </w:pPr>
    </w:p>
    <w:p>
      <w:pPr>
        <w:tabs>
          <w:tab w:val="left" w:pos="7920"/>
        </w:tabs>
        <w:spacing w:line="560" w:lineRule="exact"/>
        <w:ind w:firstLine="420"/>
        <w:rPr>
          <w:rFonts w:ascii="Times New Roman" w:hAnsi="Times New Roman" w:eastAsia="仿宋"/>
          <w:color w:val="000000"/>
          <w:sz w:val="28"/>
          <w:szCs w:val="28"/>
        </w:rPr>
      </w:pPr>
    </w:p>
    <w:p>
      <w:pPr>
        <w:tabs>
          <w:tab w:val="left" w:pos="7920"/>
        </w:tabs>
        <w:spacing w:line="560" w:lineRule="exact"/>
        <w:ind w:firstLine="420"/>
        <w:rPr>
          <w:rFonts w:ascii="Times New Roman" w:hAnsi="Times New Roman" w:eastAsia="仿宋"/>
          <w:color w:val="000000"/>
          <w:sz w:val="28"/>
          <w:szCs w:val="28"/>
        </w:rPr>
      </w:pPr>
    </w:p>
    <w:p>
      <w:pPr>
        <w:tabs>
          <w:tab w:val="left" w:pos="7920"/>
        </w:tabs>
        <w:spacing w:line="560" w:lineRule="exact"/>
        <w:ind w:firstLine="420"/>
        <w:rPr>
          <w:rFonts w:ascii="Times New Roman" w:hAnsi="Times New Roman" w:eastAsia="仿宋"/>
          <w:color w:val="000000"/>
          <w:sz w:val="28"/>
          <w:szCs w:val="28"/>
        </w:rPr>
      </w:pPr>
    </w:p>
    <w:p>
      <w:pPr>
        <w:tabs>
          <w:tab w:val="left" w:pos="7920"/>
        </w:tabs>
        <w:spacing w:line="560" w:lineRule="exact"/>
        <w:ind w:firstLine="420"/>
        <w:rPr>
          <w:rFonts w:ascii="Times New Roman" w:hAnsi="Times New Roman" w:eastAsia="仿宋"/>
          <w:color w:val="000000"/>
          <w:sz w:val="28"/>
          <w:szCs w:val="28"/>
        </w:rPr>
      </w:pPr>
    </w:p>
    <w:p>
      <w:pPr>
        <w:tabs>
          <w:tab w:val="left" w:pos="7920"/>
        </w:tabs>
        <w:spacing w:line="560" w:lineRule="exact"/>
        <w:ind w:firstLine="420"/>
        <w:rPr>
          <w:rFonts w:ascii="Times New Roman" w:hAnsi="Times New Roman" w:eastAsia="仿宋"/>
          <w:color w:val="000000"/>
          <w:sz w:val="28"/>
          <w:szCs w:val="28"/>
        </w:rPr>
      </w:pPr>
    </w:p>
    <w:p>
      <w:pPr>
        <w:tabs>
          <w:tab w:val="left" w:pos="7920"/>
        </w:tabs>
        <w:spacing w:line="560" w:lineRule="exact"/>
        <w:ind w:firstLine="420"/>
        <w:rPr>
          <w:rFonts w:ascii="Times New Roman" w:hAnsi="Times New Roman" w:eastAsia="仿宋"/>
          <w:color w:val="000000"/>
          <w:sz w:val="28"/>
          <w:szCs w:val="28"/>
        </w:rPr>
      </w:pPr>
    </w:p>
    <w:p>
      <w:pPr>
        <w:tabs>
          <w:tab w:val="left" w:pos="7920"/>
        </w:tabs>
        <w:spacing w:line="560" w:lineRule="exact"/>
        <w:ind w:firstLine="420"/>
        <w:rPr>
          <w:rFonts w:ascii="Times New Roman" w:hAnsi="Times New Roman" w:eastAsia="仿宋"/>
          <w:color w:val="000000"/>
          <w:kern w:val="0"/>
          <w:sz w:val="28"/>
          <w:szCs w:val="28"/>
        </w:rPr>
      </w:pPr>
    </w:p>
    <w:p>
      <w:pPr>
        <w:snapToGrid w:val="0"/>
        <w:spacing w:line="560" w:lineRule="exact"/>
        <w:ind w:firstLine="560" w:firstLineChars="200"/>
        <w:contextualSpacing/>
        <w:rPr>
          <w:rFonts w:ascii="Times New Roman" w:hAnsi="Times New Roman" w:eastAsia="方正仿宋简体"/>
          <w:color w:val="000000"/>
          <w:kern w:val="0"/>
          <w:sz w:val="28"/>
          <w:szCs w:val="28"/>
        </w:rPr>
      </w:pPr>
    </w:p>
    <w:p>
      <w:pPr>
        <w:snapToGrid w:val="0"/>
        <w:spacing w:line="560" w:lineRule="exact"/>
        <w:ind w:firstLine="560" w:firstLineChars="200"/>
        <w:contextualSpacing/>
        <w:rPr>
          <w:rFonts w:ascii="Times New Roman" w:hAnsi="Times New Roman" w:eastAsia="方正仿宋简体"/>
          <w:color w:val="000000"/>
          <w:kern w:val="0"/>
          <w:sz w:val="28"/>
          <w:szCs w:val="28"/>
        </w:rPr>
      </w:pPr>
    </w:p>
    <w:p>
      <w:pPr>
        <w:snapToGrid w:val="0"/>
        <w:spacing w:line="560" w:lineRule="exact"/>
        <w:ind w:firstLine="480" w:firstLineChars="200"/>
        <w:contextualSpacing/>
        <w:jc w:val="center"/>
        <w:rPr>
          <w:rFonts w:ascii="仿宋" w:hAnsi="仿宋" w:eastAsia="仿宋"/>
          <w:color w:val="000000"/>
          <w:kern w:val="0"/>
          <w:sz w:val="24"/>
          <w:szCs w:val="24"/>
        </w:rPr>
      </w:pPr>
      <w:r>
        <w:rPr>
          <w:rFonts w:ascii="仿宋" w:hAnsi="仿宋" w:eastAsia="仿宋"/>
          <w:color w:val="000000"/>
          <w:kern w:val="0"/>
          <w:sz w:val="24"/>
          <w:szCs w:val="24"/>
        </w:rPr>
        <w:t>图1-14 公告复核示例3</w:t>
      </w:r>
    </w:p>
    <w:p>
      <w:pPr>
        <w:snapToGrid w:val="0"/>
        <w:spacing w:line="560" w:lineRule="exact"/>
        <w:ind w:firstLine="640" w:firstLineChars="200"/>
        <w:contextualSpacing/>
        <w:rPr>
          <w:rFonts w:ascii="仿宋" w:hAnsi="仿宋" w:eastAsia="仿宋"/>
          <w:color w:val="000000"/>
          <w:sz w:val="28"/>
          <w:szCs w:val="28"/>
        </w:rPr>
      </w:pPr>
      <w:r>
        <w:rPr>
          <w:rFonts w:ascii="仿宋" w:hAnsi="仿宋" w:eastAsia="仿宋"/>
          <w:color w:val="000000"/>
          <w:kern w:val="0"/>
          <w:sz w:val="32"/>
          <w:szCs w:val="28"/>
        </w:rPr>
        <w:t>经办人修改完成后重新提交复核。上市公司内部复核人员确定无误后，点击</w:t>
      </w:r>
      <w:r>
        <w:rPr>
          <w:rFonts w:hint="eastAsia" w:ascii="仿宋" w:hAnsi="仿宋" w:eastAsia="仿宋"/>
          <w:color w:val="000000"/>
          <w:kern w:val="0"/>
          <w:sz w:val="32"/>
          <w:szCs w:val="28"/>
        </w:rPr>
        <w:t>“</w:t>
      </w:r>
      <w:r>
        <w:rPr>
          <w:rFonts w:ascii="仿宋" w:hAnsi="仿宋" w:eastAsia="仿宋"/>
          <w:color w:val="000000"/>
          <w:kern w:val="0"/>
          <w:sz w:val="32"/>
          <w:szCs w:val="28"/>
        </w:rPr>
        <w:t>复核通过</w:t>
      </w:r>
      <w:r>
        <w:rPr>
          <w:rFonts w:hint="eastAsia" w:ascii="仿宋" w:hAnsi="仿宋" w:eastAsia="仿宋"/>
          <w:color w:val="000000"/>
          <w:kern w:val="0"/>
          <w:sz w:val="32"/>
          <w:szCs w:val="28"/>
        </w:rPr>
        <w:t>”</w:t>
      </w:r>
      <w:r>
        <w:rPr>
          <w:rFonts w:ascii="仿宋" w:hAnsi="仿宋" w:eastAsia="仿宋"/>
          <w:color w:val="000000"/>
          <w:sz w:val="32"/>
          <w:szCs w:val="28"/>
        </w:rPr>
        <w:t>，系统将会全面检查该申请是否满足直通车披露的要求。如图1-15所示：</w:t>
      </w:r>
    </w:p>
    <w:p>
      <w:pPr>
        <w:snapToGrid w:val="0"/>
        <w:spacing w:line="560" w:lineRule="exact"/>
        <w:ind w:firstLine="560" w:firstLineChars="200"/>
        <w:contextualSpacing/>
        <w:rPr>
          <w:rFonts w:ascii="Times New Roman" w:hAnsi="Times New Roman" w:eastAsia="方正仿宋简体"/>
          <w:color w:val="000000"/>
          <w:sz w:val="28"/>
          <w:szCs w:val="28"/>
        </w:rPr>
      </w:pPr>
    </w:p>
    <w:p>
      <w:pPr>
        <w:spacing w:line="560" w:lineRule="exact"/>
        <w:jc w:val="center"/>
        <w:rPr>
          <w:rFonts w:ascii="Times New Roman" w:hAnsi="Times New Roman" w:eastAsia="仿宋"/>
          <w:color w:val="000000"/>
          <w:sz w:val="24"/>
          <w:szCs w:val="24"/>
        </w:rPr>
      </w:pPr>
      <w:r>
        <w:drawing>
          <wp:anchor distT="0" distB="0" distL="114300" distR="114300" simplePos="0" relativeHeight="251665408" behindDoc="0" locked="0" layoutInCell="1" allowOverlap="1">
            <wp:simplePos x="0" y="0"/>
            <wp:positionH relativeFrom="column">
              <wp:posOffset>182880</wp:posOffset>
            </wp:positionH>
            <wp:positionV relativeFrom="paragraph">
              <wp:posOffset>11430</wp:posOffset>
            </wp:positionV>
            <wp:extent cx="4968240" cy="1749425"/>
            <wp:effectExtent l="0" t="0" r="3810" b="3175"/>
            <wp:wrapTopAndBottom/>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968240" cy="1749425"/>
                    </a:xfrm>
                    <a:prstGeom prst="rect">
                      <a:avLst/>
                    </a:prstGeom>
                    <a:noFill/>
                  </pic:spPr>
                </pic:pic>
              </a:graphicData>
            </a:graphic>
          </wp:anchor>
        </w:drawing>
      </w:r>
      <w:r>
        <w:rPr>
          <w:rFonts w:ascii="Times New Roman" w:hAnsi="Times New Roman" w:eastAsia="仿宋"/>
          <w:color w:val="000000"/>
          <w:sz w:val="24"/>
          <w:szCs w:val="24"/>
        </w:rPr>
        <w:t>图1-15 提交媒体示例1</w:t>
      </w:r>
    </w:p>
    <w:p>
      <w:pPr>
        <w:spacing w:line="560" w:lineRule="exact"/>
        <w:ind w:firstLine="640" w:firstLineChars="200"/>
        <w:rPr>
          <w:rFonts w:ascii="仿宋" w:hAnsi="仿宋" w:eastAsia="仿宋"/>
          <w:color w:val="000000"/>
          <w:sz w:val="28"/>
          <w:szCs w:val="28"/>
        </w:rPr>
      </w:pPr>
      <w:r>
        <w:rPr>
          <w:rFonts w:ascii="仿宋" w:hAnsi="仿宋" w:eastAsia="仿宋"/>
          <w:color w:val="000000"/>
          <w:sz w:val="32"/>
          <w:szCs w:val="28"/>
        </w:rPr>
        <w:t>如果符合直通车要求，系统将本次操作所添加的业务类别、上传的所有文件、以及对所有的业务类别进行自查的结果传送到创业板公司管理部内部的业务系统中，供监管人员进行事后审查，同时，相关公告直接发送至</w:t>
      </w:r>
      <w:r>
        <w:rPr>
          <w:rFonts w:hint="eastAsia" w:ascii="仿宋" w:hAnsi="仿宋" w:eastAsia="仿宋"/>
          <w:color w:val="000000"/>
          <w:sz w:val="32"/>
          <w:szCs w:val="28"/>
        </w:rPr>
        <w:t>符合条件媒体</w:t>
      </w:r>
      <w:r>
        <w:rPr>
          <w:rFonts w:ascii="仿宋" w:hAnsi="仿宋" w:eastAsia="仿宋"/>
          <w:color w:val="000000"/>
          <w:sz w:val="32"/>
          <w:szCs w:val="28"/>
        </w:rPr>
        <w:t>，如图1-16所示：</w:t>
      </w:r>
    </w:p>
    <w:p>
      <w:pPr>
        <w:spacing w:line="560" w:lineRule="exact"/>
        <w:ind w:firstLine="420"/>
        <w:jc w:val="center"/>
        <w:rPr>
          <w:rFonts w:ascii="仿宋" w:hAnsi="仿宋" w:eastAsia="仿宋"/>
          <w:color w:val="000000"/>
          <w:sz w:val="28"/>
          <w:szCs w:val="28"/>
        </w:rPr>
      </w:pPr>
      <w:r>
        <w:drawing>
          <wp:anchor distT="0" distB="0" distL="114300" distR="114300" simplePos="0" relativeHeight="251666432" behindDoc="0" locked="0" layoutInCell="1" allowOverlap="1">
            <wp:simplePos x="0" y="0"/>
            <wp:positionH relativeFrom="column">
              <wp:posOffset>327660</wp:posOffset>
            </wp:positionH>
            <wp:positionV relativeFrom="paragraph">
              <wp:posOffset>201930</wp:posOffset>
            </wp:positionV>
            <wp:extent cx="4618990" cy="2879725"/>
            <wp:effectExtent l="0" t="0" r="0" b="0"/>
            <wp:wrapTopAndBottom/>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618990" cy="2879725"/>
                    </a:xfrm>
                    <a:prstGeom prst="rect">
                      <a:avLst/>
                    </a:prstGeom>
                    <a:noFill/>
                  </pic:spPr>
                </pic:pic>
              </a:graphicData>
            </a:graphic>
          </wp:anchor>
        </w:drawing>
      </w:r>
      <w:r>
        <w:rPr>
          <w:rFonts w:ascii="仿宋" w:hAnsi="仿宋" w:eastAsia="仿宋"/>
          <w:color w:val="000000"/>
          <w:sz w:val="24"/>
          <w:szCs w:val="24"/>
        </w:rPr>
        <w:t>图1-16 提交媒体示例2</w:t>
      </w:r>
    </w:p>
    <w:p>
      <w:pPr>
        <w:tabs>
          <w:tab w:val="left" w:pos="7920"/>
        </w:tabs>
        <w:spacing w:line="560" w:lineRule="exact"/>
        <w:ind w:firstLine="420" w:firstLineChars="200"/>
        <w:rPr>
          <w:rFonts w:ascii="仿宋" w:hAnsi="仿宋" w:eastAsia="仿宋"/>
          <w:color w:val="000000"/>
          <w:kern w:val="0"/>
          <w:sz w:val="32"/>
          <w:szCs w:val="28"/>
        </w:rPr>
      </w:pPr>
      <w:r>
        <w:drawing>
          <wp:anchor distT="0" distB="0" distL="114300" distR="114300" simplePos="0" relativeHeight="251667456" behindDoc="0" locked="0" layoutInCell="1" allowOverlap="1">
            <wp:simplePos x="0" y="0"/>
            <wp:positionH relativeFrom="column">
              <wp:posOffset>400050</wp:posOffset>
            </wp:positionH>
            <wp:positionV relativeFrom="paragraph">
              <wp:posOffset>429260</wp:posOffset>
            </wp:positionV>
            <wp:extent cx="4662170" cy="2879725"/>
            <wp:effectExtent l="0" t="0" r="5080" b="0"/>
            <wp:wrapTopAndBottom/>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662170" cy="2879725"/>
                    </a:xfrm>
                    <a:prstGeom prst="rect">
                      <a:avLst/>
                    </a:prstGeom>
                    <a:noFill/>
                  </pic:spPr>
                </pic:pic>
              </a:graphicData>
            </a:graphic>
          </wp:anchor>
        </w:drawing>
      </w:r>
      <w:r>
        <w:rPr>
          <w:rFonts w:ascii="仿宋" w:hAnsi="仿宋" w:eastAsia="仿宋"/>
          <w:color w:val="000000"/>
          <w:kern w:val="0"/>
          <w:sz w:val="32"/>
          <w:szCs w:val="28"/>
        </w:rPr>
        <w:t>对于不符合直通披露要求，将显示如图1-17所示页面：</w:t>
      </w:r>
    </w:p>
    <w:p>
      <w:pPr>
        <w:spacing w:line="560" w:lineRule="exact"/>
        <w:ind w:firstLine="480" w:firstLineChars="200"/>
        <w:jc w:val="center"/>
        <w:rPr>
          <w:rFonts w:ascii="仿宋" w:hAnsi="仿宋" w:eastAsia="仿宋"/>
          <w:color w:val="000000"/>
          <w:sz w:val="24"/>
          <w:szCs w:val="24"/>
        </w:rPr>
      </w:pPr>
      <w:r>
        <w:rPr>
          <w:rFonts w:ascii="仿宋" w:hAnsi="仿宋" w:eastAsia="仿宋"/>
          <w:color w:val="000000"/>
          <w:sz w:val="24"/>
          <w:szCs w:val="24"/>
        </w:rPr>
        <w:t>图1-17 提交媒体示例3</w:t>
      </w:r>
    </w:p>
    <w:p>
      <w:pPr>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对于部分含有需要在交易日收市后才能提交至本所的公告（例如定期报告等）的信息披露申请，在交易时段只能保存，不能提交。对于此类信息披露申请，提交后系统会给予提示，如图1-18所示：</w:t>
      </w:r>
    </w:p>
    <w:p>
      <w:pPr>
        <w:spacing w:line="560" w:lineRule="exact"/>
        <w:jc w:val="center"/>
        <w:rPr>
          <w:rFonts w:ascii="仿宋" w:hAnsi="仿宋" w:eastAsia="仿宋"/>
          <w:color w:val="000000"/>
          <w:sz w:val="28"/>
          <w:szCs w:val="28"/>
        </w:rPr>
      </w:pPr>
      <w:r>
        <w:drawing>
          <wp:anchor distT="0" distB="0" distL="114300" distR="114300" simplePos="0" relativeHeight="251671552" behindDoc="0" locked="0" layoutInCell="1" allowOverlap="1">
            <wp:simplePos x="0" y="0"/>
            <wp:positionH relativeFrom="column">
              <wp:posOffset>217170</wp:posOffset>
            </wp:positionH>
            <wp:positionV relativeFrom="paragraph">
              <wp:posOffset>102870</wp:posOffset>
            </wp:positionV>
            <wp:extent cx="4974590" cy="2577465"/>
            <wp:effectExtent l="0" t="0" r="0" b="0"/>
            <wp:wrapTopAndBottom/>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974590" cy="2577465"/>
                    </a:xfrm>
                    <a:prstGeom prst="rect">
                      <a:avLst/>
                    </a:prstGeom>
                    <a:noFill/>
                  </pic:spPr>
                </pic:pic>
              </a:graphicData>
            </a:graphic>
          </wp:anchor>
        </w:drawing>
      </w:r>
      <w:r>
        <w:rPr>
          <w:rFonts w:ascii="仿宋" w:hAnsi="仿宋" w:eastAsia="仿宋"/>
          <w:color w:val="000000"/>
          <w:sz w:val="24"/>
          <w:szCs w:val="24"/>
        </w:rPr>
        <w:t>图1-18 提交媒体示例4</w:t>
      </w:r>
    </w:p>
    <w:p>
      <w:pPr>
        <w:tabs>
          <w:tab w:val="left" w:pos="7920"/>
        </w:tabs>
        <w:spacing w:line="560" w:lineRule="exact"/>
        <w:ind w:firstLine="640" w:firstLineChars="200"/>
        <w:rPr>
          <w:rFonts w:ascii="仿宋" w:hAnsi="仿宋" w:eastAsia="仿宋"/>
          <w:color w:val="000000"/>
          <w:kern w:val="0"/>
          <w:sz w:val="32"/>
          <w:szCs w:val="28"/>
        </w:rPr>
      </w:pPr>
      <w:r>
        <w:rPr>
          <w:rFonts w:ascii="仿宋" w:hAnsi="仿宋" w:eastAsia="仿宋"/>
          <w:color w:val="000000"/>
          <w:kern w:val="0"/>
          <w:sz w:val="32"/>
          <w:szCs w:val="28"/>
        </w:rPr>
        <w:t>点击</w:t>
      </w:r>
      <w:r>
        <w:rPr>
          <w:rFonts w:hint="eastAsia" w:ascii="仿宋" w:hAnsi="仿宋" w:eastAsia="仿宋"/>
          <w:color w:val="000000"/>
          <w:kern w:val="0"/>
          <w:sz w:val="32"/>
          <w:szCs w:val="28"/>
        </w:rPr>
        <w:t>“</w:t>
      </w:r>
      <w:r>
        <w:rPr>
          <w:rFonts w:ascii="仿宋" w:hAnsi="仿宋" w:eastAsia="仿宋"/>
          <w:color w:val="000000"/>
          <w:kern w:val="0"/>
          <w:sz w:val="32"/>
          <w:szCs w:val="28"/>
        </w:rPr>
        <w:t>关闭</w:t>
      </w:r>
      <w:r>
        <w:rPr>
          <w:rFonts w:hint="eastAsia" w:ascii="仿宋" w:hAnsi="仿宋" w:eastAsia="仿宋"/>
          <w:color w:val="000000"/>
          <w:kern w:val="0"/>
          <w:sz w:val="32"/>
          <w:szCs w:val="28"/>
        </w:rPr>
        <w:t>”</w:t>
      </w:r>
      <w:r>
        <w:rPr>
          <w:rFonts w:ascii="仿宋" w:hAnsi="仿宋" w:eastAsia="仿宋"/>
          <w:color w:val="000000"/>
          <w:kern w:val="0"/>
          <w:sz w:val="32"/>
          <w:szCs w:val="28"/>
        </w:rPr>
        <w:t>后，可以返回原</w:t>
      </w:r>
      <w:r>
        <w:rPr>
          <w:rFonts w:hint="eastAsia" w:ascii="仿宋" w:hAnsi="仿宋" w:eastAsia="仿宋"/>
          <w:color w:val="000000"/>
          <w:kern w:val="0"/>
          <w:sz w:val="32"/>
          <w:szCs w:val="28"/>
        </w:rPr>
        <w:t>“</w:t>
      </w:r>
      <w:r>
        <w:rPr>
          <w:rFonts w:ascii="仿宋" w:hAnsi="仿宋" w:eastAsia="仿宋"/>
          <w:color w:val="000000"/>
          <w:kern w:val="0"/>
          <w:sz w:val="32"/>
          <w:szCs w:val="28"/>
        </w:rPr>
        <w:t>信息披露申请详细信息</w:t>
      </w:r>
      <w:r>
        <w:rPr>
          <w:rFonts w:hint="eastAsia" w:ascii="仿宋" w:hAnsi="仿宋" w:eastAsia="仿宋"/>
          <w:color w:val="000000"/>
          <w:kern w:val="0"/>
          <w:sz w:val="32"/>
          <w:szCs w:val="28"/>
        </w:rPr>
        <w:t>”</w:t>
      </w:r>
      <w:r>
        <w:rPr>
          <w:rFonts w:ascii="仿宋" w:hAnsi="仿宋" w:eastAsia="仿宋"/>
          <w:color w:val="000000"/>
          <w:kern w:val="0"/>
          <w:sz w:val="32"/>
          <w:szCs w:val="28"/>
        </w:rPr>
        <w:t>页面。</w:t>
      </w:r>
    </w:p>
    <w:p>
      <w:pPr>
        <w:tabs>
          <w:tab w:val="left" w:pos="7920"/>
        </w:tabs>
        <w:spacing w:line="560" w:lineRule="exact"/>
        <w:ind w:firstLine="640" w:firstLineChars="200"/>
        <w:rPr>
          <w:rFonts w:ascii="仿宋" w:hAnsi="仿宋" w:eastAsia="仿宋"/>
          <w:color w:val="000000"/>
          <w:kern w:val="0"/>
          <w:sz w:val="32"/>
          <w:szCs w:val="28"/>
        </w:rPr>
      </w:pPr>
      <w:r>
        <w:rPr>
          <w:rFonts w:ascii="仿宋" w:hAnsi="仿宋" w:eastAsia="仿宋"/>
          <w:color w:val="000000"/>
          <w:kern w:val="0"/>
          <w:sz w:val="32"/>
          <w:szCs w:val="28"/>
        </w:rPr>
        <w:t>另外，如果含有该类别公告的信息披露申请的拟披露日期晚于下一交易日，系统也会给予相应提示，如图1-19所示（样例中的信息披露申请提交日期为</w:t>
      </w:r>
      <w:r>
        <w:rPr>
          <w:rFonts w:hint="eastAsia" w:ascii="仿宋" w:hAnsi="仿宋" w:eastAsia="仿宋"/>
          <w:color w:val="000000"/>
          <w:kern w:val="0"/>
          <w:sz w:val="32"/>
          <w:szCs w:val="28"/>
        </w:rPr>
        <w:t>“</w:t>
      </w:r>
      <w:r>
        <w:rPr>
          <w:rFonts w:ascii="仿宋" w:hAnsi="仿宋" w:eastAsia="仿宋"/>
          <w:color w:val="000000"/>
          <w:kern w:val="0"/>
          <w:sz w:val="32"/>
          <w:szCs w:val="28"/>
        </w:rPr>
        <w:t>2019/08/14 星期三</w:t>
      </w:r>
      <w:r>
        <w:rPr>
          <w:rFonts w:hint="eastAsia" w:ascii="仿宋" w:hAnsi="仿宋" w:eastAsia="仿宋"/>
          <w:color w:val="000000"/>
          <w:kern w:val="0"/>
          <w:sz w:val="32"/>
          <w:szCs w:val="28"/>
        </w:rPr>
        <w:t>”</w:t>
      </w:r>
      <w:r>
        <w:rPr>
          <w:rFonts w:ascii="仿宋" w:hAnsi="仿宋" w:eastAsia="仿宋"/>
          <w:color w:val="000000"/>
          <w:kern w:val="0"/>
          <w:sz w:val="32"/>
          <w:szCs w:val="28"/>
        </w:rPr>
        <w:t>）：</w:t>
      </w:r>
    </w:p>
    <w:p>
      <w:pPr>
        <w:tabs>
          <w:tab w:val="left" w:pos="7920"/>
        </w:tabs>
        <w:spacing w:line="560" w:lineRule="exact"/>
        <w:jc w:val="center"/>
        <w:rPr>
          <w:rFonts w:ascii="仿宋" w:hAnsi="仿宋" w:eastAsia="仿宋"/>
          <w:color w:val="000000"/>
          <w:kern w:val="0"/>
          <w:sz w:val="24"/>
          <w:szCs w:val="24"/>
        </w:rPr>
      </w:pPr>
      <w:r>
        <w:drawing>
          <wp:anchor distT="0" distB="0" distL="114300" distR="114300" simplePos="0" relativeHeight="251680768" behindDoc="1" locked="0" layoutInCell="1" allowOverlap="1">
            <wp:simplePos x="0" y="0"/>
            <wp:positionH relativeFrom="column">
              <wp:posOffset>201295</wp:posOffset>
            </wp:positionH>
            <wp:positionV relativeFrom="paragraph">
              <wp:posOffset>86995</wp:posOffset>
            </wp:positionV>
            <wp:extent cx="5063490" cy="3498850"/>
            <wp:effectExtent l="0" t="0" r="3810" b="6350"/>
            <wp:wrapTight wrapText="bothSides">
              <wp:wrapPolygon>
                <wp:start x="0" y="0"/>
                <wp:lineTo x="0" y="21522"/>
                <wp:lineTo x="21535" y="21522"/>
                <wp:lineTo x="21535" y="0"/>
                <wp:lineTo x="0" y="0"/>
              </wp:wrapPolygon>
            </wp:wrapTight>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063490" cy="3498850"/>
                    </a:xfrm>
                    <a:prstGeom prst="rect">
                      <a:avLst/>
                    </a:prstGeom>
                    <a:noFill/>
                  </pic:spPr>
                </pic:pic>
              </a:graphicData>
            </a:graphic>
          </wp:anchor>
        </w:drawing>
      </w:r>
      <w:r>
        <w:rPr>
          <w:rFonts w:ascii="仿宋" w:hAnsi="仿宋" w:eastAsia="仿宋"/>
          <w:color w:val="000000"/>
          <w:kern w:val="0"/>
          <w:sz w:val="24"/>
          <w:szCs w:val="24"/>
        </w:rPr>
        <w:t>图1-19 提交媒体示例5</w:t>
      </w:r>
    </w:p>
    <w:p>
      <w:pPr>
        <w:spacing w:line="560" w:lineRule="exact"/>
        <w:ind w:firstLine="640"/>
        <w:rPr>
          <w:rFonts w:ascii="仿宋" w:hAnsi="仿宋" w:eastAsia="仿宋"/>
          <w:sz w:val="32"/>
          <w:szCs w:val="20"/>
        </w:rPr>
      </w:pPr>
      <w:r>
        <w:rPr>
          <w:rFonts w:ascii="仿宋" w:hAnsi="仿宋" w:eastAsia="仿宋"/>
          <w:sz w:val="32"/>
          <w:szCs w:val="20"/>
        </w:rPr>
        <w:t>3．信息披露意见反馈</w:t>
      </w:r>
    </w:p>
    <w:p>
      <w:pPr>
        <w:tabs>
          <w:tab w:val="left" w:pos="7920"/>
        </w:tabs>
        <w:spacing w:line="560" w:lineRule="exact"/>
        <w:ind w:firstLine="640" w:firstLineChars="200"/>
        <w:rPr>
          <w:rFonts w:ascii="仿宋" w:hAnsi="仿宋" w:eastAsia="仿宋"/>
          <w:color w:val="000000"/>
          <w:kern w:val="0"/>
          <w:sz w:val="32"/>
          <w:szCs w:val="28"/>
        </w:rPr>
      </w:pPr>
      <w:r>
        <w:rPr>
          <w:rFonts w:ascii="仿宋" w:hAnsi="仿宋" w:eastAsia="仿宋"/>
          <w:color w:val="000000"/>
          <w:kern w:val="0"/>
          <w:sz w:val="32"/>
          <w:szCs w:val="28"/>
        </w:rPr>
        <w:t>公告提交完成后，上市公司可在</w:t>
      </w:r>
      <w:r>
        <w:rPr>
          <w:rFonts w:hint="eastAsia" w:ascii="仿宋" w:hAnsi="仿宋" w:eastAsia="仿宋"/>
          <w:color w:val="000000"/>
          <w:kern w:val="0"/>
          <w:sz w:val="32"/>
          <w:szCs w:val="28"/>
        </w:rPr>
        <w:t>“</w:t>
      </w:r>
      <w:r>
        <w:rPr>
          <w:rFonts w:ascii="仿宋" w:hAnsi="仿宋" w:eastAsia="仿宋"/>
          <w:color w:val="000000"/>
          <w:kern w:val="0"/>
          <w:sz w:val="32"/>
          <w:szCs w:val="28"/>
        </w:rPr>
        <w:t>反馈</w:t>
      </w:r>
      <w:r>
        <w:rPr>
          <w:rFonts w:hint="eastAsia" w:ascii="仿宋" w:hAnsi="仿宋" w:eastAsia="仿宋"/>
          <w:color w:val="000000"/>
          <w:kern w:val="0"/>
          <w:sz w:val="32"/>
          <w:szCs w:val="28"/>
        </w:rPr>
        <w:t>”</w:t>
      </w:r>
      <w:r>
        <w:rPr>
          <w:rFonts w:ascii="仿宋" w:hAnsi="仿宋" w:eastAsia="仿宋"/>
          <w:color w:val="000000"/>
          <w:kern w:val="0"/>
          <w:sz w:val="32"/>
          <w:szCs w:val="28"/>
        </w:rPr>
        <w:t>中查询本所监管人员的</w:t>
      </w:r>
      <w:r>
        <w:rPr>
          <w:rFonts w:hint="eastAsia" w:ascii="仿宋" w:hAnsi="仿宋" w:eastAsia="仿宋"/>
          <w:color w:val="000000"/>
          <w:kern w:val="0"/>
          <w:sz w:val="32"/>
          <w:szCs w:val="28"/>
        </w:rPr>
        <w:t>反馈</w:t>
      </w:r>
      <w:r>
        <w:rPr>
          <w:rFonts w:ascii="仿宋" w:hAnsi="仿宋" w:eastAsia="仿宋"/>
          <w:color w:val="000000"/>
          <w:kern w:val="0"/>
          <w:sz w:val="32"/>
          <w:szCs w:val="28"/>
        </w:rPr>
        <w:t>意见，</w:t>
      </w:r>
      <w:r>
        <w:rPr>
          <w:rFonts w:hint="eastAsia" w:ascii="仿宋" w:hAnsi="仿宋" w:eastAsia="仿宋"/>
          <w:color w:val="000000"/>
          <w:kern w:val="0"/>
          <w:sz w:val="32"/>
          <w:szCs w:val="28"/>
        </w:rPr>
        <w:t>反馈</w:t>
      </w:r>
      <w:r>
        <w:rPr>
          <w:rFonts w:ascii="仿宋" w:hAnsi="仿宋" w:eastAsia="仿宋"/>
          <w:color w:val="000000"/>
          <w:kern w:val="0"/>
          <w:sz w:val="32"/>
          <w:szCs w:val="28"/>
        </w:rPr>
        <w:t>意见分为两种情形，一类是文字信息，另一类是对原信息披露文件的修改信息（即以附件的形式，在文件中以</w:t>
      </w:r>
      <w:r>
        <w:rPr>
          <w:rFonts w:hint="eastAsia" w:ascii="仿宋" w:hAnsi="仿宋" w:eastAsia="仿宋"/>
          <w:color w:val="000000"/>
          <w:kern w:val="0"/>
          <w:sz w:val="32"/>
          <w:szCs w:val="28"/>
        </w:rPr>
        <w:t>“</w:t>
      </w:r>
      <w:r>
        <w:rPr>
          <w:rFonts w:ascii="仿宋" w:hAnsi="仿宋" w:eastAsia="仿宋"/>
          <w:color w:val="000000"/>
          <w:kern w:val="0"/>
          <w:sz w:val="32"/>
          <w:szCs w:val="28"/>
        </w:rPr>
        <w:t>修订</w:t>
      </w:r>
      <w:r>
        <w:rPr>
          <w:rFonts w:hint="eastAsia" w:ascii="仿宋" w:hAnsi="仿宋" w:eastAsia="仿宋"/>
          <w:color w:val="000000"/>
          <w:kern w:val="0"/>
          <w:sz w:val="32"/>
          <w:szCs w:val="28"/>
        </w:rPr>
        <w:t>”</w:t>
      </w:r>
      <w:r>
        <w:rPr>
          <w:rFonts w:ascii="仿宋" w:hAnsi="仿宋" w:eastAsia="仿宋"/>
          <w:color w:val="000000"/>
          <w:kern w:val="0"/>
          <w:sz w:val="32"/>
          <w:szCs w:val="28"/>
        </w:rPr>
        <w:t>方式标识本所</w:t>
      </w:r>
      <w:r>
        <w:rPr>
          <w:rFonts w:hint="eastAsia" w:ascii="仿宋" w:hAnsi="仿宋" w:eastAsia="仿宋"/>
          <w:color w:val="000000"/>
          <w:kern w:val="0"/>
          <w:sz w:val="32"/>
          <w:szCs w:val="28"/>
        </w:rPr>
        <w:t>反馈</w:t>
      </w:r>
      <w:r>
        <w:rPr>
          <w:rFonts w:ascii="仿宋" w:hAnsi="仿宋" w:eastAsia="仿宋"/>
          <w:color w:val="000000"/>
          <w:kern w:val="0"/>
          <w:sz w:val="32"/>
          <w:szCs w:val="28"/>
        </w:rPr>
        <w:t>意见）。上市公司若需要使用附件中的反馈文件，应该以</w:t>
      </w:r>
      <w:r>
        <w:rPr>
          <w:rFonts w:hint="eastAsia" w:ascii="仿宋" w:hAnsi="仿宋" w:eastAsia="仿宋"/>
          <w:color w:val="000000"/>
          <w:kern w:val="0"/>
          <w:sz w:val="32"/>
          <w:szCs w:val="28"/>
        </w:rPr>
        <w:t>“</w:t>
      </w:r>
      <w:r>
        <w:rPr>
          <w:rFonts w:ascii="仿宋" w:hAnsi="仿宋" w:eastAsia="仿宋"/>
          <w:color w:val="000000"/>
          <w:kern w:val="0"/>
          <w:sz w:val="32"/>
          <w:szCs w:val="28"/>
        </w:rPr>
        <w:t>另存为…</w:t>
      </w:r>
      <w:r>
        <w:rPr>
          <w:rFonts w:hint="eastAsia" w:ascii="仿宋" w:hAnsi="仿宋" w:eastAsia="仿宋"/>
          <w:color w:val="000000"/>
          <w:kern w:val="0"/>
          <w:sz w:val="32"/>
          <w:szCs w:val="28"/>
        </w:rPr>
        <w:t>”</w:t>
      </w:r>
      <w:r>
        <w:rPr>
          <w:rFonts w:ascii="仿宋" w:hAnsi="仿宋" w:eastAsia="仿宋"/>
          <w:color w:val="000000"/>
          <w:kern w:val="0"/>
          <w:sz w:val="32"/>
          <w:szCs w:val="28"/>
        </w:rPr>
        <w:t>的方式，先保存至本地文件夹，再进行修改。</w:t>
      </w:r>
    </w:p>
    <w:p>
      <w:pPr>
        <w:spacing w:line="560" w:lineRule="exact"/>
        <w:ind w:firstLine="640" w:firstLineChars="200"/>
        <w:rPr>
          <w:rFonts w:ascii="仿宋" w:hAnsi="仿宋" w:eastAsia="仿宋"/>
          <w:color w:val="000000"/>
          <w:sz w:val="28"/>
          <w:szCs w:val="28"/>
        </w:rPr>
      </w:pPr>
      <w:r>
        <w:rPr>
          <w:rFonts w:ascii="仿宋" w:hAnsi="仿宋" w:eastAsia="仿宋"/>
          <w:color w:val="000000"/>
          <w:sz w:val="32"/>
          <w:szCs w:val="28"/>
        </w:rPr>
        <w:t>对于直通披露公告，上市公司收到信息披露意见反馈后应当及时</w:t>
      </w:r>
      <w:r>
        <w:rPr>
          <w:rFonts w:hint="eastAsia" w:ascii="仿宋" w:hAnsi="仿宋" w:eastAsia="仿宋"/>
          <w:color w:val="000000"/>
          <w:sz w:val="32"/>
          <w:szCs w:val="28"/>
        </w:rPr>
        <w:t>披露</w:t>
      </w:r>
      <w:r>
        <w:rPr>
          <w:rFonts w:ascii="仿宋" w:hAnsi="仿宋" w:eastAsia="仿宋"/>
          <w:color w:val="000000"/>
          <w:sz w:val="32"/>
          <w:szCs w:val="28"/>
        </w:rPr>
        <w:t>补充更正公告。对于非直通披露公告，上市公司应当根据监管人员的要求，修改原信息披露申请，如更换、补充信息披露文件，完成后再重新提交。</w:t>
      </w:r>
    </w:p>
    <w:p>
      <w:pPr>
        <w:spacing w:line="560" w:lineRule="exact"/>
        <w:ind w:firstLine="640"/>
        <w:rPr>
          <w:rFonts w:ascii="仿宋" w:hAnsi="仿宋" w:eastAsia="仿宋"/>
          <w:sz w:val="32"/>
          <w:szCs w:val="20"/>
        </w:rPr>
      </w:pPr>
      <w:r>
        <w:rPr>
          <w:rFonts w:ascii="仿宋" w:hAnsi="仿宋" w:eastAsia="仿宋"/>
          <w:sz w:val="32"/>
          <w:szCs w:val="20"/>
        </w:rPr>
        <w:t>4．查看信息披露结果</w:t>
      </w:r>
    </w:p>
    <w:p>
      <w:pPr>
        <w:tabs>
          <w:tab w:val="left" w:pos="7920"/>
        </w:tabs>
        <w:snapToGrid w:val="0"/>
        <w:spacing w:line="560" w:lineRule="exact"/>
        <w:ind w:firstLine="640" w:firstLineChars="200"/>
        <w:contextualSpacing/>
        <w:rPr>
          <w:rFonts w:ascii="仿宋" w:hAnsi="仿宋" w:eastAsia="仿宋"/>
          <w:color w:val="000000"/>
          <w:kern w:val="0"/>
          <w:sz w:val="28"/>
          <w:szCs w:val="28"/>
        </w:rPr>
      </w:pPr>
      <w:r>
        <w:rPr>
          <w:rFonts w:ascii="仿宋" w:hAnsi="仿宋" w:eastAsia="仿宋"/>
          <w:color w:val="000000"/>
          <w:kern w:val="0"/>
          <w:sz w:val="32"/>
          <w:szCs w:val="28"/>
        </w:rPr>
        <w:t>提交完成后，上市公司可在</w:t>
      </w:r>
      <w:r>
        <w:rPr>
          <w:rFonts w:hint="eastAsia" w:ascii="仿宋" w:hAnsi="仿宋" w:eastAsia="仿宋"/>
          <w:color w:val="000000"/>
          <w:kern w:val="0"/>
          <w:sz w:val="32"/>
          <w:szCs w:val="28"/>
        </w:rPr>
        <w:t>“</w:t>
      </w:r>
      <w:r>
        <w:rPr>
          <w:rFonts w:ascii="仿宋" w:hAnsi="仿宋" w:eastAsia="仿宋"/>
          <w:color w:val="000000"/>
          <w:kern w:val="0"/>
          <w:sz w:val="32"/>
          <w:szCs w:val="28"/>
        </w:rPr>
        <w:t>信息披露申请</w:t>
      </w:r>
      <w:r>
        <w:rPr>
          <w:rFonts w:hint="eastAsia" w:ascii="仿宋" w:hAnsi="仿宋" w:eastAsia="仿宋"/>
          <w:color w:val="000000"/>
          <w:kern w:val="0"/>
          <w:sz w:val="32"/>
          <w:szCs w:val="28"/>
        </w:rPr>
        <w:t>”</w:t>
      </w:r>
      <w:r>
        <w:rPr>
          <w:rFonts w:ascii="仿宋" w:hAnsi="仿宋" w:eastAsia="仿宋"/>
          <w:color w:val="000000"/>
          <w:kern w:val="0"/>
          <w:sz w:val="32"/>
          <w:szCs w:val="28"/>
        </w:rPr>
        <w:t>页面中查询申请披露的业务记录，以及相关申请的历史处理情况，如图1-20所示：</w:t>
      </w:r>
    </w:p>
    <w:p>
      <w:pPr>
        <w:tabs>
          <w:tab w:val="left" w:pos="7920"/>
        </w:tabs>
        <w:spacing w:line="560" w:lineRule="exact"/>
        <w:ind w:firstLine="420" w:firstLineChars="200"/>
        <w:jc w:val="center"/>
        <w:rPr>
          <w:rFonts w:ascii="仿宋" w:hAnsi="仿宋" w:eastAsia="仿宋"/>
          <w:color w:val="000000"/>
          <w:kern w:val="0"/>
          <w:sz w:val="28"/>
          <w:szCs w:val="28"/>
        </w:rPr>
      </w:pPr>
      <w:r>
        <w:drawing>
          <wp:anchor distT="0" distB="0" distL="114300" distR="114300" simplePos="0" relativeHeight="251669504" behindDoc="0" locked="0" layoutInCell="1" allowOverlap="1">
            <wp:simplePos x="0" y="0"/>
            <wp:positionH relativeFrom="column">
              <wp:posOffset>194310</wp:posOffset>
            </wp:positionH>
            <wp:positionV relativeFrom="paragraph">
              <wp:posOffset>190500</wp:posOffset>
            </wp:positionV>
            <wp:extent cx="4755515" cy="1525905"/>
            <wp:effectExtent l="0" t="0" r="6985" b="0"/>
            <wp:wrapTopAndBottom/>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755515" cy="1525905"/>
                    </a:xfrm>
                    <a:prstGeom prst="rect">
                      <a:avLst/>
                    </a:prstGeom>
                    <a:noFill/>
                  </pic:spPr>
                </pic:pic>
              </a:graphicData>
            </a:graphic>
          </wp:anchor>
        </w:drawing>
      </w:r>
      <w:r>
        <w:rPr>
          <w:rFonts w:ascii="仿宋" w:hAnsi="仿宋" w:eastAsia="仿宋"/>
          <w:color w:val="000000"/>
          <w:kern w:val="0"/>
          <w:sz w:val="24"/>
          <w:szCs w:val="24"/>
        </w:rPr>
        <w:t>图1-20信息披露结果示例1</w:t>
      </w:r>
    </w:p>
    <w:p>
      <w:pPr>
        <w:tabs>
          <w:tab w:val="left" w:pos="7920"/>
        </w:tabs>
        <w:spacing w:line="560" w:lineRule="exact"/>
        <w:ind w:firstLine="640" w:firstLineChars="200"/>
        <w:rPr>
          <w:rFonts w:ascii="仿宋" w:hAnsi="仿宋" w:eastAsia="仿宋"/>
          <w:color w:val="000000"/>
          <w:kern w:val="0"/>
          <w:sz w:val="32"/>
          <w:szCs w:val="28"/>
        </w:rPr>
      </w:pPr>
      <w:r>
        <w:rPr>
          <w:rFonts w:ascii="仿宋" w:hAnsi="仿宋" w:eastAsia="仿宋"/>
          <w:color w:val="000000"/>
          <w:kern w:val="0"/>
          <w:sz w:val="32"/>
          <w:szCs w:val="28"/>
        </w:rPr>
        <w:t>对于非直通披露的相关公告，在本所监管人员完成</w:t>
      </w:r>
      <w:r>
        <w:rPr>
          <w:rFonts w:hint="eastAsia" w:ascii="仿宋" w:hAnsi="仿宋" w:eastAsia="仿宋"/>
          <w:color w:val="000000"/>
          <w:kern w:val="0"/>
          <w:sz w:val="32"/>
          <w:szCs w:val="28"/>
        </w:rPr>
        <w:t>形式审查</w:t>
      </w:r>
      <w:r>
        <w:rPr>
          <w:rFonts w:ascii="仿宋" w:hAnsi="仿宋" w:eastAsia="仿宋"/>
          <w:color w:val="000000"/>
          <w:kern w:val="0"/>
          <w:sz w:val="32"/>
          <w:szCs w:val="28"/>
        </w:rPr>
        <w:t>后，经办人在</w:t>
      </w:r>
      <w:r>
        <w:rPr>
          <w:rFonts w:hint="eastAsia" w:ascii="仿宋" w:hAnsi="仿宋" w:eastAsia="仿宋"/>
          <w:color w:val="000000"/>
          <w:kern w:val="0"/>
          <w:sz w:val="32"/>
          <w:szCs w:val="28"/>
        </w:rPr>
        <w:t>“</w:t>
      </w:r>
      <w:r>
        <w:rPr>
          <w:rFonts w:ascii="仿宋" w:hAnsi="仿宋" w:eastAsia="仿宋"/>
          <w:color w:val="000000"/>
          <w:kern w:val="0"/>
          <w:sz w:val="32"/>
          <w:szCs w:val="28"/>
        </w:rPr>
        <w:t>信息披露结果—信息披露审查结果详细信息</w:t>
      </w:r>
      <w:r>
        <w:rPr>
          <w:rFonts w:hint="eastAsia" w:ascii="仿宋" w:hAnsi="仿宋" w:eastAsia="仿宋"/>
          <w:color w:val="000000"/>
          <w:kern w:val="0"/>
          <w:sz w:val="32"/>
          <w:szCs w:val="28"/>
        </w:rPr>
        <w:t>”</w:t>
      </w:r>
      <w:r>
        <w:rPr>
          <w:rFonts w:ascii="仿宋" w:hAnsi="仿宋" w:eastAsia="仿宋"/>
          <w:color w:val="000000"/>
          <w:kern w:val="0"/>
          <w:sz w:val="32"/>
          <w:szCs w:val="28"/>
        </w:rPr>
        <w:t>中通过</w:t>
      </w:r>
      <w:r>
        <w:rPr>
          <w:rFonts w:hint="eastAsia" w:ascii="仿宋" w:hAnsi="仿宋" w:eastAsia="仿宋"/>
          <w:color w:val="000000"/>
          <w:kern w:val="0"/>
          <w:sz w:val="32"/>
          <w:szCs w:val="28"/>
        </w:rPr>
        <w:t>“</w:t>
      </w:r>
      <w:r>
        <w:rPr>
          <w:rFonts w:ascii="仿宋" w:hAnsi="仿宋" w:eastAsia="仿宋"/>
          <w:color w:val="000000"/>
          <w:kern w:val="0"/>
          <w:sz w:val="32"/>
          <w:szCs w:val="28"/>
        </w:rPr>
        <w:t>确认并提交媒体</w:t>
      </w:r>
      <w:r>
        <w:rPr>
          <w:rFonts w:hint="eastAsia" w:ascii="仿宋" w:hAnsi="仿宋" w:eastAsia="仿宋"/>
          <w:color w:val="000000"/>
          <w:kern w:val="0"/>
          <w:sz w:val="32"/>
          <w:szCs w:val="28"/>
        </w:rPr>
        <w:t>”</w:t>
      </w:r>
      <w:r>
        <w:rPr>
          <w:rFonts w:ascii="仿宋" w:hAnsi="仿宋" w:eastAsia="仿宋"/>
          <w:color w:val="000000"/>
          <w:kern w:val="0"/>
          <w:sz w:val="32"/>
          <w:szCs w:val="28"/>
        </w:rPr>
        <w:t>操作提交给</w:t>
      </w:r>
      <w:r>
        <w:rPr>
          <w:rFonts w:hint="eastAsia" w:ascii="仿宋" w:hAnsi="仿宋" w:eastAsia="仿宋"/>
          <w:color w:val="000000"/>
          <w:sz w:val="32"/>
          <w:szCs w:val="32"/>
        </w:rPr>
        <w:t>符合条件媒体</w:t>
      </w:r>
      <w:r>
        <w:rPr>
          <w:rFonts w:ascii="仿宋" w:hAnsi="仿宋" w:eastAsia="仿宋"/>
          <w:color w:val="000000"/>
          <w:kern w:val="0"/>
          <w:sz w:val="32"/>
          <w:szCs w:val="28"/>
        </w:rPr>
        <w:t>，如图1-21所示</w:t>
      </w:r>
      <w:r>
        <w:rPr>
          <w:rFonts w:hint="eastAsia" w:ascii="仿宋" w:hAnsi="仿宋" w:eastAsia="仿宋"/>
          <w:color w:val="000000"/>
          <w:kern w:val="0"/>
          <w:sz w:val="32"/>
          <w:szCs w:val="28"/>
        </w:rPr>
        <w:t>：</w:t>
      </w:r>
    </w:p>
    <w:p>
      <w:pPr>
        <w:tabs>
          <w:tab w:val="left" w:pos="7920"/>
        </w:tabs>
        <w:spacing w:line="560" w:lineRule="exact"/>
        <w:ind w:firstLine="418"/>
        <w:rPr>
          <w:rFonts w:ascii="Times New Roman" w:hAnsi="Times New Roman" w:eastAsia="仿宋"/>
        </w:rPr>
      </w:pPr>
    </w:p>
    <w:p>
      <w:pPr>
        <w:tabs>
          <w:tab w:val="left" w:pos="7920"/>
        </w:tabs>
        <w:spacing w:line="560" w:lineRule="exact"/>
        <w:ind w:firstLine="418"/>
        <w:rPr>
          <w:rFonts w:ascii="Times New Roman" w:hAnsi="Times New Roman" w:eastAsia="仿宋"/>
        </w:rPr>
      </w:pPr>
      <w:r>
        <w:drawing>
          <wp:anchor distT="0" distB="0" distL="114300" distR="114300" simplePos="0" relativeHeight="251681792" behindDoc="0" locked="0" layoutInCell="1" allowOverlap="1">
            <wp:simplePos x="0" y="0"/>
            <wp:positionH relativeFrom="column">
              <wp:posOffset>304165</wp:posOffset>
            </wp:positionH>
            <wp:positionV relativeFrom="paragraph">
              <wp:posOffset>-255905</wp:posOffset>
            </wp:positionV>
            <wp:extent cx="4770120" cy="2835275"/>
            <wp:effectExtent l="0" t="0" r="0" b="3175"/>
            <wp:wrapNone/>
            <wp:docPr id="3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770120" cy="2835275"/>
                    </a:xfrm>
                    <a:prstGeom prst="rect">
                      <a:avLst/>
                    </a:prstGeom>
                    <a:noFill/>
                  </pic:spPr>
                </pic:pic>
              </a:graphicData>
            </a:graphic>
          </wp:anchor>
        </w:drawing>
      </w:r>
    </w:p>
    <w:p>
      <w:pPr>
        <w:tabs>
          <w:tab w:val="left" w:pos="7920"/>
        </w:tabs>
        <w:spacing w:line="560" w:lineRule="exact"/>
        <w:ind w:firstLine="418"/>
        <w:rPr>
          <w:rFonts w:ascii="Times New Roman" w:hAnsi="Times New Roman" w:eastAsia="仿宋"/>
        </w:rPr>
      </w:pPr>
    </w:p>
    <w:p>
      <w:pPr>
        <w:tabs>
          <w:tab w:val="left" w:pos="7920"/>
        </w:tabs>
        <w:spacing w:line="560" w:lineRule="exact"/>
        <w:ind w:firstLine="418"/>
        <w:rPr>
          <w:rFonts w:ascii="Times New Roman" w:hAnsi="Times New Roman" w:eastAsia="仿宋"/>
        </w:rPr>
      </w:pPr>
    </w:p>
    <w:p>
      <w:pPr>
        <w:tabs>
          <w:tab w:val="left" w:pos="7920"/>
        </w:tabs>
        <w:spacing w:line="560" w:lineRule="exact"/>
        <w:ind w:firstLine="418"/>
        <w:rPr>
          <w:rFonts w:ascii="Times New Roman" w:hAnsi="Times New Roman" w:eastAsia="仿宋"/>
        </w:rPr>
      </w:pPr>
    </w:p>
    <w:p>
      <w:pPr>
        <w:tabs>
          <w:tab w:val="left" w:pos="7920"/>
        </w:tabs>
        <w:spacing w:line="560" w:lineRule="exact"/>
        <w:ind w:firstLine="418"/>
        <w:rPr>
          <w:rFonts w:ascii="Times New Roman" w:hAnsi="Times New Roman" w:eastAsia="仿宋"/>
        </w:rPr>
      </w:pPr>
    </w:p>
    <w:p>
      <w:pPr>
        <w:tabs>
          <w:tab w:val="left" w:pos="7920"/>
        </w:tabs>
        <w:spacing w:line="560" w:lineRule="exact"/>
        <w:ind w:firstLine="418"/>
        <w:rPr>
          <w:rFonts w:ascii="Times New Roman" w:hAnsi="Times New Roman" w:eastAsia="仿宋"/>
        </w:rPr>
      </w:pPr>
    </w:p>
    <w:p>
      <w:pPr>
        <w:tabs>
          <w:tab w:val="left" w:pos="7920"/>
        </w:tabs>
        <w:spacing w:line="560" w:lineRule="exact"/>
        <w:ind w:firstLine="418"/>
        <w:rPr>
          <w:rFonts w:ascii="Times New Roman" w:hAnsi="Times New Roman" w:eastAsia="仿宋"/>
        </w:rPr>
      </w:pPr>
    </w:p>
    <w:p>
      <w:pPr>
        <w:tabs>
          <w:tab w:val="left" w:pos="7920"/>
        </w:tabs>
        <w:snapToGrid w:val="0"/>
        <w:spacing w:line="560" w:lineRule="exact"/>
        <w:ind w:firstLine="480" w:firstLineChars="200"/>
        <w:contextualSpacing/>
        <w:jc w:val="center"/>
        <w:rPr>
          <w:rFonts w:ascii="仿宋" w:hAnsi="仿宋" w:eastAsia="仿宋"/>
          <w:color w:val="000000"/>
          <w:kern w:val="0"/>
          <w:sz w:val="24"/>
          <w:szCs w:val="24"/>
        </w:rPr>
      </w:pPr>
      <w:r>
        <w:rPr>
          <w:rFonts w:ascii="仿宋" w:hAnsi="仿宋" w:eastAsia="仿宋"/>
          <w:color w:val="000000"/>
          <w:kern w:val="0"/>
          <w:sz w:val="24"/>
          <w:szCs w:val="24"/>
        </w:rPr>
        <w:t>图1-21 信息披露结果示例2</w:t>
      </w:r>
    </w:p>
    <w:p>
      <w:pPr>
        <w:tabs>
          <w:tab w:val="left" w:pos="7920"/>
        </w:tabs>
        <w:snapToGrid w:val="0"/>
        <w:spacing w:line="560" w:lineRule="exact"/>
        <w:ind w:firstLine="640" w:firstLineChars="200"/>
        <w:contextualSpacing/>
        <w:rPr>
          <w:rFonts w:ascii="仿宋" w:hAnsi="仿宋" w:eastAsia="仿宋"/>
          <w:color w:val="000000"/>
          <w:kern w:val="0"/>
          <w:sz w:val="28"/>
          <w:szCs w:val="28"/>
        </w:rPr>
      </w:pPr>
      <w:r>
        <w:rPr>
          <w:rFonts w:ascii="仿宋" w:hAnsi="仿宋" w:eastAsia="仿宋"/>
          <w:color w:val="000000"/>
          <w:kern w:val="0"/>
          <w:sz w:val="32"/>
          <w:szCs w:val="28"/>
        </w:rPr>
        <w:t>对于通过业务专区提交审查的信息披露申请，本所通过</w:t>
      </w:r>
      <w:r>
        <w:rPr>
          <w:rFonts w:hint="eastAsia" w:ascii="仿宋" w:hAnsi="仿宋" w:eastAsia="仿宋"/>
          <w:color w:val="000000"/>
          <w:kern w:val="0"/>
          <w:sz w:val="32"/>
          <w:szCs w:val="28"/>
        </w:rPr>
        <w:t>“</w:t>
      </w:r>
      <w:r>
        <w:rPr>
          <w:rFonts w:ascii="仿宋" w:hAnsi="仿宋" w:eastAsia="仿宋"/>
          <w:color w:val="000000"/>
          <w:kern w:val="0"/>
          <w:sz w:val="32"/>
          <w:szCs w:val="28"/>
        </w:rPr>
        <w:t>信息披露业务—信息披露结果</w:t>
      </w:r>
      <w:r>
        <w:rPr>
          <w:rFonts w:hint="eastAsia" w:ascii="仿宋" w:hAnsi="仿宋" w:eastAsia="仿宋"/>
          <w:color w:val="000000"/>
          <w:kern w:val="0"/>
          <w:sz w:val="32"/>
          <w:szCs w:val="28"/>
        </w:rPr>
        <w:t>”</w:t>
      </w:r>
      <w:r>
        <w:rPr>
          <w:rFonts w:ascii="仿宋" w:hAnsi="仿宋" w:eastAsia="仿宋"/>
          <w:color w:val="000000"/>
          <w:kern w:val="0"/>
          <w:sz w:val="32"/>
          <w:szCs w:val="28"/>
        </w:rPr>
        <w:t>栏目直接反馈经电子签名的文件。如图1-22所示：</w:t>
      </w:r>
    </w:p>
    <w:p>
      <w:pPr>
        <w:tabs>
          <w:tab w:val="left" w:pos="7920"/>
        </w:tabs>
        <w:snapToGrid w:val="0"/>
        <w:spacing w:line="560" w:lineRule="exact"/>
        <w:ind w:firstLine="420" w:firstLineChars="200"/>
        <w:contextualSpacing/>
        <w:rPr>
          <w:rFonts w:ascii="Times New Roman" w:hAnsi="Times New Roman" w:eastAsia="方正仿宋简体"/>
          <w:color w:val="000000"/>
          <w:kern w:val="0"/>
          <w:sz w:val="28"/>
          <w:szCs w:val="28"/>
        </w:rPr>
      </w:pPr>
      <w:r>
        <w:drawing>
          <wp:anchor distT="0" distB="0" distL="114300" distR="114300" simplePos="0" relativeHeight="251686912" behindDoc="0" locked="0" layoutInCell="1" allowOverlap="1">
            <wp:simplePos x="0" y="0"/>
            <wp:positionH relativeFrom="column">
              <wp:posOffset>13970</wp:posOffset>
            </wp:positionH>
            <wp:positionV relativeFrom="paragraph">
              <wp:posOffset>156210</wp:posOffset>
            </wp:positionV>
            <wp:extent cx="5274310" cy="2255520"/>
            <wp:effectExtent l="0" t="0" r="2540" b="0"/>
            <wp:wrapNone/>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4310" cy="2255520"/>
                    </a:xfrm>
                    <a:prstGeom prst="rect">
                      <a:avLst/>
                    </a:prstGeom>
                    <a:noFill/>
                  </pic:spPr>
                </pic:pic>
              </a:graphicData>
            </a:graphic>
          </wp:anchor>
        </w:drawing>
      </w:r>
    </w:p>
    <w:p>
      <w:pPr>
        <w:tabs>
          <w:tab w:val="left" w:pos="7920"/>
        </w:tabs>
        <w:snapToGrid w:val="0"/>
        <w:spacing w:line="560" w:lineRule="exact"/>
        <w:ind w:firstLine="560" w:firstLineChars="200"/>
        <w:contextualSpacing/>
        <w:rPr>
          <w:rFonts w:ascii="Times New Roman" w:hAnsi="Times New Roman" w:eastAsia="方正仿宋简体"/>
          <w:color w:val="000000"/>
          <w:kern w:val="0"/>
          <w:sz w:val="28"/>
          <w:szCs w:val="28"/>
        </w:rPr>
      </w:pPr>
    </w:p>
    <w:p>
      <w:pPr>
        <w:tabs>
          <w:tab w:val="left" w:pos="7920"/>
        </w:tabs>
        <w:snapToGrid w:val="0"/>
        <w:spacing w:line="560" w:lineRule="exact"/>
        <w:ind w:firstLine="560" w:firstLineChars="200"/>
        <w:contextualSpacing/>
        <w:rPr>
          <w:rFonts w:ascii="Times New Roman" w:hAnsi="Times New Roman" w:eastAsia="方正仿宋简体"/>
          <w:color w:val="000000"/>
          <w:kern w:val="0"/>
          <w:sz w:val="28"/>
          <w:szCs w:val="28"/>
        </w:rPr>
      </w:pPr>
    </w:p>
    <w:p>
      <w:pPr>
        <w:tabs>
          <w:tab w:val="left" w:pos="7920"/>
        </w:tabs>
        <w:snapToGrid w:val="0"/>
        <w:spacing w:line="560" w:lineRule="exact"/>
        <w:ind w:firstLine="420"/>
        <w:contextualSpacing/>
        <w:rPr>
          <w:rFonts w:ascii="Times New Roman" w:hAnsi="Times New Roman" w:eastAsia="仿宋"/>
          <w:color w:val="000000"/>
          <w:kern w:val="0"/>
          <w:sz w:val="28"/>
          <w:szCs w:val="28"/>
        </w:rPr>
      </w:pPr>
    </w:p>
    <w:p>
      <w:pPr>
        <w:tabs>
          <w:tab w:val="left" w:pos="7920"/>
        </w:tabs>
        <w:snapToGrid w:val="0"/>
        <w:spacing w:line="560" w:lineRule="exact"/>
        <w:ind w:firstLine="420"/>
        <w:contextualSpacing/>
        <w:rPr>
          <w:rFonts w:ascii="Times New Roman" w:hAnsi="Times New Roman" w:eastAsia="仿宋"/>
          <w:color w:val="000000"/>
          <w:kern w:val="0"/>
          <w:sz w:val="28"/>
          <w:szCs w:val="28"/>
        </w:rPr>
      </w:pPr>
    </w:p>
    <w:p>
      <w:pPr>
        <w:tabs>
          <w:tab w:val="left" w:pos="7920"/>
        </w:tabs>
        <w:snapToGrid w:val="0"/>
        <w:spacing w:line="560" w:lineRule="exact"/>
        <w:ind w:firstLine="420"/>
        <w:contextualSpacing/>
        <w:rPr>
          <w:rFonts w:ascii="Times New Roman" w:hAnsi="Times New Roman" w:eastAsia="仿宋"/>
          <w:color w:val="000000"/>
          <w:kern w:val="0"/>
          <w:sz w:val="28"/>
          <w:szCs w:val="28"/>
        </w:rPr>
      </w:pPr>
    </w:p>
    <w:p>
      <w:pPr>
        <w:tabs>
          <w:tab w:val="left" w:pos="7920"/>
        </w:tabs>
        <w:snapToGrid w:val="0"/>
        <w:spacing w:line="560" w:lineRule="exact"/>
        <w:ind w:firstLine="480" w:firstLineChars="200"/>
        <w:contextualSpacing/>
        <w:jc w:val="center"/>
        <w:rPr>
          <w:rFonts w:ascii="Times New Roman" w:hAnsi="Times New Roman" w:eastAsia="方正仿宋简体"/>
          <w:color w:val="000000"/>
          <w:kern w:val="0"/>
          <w:sz w:val="24"/>
          <w:szCs w:val="24"/>
        </w:rPr>
      </w:pPr>
    </w:p>
    <w:p>
      <w:pPr>
        <w:tabs>
          <w:tab w:val="left" w:pos="7920"/>
        </w:tabs>
        <w:snapToGrid w:val="0"/>
        <w:spacing w:line="560" w:lineRule="exact"/>
        <w:ind w:firstLine="480" w:firstLineChars="200"/>
        <w:contextualSpacing/>
        <w:jc w:val="center"/>
        <w:rPr>
          <w:rFonts w:ascii="仿宋" w:hAnsi="仿宋" w:eastAsia="仿宋"/>
          <w:color w:val="000000"/>
          <w:kern w:val="0"/>
          <w:sz w:val="24"/>
          <w:szCs w:val="24"/>
        </w:rPr>
      </w:pPr>
      <w:r>
        <w:rPr>
          <w:rFonts w:ascii="仿宋" w:hAnsi="仿宋" w:eastAsia="仿宋"/>
          <w:color w:val="000000"/>
          <w:kern w:val="0"/>
          <w:sz w:val="24"/>
          <w:szCs w:val="24"/>
        </w:rPr>
        <w:t>图1-22信息披露结果示例3</w:t>
      </w:r>
    </w:p>
    <w:p>
      <w:pPr>
        <w:tabs>
          <w:tab w:val="left" w:pos="7920"/>
        </w:tabs>
        <w:snapToGrid w:val="0"/>
        <w:spacing w:line="560" w:lineRule="exact"/>
        <w:ind w:firstLine="640" w:firstLineChars="200"/>
        <w:contextualSpacing/>
        <w:rPr>
          <w:rFonts w:ascii="仿宋" w:hAnsi="仿宋" w:eastAsia="仿宋"/>
          <w:color w:val="000000"/>
          <w:kern w:val="0"/>
          <w:sz w:val="32"/>
          <w:szCs w:val="28"/>
        </w:rPr>
      </w:pPr>
      <w:r>
        <w:rPr>
          <w:rFonts w:ascii="仿宋" w:hAnsi="仿宋" w:eastAsia="仿宋"/>
          <w:color w:val="000000"/>
          <w:kern w:val="0"/>
          <w:sz w:val="32"/>
          <w:szCs w:val="28"/>
        </w:rPr>
        <w:t>本所只提供上市公司提交披露信息给媒体的技术平台，上市公司完成以上操作后，还需及时与</w:t>
      </w:r>
      <w:r>
        <w:rPr>
          <w:rFonts w:hint="eastAsia" w:ascii="仿宋" w:hAnsi="仿宋" w:eastAsia="仿宋"/>
          <w:color w:val="000000"/>
          <w:sz w:val="32"/>
          <w:szCs w:val="32"/>
        </w:rPr>
        <w:t>符合条件媒体</w:t>
      </w:r>
      <w:r>
        <w:rPr>
          <w:rFonts w:ascii="仿宋" w:hAnsi="仿宋" w:eastAsia="仿宋"/>
          <w:color w:val="000000"/>
          <w:kern w:val="0"/>
          <w:sz w:val="32"/>
          <w:szCs w:val="28"/>
        </w:rPr>
        <w:t>确认并联络</w:t>
      </w:r>
      <w:r>
        <w:rPr>
          <w:rFonts w:hint="eastAsia" w:ascii="仿宋" w:hAnsi="仿宋" w:eastAsia="仿宋"/>
          <w:color w:val="000000"/>
          <w:kern w:val="0"/>
          <w:sz w:val="32"/>
          <w:szCs w:val="28"/>
        </w:rPr>
        <w:t>披露</w:t>
      </w:r>
      <w:r>
        <w:rPr>
          <w:rFonts w:ascii="仿宋" w:hAnsi="仿宋" w:eastAsia="仿宋"/>
          <w:color w:val="000000"/>
          <w:kern w:val="0"/>
          <w:sz w:val="32"/>
          <w:szCs w:val="28"/>
        </w:rPr>
        <w:t>事宜（如适用）。</w:t>
      </w:r>
      <w:r>
        <w:rPr>
          <w:rFonts w:hint="eastAsia" w:ascii="仿宋" w:hAnsi="仿宋" w:eastAsia="仿宋"/>
          <w:color w:val="000000"/>
          <w:kern w:val="0"/>
          <w:sz w:val="32"/>
          <w:szCs w:val="28"/>
        </w:rPr>
        <w:t>如发现异常，应当立即向本所报告。信息披露文件经符合条件媒体确认发布后，上市公司不得修改或者撤销。</w:t>
      </w:r>
    </w:p>
    <w:p>
      <w:pPr>
        <w:tabs>
          <w:tab w:val="left" w:pos="7920"/>
        </w:tabs>
        <w:snapToGrid w:val="0"/>
        <w:spacing w:line="560" w:lineRule="exact"/>
        <w:ind w:firstLine="640" w:firstLineChars="200"/>
        <w:contextualSpacing/>
        <w:rPr>
          <w:rFonts w:ascii="仿宋" w:hAnsi="仿宋" w:eastAsia="仿宋"/>
          <w:color w:val="000000"/>
          <w:kern w:val="0"/>
          <w:sz w:val="32"/>
          <w:szCs w:val="28"/>
        </w:rPr>
      </w:pPr>
      <w:r>
        <w:rPr>
          <w:rFonts w:hint="eastAsia" w:ascii="仿宋" w:hAnsi="仿宋" w:eastAsia="仿宋"/>
          <w:color w:val="000000"/>
          <w:kern w:val="0"/>
          <w:sz w:val="32"/>
          <w:szCs w:val="28"/>
        </w:rPr>
        <w:t>因不可抗力、意外事件及技术故障等原因，导致直通披露业务不能正常办理的，上市公司应当按照本所规定的其他方式办理信息披露事项。</w:t>
      </w:r>
    </w:p>
    <w:p>
      <w:pPr>
        <w:spacing w:line="560" w:lineRule="exact"/>
        <w:ind w:firstLine="640"/>
        <w:rPr>
          <w:rFonts w:ascii="仿宋" w:hAnsi="仿宋" w:eastAsia="仿宋"/>
          <w:sz w:val="32"/>
          <w:szCs w:val="20"/>
        </w:rPr>
      </w:pPr>
      <w:r>
        <w:rPr>
          <w:rFonts w:ascii="仿宋" w:hAnsi="仿宋" w:eastAsia="仿宋"/>
          <w:sz w:val="32"/>
          <w:szCs w:val="20"/>
        </w:rPr>
        <w:t>5．公告送达媒体专区的时点</w:t>
      </w:r>
    </w:p>
    <w:p>
      <w:pPr>
        <w:spacing w:line="560" w:lineRule="exact"/>
        <w:ind w:firstLine="640" w:firstLineChars="200"/>
        <w:rPr>
          <w:rFonts w:ascii="仿宋" w:hAnsi="仿宋" w:eastAsia="仿宋"/>
          <w:color w:val="000000"/>
          <w:sz w:val="28"/>
          <w:szCs w:val="28"/>
        </w:rPr>
      </w:pPr>
      <w:r>
        <w:rPr>
          <w:rFonts w:ascii="仿宋" w:hAnsi="仿宋" w:eastAsia="仿宋"/>
          <w:color w:val="000000"/>
          <w:sz w:val="32"/>
          <w:szCs w:val="28"/>
        </w:rPr>
        <w:t>（一）交易日提交的直通车公告</w:t>
      </w:r>
    </w:p>
    <w:tbl>
      <w:tblPr>
        <w:tblStyle w:val="56"/>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222"/>
        <w:gridCol w:w="2422"/>
        <w:gridCol w:w="387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Merge w:val="restart"/>
            <w:vAlign w:val="center"/>
          </w:tcPr>
          <w:p>
            <w:pPr>
              <w:spacing w:line="360" w:lineRule="auto"/>
              <w:jc w:val="left"/>
              <w:rPr>
                <w:rFonts w:ascii="宋体" w:hAnsi="宋体"/>
                <w:b/>
                <w:sz w:val="24"/>
                <w:szCs w:val="24"/>
              </w:rPr>
            </w:pPr>
            <w:r>
              <w:rPr>
                <w:rFonts w:ascii="宋体" w:hAnsi="宋体"/>
                <w:b/>
                <w:sz w:val="24"/>
                <w:szCs w:val="24"/>
              </w:rPr>
              <w:t>直通车提交时点</w:t>
            </w:r>
          </w:p>
        </w:tc>
        <w:tc>
          <w:tcPr>
            <w:tcW w:w="6300" w:type="dxa"/>
            <w:gridSpan w:val="2"/>
            <w:vAlign w:val="center"/>
          </w:tcPr>
          <w:p>
            <w:pPr>
              <w:spacing w:line="360" w:lineRule="auto"/>
              <w:ind w:firstLine="482" w:firstLineChars="200"/>
              <w:jc w:val="left"/>
              <w:rPr>
                <w:rFonts w:ascii="宋体" w:hAnsi="宋体"/>
                <w:b/>
                <w:sz w:val="24"/>
                <w:szCs w:val="24"/>
              </w:rPr>
            </w:pPr>
            <w:r>
              <w:rPr>
                <w:rFonts w:ascii="宋体" w:hAnsi="宋体"/>
                <w:b/>
                <w:sz w:val="24"/>
                <w:szCs w:val="24"/>
              </w:rPr>
              <w:t>发布到</w:t>
            </w:r>
            <w:r>
              <w:rPr>
                <w:rFonts w:hint="eastAsia" w:ascii="宋体" w:hAnsi="宋体"/>
                <w:b/>
                <w:sz w:val="24"/>
                <w:szCs w:val="24"/>
              </w:rPr>
              <w:t>符合条件</w:t>
            </w:r>
            <w:r>
              <w:rPr>
                <w:rFonts w:ascii="宋体" w:hAnsi="宋体"/>
                <w:b/>
                <w:sz w:val="24"/>
                <w:szCs w:val="24"/>
              </w:rPr>
              <w:t>媒体时间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Merge w:val="continue"/>
            <w:vAlign w:val="center"/>
          </w:tcPr>
          <w:p>
            <w:pPr>
              <w:spacing w:line="360" w:lineRule="auto"/>
              <w:ind w:firstLine="480" w:firstLineChars="200"/>
              <w:jc w:val="left"/>
              <w:rPr>
                <w:rFonts w:ascii="宋体" w:hAnsi="宋体"/>
                <w:sz w:val="24"/>
                <w:szCs w:val="24"/>
              </w:rPr>
            </w:pPr>
          </w:p>
        </w:tc>
        <w:tc>
          <w:tcPr>
            <w:tcW w:w="2422" w:type="dxa"/>
            <w:vAlign w:val="center"/>
          </w:tcPr>
          <w:p>
            <w:pPr>
              <w:spacing w:line="360" w:lineRule="auto"/>
              <w:jc w:val="center"/>
              <w:rPr>
                <w:rFonts w:ascii="宋体" w:hAnsi="宋体"/>
                <w:sz w:val="24"/>
                <w:szCs w:val="24"/>
              </w:rPr>
            </w:pPr>
            <w:r>
              <w:rPr>
                <w:rFonts w:ascii="宋体" w:hAnsi="宋体"/>
                <w:sz w:val="24"/>
                <w:szCs w:val="24"/>
              </w:rPr>
              <w:t>披露日期为当日</w:t>
            </w:r>
          </w:p>
        </w:tc>
        <w:tc>
          <w:tcPr>
            <w:tcW w:w="3878" w:type="dxa"/>
            <w:vAlign w:val="center"/>
          </w:tcPr>
          <w:p>
            <w:pPr>
              <w:spacing w:line="360" w:lineRule="auto"/>
              <w:jc w:val="center"/>
              <w:rPr>
                <w:rFonts w:ascii="宋体" w:hAnsi="宋体"/>
                <w:sz w:val="24"/>
                <w:szCs w:val="24"/>
              </w:rPr>
            </w:pPr>
            <w:r>
              <w:rPr>
                <w:rFonts w:ascii="宋体" w:hAnsi="宋体"/>
                <w:sz w:val="24"/>
                <w:szCs w:val="24"/>
              </w:rPr>
              <w:t>披露日期为次日或次交易日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Align w:val="center"/>
          </w:tcPr>
          <w:p>
            <w:pPr>
              <w:spacing w:line="360" w:lineRule="auto"/>
              <w:ind w:firstLine="480" w:firstLineChars="200"/>
              <w:jc w:val="left"/>
              <w:rPr>
                <w:rFonts w:ascii="宋体" w:hAnsi="宋体"/>
                <w:sz w:val="24"/>
                <w:szCs w:val="24"/>
              </w:rPr>
            </w:pPr>
            <w:r>
              <w:rPr>
                <w:rFonts w:ascii="宋体" w:hAnsi="宋体"/>
                <w:sz w:val="24"/>
                <w:szCs w:val="24"/>
              </w:rPr>
              <w:t>6:00～7:30</w:t>
            </w:r>
          </w:p>
        </w:tc>
        <w:tc>
          <w:tcPr>
            <w:tcW w:w="2422" w:type="dxa"/>
            <w:vAlign w:val="center"/>
          </w:tcPr>
          <w:p>
            <w:pPr>
              <w:spacing w:line="360" w:lineRule="auto"/>
              <w:ind w:firstLine="480" w:firstLineChars="200"/>
              <w:jc w:val="center"/>
              <w:rPr>
                <w:rFonts w:ascii="宋体" w:hAnsi="宋体"/>
                <w:sz w:val="24"/>
                <w:szCs w:val="24"/>
              </w:rPr>
            </w:pPr>
            <w:r>
              <w:rPr>
                <w:rFonts w:ascii="宋体" w:hAnsi="宋体"/>
                <w:sz w:val="24"/>
                <w:szCs w:val="24"/>
              </w:rPr>
              <w:t>7:30</w:t>
            </w:r>
          </w:p>
        </w:tc>
        <w:tc>
          <w:tcPr>
            <w:tcW w:w="3878" w:type="dxa"/>
            <w:vMerge w:val="restart"/>
            <w:vAlign w:val="center"/>
          </w:tcPr>
          <w:p>
            <w:pPr>
              <w:spacing w:line="360" w:lineRule="auto"/>
              <w:ind w:firstLine="480" w:firstLineChars="200"/>
              <w:jc w:val="center"/>
              <w:rPr>
                <w:rFonts w:ascii="宋体" w:hAnsi="宋体"/>
                <w:sz w:val="24"/>
                <w:szCs w:val="24"/>
              </w:rPr>
            </w:pPr>
            <w:r>
              <w:rPr>
                <w:rFonts w:ascii="宋体" w:hAnsi="宋体"/>
                <w:sz w:val="24"/>
                <w:szCs w:val="24"/>
              </w:rPr>
              <w:t>15:30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Align w:val="center"/>
          </w:tcPr>
          <w:p>
            <w:pPr>
              <w:spacing w:line="360" w:lineRule="auto"/>
              <w:ind w:firstLine="480" w:firstLineChars="200"/>
              <w:jc w:val="left"/>
              <w:rPr>
                <w:rFonts w:ascii="宋体" w:hAnsi="宋体"/>
                <w:sz w:val="24"/>
                <w:szCs w:val="24"/>
              </w:rPr>
            </w:pPr>
            <w:r>
              <w:rPr>
                <w:rFonts w:ascii="宋体" w:hAnsi="宋体"/>
                <w:sz w:val="24"/>
                <w:szCs w:val="24"/>
              </w:rPr>
              <w:t>7:30～8:00</w:t>
            </w:r>
          </w:p>
        </w:tc>
        <w:tc>
          <w:tcPr>
            <w:tcW w:w="2422" w:type="dxa"/>
            <w:vAlign w:val="center"/>
          </w:tcPr>
          <w:p>
            <w:pPr>
              <w:spacing w:line="360" w:lineRule="auto"/>
              <w:ind w:firstLine="480" w:firstLineChars="200"/>
              <w:jc w:val="center"/>
              <w:rPr>
                <w:rFonts w:ascii="宋体" w:hAnsi="宋体"/>
                <w:sz w:val="24"/>
                <w:szCs w:val="24"/>
              </w:rPr>
            </w:pPr>
            <w:r>
              <w:rPr>
                <w:rFonts w:ascii="宋体" w:hAnsi="宋体"/>
                <w:sz w:val="24"/>
                <w:szCs w:val="24"/>
              </w:rPr>
              <w:t>实时</w:t>
            </w:r>
          </w:p>
        </w:tc>
        <w:tc>
          <w:tcPr>
            <w:tcW w:w="3878" w:type="dxa"/>
            <w:vMerge w:val="continue"/>
            <w:vAlign w:val="center"/>
          </w:tcPr>
          <w:p>
            <w:pPr>
              <w:spacing w:line="360" w:lineRule="auto"/>
              <w:ind w:firstLine="480" w:firstLineChars="200"/>
              <w:jc w:val="left"/>
              <w:rPr>
                <w:rFonts w:ascii="宋体" w:hAnsi="宋体"/>
                <w:sz w:val="24"/>
                <w:szCs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Align w:val="center"/>
          </w:tcPr>
          <w:p>
            <w:pPr>
              <w:spacing w:line="360" w:lineRule="auto"/>
              <w:ind w:firstLine="480" w:firstLineChars="200"/>
              <w:jc w:val="left"/>
              <w:rPr>
                <w:rFonts w:ascii="宋体" w:hAnsi="宋体"/>
                <w:sz w:val="24"/>
                <w:szCs w:val="24"/>
              </w:rPr>
            </w:pPr>
            <w:r>
              <w:rPr>
                <w:rFonts w:ascii="宋体" w:hAnsi="宋体"/>
                <w:sz w:val="24"/>
                <w:szCs w:val="24"/>
              </w:rPr>
              <w:t>8:00～11:30</w:t>
            </w:r>
          </w:p>
        </w:tc>
        <w:tc>
          <w:tcPr>
            <w:tcW w:w="2422" w:type="dxa"/>
            <w:vAlign w:val="center"/>
          </w:tcPr>
          <w:p>
            <w:pPr>
              <w:spacing w:line="360" w:lineRule="auto"/>
              <w:ind w:firstLine="480" w:firstLineChars="200"/>
              <w:jc w:val="center"/>
              <w:rPr>
                <w:rFonts w:ascii="宋体" w:hAnsi="宋体"/>
                <w:sz w:val="24"/>
                <w:szCs w:val="24"/>
              </w:rPr>
            </w:pPr>
            <w:r>
              <w:rPr>
                <w:rFonts w:ascii="宋体" w:hAnsi="宋体"/>
                <w:sz w:val="24"/>
                <w:szCs w:val="24"/>
              </w:rPr>
              <w:t>11:30</w:t>
            </w:r>
          </w:p>
        </w:tc>
        <w:tc>
          <w:tcPr>
            <w:tcW w:w="3878" w:type="dxa"/>
            <w:vMerge w:val="continue"/>
            <w:vAlign w:val="center"/>
          </w:tcPr>
          <w:p>
            <w:pPr>
              <w:spacing w:line="360" w:lineRule="auto"/>
              <w:ind w:firstLine="480" w:firstLineChars="200"/>
              <w:jc w:val="left"/>
              <w:rPr>
                <w:rFonts w:ascii="宋体" w:hAnsi="宋体"/>
                <w:sz w:val="24"/>
                <w:szCs w:val="24"/>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Align w:val="center"/>
          </w:tcPr>
          <w:p>
            <w:pPr>
              <w:spacing w:line="360" w:lineRule="auto"/>
              <w:ind w:firstLine="480" w:firstLineChars="200"/>
              <w:jc w:val="left"/>
              <w:rPr>
                <w:rFonts w:ascii="宋体" w:hAnsi="宋体"/>
                <w:sz w:val="24"/>
                <w:szCs w:val="24"/>
              </w:rPr>
            </w:pPr>
            <w:r>
              <w:rPr>
                <w:rFonts w:ascii="宋体" w:hAnsi="宋体"/>
                <w:sz w:val="24"/>
                <w:szCs w:val="24"/>
              </w:rPr>
              <w:t>11:30～15:30</w:t>
            </w:r>
          </w:p>
        </w:tc>
        <w:tc>
          <w:tcPr>
            <w:tcW w:w="6300" w:type="dxa"/>
            <w:gridSpan w:val="2"/>
            <w:vAlign w:val="center"/>
          </w:tcPr>
          <w:p>
            <w:pPr>
              <w:spacing w:line="360" w:lineRule="auto"/>
              <w:ind w:firstLine="480" w:firstLineChars="200"/>
              <w:jc w:val="center"/>
              <w:rPr>
                <w:rFonts w:ascii="宋体" w:hAnsi="宋体"/>
                <w:sz w:val="24"/>
                <w:szCs w:val="24"/>
              </w:rPr>
            </w:pPr>
            <w:r>
              <w:rPr>
                <w:rFonts w:ascii="宋体" w:hAnsi="宋体"/>
                <w:sz w:val="24"/>
                <w:szCs w:val="24"/>
              </w:rPr>
              <w:t>15:30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2222" w:type="dxa"/>
            <w:vAlign w:val="center"/>
          </w:tcPr>
          <w:p>
            <w:pPr>
              <w:spacing w:line="360" w:lineRule="auto"/>
              <w:ind w:firstLine="480" w:firstLineChars="200"/>
              <w:jc w:val="left"/>
              <w:rPr>
                <w:rFonts w:ascii="宋体" w:hAnsi="宋体"/>
                <w:sz w:val="24"/>
                <w:szCs w:val="24"/>
              </w:rPr>
            </w:pPr>
            <w:r>
              <w:rPr>
                <w:rFonts w:ascii="宋体" w:hAnsi="宋体"/>
                <w:sz w:val="24"/>
                <w:szCs w:val="24"/>
              </w:rPr>
              <w:t>15:30～20:30</w:t>
            </w:r>
          </w:p>
        </w:tc>
        <w:tc>
          <w:tcPr>
            <w:tcW w:w="6300" w:type="dxa"/>
            <w:gridSpan w:val="2"/>
            <w:vAlign w:val="center"/>
          </w:tcPr>
          <w:p>
            <w:pPr>
              <w:spacing w:line="360" w:lineRule="auto"/>
              <w:ind w:firstLine="480" w:firstLineChars="200"/>
              <w:jc w:val="center"/>
              <w:rPr>
                <w:rFonts w:ascii="宋体" w:hAnsi="宋体"/>
                <w:sz w:val="24"/>
                <w:szCs w:val="24"/>
              </w:rPr>
            </w:pPr>
            <w:r>
              <w:rPr>
                <w:rFonts w:ascii="宋体" w:hAnsi="宋体"/>
                <w:sz w:val="24"/>
                <w:szCs w:val="24"/>
              </w:rPr>
              <w:t>实时</w:t>
            </w:r>
          </w:p>
        </w:tc>
      </w:tr>
    </w:tbl>
    <w:p>
      <w:pPr>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（二）单一非交易日或连续非交易日最后一日提交的直通车公告</w:t>
      </w:r>
    </w:p>
    <w:tbl>
      <w:tblPr>
        <w:tblStyle w:val="56"/>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546"/>
        <w:gridCol w:w="597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2546" w:type="dxa"/>
            <w:vMerge w:val="restart"/>
            <w:vAlign w:val="center"/>
          </w:tcPr>
          <w:p>
            <w:pPr>
              <w:spacing w:line="360" w:lineRule="auto"/>
              <w:ind w:firstLine="361" w:firstLineChars="150"/>
              <w:jc w:val="left"/>
              <w:rPr>
                <w:rFonts w:ascii="宋体" w:hAnsi="宋体"/>
                <w:sz w:val="24"/>
                <w:szCs w:val="24"/>
              </w:rPr>
            </w:pPr>
            <w:r>
              <w:rPr>
                <w:rFonts w:ascii="宋体" w:hAnsi="宋体"/>
                <w:b/>
                <w:sz w:val="24"/>
                <w:szCs w:val="24"/>
              </w:rPr>
              <w:t>直通车提交时点</w:t>
            </w:r>
          </w:p>
        </w:tc>
        <w:tc>
          <w:tcPr>
            <w:tcW w:w="5976" w:type="dxa"/>
            <w:vAlign w:val="center"/>
          </w:tcPr>
          <w:p>
            <w:pPr>
              <w:spacing w:line="360" w:lineRule="auto"/>
              <w:ind w:firstLine="482" w:firstLineChars="200"/>
              <w:jc w:val="left"/>
              <w:rPr>
                <w:rFonts w:ascii="宋体" w:hAnsi="宋体"/>
                <w:sz w:val="24"/>
                <w:szCs w:val="24"/>
              </w:rPr>
            </w:pPr>
            <w:r>
              <w:rPr>
                <w:rFonts w:ascii="宋体" w:hAnsi="宋体"/>
                <w:b/>
                <w:sz w:val="24"/>
                <w:szCs w:val="24"/>
              </w:rPr>
              <w:t>发布到</w:t>
            </w:r>
            <w:r>
              <w:rPr>
                <w:rFonts w:hint="eastAsia" w:ascii="宋体" w:hAnsi="宋体"/>
                <w:b/>
                <w:sz w:val="24"/>
                <w:szCs w:val="24"/>
              </w:rPr>
              <w:t>符合条件</w:t>
            </w:r>
            <w:r>
              <w:rPr>
                <w:rFonts w:ascii="宋体" w:hAnsi="宋体"/>
                <w:b/>
                <w:sz w:val="24"/>
                <w:szCs w:val="24"/>
              </w:rPr>
              <w:t>媒体时间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2546" w:type="dxa"/>
            <w:vMerge w:val="continue"/>
            <w:vAlign w:val="center"/>
          </w:tcPr>
          <w:p>
            <w:pPr>
              <w:spacing w:line="360" w:lineRule="auto"/>
              <w:ind w:firstLine="480" w:firstLineChars="200"/>
              <w:jc w:val="left"/>
              <w:rPr>
                <w:rFonts w:ascii="宋体" w:hAnsi="宋体"/>
                <w:sz w:val="24"/>
                <w:szCs w:val="24"/>
              </w:rPr>
            </w:pPr>
          </w:p>
        </w:tc>
        <w:tc>
          <w:tcPr>
            <w:tcW w:w="5976" w:type="dxa"/>
            <w:vAlign w:val="center"/>
          </w:tcPr>
          <w:p>
            <w:pPr>
              <w:spacing w:line="360" w:lineRule="auto"/>
              <w:ind w:firstLine="480" w:firstLineChars="200"/>
              <w:jc w:val="left"/>
              <w:rPr>
                <w:rFonts w:ascii="宋体" w:hAnsi="宋体"/>
                <w:sz w:val="24"/>
                <w:szCs w:val="24"/>
              </w:rPr>
            </w:pPr>
            <w:r>
              <w:rPr>
                <w:rFonts w:ascii="宋体" w:hAnsi="宋体"/>
                <w:sz w:val="24"/>
                <w:szCs w:val="24"/>
              </w:rPr>
              <w:t>披露日期必须为次日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c>
          <w:tcPr>
            <w:tcW w:w="2546" w:type="dxa"/>
            <w:vAlign w:val="center"/>
          </w:tcPr>
          <w:p>
            <w:pPr>
              <w:spacing w:line="360" w:lineRule="auto"/>
              <w:ind w:firstLine="480" w:firstLineChars="200"/>
              <w:jc w:val="left"/>
              <w:rPr>
                <w:rFonts w:ascii="宋体" w:hAnsi="宋体"/>
                <w:sz w:val="24"/>
                <w:szCs w:val="24"/>
              </w:rPr>
            </w:pPr>
            <w:r>
              <w:rPr>
                <w:rFonts w:ascii="宋体" w:hAnsi="宋体"/>
                <w:sz w:val="24"/>
                <w:szCs w:val="24"/>
              </w:rPr>
              <w:t>12:00～16:00</w:t>
            </w:r>
          </w:p>
        </w:tc>
        <w:tc>
          <w:tcPr>
            <w:tcW w:w="5976" w:type="dxa"/>
            <w:vAlign w:val="center"/>
          </w:tcPr>
          <w:p>
            <w:pPr>
              <w:spacing w:line="360" w:lineRule="auto"/>
              <w:ind w:firstLine="480" w:firstLineChars="200"/>
              <w:jc w:val="left"/>
              <w:rPr>
                <w:rFonts w:ascii="宋体" w:hAnsi="宋体"/>
                <w:sz w:val="24"/>
                <w:szCs w:val="24"/>
              </w:rPr>
            </w:pPr>
            <w:r>
              <w:rPr>
                <w:rFonts w:ascii="宋体" w:hAnsi="宋体"/>
                <w:sz w:val="24"/>
                <w:szCs w:val="24"/>
              </w:rPr>
              <w:t>16:00</w:t>
            </w:r>
          </w:p>
        </w:tc>
      </w:tr>
    </w:tbl>
    <w:p>
      <w:pPr>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非直通披露的相关公告送达媒体专区时点为上市公司确认并提交媒体时间。</w:t>
      </w:r>
    </w:p>
    <w:p>
      <w:pPr>
        <w:tabs>
          <w:tab w:val="left" w:pos="7920"/>
        </w:tabs>
        <w:spacing w:line="560" w:lineRule="exact"/>
        <w:ind w:firstLine="640" w:firstLineChars="200"/>
        <w:rPr>
          <w:rFonts w:ascii="仿宋" w:hAnsi="仿宋" w:eastAsia="仿宋"/>
          <w:color w:val="000000"/>
          <w:kern w:val="0"/>
          <w:sz w:val="32"/>
          <w:szCs w:val="28"/>
        </w:rPr>
      </w:pPr>
      <w:r>
        <w:rPr>
          <w:rFonts w:ascii="仿宋" w:hAnsi="仿宋" w:eastAsia="仿宋"/>
          <w:color w:val="000000"/>
          <w:kern w:val="0"/>
          <w:sz w:val="32"/>
          <w:szCs w:val="28"/>
        </w:rPr>
        <w:t>对于单一非交易日或连续非交易日的最后一日，上市公司只能提交直通披露的公告，披露日期必须填写次日。</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相关公告尚未送达媒体业务专区，上市公司拟申请撤回或替换当日已确认公告文件的，分以下两种情形处理：</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（1）属于直通披露的，上市公司可自行撤回信息披露申请；</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（2）属于非直通披露的，上市公司可与监管人员沟通，在获得其同意后可以撤回或替换当日已确认公告文件。</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以上两种情形都将影响当年的信息披露考核成绩，上市公司应谨慎使用。</w:t>
      </w:r>
    </w:p>
    <w:p>
      <w:pPr>
        <w:spacing w:line="560" w:lineRule="exact"/>
        <w:ind w:firstLine="640" w:firstLineChars="200"/>
        <w:rPr>
          <w:rFonts w:ascii="Times New Roman" w:hAnsi="Times New Roman" w:eastAsia="黑体"/>
          <w:sz w:val="32"/>
          <w:szCs w:val="20"/>
        </w:rPr>
      </w:pPr>
      <w:r>
        <w:rPr>
          <w:rFonts w:ascii="Times New Roman" w:hAnsi="Times New Roman" w:eastAsia="黑体"/>
          <w:sz w:val="32"/>
          <w:szCs w:val="20"/>
        </w:rPr>
        <w:t>二、监管信息交流</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（一）一般规定</w:t>
      </w:r>
    </w:p>
    <w:p>
      <w:pPr>
        <w:snapToGrid w:val="0"/>
        <w:spacing w:line="560" w:lineRule="exact"/>
        <w:ind w:firstLine="640" w:firstLineChars="200"/>
        <w:contextualSpacing/>
        <w:jc w:val="left"/>
        <w:rPr>
          <w:rFonts w:ascii="仿宋" w:hAnsi="仿宋" w:eastAsia="仿宋"/>
          <w:color w:val="000000"/>
          <w:sz w:val="32"/>
          <w:szCs w:val="28"/>
        </w:rPr>
      </w:pPr>
      <w:r>
        <w:rPr>
          <w:rFonts w:ascii="仿宋" w:hAnsi="仿宋" w:eastAsia="仿宋"/>
          <w:color w:val="000000"/>
          <w:sz w:val="32"/>
          <w:szCs w:val="28"/>
        </w:rPr>
        <w:t>1．为提高工作效率，记录监管过程，方便上市公司查询和回复问询函、关注函等函件，创业板公司管理部通过业务专区的</w:t>
      </w:r>
      <w:r>
        <w:rPr>
          <w:rFonts w:hint="eastAsia" w:ascii="仿宋" w:hAnsi="仿宋" w:eastAsia="仿宋"/>
          <w:color w:val="000000"/>
          <w:sz w:val="32"/>
          <w:szCs w:val="28"/>
        </w:rPr>
        <w:t>“</w:t>
      </w:r>
      <w:r>
        <w:rPr>
          <w:rFonts w:ascii="仿宋" w:hAnsi="仿宋" w:eastAsia="仿宋"/>
          <w:color w:val="000000"/>
          <w:sz w:val="32"/>
          <w:szCs w:val="28"/>
        </w:rPr>
        <w:t>监管信息</w:t>
      </w:r>
      <w:r>
        <w:rPr>
          <w:rFonts w:hint="eastAsia" w:ascii="仿宋" w:hAnsi="仿宋" w:eastAsia="仿宋"/>
          <w:color w:val="000000"/>
          <w:sz w:val="32"/>
          <w:szCs w:val="28"/>
        </w:rPr>
        <w:t>”</w:t>
      </w:r>
      <w:r>
        <w:rPr>
          <w:rFonts w:ascii="仿宋" w:hAnsi="仿宋" w:eastAsia="仿宋"/>
          <w:color w:val="000000"/>
          <w:sz w:val="32"/>
          <w:szCs w:val="28"/>
        </w:rPr>
        <w:t>栏目向上市公司发送相关函件；同时，上市公司应当通过该栏目回传各类回函的电子文件。</w:t>
      </w:r>
    </w:p>
    <w:p>
      <w:pPr>
        <w:snapToGrid w:val="0"/>
        <w:spacing w:line="560" w:lineRule="exact"/>
        <w:ind w:firstLine="640" w:firstLineChars="200"/>
        <w:contextualSpacing/>
        <w:jc w:val="left"/>
        <w:rPr>
          <w:rFonts w:ascii="仿宋" w:hAnsi="仿宋" w:eastAsia="仿宋"/>
          <w:color w:val="000000"/>
          <w:sz w:val="32"/>
          <w:szCs w:val="28"/>
        </w:rPr>
      </w:pPr>
      <w:r>
        <w:rPr>
          <w:rFonts w:ascii="仿宋" w:hAnsi="仿宋" w:eastAsia="仿宋"/>
          <w:color w:val="000000"/>
          <w:sz w:val="32"/>
          <w:szCs w:val="28"/>
        </w:rPr>
        <w:t>2．创业板公司管理部通过</w:t>
      </w:r>
      <w:r>
        <w:rPr>
          <w:rFonts w:hint="eastAsia" w:ascii="仿宋" w:hAnsi="仿宋" w:eastAsia="仿宋"/>
          <w:color w:val="000000"/>
          <w:sz w:val="32"/>
          <w:szCs w:val="28"/>
        </w:rPr>
        <w:t>“</w:t>
      </w:r>
      <w:r>
        <w:rPr>
          <w:rFonts w:ascii="仿宋" w:hAnsi="仿宋" w:eastAsia="仿宋"/>
          <w:color w:val="000000"/>
          <w:sz w:val="32"/>
          <w:szCs w:val="28"/>
        </w:rPr>
        <w:t>监管信息</w:t>
      </w:r>
      <w:r>
        <w:rPr>
          <w:rFonts w:hint="eastAsia" w:ascii="仿宋" w:hAnsi="仿宋" w:eastAsia="仿宋"/>
          <w:color w:val="000000"/>
          <w:sz w:val="32"/>
          <w:szCs w:val="28"/>
        </w:rPr>
        <w:t>”</w:t>
      </w:r>
      <w:r>
        <w:rPr>
          <w:rFonts w:ascii="仿宋" w:hAnsi="仿宋" w:eastAsia="仿宋"/>
          <w:color w:val="000000"/>
          <w:sz w:val="32"/>
          <w:szCs w:val="28"/>
        </w:rPr>
        <w:t>栏目发送的各类函件不加盖公章，如上报股东、主管单位确实需要加盖公章的，可委托上市公司与监管人员联系。</w:t>
      </w:r>
    </w:p>
    <w:p>
      <w:pPr>
        <w:snapToGrid w:val="0"/>
        <w:spacing w:line="560" w:lineRule="exact"/>
        <w:ind w:firstLine="640" w:firstLineChars="200"/>
        <w:contextualSpacing/>
        <w:jc w:val="left"/>
        <w:rPr>
          <w:rFonts w:ascii="仿宋" w:hAnsi="仿宋" w:eastAsia="仿宋"/>
          <w:b/>
          <w:color w:val="000000"/>
          <w:sz w:val="28"/>
          <w:szCs w:val="28"/>
        </w:rPr>
      </w:pPr>
      <w:r>
        <w:rPr>
          <w:rFonts w:ascii="仿宋" w:hAnsi="仿宋" w:eastAsia="仿宋"/>
          <w:color w:val="000000"/>
          <w:sz w:val="32"/>
          <w:szCs w:val="28"/>
        </w:rPr>
        <w:t>3．创业板公司管理部监管人员通过系统发出函件后，系统会自动通过短信方式，提醒上市公司的信息披露相关办理人员，告知有函件送达。上市公司回函后，创业板公司管理部内部业务系统会自动提醒监管人员及时阅读。上市公司的回函一经提交不能修改、删除，请慎重操作，如确实需要进行改动，请及时与监管人员联系。</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（二）</w:t>
      </w:r>
      <w:r>
        <w:rPr>
          <w:rFonts w:hint="eastAsia" w:ascii="Times New Roman" w:hAnsi="Times New Roman" w:eastAsia="楷体"/>
          <w:sz w:val="32"/>
          <w:szCs w:val="20"/>
        </w:rPr>
        <w:t>“</w:t>
      </w:r>
      <w:r>
        <w:rPr>
          <w:rFonts w:ascii="Times New Roman" w:hAnsi="Times New Roman" w:eastAsia="楷体"/>
          <w:sz w:val="32"/>
          <w:szCs w:val="20"/>
        </w:rPr>
        <w:t>监管函件</w:t>
      </w:r>
      <w:r>
        <w:rPr>
          <w:rFonts w:hint="eastAsia" w:ascii="Times New Roman" w:hAnsi="Times New Roman" w:eastAsia="楷体"/>
          <w:sz w:val="32"/>
          <w:szCs w:val="20"/>
        </w:rPr>
        <w:t>”</w:t>
      </w:r>
      <w:r>
        <w:rPr>
          <w:rFonts w:ascii="Times New Roman" w:hAnsi="Times New Roman" w:eastAsia="楷体"/>
          <w:sz w:val="32"/>
          <w:szCs w:val="20"/>
        </w:rPr>
        <w:t>栏目使用指南</w:t>
      </w:r>
    </w:p>
    <w:p>
      <w:pPr>
        <w:snapToGrid w:val="0"/>
        <w:spacing w:line="560" w:lineRule="exact"/>
        <w:ind w:firstLine="640" w:firstLineChars="200"/>
        <w:contextualSpacing/>
        <w:jc w:val="left"/>
        <w:rPr>
          <w:rFonts w:ascii="仿宋" w:hAnsi="仿宋" w:eastAsia="仿宋"/>
          <w:color w:val="000000"/>
          <w:sz w:val="32"/>
          <w:szCs w:val="28"/>
        </w:rPr>
      </w:pPr>
      <w:r>
        <w:rPr>
          <w:rFonts w:ascii="仿宋" w:hAnsi="仿宋" w:eastAsia="仿宋"/>
          <w:color w:val="000000"/>
          <w:sz w:val="32"/>
          <w:szCs w:val="28"/>
        </w:rPr>
        <w:t>1．登录</w:t>
      </w:r>
    </w:p>
    <w:p>
      <w:pPr>
        <w:snapToGrid w:val="0"/>
        <w:spacing w:line="560" w:lineRule="exact"/>
        <w:ind w:firstLine="640" w:firstLineChars="200"/>
        <w:contextualSpacing/>
        <w:rPr>
          <w:rFonts w:ascii="仿宋" w:hAnsi="仿宋" w:eastAsia="仿宋"/>
          <w:color w:val="000000"/>
          <w:sz w:val="28"/>
          <w:szCs w:val="28"/>
        </w:rPr>
      </w:pPr>
      <w:r>
        <w:rPr>
          <w:rFonts w:ascii="仿宋" w:hAnsi="仿宋" w:eastAsia="仿宋"/>
          <w:color w:val="000000"/>
          <w:sz w:val="32"/>
          <w:szCs w:val="28"/>
        </w:rPr>
        <w:t>上市公司在登录业务专区后，进入</w:t>
      </w:r>
      <w:r>
        <w:rPr>
          <w:rFonts w:hint="eastAsia" w:ascii="仿宋" w:hAnsi="仿宋" w:eastAsia="仿宋"/>
          <w:color w:val="000000"/>
          <w:sz w:val="32"/>
          <w:szCs w:val="28"/>
        </w:rPr>
        <w:t>“</w:t>
      </w:r>
      <w:r>
        <w:rPr>
          <w:rFonts w:ascii="仿宋" w:hAnsi="仿宋" w:eastAsia="仿宋"/>
          <w:color w:val="000000"/>
          <w:sz w:val="32"/>
          <w:szCs w:val="28"/>
        </w:rPr>
        <w:t>信息披露业务</w:t>
      </w:r>
      <w:r>
        <w:rPr>
          <w:rFonts w:hint="eastAsia" w:ascii="仿宋" w:hAnsi="仿宋" w:eastAsia="仿宋"/>
          <w:color w:val="000000"/>
          <w:sz w:val="32"/>
          <w:szCs w:val="28"/>
        </w:rPr>
        <w:t>”</w:t>
      </w:r>
      <w:r>
        <w:rPr>
          <w:rFonts w:ascii="仿宋" w:hAnsi="仿宋" w:eastAsia="仿宋"/>
          <w:color w:val="000000"/>
          <w:sz w:val="32"/>
          <w:szCs w:val="28"/>
        </w:rPr>
        <w:t>下的</w:t>
      </w:r>
      <w:r>
        <w:rPr>
          <w:rFonts w:hint="eastAsia" w:ascii="仿宋" w:hAnsi="仿宋" w:eastAsia="仿宋"/>
          <w:color w:val="000000"/>
          <w:sz w:val="32"/>
          <w:szCs w:val="28"/>
        </w:rPr>
        <w:t>“</w:t>
      </w:r>
      <w:r>
        <w:rPr>
          <w:rFonts w:ascii="仿宋" w:hAnsi="仿宋" w:eastAsia="仿宋"/>
          <w:color w:val="000000"/>
          <w:sz w:val="32"/>
          <w:szCs w:val="28"/>
        </w:rPr>
        <w:t>监管信息</w:t>
      </w:r>
      <w:r>
        <w:rPr>
          <w:rFonts w:hint="eastAsia" w:ascii="仿宋" w:hAnsi="仿宋" w:eastAsia="仿宋"/>
          <w:color w:val="000000"/>
          <w:sz w:val="32"/>
          <w:szCs w:val="28"/>
        </w:rPr>
        <w:t>”</w:t>
      </w:r>
      <w:r>
        <w:rPr>
          <w:rFonts w:ascii="仿宋" w:hAnsi="仿宋" w:eastAsia="仿宋"/>
          <w:color w:val="000000"/>
          <w:sz w:val="32"/>
          <w:szCs w:val="28"/>
        </w:rPr>
        <w:t>栏目，能查询到创业板公司管理部发出的相关函件列表，如图2-1所示：</w:t>
      </w:r>
    </w:p>
    <w:p>
      <w:pPr>
        <w:snapToGrid w:val="0"/>
        <w:spacing w:line="560" w:lineRule="exact"/>
        <w:ind w:firstLine="420" w:firstLineChars="200"/>
        <w:contextualSpacing/>
        <w:rPr>
          <w:rFonts w:ascii="Times New Roman" w:hAnsi="Times New Roman" w:eastAsia="方正仿宋简体"/>
          <w:color w:val="000000"/>
          <w:sz w:val="28"/>
          <w:szCs w:val="28"/>
        </w:rPr>
      </w:pPr>
      <w:r>
        <w:drawing>
          <wp:anchor distT="0" distB="0" distL="114300" distR="114300" simplePos="0" relativeHeight="251682816" behindDoc="0" locked="0" layoutInCell="1" allowOverlap="1">
            <wp:simplePos x="0" y="0"/>
            <wp:positionH relativeFrom="column">
              <wp:posOffset>-40005</wp:posOffset>
            </wp:positionH>
            <wp:positionV relativeFrom="paragraph">
              <wp:posOffset>147320</wp:posOffset>
            </wp:positionV>
            <wp:extent cx="5274310" cy="1904365"/>
            <wp:effectExtent l="0" t="0" r="2540" b="635"/>
            <wp:wrapNone/>
            <wp:docPr id="3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4310" cy="1904365"/>
                    </a:xfrm>
                    <a:prstGeom prst="rect">
                      <a:avLst/>
                    </a:prstGeom>
                    <a:noFill/>
                  </pic:spPr>
                </pic:pic>
              </a:graphicData>
            </a:graphic>
          </wp:anchor>
        </w:drawing>
      </w: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rPr>
          <w:rFonts w:ascii="Times New Roman" w:hAnsi="Times New Roman" w:eastAsia="方正仿宋简体"/>
          <w:color w:val="000000"/>
          <w:sz w:val="28"/>
          <w:szCs w:val="28"/>
        </w:rPr>
      </w:pPr>
    </w:p>
    <w:p>
      <w:pPr>
        <w:snapToGrid w:val="0"/>
        <w:spacing w:line="560" w:lineRule="exact"/>
        <w:ind w:firstLine="480" w:firstLineChars="200"/>
        <w:jc w:val="center"/>
        <w:rPr>
          <w:rFonts w:ascii="仿宋" w:hAnsi="仿宋" w:eastAsia="仿宋"/>
          <w:color w:val="000000"/>
          <w:sz w:val="24"/>
          <w:szCs w:val="24"/>
        </w:rPr>
      </w:pPr>
      <w:r>
        <w:rPr>
          <w:rFonts w:ascii="仿宋" w:hAnsi="仿宋" w:eastAsia="仿宋"/>
          <w:color w:val="000000"/>
          <w:sz w:val="24"/>
          <w:szCs w:val="24"/>
        </w:rPr>
        <w:t>图2-1 登录监管信息示例</w:t>
      </w:r>
    </w:p>
    <w:p>
      <w:pPr>
        <w:snapToGrid w:val="0"/>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2．查询</w:t>
      </w:r>
    </w:p>
    <w:p>
      <w:pPr>
        <w:snapToGrid w:val="0"/>
        <w:spacing w:line="560" w:lineRule="exact"/>
        <w:ind w:firstLine="640" w:firstLineChars="200"/>
        <w:rPr>
          <w:rFonts w:ascii="仿宋" w:hAnsi="仿宋" w:eastAsia="仿宋"/>
          <w:color w:val="000000"/>
          <w:sz w:val="28"/>
          <w:szCs w:val="28"/>
        </w:rPr>
      </w:pPr>
      <w:r>
        <w:rPr>
          <w:rFonts w:ascii="仿宋" w:hAnsi="仿宋" w:eastAsia="仿宋"/>
          <w:color w:val="000000"/>
          <w:sz w:val="32"/>
          <w:szCs w:val="28"/>
        </w:rPr>
        <w:t>上市公司直接点击</w:t>
      </w:r>
      <w:r>
        <w:rPr>
          <w:rFonts w:hint="eastAsia" w:ascii="仿宋" w:hAnsi="仿宋" w:eastAsia="仿宋"/>
          <w:color w:val="000000"/>
          <w:sz w:val="32"/>
          <w:szCs w:val="28"/>
        </w:rPr>
        <w:t>“</w:t>
      </w:r>
      <w:r>
        <w:rPr>
          <w:rFonts w:ascii="仿宋" w:hAnsi="仿宋" w:eastAsia="仿宋"/>
          <w:color w:val="000000"/>
          <w:sz w:val="32"/>
          <w:szCs w:val="28"/>
        </w:rPr>
        <w:t>发函标题</w:t>
      </w:r>
      <w:r>
        <w:rPr>
          <w:rFonts w:hint="eastAsia" w:ascii="仿宋" w:hAnsi="仿宋" w:eastAsia="仿宋"/>
          <w:color w:val="000000"/>
          <w:sz w:val="32"/>
          <w:szCs w:val="28"/>
        </w:rPr>
        <w:t>”</w:t>
      </w:r>
      <w:r>
        <w:rPr>
          <w:rFonts w:ascii="仿宋" w:hAnsi="仿宋" w:eastAsia="仿宋"/>
          <w:color w:val="000000"/>
          <w:sz w:val="32"/>
          <w:szCs w:val="28"/>
        </w:rPr>
        <w:t>列，可以打开函件内容，点击相应记录的</w:t>
      </w:r>
      <w:r>
        <w:rPr>
          <w:rFonts w:hint="eastAsia" w:ascii="仿宋" w:hAnsi="仿宋" w:eastAsia="仿宋"/>
          <w:color w:val="000000"/>
          <w:sz w:val="32"/>
          <w:szCs w:val="28"/>
        </w:rPr>
        <w:t>“</w:t>
      </w:r>
      <w:r>
        <w:rPr>
          <w:rFonts w:ascii="仿宋" w:hAnsi="仿宋" w:eastAsia="仿宋"/>
          <w:color w:val="000000"/>
          <w:sz w:val="32"/>
          <w:szCs w:val="28"/>
        </w:rPr>
        <w:t>进入</w:t>
      </w:r>
      <w:r>
        <w:rPr>
          <w:rFonts w:hint="eastAsia" w:ascii="仿宋" w:hAnsi="仿宋" w:eastAsia="仿宋"/>
          <w:color w:val="000000"/>
          <w:sz w:val="32"/>
          <w:szCs w:val="28"/>
        </w:rPr>
        <w:t>”</w:t>
      </w:r>
      <w:r>
        <w:rPr>
          <w:rFonts w:ascii="仿宋" w:hAnsi="仿宋" w:eastAsia="仿宋"/>
          <w:color w:val="000000"/>
          <w:sz w:val="32"/>
          <w:szCs w:val="28"/>
        </w:rPr>
        <w:t>链接，可查看</w:t>
      </w:r>
      <w:r>
        <w:rPr>
          <w:rFonts w:hint="eastAsia" w:ascii="仿宋" w:hAnsi="仿宋" w:eastAsia="仿宋"/>
          <w:color w:val="000000"/>
          <w:sz w:val="32"/>
          <w:szCs w:val="28"/>
        </w:rPr>
        <w:t>相关</w:t>
      </w:r>
      <w:r>
        <w:rPr>
          <w:rFonts w:ascii="仿宋" w:hAnsi="仿宋" w:eastAsia="仿宋"/>
          <w:color w:val="000000"/>
          <w:sz w:val="32"/>
          <w:szCs w:val="28"/>
        </w:rPr>
        <w:t>函件的详细信息，如图2-2所示：</w:t>
      </w:r>
    </w:p>
    <w:p>
      <w:pPr>
        <w:snapToGrid w:val="0"/>
        <w:spacing w:line="560" w:lineRule="exact"/>
        <w:jc w:val="left"/>
        <w:rPr>
          <w:rFonts w:ascii="Times New Roman" w:hAnsi="Times New Roman" w:eastAsia="仿宋"/>
          <w:color w:val="000000"/>
          <w:sz w:val="28"/>
          <w:szCs w:val="28"/>
        </w:rPr>
      </w:pPr>
    </w:p>
    <w:p>
      <w:pPr>
        <w:snapToGrid w:val="0"/>
        <w:spacing w:line="560" w:lineRule="exact"/>
        <w:jc w:val="left"/>
        <w:rPr>
          <w:rFonts w:ascii="Times New Roman" w:hAnsi="Times New Roman" w:eastAsia="仿宋"/>
          <w:color w:val="000000"/>
          <w:sz w:val="28"/>
          <w:szCs w:val="28"/>
        </w:rPr>
      </w:pPr>
      <w:r>
        <w:drawing>
          <wp:anchor distT="0" distB="0" distL="114300" distR="114300" simplePos="0" relativeHeight="251682816" behindDoc="0" locked="0" layoutInCell="1" allowOverlap="1">
            <wp:simplePos x="0" y="0"/>
            <wp:positionH relativeFrom="column">
              <wp:posOffset>78105</wp:posOffset>
            </wp:positionH>
            <wp:positionV relativeFrom="paragraph">
              <wp:posOffset>-222250</wp:posOffset>
            </wp:positionV>
            <wp:extent cx="4993005" cy="1925955"/>
            <wp:effectExtent l="0" t="0" r="0" b="0"/>
            <wp:wrapNone/>
            <wp:docPr id="3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993005" cy="1925955"/>
                    </a:xfrm>
                    <a:prstGeom prst="rect">
                      <a:avLst/>
                    </a:prstGeom>
                    <a:noFill/>
                  </pic:spPr>
                </pic:pic>
              </a:graphicData>
            </a:graphic>
          </wp:anchor>
        </w:drawing>
      </w:r>
    </w:p>
    <w:p>
      <w:pPr>
        <w:snapToGrid w:val="0"/>
        <w:spacing w:line="560" w:lineRule="exact"/>
        <w:jc w:val="left"/>
        <w:rPr>
          <w:rFonts w:ascii="Times New Roman" w:hAnsi="Times New Roman" w:eastAsia="仿宋"/>
          <w:color w:val="000000"/>
          <w:sz w:val="28"/>
          <w:szCs w:val="28"/>
        </w:rPr>
      </w:pPr>
    </w:p>
    <w:p>
      <w:pPr>
        <w:snapToGrid w:val="0"/>
        <w:spacing w:line="560" w:lineRule="exact"/>
        <w:jc w:val="left"/>
        <w:rPr>
          <w:rFonts w:ascii="Times New Roman" w:hAnsi="Times New Roman" w:eastAsia="仿宋"/>
          <w:color w:val="000000"/>
          <w:sz w:val="28"/>
          <w:szCs w:val="28"/>
        </w:rPr>
      </w:pPr>
    </w:p>
    <w:p>
      <w:pPr>
        <w:snapToGrid w:val="0"/>
        <w:spacing w:line="560" w:lineRule="exact"/>
        <w:ind w:firstLine="560" w:firstLineChars="200"/>
        <w:jc w:val="left"/>
        <w:rPr>
          <w:rFonts w:ascii="Times New Roman" w:hAnsi="Times New Roman" w:eastAsia="仿宋"/>
          <w:color w:val="000000"/>
          <w:sz w:val="28"/>
          <w:szCs w:val="28"/>
        </w:rPr>
      </w:pPr>
    </w:p>
    <w:p>
      <w:pPr>
        <w:snapToGrid w:val="0"/>
        <w:spacing w:line="560" w:lineRule="exact"/>
        <w:ind w:firstLine="560" w:firstLineChars="200"/>
        <w:jc w:val="left"/>
        <w:rPr>
          <w:rFonts w:ascii="Times New Roman" w:hAnsi="Times New Roman" w:eastAsia="仿宋"/>
          <w:color w:val="000000"/>
          <w:sz w:val="28"/>
          <w:szCs w:val="28"/>
        </w:rPr>
      </w:pPr>
    </w:p>
    <w:p>
      <w:pPr>
        <w:snapToGrid w:val="0"/>
        <w:spacing w:line="560" w:lineRule="exact"/>
        <w:ind w:firstLine="480" w:firstLineChars="200"/>
        <w:jc w:val="center"/>
        <w:rPr>
          <w:rFonts w:ascii="仿宋" w:hAnsi="仿宋" w:eastAsia="仿宋"/>
          <w:color w:val="000000"/>
          <w:sz w:val="24"/>
          <w:szCs w:val="24"/>
        </w:rPr>
      </w:pPr>
      <w:r>
        <w:rPr>
          <w:rFonts w:ascii="仿宋" w:hAnsi="仿宋" w:eastAsia="仿宋"/>
          <w:color w:val="000000"/>
          <w:sz w:val="24"/>
          <w:szCs w:val="24"/>
        </w:rPr>
        <w:t>图2-2 查询监管信息示例</w:t>
      </w:r>
    </w:p>
    <w:p>
      <w:pPr>
        <w:snapToGrid w:val="0"/>
        <w:spacing w:line="560" w:lineRule="exact"/>
        <w:ind w:firstLine="640" w:firstLineChars="200"/>
        <w:jc w:val="left"/>
        <w:rPr>
          <w:rFonts w:ascii="仿宋" w:hAnsi="仿宋" w:eastAsia="仿宋"/>
          <w:color w:val="000000"/>
          <w:sz w:val="32"/>
          <w:szCs w:val="28"/>
        </w:rPr>
      </w:pPr>
      <w:r>
        <w:rPr>
          <w:rFonts w:ascii="仿宋" w:hAnsi="仿宋" w:eastAsia="仿宋"/>
          <w:color w:val="000000"/>
          <w:sz w:val="32"/>
          <w:szCs w:val="28"/>
        </w:rPr>
        <w:t>3．回函</w:t>
      </w:r>
    </w:p>
    <w:p>
      <w:pPr>
        <w:snapToGrid w:val="0"/>
        <w:spacing w:line="560" w:lineRule="exact"/>
        <w:ind w:firstLine="420" w:firstLineChars="200"/>
        <w:rPr>
          <w:rFonts w:ascii="仿宋" w:hAnsi="仿宋" w:eastAsia="仿宋"/>
          <w:color w:val="000000"/>
          <w:sz w:val="28"/>
          <w:szCs w:val="28"/>
        </w:rPr>
      </w:pPr>
      <w:r>
        <w:drawing>
          <wp:anchor distT="0" distB="0" distL="114300" distR="114300" simplePos="0" relativeHeight="251672576" behindDoc="0" locked="0" layoutInCell="1" allowOverlap="1">
            <wp:simplePos x="0" y="0"/>
            <wp:positionH relativeFrom="column">
              <wp:posOffset>488315</wp:posOffset>
            </wp:positionH>
            <wp:positionV relativeFrom="paragraph">
              <wp:posOffset>1497965</wp:posOffset>
            </wp:positionV>
            <wp:extent cx="4147185" cy="2519680"/>
            <wp:effectExtent l="0" t="0" r="5715" b="0"/>
            <wp:wrapTopAndBottom/>
            <wp:docPr id="3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147185" cy="2519680"/>
                    </a:xfrm>
                    <a:prstGeom prst="rect">
                      <a:avLst/>
                    </a:prstGeom>
                    <a:noFill/>
                  </pic:spPr>
                </pic:pic>
              </a:graphicData>
            </a:graphic>
          </wp:anchor>
        </w:drawing>
      </w:r>
      <w:r>
        <w:rPr>
          <w:rFonts w:ascii="仿宋" w:hAnsi="仿宋" w:eastAsia="仿宋"/>
          <w:color w:val="000000"/>
          <w:sz w:val="32"/>
          <w:szCs w:val="28"/>
        </w:rPr>
        <w:t>撰写好回函文件后，在相关函件后点击</w:t>
      </w:r>
      <w:r>
        <w:rPr>
          <w:rFonts w:hint="eastAsia" w:ascii="仿宋" w:hAnsi="仿宋" w:eastAsia="仿宋"/>
          <w:color w:val="000000"/>
          <w:sz w:val="32"/>
          <w:szCs w:val="28"/>
        </w:rPr>
        <w:t>“</w:t>
      </w:r>
      <w:r>
        <w:rPr>
          <w:rFonts w:ascii="仿宋" w:hAnsi="仿宋" w:eastAsia="仿宋"/>
          <w:color w:val="000000"/>
          <w:sz w:val="32"/>
          <w:szCs w:val="28"/>
        </w:rPr>
        <w:t>回函</w:t>
      </w:r>
      <w:r>
        <w:rPr>
          <w:rFonts w:hint="eastAsia" w:ascii="仿宋" w:hAnsi="仿宋" w:eastAsia="仿宋"/>
          <w:color w:val="000000"/>
          <w:sz w:val="32"/>
          <w:szCs w:val="28"/>
        </w:rPr>
        <w:t>”</w:t>
      </w:r>
      <w:r>
        <w:rPr>
          <w:rFonts w:ascii="仿宋" w:hAnsi="仿宋" w:eastAsia="仿宋"/>
          <w:color w:val="000000"/>
          <w:sz w:val="32"/>
          <w:szCs w:val="28"/>
        </w:rPr>
        <w:t>按钮，进入</w:t>
      </w:r>
      <w:r>
        <w:rPr>
          <w:rFonts w:hint="eastAsia" w:ascii="仿宋" w:hAnsi="仿宋" w:eastAsia="仿宋"/>
          <w:color w:val="000000"/>
          <w:sz w:val="32"/>
          <w:szCs w:val="28"/>
        </w:rPr>
        <w:t>“</w:t>
      </w:r>
      <w:r>
        <w:rPr>
          <w:rFonts w:ascii="仿宋" w:hAnsi="仿宋" w:eastAsia="仿宋"/>
          <w:color w:val="000000"/>
          <w:sz w:val="32"/>
          <w:szCs w:val="28"/>
        </w:rPr>
        <w:t>添加回函</w:t>
      </w:r>
      <w:r>
        <w:rPr>
          <w:rFonts w:hint="eastAsia" w:ascii="仿宋" w:hAnsi="仿宋" w:eastAsia="仿宋"/>
          <w:color w:val="000000"/>
          <w:sz w:val="32"/>
          <w:szCs w:val="28"/>
        </w:rPr>
        <w:t>”</w:t>
      </w:r>
      <w:r>
        <w:rPr>
          <w:rFonts w:ascii="仿宋" w:hAnsi="仿宋" w:eastAsia="仿宋"/>
          <w:color w:val="000000"/>
          <w:sz w:val="32"/>
          <w:szCs w:val="28"/>
        </w:rPr>
        <w:t>界面，如下图所示，可以将回函文件添加到业务专区，通过该方式可以一次提交多封回函，如图2-3所示：</w:t>
      </w:r>
    </w:p>
    <w:p>
      <w:pPr>
        <w:snapToGrid w:val="0"/>
        <w:spacing w:line="560" w:lineRule="exact"/>
        <w:ind w:firstLine="480" w:firstLineChars="200"/>
        <w:contextualSpacing/>
        <w:jc w:val="center"/>
        <w:rPr>
          <w:rFonts w:ascii="仿宋" w:hAnsi="仿宋" w:eastAsia="仿宋"/>
          <w:color w:val="000000"/>
          <w:sz w:val="24"/>
          <w:szCs w:val="24"/>
        </w:rPr>
      </w:pPr>
      <w:r>
        <w:rPr>
          <w:rFonts w:ascii="仿宋" w:hAnsi="仿宋" w:eastAsia="仿宋"/>
          <w:color w:val="000000"/>
          <w:sz w:val="24"/>
          <w:szCs w:val="24"/>
        </w:rPr>
        <w:t>图2-3 回函示例</w:t>
      </w:r>
    </w:p>
    <w:p>
      <w:pPr>
        <w:spacing w:line="560" w:lineRule="exact"/>
        <w:ind w:firstLine="640" w:firstLineChars="200"/>
        <w:rPr>
          <w:rFonts w:ascii="Times New Roman" w:hAnsi="Times New Roman" w:eastAsia="黑体"/>
          <w:sz w:val="32"/>
          <w:szCs w:val="20"/>
        </w:rPr>
      </w:pPr>
      <w:r>
        <w:rPr>
          <w:rFonts w:hint="eastAsia" w:ascii="Times New Roman" w:hAnsi="Times New Roman" w:eastAsia="黑体"/>
          <w:sz w:val="32"/>
          <w:szCs w:val="20"/>
        </w:rPr>
        <w:t>三、内幕信息知情人登记</w:t>
      </w:r>
    </w:p>
    <w:p>
      <w:pPr>
        <w:spacing w:line="560" w:lineRule="exact"/>
        <w:ind w:firstLine="640" w:firstLineChars="200"/>
        <w:rPr>
          <w:rFonts w:ascii="楷体" w:hAnsi="楷体" w:eastAsia="楷体"/>
          <w:sz w:val="32"/>
          <w:szCs w:val="28"/>
        </w:rPr>
      </w:pPr>
      <w:r>
        <w:rPr>
          <w:rFonts w:hint="eastAsia" w:ascii="楷体" w:hAnsi="楷体" w:eastAsia="楷体"/>
          <w:sz w:val="32"/>
          <w:szCs w:val="28"/>
        </w:rPr>
        <w:t>（一）释义</w:t>
      </w:r>
    </w:p>
    <w:p>
      <w:pPr>
        <w:spacing w:line="560" w:lineRule="exact"/>
        <w:ind w:firstLine="640" w:firstLineChars="200"/>
        <w:rPr>
          <w:rFonts w:ascii="仿宋" w:hAnsi="仿宋" w:eastAsia="仿宋"/>
          <w:sz w:val="32"/>
          <w:szCs w:val="28"/>
        </w:rPr>
      </w:pPr>
      <w:r>
        <w:rPr>
          <w:rFonts w:hint="eastAsia" w:ascii="仿宋" w:hAnsi="仿宋" w:eastAsia="仿宋"/>
          <w:sz w:val="32"/>
          <w:szCs w:val="28"/>
        </w:rPr>
        <w:t>1．内幕信息：根据《证券法》相关规定，涉及上市公司的经营、财务或者对公司股票及其衍生品种交易价格有重大影响的尚未公开的信息。</w:t>
      </w:r>
    </w:p>
    <w:p>
      <w:pPr>
        <w:spacing w:line="560" w:lineRule="exact"/>
        <w:ind w:firstLine="640" w:firstLineChars="200"/>
        <w:rPr>
          <w:rFonts w:ascii="仿宋" w:hAnsi="仿宋" w:eastAsia="仿宋"/>
          <w:sz w:val="32"/>
          <w:szCs w:val="28"/>
        </w:rPr>
      </w:pPr>
      <w:r>
        <w:rPr>
          <w:rFonts w:hint="eastAsia" w:ascii="仿宋" w:hAnsi="仿宋" w:eastAsia="仿宋"/>
          <w:sz w:val="32"/>
          <w:szCs w:val="28"/>
        </w:rPr>
        <w:t>2．内幕信息知情人：可以接触、获取内幕信息的上市公司内部和外部相关人员，具体范围为《证券法》第五十一条规定的有关人员。</w:t>
      </w:r>
    </w:p>
    <w:p>
      <w:pPr>
        <w:spacing w:line="560" w:lineRule="exact"/>
        <w:ind w:firstLine="640" w:firstLineChars="200"/>
        <w:rPr>
          <w:rFonts w:ascii="楷体" w:hAnsi="楷体" w:eastAsia="楷体"/>
          <w:sz w:val="32"/>
          <w:szCs w:val="28"/>
        </w:rPr>
      </w:pPr>
      <w:r>
        <w:rPr>
          <w:rFonts w:hint="eastAsia" w:ascii="楷体" w:hAnsi="楷体" w:eastAsia="楷体"/>
          <w:sz w:val="32"/>
          <w:szCs w:val="28"/>
        </w:rPr>
        <w:t>（二）报送时间和填报的具体内容</w:t>
      </w:r>
    </w:p>
    <w:p>
      <w:pPr>
        <w:spacing w:line="560" w:lineRule="exact"/>
        <w:ind w:firstLine="640" w:firstLineChars="200"/>
        <w:rPr>
          <w:rFonts w:ascii="仿宋" w:hAnsi="仿宋" w:eastAsia="仿宋"/>
          <w:sz w:val="32"/>
          <w:szCs w:val="28"/>
        </w:rPr>
      </w:pPr>
      <w:r>
        <w:rPr>
          <w:rFonts w:hint="eastAsia" w:ascii="仿宋" w:hAnsi="仿宋" w:eastAsia="仿宋"/>
          <w:sz w:val="32"/>
          <w:szCs w:val="28"/>
        </w:rPr>
        <w:t>上市公司在内幕信息依法公开披露前，应当填写公司内幕信息知情人档案，并在内幕信息首次依法披露后五个交易日内通过业务专区向本所报送。</w:t>
      </w:r>
    </w:p>
    <w:p>
      <w:pPr>
        <w:spacing w:line="560" w:lineRule="exact"/>
        <w:ind w:firstLine="640" w:firstLineChars="200"/>
        <w:rPr>
          <w:rFonts w:ascii="仿宋" w:hAnsi="仿宋" w:eastAsia="仿宋"/>
          <w:sz w:val="32"/>
          <w:szCs w:val="28"/>
        </w:rPr>
      </w:pPr>
      <w:r>
        <w:rPr>
          <w:rFonts w:hint="eastAsia" w:ascii="仿宋" w:hAnsi="仿宋" w:eastAsia="仿宋"/>
          <w:sz w:val="32"/>
          <w:szCs w:val="28"/>
        </w:rPr>
        <w:t>内幕信息知情人档案应当包括：姓名或名称、国籍、证件类型、证件号码或统一社会信用代码、股东代码、联系手机、通讯地址、所属单位、与上市公司关系、职务、关系人、关系类型、知情时间、知情地点、知情方式、知情阶段、知情内容、登记人信息、登记时间等信息。知情时间是指内幕信息知情人知悉或者应当知悉内幕信息的第一时间。知情方式包括但不限于会谈、电话、传真、书面报告、电子邮件等。知情阶段包括商议筹划，论证咨询，合同订立，公司内部的报告、传递、编制、决议等。</w:t>
      </w:r>
    </w:p>
    <w:p>
      <w:pPr>
        <w:spacing w:line="560" w:lineRule="exact"/>
        <w:ind w:firstLine="640" w:firstLineChars="200"/>
        <w:rPr>
          <w:rFonts w:ascii="楷体" w:hAnsi="楷体" w:eastAsia="楷体"/>
          <w:sz w:val="32"/>
          <w:szCs w:val="28"/>
        </w:rPr>
      </w:pPr>
      <w:r>
        <w:rPr>
          <w:rFonts w:hint="eastAsia" w:ascii="楷体" w:hAnsi="楷体" w:eastAsia="楷体"/>
          <w:sz w:val="32"/>
          <w:szCs w:val="28"/>
        </w:rPr>
        <w:t>（三）操作说明</w:t>
      </w:r>
    </w:p>
    <w:p>
      <w:pPr>
        <w:spacing w:line="560" w:lineRule="exact"/>
        <w:ind w:firstLine="640" w:firstLineChars="200"/>
        <w:rPr>
          <w:rFonts w:ascii="仿宋" w:hAnsi="仿宋" w:eastAsia="仿宋"/>
          <w:sz w:val="32"/>
          <w:szCs w:val="28"/>
        </w:rPr>
      </w:pPr>
      <w:r>
        <w:rPr>
          <w:rFonts w:hint="eastAsia" w:ascii="仿宋" w:hAnsi="仿宋" w:eastAsia="仿宋"/>
          <w:sz w:val="32"/>
          <w:szCs w:val="28"/>
        </w:rPr>
        <w:t>1．登录</w:t>
      </w:r>
    </w:p>
    <w:p>
      <w:pPr>
        <w:spacing w:line="560" w:lineRule="exact"/>
        <w:ind w:firstLine="640" w:firstLineChars="200"/>
        <w:rPr>
          <w:rFonts w:ascii="仿宋" w:hAnsi="仿宋" w:eastAsia="仿宋"/>
          <w:sz w:val="32"/>
          <w:szCs w:val="28"/>
        </w:rPr>
      </w:pPr>
      <w:r>
        <w:rPr>
          <w:rFonts w:hint="eastAsia" w:ascii="仿宋" w:hAnsi="仿宋" w:eastAsia="仿宋"/>
          <w:sz w:val="32"/>
          <w:szCs w:val="28"/>
        </w:rPr>
        <w:t>上市公司登录业务专区后，进入“资料填报”下的“内幕信息知情人”栏目，可查询到公司历次填报的内幕信息知情人信息。</w:t>
      </w:r>
    </w:p>
    <w:p>
      <w:pPr>
        <w:spacing w:line="560" w:lineRule="exact"/>
        <w:ind w:firstLine="640" w:firstLineChars="200"/>
        <w:rPr>
          <w:rFonts w:ascii="仿宋" w:hAnsi="仿宋" w:eastAsia="仿宋"/>
          <w:sz w:val="32"/>
          <w:szCs w:val="28"/>
        </w:rPr>
      </w:pPr>
      <w:r>
        <w:rPr>
          <w:rFonts w:hint="eastAsia" w:ascii="仿宋" w:hAnsi="仿宋" w:eastAsia="仿宋"/>
          <w:sz w:val="32"/>
          <w:szCs w:val="28"/>
        </w:rPr>
        <w:t>2．填报内幕信息知情人数据</w:t>
      </w:r>
    </w:p>
    <w:p>
      <w:pPr>
        <w:spacing w:line="560" w:lineRule="exact"/>
        <w:ind w:firstLine="640" w:firstLineChars="200"/>
        <w:rPr>
          <w:rFonts w:ascii="仿宋" w:hAnsi="仿宋" w:eastAsia="仿宋"/>
          <w:sz w:val="32"/>
          <w:szCs w:val="28"/>
        </w:rPr>
      </w:pPr>
      <w:r>
        <w:rPr>
          <w:rFonts w:hint="eastAsia" w:ascii="仿宋" w:hAnsi="仿宋" w:eastAsia="仿宋"/>
          <w:sz w:val="32"/>
          <w:szCs w:val="28"/>
        </w:rPr>
        <w:t>上市公司直接点击“新建”按钮，进入“内幕信息知情人”填报页面，首先应填写“业务类别”、“填报人”和“业务描述”等内幕事件基本信息，上传重大事项进程备忘录文件（如需）和内幕信息知情人登记工作承诺书。上传完毕后，上市公司应将全部的内幕信息知情人添加至内幕信息知情人名单列表，可通过“添加知情人信息”按钮逐个添加，或者通过“加入高管”和“导入知情人信息”按钮批量增加。上市公司确认内幕信息知情人添加完毕后，点击“提交”，系统将数据报送本所。内幕信息知情人数据一经提交，业务专区不允许修改或删除，只能补充或重新报送。</w:t>
      </w:r>
    </w:p>
    <w:p>
      <w:pPr>
        <w:spacing w:line="560" w:lineRule="exact"/>
        <w:ind w:firstLine="640" w:firstLineChars="200"/>
        <w:rPr>
          <w:rFonts w:ascii="Times New Roman" w:hAnsi="Times New Roman" w:eastAsia="黑体"/>
          <w:sz w:val="32"/>
          <w:szCs w:val="20"/>
        </w:rPr>
      </w:pPr>
      <w:r>
        <w:rPr>
          <w:rFonts w:ascii="Times New Roman" w:hAnsi="Times New Roman" w:eastAsia="黑体"/>
          <w:sz w:val="32"/>
          <w:szCs w:val="20"/>
        </w:rPr>
        <w:t>四、</w:t>
      </w:r>
      <w:r>
        <w:rPr>
          <w:rFonts w:hint="eastAsia" w:ascii="Times New Roman" w:hAnsi="Times New Roman" w:eastAsia="黑体"/>
          <w:sz w:val="32"/>
          <w:szCs w:val="20"/>
        </w:rPr>
        <w:t>上市公司高层人员</w:t>
      </w:r>
      <w:r>
        <w:rPr>
          <w:rFonts w:ascii="Times New Roman" w:hAnsi="Times New Roman" w:eastAsia="黑体"/>
          <w:sz w:val="32"/>
          <w:szCs w:val="20"/>
        </w:rPr>
        <w:t>及关联人信息申报</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（一）释义</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1．上市公司高层人员：上市公司的董事、监事、高级管理人员。</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2．为方便业务管理，本所将上市公司高层人员的任职类型划分为以下几类：</w:t>
      </w:r>
    </w:p>
    <w:p>
      <w:pPr>
        <w:snapToGrid w:val="0"/>
        <w:spacing w:line="560" w:lineRule="exact"/>
        <w:ind w:firstLine="640" w:firstLineChars="200"/>
        <w:contextualSpacing/>
        <w:rPr>
          <w:rFonts w:ascii="仿宋" w:hAnsi="仿宋" w:eastAsia="仿宋"/>
          <w:color w:val="000000"/>
          <w:sz w:val="32"/>
          <w:szCs w:val="28"/>
        </w:rPr>
      </w:pPr>
      <w:r>
        <w:rPr>
          <w:rFonts w:hint="eastAsia" w:ascii="仿宋" w:hAnsi="仿宋" w:eastAsia="仿宋" w:cs="宋体"/>
          <w:color w:val="000000"/>
          <w:sz w:val="32"/>
          <w:szCs w:val="28"/>
        </w:rPr>
        <w:t>◆</w:t>
      </w:r>
      <w:r>
        <w:rPr>
          <w:rFonts w:hint="eastAsia" w:ascii="宋体" w:hAnsi="宋体" w:cs="宋体"/>
          <w:color w:val="000000"/>
          <w:sz w:val="32"/>
          <w:szCs w:val="28"/>
        </w:rPr>
        <w:t>  </w:t>
      </w:r>
      <w:r>
        <w:rPr>
          <w:rFonts w:ascii="仿宋" w:hAnsi="仿宋" w:eastAsia="仿宋"/>
          <w:color w:val="000000"/>
          <w:sz w:val="32"/>
          <w:szCs w:val="28"/>
        </w:rPr>
        <w:t>董事；</w:t>
      </w:r>
    </w:p>
    <w:p>
      <w:pPr>
        <w:snapToGrid w:val="0"/>
        <w:spacing w:line="560" w:lineRule="exact"/>
        <w:ind w:firstLine="640" w:firstLineChars="200"/>
        <w:contextualSpacing/>
        <w:rPr>
          <w:rFonts w:ascii="仿宋" w:hAnsi="仿宋" w:eastAsia="仿宋"/>
          <w:color w:val="000000"/>
          <w:sz w:val="32"/>
          <w:szCs w:val="28"/>
        </w:rPr>
      </w:pPr>
      <w:r>
        <w:rPr>
          <w:rFonts w:hint="eastAsia" w:ascii="仿宋" w:hAnsi="仿宋" w:eastAsia="仿宋" w:cs="宋体"/>
          <w:color w:val="000000"/>
          <w:sz w:val="32"/>
          <w:szCs w:val="28"/>
        </w:rPr>
        <w:t>◆</w:t>
      </w:r>
      <w:r>
        <w:rPr>
          <w:rFonts w:hint="eastAsia" w:ascii="宋体" w:hAnsi="宋体" w:cs="宋体"/>
          <w:color w:val="000000"/>
          <w:sz w:val="32"/>
          <w:szCs w:val="28"/>
        </w:rPr>
        <w:t>  </w:t>
      </w:r>
      <w:r>
        <w:rPr>
          <w:rFonts w:ascii="仿宋" w:hAnsi="仿宋" w:eastAsia="仿宋"/>
          <w:color w:val="000000"/>
          <w:sz w:val="32"/>
          <w:szCs w:val="28"/>
        </w:rPr>
        <w:t>监事；</w:t>
      </w:r>
    </w:p>
    <w:p>
      <w:pPr>
        <w:snapToGrid w:val="0"/>
        <w:spacing w:line="560" w:lineRule="exact"/>
        <w:ind w:firstLine="640" w:firstLineChars="200"/>
        <w:contextualSpacing/>
        <w:rPr>
          <w:rFonts w:ascii="仿宋" w:hAnsi="仿宋" w:eastAsia="仿宋"/>
          <w:color w:val="000000"/>
          <w:sz w:val="32"/>
          <w:szCs w:val="28"/>
        </w:rPr>
      </w:pPr>
      <w:r>
        <w:rPr>
          <w:rFonts w:hint="eastAsia" w:ascii="仿宋" w:hAnsi="仿宋" w:eastAsia="仿宋" w:cs="宋体"/>
          <w:color w:val="000000"/>
          <w:sz w:val="32"/>
          <w:szCs w:val="28"/>
        </w:rPr>
        <w:t>◆</w:t>
      </w:r>
      <w:r>
        <w:rPr>
          <w:rFonts w:hint="eastAsia" w:ascii="宋体" w:hAnsi="宋体" w:cs="宋体"/>
          <w:color w:val="000000"/>
          <w:sz w:val="32"/>
          <w:szCs w:val="28"/>
        </w:rPr>
        <w:t>  </w:t>
      </w:r>
      <w:r>
        <w:rPr>
          <w:rFonts w:ascii="仿宋" w:hAnsi="仿宋" w:eastAsia="仿宋"/>
          <w:color w:val="000000"/>
          <w:sz w:val="32"/>
          <w:szCs w:val="28"/>
        </w:rPr>
        <w:t>独立董事；</w:t>
      </w:r>
    </w:p>
    <w:p>
      <w:pPr>
        <w:snapToGrid w:val="0"/>
        <w:spacing w:line="560" w:lineRule="exact"/>
        <w:ind w:firstLine="640" w:firstLineChars="200"/>
        <w:contextualSpacing/>
        <w:rPr>
          <w:rFonts w:ascii="仿宋" w:hAnsi="仿宋" w:eastAsia="仿宋"/>
          <w:color w:val="000000"/>
          <w:sz w:val="32"/>
          <w:szCs w:val="28"/>
        </w:rPr>
      </w:pPr>
      <w:r>
        <w:rPr>
          <w:rFonts w:hint="eastAsia" w:ascii="仿宋" w:hAnsi="仿宋" w:eastAsia="仿宋" w:cs="宋体"/>
          <w:color w:val="000000"/>
          <w:sz w:val="32"/>
          <w:szCs w:val="28"/>
        </w:rPr>
        <w:t>◆</w:t>
      </w:r>
      <w:r>
        <w:rPr>
          <w:rFonts w:hint="eastAsia" w:ascii="宋体" w:hAnsi="宋体" w:cs="宋体"/>
          <w:color w:val="000000"/>
          <w:sz w:val="32"/>
          <w:szCs w:val="28"/>
        </w:rPr>
        <w:t>  </w:t>
      </w:r>
      <w:r>
        <w:rPr>
          <w:rFonts w:ascii="仿宋" w:hAnsi="仿宋" w:eastAsia="仿宋"/>
          <w:color w:val="000000"/>
          <w:sz w:val="32"/>
          <w:szCs w:val="28"/>
        </w:rPr>
        <w:t>高级管理人员（除董事会秘书外）；</w:t>
      </w:r>
    </w:p>
    <w:p>
      <w:pPr>
        <w:snapToGrid w:val="0"/>
        <w:spacing w:line="560" w:lineRule="exact"/>
        <w:ind w:firstLine="640" w:firstLineChars="200"/>
        <w:contextualSpacing/>
        <w:rPr>
          <w:rFonts w:ascii="仿宋" w:hAnsi="仿宋" w:eastAsia="仿宋"/>
          <w:color w:val="000000"/>
          <w:sz w:val="32"/>
          <w:szCs w:val="28"/>
        </w:rPr>
      </w:pPr>
      <w:r>
        <w:rPr>
          <w:rFonts w:hint="eastAsia" w:ascii="仿宋" w:hAnsi="仿宋" w:eastAsia="仿宋" w:cs="宋体"/>
          <w:color w:val="000000"/>
          <w:sz w:val="32"/>
          <w:szCs w:val="28"/>
        </w:rPr>
        <w:t>◆</w:t>
      </w:r>
      <w:r>
        <w:rPr>
          <w:rFonts w:hint="eastAsia" w:ascii="宋体" w:hAnsi="宋体" w:cs="宋体"/>
          <w:color w:val="000000"/>
          <w:sz w:val="32"/>
          <w:szCs w:val="28"/>
        </w:rPr>
        <w:t>  </w:t>
      </w:r>
      <w:r>
        <w:rPr>
          <w:rFonts w:ascii="仿宋" w:hAnsi="仿宋" w:eastAsia="仿宋"/>
          <w:color w:val="000000"/>
          <w:sz w:val="32"/>
          <w:szCs w:val="28"/>
        </w:rPr>
        <w:t>董事会秘书；</w:t>
      </w:r>
    </w:p>
    <w:p>
      <w:pPr>
        <w:snapToGrid w:val="0"/>
        <w:spacing w:line="560" w:lineRule="exact"/>
        <w:ind w:firstLine="640" w:firstLineChars="200"/>
        <w:contextualSpacing/>
        <w:rPr>
          <w:rFonts w:ascii="仿宋" w:hAnsi="仿宋" w:eastAsia="仿宋"/>
          <w:color w:val="000000"/>
          <w:sz w:val="32"/>
          <w:szCs w:val="28"/>
        </w:rPr>
      </w:pPr>
      <w:r>
        <w:rPr>
          <w:rFonts w:hint="eastAsia" w:ascii="仿宋" w:hAnsi="仿宋" w:eastAsia="仿宋" w:cs="宋体"/>
          <w:color w:val="000000"/>
          <w:sz w:val="32"/>
          <w:szCs w:val="28"/>
        </w:rPr>
        <w:t>◆</w:t>
      </w:r>
      <w:r>
        <w:rPr>
          <w:rFonts w:hint="eastAsia" w:ascii="宋体" w:hAnsi="宋体" w:cs="宋体"/>
          <w:color w:val="000000"/>
          <w:sz w:val="32"/>
          <w:szCs w:val="28"/>
        </w:rPr>
        <w:t>  </w:t>
      </w:r>
      <w:r>
        <w:rPr>
          <w:rFonts w:ascii="仿宋" w:hAnsi="仿宋" w:eastAsia="仿宋"/>
          <w:color w:val="000000"/>
          <w:sz w:val="32"/>
          <w:szCs w:val="28"/>
        </w:rPr>
        <w:t>证券事务代表。</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3．任职状态与上市公司高层人员某一特定的任职类型相对应，包括拟任、现任、历任、落选。</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（二）申报要求</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1．在报送高层人员变动的信息披露文件时，上市公司应当同时进行高层人员信息的网上申报；如上市公司无法在当日完成信息申报，需提供董事会出具的两个交易日内完成信息申报的承诺函。</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2．董事、监事、独立董事、高级管理人员、董事会秘书以及证券事务代表的任职或离职生效时点发生变化时，上市公司应当及时进行申报：</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snapToGrid w:val="0"/>
              <w:ind w:firstLine="420"/>
              <w:jc w:val="left"/>
              <w:rPr>
                <w:rFonts w:ascii="宋体" w:hAnsi="宋体"/>
                <w:b/>
                <w:color w:val="000000"/>
                <w:sz w:val="24"/>
              </w:rPr>
            </w:pPr>
            <w:r>
              <w:rPr>
                <w:rFonts w:ascii="宋体" w:hAnsi="宋体"/>
                <w:b/>
                <w:color w:val="000000"/>
                <w:sz w:val="24"/>
              </w:rPr>
              <w:t>任职类别</w:t>
            </w:r>
          </w:p>
        </w:tc>
        <w:tc>
          <w:tcPr>
            <w:tcW w:w="2841" w:type="dxa"/>
            <w:vAlign w:val="center"/>
          </w:tcPr>
          <w:p>
            <w:pPr>
              <w:snapToGrid w:val="0"/>
              <w:ind w:firstLine="420"/>
              <w:jc w:val="left"/>
              <w:rPr>
                <w:rFonts w:ascii="宋体" w:hAnsi="宋体"/>
                <w:b/>
                <w:color w:val="000000"/>
                <w:sz w:val="24"/>
              </w:rPr>
            </w:pPr>
            <w:r>
              <w:rPr>
                <w:rFonts w:ascii="宋体" w:hAnsi="宋体"/>
                <w:b/>
                <w:color w:val="000000"/>
                <w:sz w:val="24"/>
              </w:rPr>
              <w:t>任职生效时点</w:t>
            </w:r>
          </w:p>
        </w:tc>
        <w:tc>
          <w:tcPr>
            <w:tcW w:w="2841" w:type="dxa"/>
            <w:vAlign w:val="center"/>
          </w:tcPr>
          <w:p>
            <w:pPr>
              <w:snapToGrid w:val="0"/>
              <w:ind w:firstLine="420"/>
              <w:jc w:val="left"/>
              <w:rPr>
                <w:rFonts w:ascii="宋体" w:hAnsi="宋体"/>
                <w:b/>
                <w:color w:val="000000"/>
                <w:sz w:val="24"/>
              </w:rPr>
            </w:pPr>
            <w:r>
              <w:rPr>
                <w:rFonts w:ascii="宋体" w:hAnsi="宋体"/>
                <w:b/>
                <w:color w:val="000000"/>
                <w:sz w:val="24"/>
              </w:rPr>
              <w:t>离职生效时点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snapToGrid w:val="0"/>
              <w:jc w:val="left"/>
              <w:rPr>
                <w:rFonts w:ascii="宋体" w:hAnsi="宋体"/>
                <w:color w:val="000000"/>
                <w:sz w:val="24"/>
              </w:rPr>
            </w:pPr>
            <w:r>
              <w:rPr>
                <w:rFonts w:ascii="宋体" w:hAnsi="宋体"/>
                <w:color w:val="000000"/>
                <w:sz w:val="24"/>
              </w:rPr>
              <w:t>董事、监事、独立董事</w:t>
            </w:r>
          </w:p>
        </w:tc>
        <w:tc>
          <w:tcPr>
            <w:tcW w:w="2841" w:type="dxa"/>
            <w:vAlign w:val="center"/>
          </w:tcPr>
          <w:p>
            <w:pPr>
              <w:snapToGrid w:val="0"/>
              <w:jc w:val="left"/>
              <w:rPr>
                <w:rFonts w:ascii="宋体" w:hAnsi="宋体"/>
                <w:color w:val="000000"/>
                <w:sz w:val="24"/>
              </w:rPr>
            </w:pPr>
            <w:r>
              <w:rPr>
                <w:rFonts w:ascii="宋体" w:hAnsi="宋体"/>
                <w:color w:val="000000"/>
                <w:sz w:val="24"/>
              </w:rPr>
              <w:t>有权机构作出聘任决议时，如股东大会、职工代表大会决议公告日</w:t>
            </w:r>
          </w:p>
        </w:tc>
        <w:tc>
          <w:tcPr>
            <w:tcW w:w="2841" w:type="dxa"/>
            <w:vAlign w:val="center"/>
          </w:tcPr>
          <w:p>
            <w:pPr>
              <w:snapToGrid w:val="0"/>
              <w:jc w:val="left"/>
              <w:rPr>
                <w:rFonts w:ascii="宋体" w:hAnsi="宋体"/>
                <w:color w:val="000000"/>
                <w:sz w:val="24"/>
              </w:rPr>
            </w:pPr>
            <w:r>
              <w:rPr>
                <w:rFonts w:ascii="宋体" w:hAnsi="宋体"/>
                <w:color w:val="000000"/>
                <w:sz w:val="24"/>
              </w:rPr>
              <w:t>1． 被免职的，</w:t>
            </w:r>
            <w:r>
              <w:rPr>
                <w:rFonts w:hint="eastAsia" w:ascii="宋体" w:hAnsi="宋体"/>
                <w:color w:val="000000"/>
                <w:sz w:val="24"/>
              </w:rPr>
              <w:t>为</w:t>
            </w:r>
            <w:r>
              <w:rPr>
                <w:rFonts w:ascii="宋体" w:hAnsi="宋体"/>
                <w:color w:val="000000"/>
                <w:sz w:val="24"/>
              </w:rPr>
              <w:t>有权机构作出免职决议时，如股东大会、职工代表大会决议公告日；</w:t>
            </w:r>
          </w:p>
          <w:p>
            <w:pPr>
              <w:snapToGrid w:val="0"/>
              <w:jc w:val="left"/>
              <w:rPr>
                <w:rFonts w:ascii="宋体" w:hAnsi="宋体"/>
                <w:color w:val="000000"/>
                <w:sz w:val="24"/>
              </w:rPr>
            </w:pPr>
            <w:r>
              <w:rPr>
                <w:rFonts w:ascii="宋体" w:hAnsi="宋体"/>
                <w:color w:val="000000"/>
                <w:sz w:val="24"/>
              </w:rPr>
              <w:t>2． 主动离职的，</w:t>
            </w:r>
            <w:r>
              <w:rPr>
                <w:rFonts w:hint="eastAsia" w:ascii="宋体" w:hAnsi="宋体"/>
                <w:color w:val="000000"/>
                <w:sz w:val="24"/>
              </w:rPr>
              <w:t>为辞职</w:t>
            </w:r>
            <w:r>
              <w:rPr>
                <w:rFonts w:ascii="宋体" w:hAnsi="宋体"/>
                <w:color w:val="000000"/>
                <w:sz w:val="24"/>
              </w:rPr>
              <w:t>报告提交日（离职导致低于法定人数</w:t>
            </w:r>
            <w:r>
              <w:rPr>
                <w:rFonts w:hint="eastAsia" w:ascii="宋体" w:hAnsi="宋体"/>
                <w:color w:val="000000"/>
                <w:sz w:val="24"/>
              </w:rPr>
              <w:t>、董事会或者其专门委员会独立董事所占比例不符合规定、独立董事中欠缺会计专业人士等情形</w:t>
            </w:r>
            <w:r>
              <w:rPr>
                <w:rFonts w:ascii="宋体" w:hAnsi="宋体"/>
                <w:color w:val="000000"/>
                <w:sz w:val="24"/>
              </w:rPr>
              <w:t>除外）；</w:t>
            </w:r>
          </w:p>
          <w:p>
            <w:pPr>
              <w:snapToGrid w:val="0"/>
              <w:jc w:val="left"/>
              <w:rPr>
                <w:rFonts w:ascii="宋体" w:hAnsi="宋体"/>
                <w:color w:val="000000"/>
                <w:sz w:val="24"/>
              </w:rPr>
            </w:pPr>
            <w:r>
              <w:rPr>
                <w:rFonts w:ascii="宋体" w:hAnsi="宋体"/>
                <w:color w:val="000000"/>
                <w:sz w:val="24"/>
              </w:rPr>
              <w:t>3． 任职到期的，</w:t>
            </w:r>
            <w:r>
              <w:rPr>
                <w:rFonts w:hint="eastAsia" w:ascii="宋体" w:hAnsi="宋体"/>
                <w:color w:val="000000"/>
                <w:sz w:val="24"/>
              </w:rPr>
              <w:t>为</w:t>
            </w:r>
            <w:r>
              <w:rPr>
                <w:rFonts w:ascii="宋体" w:hAnsi="宋体"/>
                <w:color w:val="000000"/>
                <w:sz w:val="24"/>
              </w:rPr>
              <w:t>新当选人士任职生效时。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2840" w:type="dxa"/>
            <w:vAlign w:val="center"/>
          </w:tcPr>
          <w:p>
            <w:pPr>
              <w:snapToGrid w:val="0"/>
              <w:jc w:val="left"/>
              <w:rPr>
                <w:rFonts w:ascii="宋体" w:hAnsi="宋体"/>
                <w:color w:val="000000"/>
                <w:sz w:val="24"/>
              </w:rPr>
            </w:pPr>
            <w:r>
              <w:rPr>
                <w:rFonts w:ascii="宋体" w:hAnsi="宋体"/>
                <w:color w:val="000000"/>
                <w:sz w:val="24"/>
              </w:rPr>
              <w:t>高级管理人员、董事会秘书、证券事务代表</w:t>
            </w:r>
          </w:p>
        </w:tc>
        <w:tc>
          <w:tcPr>
            <w:tcW w:w="2841" w:type="dxa"/>
            <w:vAlign w:val="center"/>
          </w:tcPr>
          <w:p>
            <w:pPr>
              <w:snapToGrid w:val="0"/>
              <w:jc w:val="left"/>
              <w:rPr>
                <w:rFonts w:ascii="宋体" w:hAnsi="宋体"/>
                <w:color w:val="000000"/>
                <w:sz w:val="24"/>
              </w:rPr>
            </w:pPr>
            <w:r>
              <w:rPr>
                <w:rFonts w:ascii="宋体" w:hAnsi="宋体"/>
                <w:color w:val="000000"/>
                <w:sz w:val="24"/>
              </w:rPr>
              <w:t>董事会作出聘任决议时，即董事会决议公告日</w:t>
            </w:r>
          </w:p>
        </w:tc>
        <w:tc>
          <w:tcPr>
            <w:tcW w:w="2841" w:type="dxa"/>
            <w:vAlign w:val="center"/>
          </w:tcPr>
          <w:p>
            <w:pPr>
              <w:snapToGrid w:val="0"/>
              <w:jc w:val="left"/>
              <w:rPr>
                <w:rFonts w:ascii="宋体" w:hAnsi="宋体"/>
                <w:color w:val="000000"/>
                <w:sz w:val="24"/>
              </w:rPr>
            </w:pPr>
            <w:r>
              <w:rPr>
                <w:rFonts w:ascii="宋体" w:hAnsi="宋体"/>
                <w:color w:val="000000"/>
                <w:sz w:val="24"/>
              </w:rPr>
              <w:t>1． 被免职的，</w:t>
            </w:r>
            <w:r>
              <w:rPr>
                <w:rFonts w:hint="eastAsia" w:ascii="宋体" w:hAnsi="宋体"/>
                <w:color w:val="000000"/>
                <w:sz w:val="24"/>
              </w:rPr>
              <w:t>为</w:t>
            </w:r>
            <w:r>
              <w:rPr>
                <w:rFonts w:ascii="宋体" w:hAnsi="宋体"/>
                <w:color w:val="000000"/>
                <w:sz w:val="24"/>
              </w:rPr>
              <w:t>董事会作出免职决议时，即董事会决议公告日；</w:t>
            </w:r>
          </w:p>
          <w:p>
            <w:pPr>
              <w:snapToGrid w:val="0"/>
              <w:jc w:val="left"/>
              <w:rPr>
                <w:rFonts w:ascii="宋体" w:hAnsi="宋体"/>
                <w:color w:val="000000"/>
                <w:sz w:val="24"/>
              </w:rPr>
            </w:pPr>
            <w:r>
              <w:rPr>
                <w:rFonts w:ascii="宋体" w:hAnsi="宋体"/>
                <w:color w:val="000000"/>
                <w:sz w:val="24"/>
              </w:rPr>
              <w:t>2． 主动离职的，</w:t>
            </w:r>
            <w:r>
              <w:rPr>
                <w:rFonts w:hint="eastAsia" w:ascii="宋体" w:hAnsi="宋体"/>
                <w:color w:val="000000"/>
                <w:sz w:val="24"/>
              </w:rPr>
              <w:t>为辞职</w:t>
            </w:r>
            <w:r>
              <w:rPr>
                <w:rFonts w:ascii="宋体" w:hAnsi="宋体"/>
                <w:color w:val="000000"/>
                <w:sz w:val="24"/>
              </w:rPr>
              <w:t>报告提交日；</w:t>
            </w:r>
          </w:p>
          <w:p>
            <w:pPr>
              <w:snapToGrid w:val="0"/>
              <w:jc w:val="left"/>
              <w:rPr>
                <w:rFonts w:ascii="宋体" w:hAnsi="宋体"/>
                <w:color w:val="000000"/>
                <w:sz w:val="24"/>
              </w:rPr>
            </w:pPr>
            <w:r>
              <w:rPr>
                <w:rFonts w:ascii="宋体" w:hAnsi="宋体"/>
                <w:color w:val="000000"/>
                <w:sz w:val="24"/>
              </w:rPr>
              <w:t>3． 任职到期的，</w:t>
            </w:r>
            <w:r>
              <w:rPr>
                <w:rFonts w:hint="eastAsia" w:ascii="宋体" w:hAnsi="宋体"/>
                <w:color w:val="000000"/>
                <w:sz w:val="24"/>
              </w:rPr>
              <w:t>为</w:t>
            </w:r>
            <w:r>
              <w:rPr>
                <w:rFonts w:ascii="宋体" w:hAnsi="宋体"/>
                <w:color w:val="000000"/>
                <w:sz w:val="24"/>
              </w:rPr>
              <w:t>新当选人士任职生效时。</w:t>
            </w:r>
          </w:p>
        </w:tc>
      </w:tr>
    </w:tbl>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3．高层人员已申报的信息如果发生变化，如：身份证号码变更、地址变更、家庭成员人员变更或相关信息变更等，应及时告知并委托上市公司修改相关信息，上市公司知悉后应当及时更新申报信息。</w:t>
      </w:r>
    </w:p>
    <w:p>
      <w:pPr>
        <w:snapToGrid w:val="0"/>
        <w:spacing w:line="560" w:lineRule="exact"/>
        <w:ind w:firstLine="640" w:firstLineChars="200"/>
        <w:contextualSpacing/>
        <w:rPr>
          <w:rFonts w:ascii="仿宋" w:hAnsi="仿宋" w:eastAsia="仿宋"/>
          <w:color w:val="000000"/>
          <w:sz w:val="28"/>
          <w:szCs w:val="28"/>
        </w:rPr>
      </w:pPr>
      <w:r>
        <w:rPr>
          <w:rFonts w:ascii="仿宋" w:hAnsi="仿宋" w:eastAsia="仿宋"/>
          <w:color w:val="000000"/>
          <w:sz w:val="32"/>
          <w:szCs w:val="28"/>
        </w:rPr>
        <w:t>4．上市公司应当确保信息申报的真实、准确、及时、完整。</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（三）操作说明</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1．上市公司通过数字证书登录到业务专区，点击</w:t>
      </w:r>
      <w:r>
        <w:rPr>
          <w:rFonts w:hint="eastAsia" w:ascii="仿宋" w:hAnsi="仿宋" w:eastAsia="仿宋"/>
          <w:color w:val="000000"/>
          <w:sz w:val="32"/>
          <w:szCs w:val="28"/>
        </w:rPr>
        <w:t>“</w:t>
      </w:r>
      <w:r>
        <w:rPr>
          <w:rFonts w:ascii="仿宋" w:hAnsi="仿宋" w:eastAsia="仿宋"/>
          <w:color w:val="000000"/>
          <w:sz w:val="32"/>
          <w:szCs w:val="28"/>
        </w:rPr>
        <w:t>在线填报—董监高信息填报—高层人员信息</w:t>
      </w:r>
      <w:r>
        <w:rPr>
          <w:rFonts w:hint="eastAsia" w:ascii="仿宋" w:hAnsi="仿宋" w:eastAsia="仿宋"/>
          <w:color w:val="000000"/>
          <w:sz w:val="32"/>
          <w:szCs w:val="28"/>
        </w:rPr>
        <w:t>”</w:t>
      </w:r>
      <w:r>
        <w:rPr>
          <w:rFonts w:ascii="仿宋" w:hAnsi="仿宋" w:eastAsia="仿宋"/>
          <w:color w:val="000000"/>
          <w:sz w:val="32"/>
          <w:szCs w:val="28"/>
        </w:rPr>
        <w:t>菜单项，进入高层人员信息网上填报主页面。</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2．高层人员信息填报主页面为查询统计页面，查询结果为公司高层人员的主要信息、证件填报情况。</w:t>
      </w:r>
    </w:p>
    <w:p>
      <w:pPr>
        <w:snapToGrid w:val="0"/>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3．上市公司通过点击</w:t>
      </w:r>
      <w:r>
        <w:rPr>
          <w:rFonts w:hint="eastAsia" w:ascii="仿宋" w:hAnsi="仿宋" w:eastAsia="仿宋"/>
          <w:color w:val="000000"/>
          <w:sz w:val="32"/>
          <w:szCs w:val="28"/>
        </w:rPr>
        <w:t>“</w:t>
      </w:r>
      <w:r>
        <w:rPr>
          <w:rFonts w:ascii="仿宋" w:hAnsi="仿宋" w:eastAsia="仿宋"/>
          <w:color w:val="000000"/>
          <w:sz w:val="32"/>
          <w:szCs w:val="28"/>
        </w:rPr>
        <w:t>增加高层人员</w:t>
      </w:r>
      <w:r>
        <w:rPr>
          <w:rFonts w:hint="eastAsia" w:ascii="仿宋" w:hAnsi="仿宋" w:eastAsia="仿宋"/>
          <w:color w:val="000000"/>
          <w:sz w:val="32"/>
          <w:szCs w:val="28"/>
        </w:rPr>
        <w:t>”</w:t>
      </w:r>
      <w:r>
        <w:rPr>
          <w:rFonts w:ascii="仿宋" w:hAnsi="仿宋" w:eastAsia="仿宋"/>
          <w:color w:val="000000"/>
          <w:sz w:val="32"/>
          <w:szCs w:val="28"/>
        </w:rPr>
        <w:t>按钮可以新增一位高层人员，如图</w:t>
      </w:r>
      <w:r>
        <w:rPr>
          <w:rFonts w:hint="eastAsia" w:ascii="仿宋" w:hAnsi="仿宋" w:eastAsia="仿宋"/>
          <w:color w:val="000000"/>
          <w:sz w:val="32"/>
          <w:szCs w:val="28"/>
        </w:rPr>
        <w:t>4</w:t>
      </w:r>
      <w:r>
        <w:rPr>
          <w:rFonts w:ascii="仿宋" w:hAnsi="仿宋" w:eastAsia="仿宋"/>
          <w:color w:val="000000"/>
          <w:sz w:val="32"/>
          <w:szCs w:val="28"/>
        </w:rPr>
        <w:t>-1所示：</w:t>
      </w:r>
    </w:p>
    <w:p>
      <w:pPr>
        <w:snapToGrid w:val="0"/>
        <w:spacing w:line="560" w:lineRule="exact"/>
        <w:ind w:firstLine="420" w:firstLineChars="200"/>
        <w:jc w:val="center"/>
        <w:rPr>
          <w:rFonts w:ascii="仿宋" w:hAnsi="仿宋" w:eastAsia="仿宋"/>
          <w:color w:val="000000"/>
          <w:sz w:val="24"/>
          <w:szCs w:val="24"/>
        </w:rPr>
      </w:pPr>
      <w:r>
        <w:drawing>
          <wp:anchor distT="0" distB="0" distL="114300" distR="114300" simplePos="0" relativeHeight="251687936" behindDoc="1" locked="0" layoutInCell="1" allowOverlap="1">
            <wp:simplePos x="0" y="0"/>
            <wp:positionH relativeFrom="column">
              <wp:posOffset>-40005</wp:posOffset>
            </wp:positionH>
            <wp:positionV relativeFrom="paragraph">
              <wp:posOffset>167005</wp:posOffset>
            </wp:positionV>
            <wp:extent cx="5274310" cy="3047365"/>
            <wp:effectExtent l="0" t="0" r="2540" b="635"/>
            <wp:wrapTight wrapText="bothSides">
              <wp:wrapPolygon>
                <wp:start x="0" y="0"/>
                <wp:lineTo x="0" y="21469"/>
                <wp:lineTo x="21532" y="21469"/>
                <wp:lineTo x="21532" y="0"/>
                <wp:lineTo x="0" y="0"/>
              </wp:wrapPolygon>
            </wp:wrapTight>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4310" cy="3047365"/>
                    </a:xfrm>
                    <a:prstGeom prst="rect">
                      <a:avLst/>
                    </a:prstGeom>
                    <a:noFill/>
                  </pic:spPr>
                </pic:pic>
              </a:graphicData>
            </a:graphic>
          </wp:anchor>
        </w:drawing>
      </w:r>
      <w:r>
        <w:rPr>
          <w:rFonts w:ascii="仿宋" w:hAnsi="仿宋" w:eastAsia="仿宋"/>
          <w:color w:val="000000"/>
          <w:sz w:val="24"/>
          <w:szCs w:val="24"/>
        </w:rPr>
        <w:t>图</w:t>
      </w:r>
      <w:r>
        <w:rPr>
          <w:rFonts w:hint="eastAsia" w:ascii="仿宋" w:hAnsi="仿宋" w:eastAsia="仿宋"/>
          <w:color w:val="000000"/>
          <w:sz w:val="24"/>
          <w:szCs w:val="24"/>
        </w:rPr>
        <w:t>4</w:t>
      </w:r>
      <w:r>
        <w:rPr>
          <w:rFonts w:ascii="仿宋" w:hAnsi="仿宋" w:eastAsia="仿宋"/>
          <w:color w:val="000000"/>
          <w:sz w:val="24"/>
          <w:szCs w:val="24"/>
        </w:rPr>
        <w:t>-1 新增高层人员信息示例</w:t>
      </w:r>
    </w:p>
    <w:p>
      <w:pPr>
        <w:snapToGrid w:val="0"/>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4．增加了高层人员信息之后，上市公司通过点击高层人员的</w:t>
      </w:r>
      <w:r>
        <w:rPr>
          <w:rFonts w:hint="eastAsia" w:ascii="仿宋" w:hAnsi="仿宋" w:eastAsia="仿宋"/>
          <w:color w:val="000000"/>
          <w:sz w:val="32"/>
          <w:szCs w:val="28"/>
        </w:rPr>
        <w:t>“</w:t>
      </w:r>
      <w:r>
        <w:rPr>
          <w:rFonts w:ascii="仿宋" w:hAnsi="仿宋" w:eastAsia="仿宋"/>
          <w:color w:val="000000"/>
          <w:sz w:val="32"/>
          <w:szCs w:val="28"/>
        </w:rPr>
        <w:t>姓名</w:t>
      </w:r>
      <w:r>
        <w:rPr>
          <w:rFonts w:hint="eastAsia" w:ascii="仿宋" w:hAnsi="仿宋" w:eastAsia="仿宋"/>
          <w:color w:val="000000"/>
          <w:sz w:val="32"/>
          <w:szCs w:val="28"/>
        </w:rPr>
        <w:t>”</w:t>
      </w:r>
      <w:r>
        <w:rPr>
          <w:rFonts w:ascii="仿宋" w:hAnsi="仿宋" w:eastAsia="仿宋"/>
          <w:color w:val="000000"/>
          <w:sz w:val="32"/>
          <w:szCs w:val="28"/>
        </w:rPr>
        <w:t>维护选定人员的详细基本信息。如图</w:t>
      </w:r>
      <w:r>
        <w:rPr>
          <w:rFonts w:hint="eastAsia" w:ascii="仿宋" w:hAnsi="仿宋" w:eastAsia="仿宋"/>
          <w:color w:val="000000"/>
          <w:sz w:val="32"/>
          <w:szCs w:val="28"/>
        </w:rPr>
        <w:t>4</w:t>
      </w:r>
      <w:r>
        <w:rPr>
          <w:rFonts w:ascii="仿宋" w:hAnsi="仿宋" w:eastAsia="仿宋"/>
          <w:color w:val="000000"/>
          <w:sz w:val="32"/>
          <w:szCs w:val="28"/>
        </w:rPr>
        <w:t>-2所示：</w:t>
      </w:r>
    </w:p>
    <w:p>
      <w:pPr>
        <w:snapToGrid w:val="0"/>
        <w:spacing w:line="560" w:lineRule="exact"/>
        <w:ind w:firstLine="420" w:firstLineChars="200"/>
        <w:jc w:val="center"/>
        <w:rPr>
          <w:rFonts w:ascii="仿宋" w:hAnsi="仿宋" w:eastAsia="仿宋"/>
          <w:color w:val="000000"/>
          <w:sz w:val="24"/>
          <w:szCs w:val="24"/>
        </w:rPr>
      </w:pPr>
      <w:r>
        <w:drawing>
          <wp:anchor distT="0" distB="0" distL="114300" distR="114300" simplePos="0" relativeHeight="251673600" behindDoc="1" locked="0" layoutInCell="1" allowOverlap="1">
            <wp:simplePos x="0" y="0"/>
            <wp:positionH relativeFrom="column">
              <wp:posOffset>72390</wp:posOffset>
            </wp:positionH>
            <wp:positionV relativeFrom="paragraph">
              <wp:posOffset>82550</wp:posOffset>
            </wp:positionV>
            <wp:extent cx="5219700" cy="6669405"/>
            <wp:effectExtent l="0" t="0" r="0" b="0"/>
            <wp:wrapTopAndBottom/>
            <wp:docPr id="3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19700" cy="6669405"/>
                    </a:xfrm>
                    <a:prstGeom prst="rect">
                      <a:avLst/>
                    </a:prstGeom>
                    <a:noFill/>
                  </pic:spPr>
                </pic:pic>
              </a:graphicData>
            </a:graphic>
          </wp:anchor>
        </w:drawing>
      </w:r>
      <w:r>
        <w:rPr>
          <w:rFonts w:ascii="仿宋" w:hAnsi="仿宋" w:eastAsia="仿宋"/>
          <w:color w:val="000000"/>
          <w:sz w:val="24"/>
          <w:szCs w:val="24"/>
        </w:rPr>
        <w:t>图</w:t>
      </w:r>
      <w:r>
        <w:rPr>
          <w:rFonts w:hint="eastAsia" w:ascii="仿宋" w:hAnsi="仿宋" w:eastAsia="仿宋"/>
          <w:color w:val="000000"/>
          <w:sz w:val="24"/>
          <w:szCs w:val="24"/>
        </w:rPr>
        <w:t>4</w:t>
      </w:r>
      <w:r>
        <w:rPr>
          <w:rFonts w:ascii="仿宋" w:hAnsi="仿宋" w:eastAsia="仿宋"/>
          <w:color w:val="000000"/>
          <w:sz w:val="24"/>
          <w:szCs w:val="24"/>
        </w:rPr>
        <w:t>-2 维护高层人员信息示例1</w:t>
      </w:r>
    </w:p>
    <w:p>
      <w:pPr>
        <w:snapToGrid w:val="0"/>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5．当某高层人员的任职情况发生变化时，上市公司应根据变更任职信息时点的具体规定登录到业务专区对其任职状态进行修改和维护，每一个职务对应一条记录，点击</w:t>
      </w:r>
      <w:r>
        <w:rPr>
          <w:rFonts w:hint="eastAsia" w:ascii="仿宋" w:hAnsi="仿宋" w:eastAsia="仿宋"/>
          <w:color w:val="000000"/>
          <w:sz w:val="32"/>
          <w:szCs w:val="28"/>
        </w:rPr>
        <w:t>“</w:t>
      </w:r>
      <w:r>
        <w:rPr>
          <w:rFonts w:ascii="仿宋" w:hAnsi="仿宋" w:eastAsia="仿宋"/>
          <w:color w:val="000000"/>
          <w:sz w:val="32"/>
          <w:szCs w:val="28"/>
        </w:rPr>
        <w:t>新增任职类型</w:t>
      </w:r>
      <w:r>
        <w:rPr>
          <w:rFonts w:hint="eastAsia" w:ascii="仿宋" w:hAnsi="仿宋" w:eastAsia="仿宋"/>
          <w:color w:val="000000"/>
          <w:sz w:val="32"/>
          <w:szCs w:val="28"/>
        </w:rPr>
        <w:t>”</w:t>
      </w:r>
      <w:r>
        <w:rPr>
          <w:rFonts w:ascii="仿宋" w:hAnsi="仿宋" w:eastAsia="仿宋"/>
          <w:color w:val="000000"/>
          <w:sz w:val="32"/>
          <w:szCs w:val="28"/>
        </w:rPr>
        <w:t>按钮即可。</w:t>
      </w:r>
    </w:p>
    <w:p>
      <w:pPr>
        <w:snapToGrid w:val="0"/>
        <w:spacing w:line="560" w:lineRule="exact"/>
        <w:ind w:firstLine="640" w:firstLineChars="200"/>
        <w:contextualSpacing/>
        <w:rPr>
          <w:rFonts w:ascii="仿宋" w:hAnsi="仿宋" w:eastAsia="仿宋"/>
          <w:color w:val="000000"/>
          <w:sz w:val="28"/>
          <w:szCs w:val="28"/>
        </w:rPr>
      </w:pPr>
      <w:r>
        <w:rPr>
          <w:rFonts w:ascii="仿宋" w:hAnsi="仿宋" w:eastAsia="仿宋"/>
          <w:color w:val="000000"/>
          <w:sz w:val="32"/>
          <w:szCs w:val="28"/>
        </w:rPr>
        <w:t>6．在网上填报或信息维护完成后，应点击</w:t>
      </w:r>
      <w:r>
        <w:rPr>
          <w:rFonts w:hint="eastAsia" w:ascii="仿宋" w:hAnsi="仿宋" w:eastAsia="仿宋"/>
          <w:color w:val="000000"/>
          <w:sz w:val="32"/>
          <w:szCs w:val="28"/>
        </w:rPr>
        <w:t>“</w:t>
      </w:r>
      <w:r>
        <w:rPr>
          <w:rFonts w:ascii="仿宋" w:hAnsi="仿宋" w:eastAsia="仿宋"/>
          <w:color w:val="000000"/>
          <w:sz w:val="32"/>
          <w:szCs w:val="28"/>
        </w:rPr>
        <w:t>提交</w:t>
      </w:r>
      <w:r>
        <w:rPr>
          <w:rFonts w:hint="eastAsia" w:ascii="仿宋" w:hAnsi="仿宋" w:eastAsia="仿宋"/>
          <w:color w:val="000000"/>
          <w:sz w:val="32"/>
          <w:szCs w:val="28"/>
        </w:rPr>
        <w:t>”</w:t>
      </w:r>
      <w:r>
        <w:rPr>
          <w:rFonts w:ascii="仿宋" w:hAnsi="仿宋" w:eastAsia="仿宋"/>
          <w:color w:val="000000"/>
          <w:sz w:val="32"/>
          <w:szCs w:val="28"/>
        </w:rPr>
        <w:t>按钮，将填报或修改的内容提交到本所创业板公司管理部。相关信息在提交前可以修改，在提交后关键信息不能自行修改。关键信息包括：国籍、姓名、身份证号码、护照或其他证件号码以及离任人员的离任日期等。上市公司如需修改上述关键信息，可在</w:t>
      </w:r>
      <w:r>
        <w:rPr>
          <w:rFonts w:hint="eastAsia" w:ascii="仿宋" w:hAnsi="仿宋" w:eastAsia="仿宋"/>
          <w:color w:val="000000"/>
          <w:sz w:val="32"/>
          <w:szCs w:val="28"/>
        </w:rPr>
        <w:t>“</w:t>
      </w:r>
      <w:r>
        <w:rPr>
          <w:rFonts w:ascii="仿宋" w:hAnsi="仿宋" w:eastAsia="仿宋"/>
          <w:color w:val="000000"/>
          <w:sz w:val="32"/>
          <w:szCs w:val="28"/>
        </w:rPr>
        <w:t>资料填报——高层人员资料</w:t>
      </w:r>
      <w:r>
        <w:rPr>
          <w:rFonts w:hint="eastAsia" w:ascii="仿宋" w:hAnsi="仿宋" w:eastAsia="仿宋"/>
          <w:color w:val="000000"/>
          <w:sz w:val="32"/>
          <w:szCs w:val="28"/>
        </w:rPr>
        <w:t>”</w:t>
      </w:r>
      <w:r>
        <w:rPr>
          <w:rFonts w:ascii="仿宋" w:hAnsi="仿宋" w:eastAsia="仿宋"/>
          <w:color w:val="000000"/>
          <w:sz w:val="32"/>
          <w:szCs w:val="28"/>
        </w:rPr>
        <w:t>页面点击</w:t>
      </w:r>
      <w:r>
        <w:rPr>
          <w:rFonts w:hint="eastAsia" w:ascii="仿宋" w:hAnsi="仿宋" w:eastAsia="仿宋"/>
          <w:color w:val="000000"/>
          <w:sz w:val="32"/>
          <w:szCs w:val="28"/>
        </w:rPr>
        <w:t>“</w:t>
      </w:r>
      <w:r>
        <w:rPr>
          <w:rFonts w:ascii="仿宋" w:hAnsi="仿宋" w:eastAsia="仿宋"/>
          <w:color w:val="000000"/>
          <w:sz w:val="32"/>
          <w:szCs w:val="28"/>
        </w:rPr>
        <w:t>网上申请</w:t>
      </w:r>
      <w:r>
        <w:rPr>
          <w:rFonts w:hint="eastAsia" w:ascii="仿宋" w:hAnsi="仿宋" w:eastAsia="仿宋"/>
          <w:color w:val="000000"/>
          <w:sz w:val="32"/>
          <w:szCs w:val="28"/>
        </w:rPr>
        <w:t>”</w:t>
      </w:r>
      <w:r>
        <w:rPr>
          <w:rFonts w:ascii="仿宋" w:hAnsi="仿宋" w:eastAsia="仿宋"/>
          <w:color w:val="000000"/>
          <w:sz w:val="32"/>
          <w:szCs w:val="28"/>
        </w:rPr>
        <w:t>，进入</w:t>
      </w:r>
      <w:r>
        <w:rPr>
          <w:rFonts w:hint="eastAsia" w:ascii="仿宋" w:hAnsi="仿宋" w:eastAsia="仿宋"/>
          <w:color w:val="000000"/>
          <w:sz w:val="32"/>
          <w:szCs w:val="28"/>
        </w:rPr>
        <w:t>“</w:t>
      </w:r>
      <w:r>
        <w:rPr>
          <w:rFonts w:ascii="仿宋" w:hAnsi="仿宋" w:eastAsia="仿宋"/>
          <w:color w:val="000000"/>
          <w:sz w:val="32"/>
          <w:szCs w:val="28"/>
        </w:rPr>
        <w:t>个人基本资料变更申请</w:t>
      </w:r>
      <w:r>
        <w:rPr>
          <w:rFonts w:hint="eastAsia" w:ascii="仿宋" w:hAnsi="仿宋" w:eastAsia="仿宋"/>
          <w:color w:val="000000"/>
          <w:sz w:val="32"/>
          <w:szCs w:val="28"/>
        </w:rPr>
        <w:t>”</w:t>
      </w:r>
      <w:r>
        <w:rPr>
          <w:rFonts w:ascii="仿宋" w:hAnsi="仿宋" w:eastAsia="仿宋"/>
          <w:color w:val="000000"/>
          <w:sz w:val="32"/>
          <w:szCs w:val="28"/>
        </w:rPr>
        <w:t>页面选择拟修改数据的董事、监事及高级管理人员姓名，并修改其关键信息，如图</w:t>
      </w:r>
      <w:r>
        <w:rPr>
          <w:rFonts w:hint="eastAsia" w:ascii="仿宋" w:hAnsi="仿宋" w:eastAsia="仿宋"/>
          <w:color w:val="000000"/>
          <w:sz w:val="32"/>
          <w:szCs w:val="28"/>
        </w:rPr>
        <w:t>4</w:t>
      </w:r>
      <w:r>
        <w:rPr>
          <w:rFonts w:ascii="仿宋" w:hAnsi="仿宋" w:eastAsia="仿宋"/>
          <w:color w:val="000000"/>
          <w:sz w:val="32"/>
          <w:szCs w:val="28"/>
        </w:rPr>
        <w:t>-3所示：</w:t>
      </w:r>
    </w:p>
    <w:p>
      <w:pPr>
        <w:snapToGrid w:val="0"/>
        <w:spacing w:line="560" w:lineRule="exact"/>
        <w:ind w:firstLine="420" w:firstLineChars="200"/>
        <w:contextualSpacing/>
        <w:rPr>
          <w:rFonts w:ascii="Times New Roman" w:hAnsi="Times New Roman" w:eastAsia="方正仿宋简体"/>
          <w:color w:val="000000"/>
          <w:sz w:val="28"/>
          <w:szCs w:val="28"/>
        </w:rPr>
      </w:pPr>
      <w:r>
        <w:drawing>
          <wp:anchor distT="0" distB="0" distL="114300" distR="114300" simplePos="0" relativeHeight="251691008" behindDoc="0" locked="0" layoutInCell="1" allowOverlap="1">
            <wp:simplePos x="0" y="0"/>
            <wp:positionH relativeFrom="column">
              <wp:posOffset>112395</wp:posOffset>
            </wp:positionH>
            <wp:positionV relativeFrom="paragraph">
              <wp:posOffset>100330</wp:posOffset>
            </wp:positionV>
            <wp:extent cx="4939665" cy="1331595"/>
            <wp:effectExtent l="0" t="0" r="0" b="1905"/>
            <wp:wrapNone/>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939665" cy="1331595"/>
                    </a:xfrm>
                    <a:prstGeom prst="rect">
                      <a:avLst/>
                    </a:prstGeom>
                    <a:noFill/>
                  </pic:spPr>
                </pic:pic>
              </a:graphicData>
            </a:graphic>
          </wp:anchor>
        </w:drawing>
      </w: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420" w:firstLineChars="200"/>
        <w:contextualSpacing/>
        <w:rPr>
          <w:rFonts w:ascii="Times New Roman" w:hAnsi="Times New Roman" w:eastAsia="方正仿宋简体"/>
          <w:color w:val="000000"/>
          <w:sz w:val="28"/>
          <w:szCs w:val="28"/>
        </w:rPr>
      </w:pPr>
      <w:r>
        <w:drawing>
          <wp:anchor distT="0" distB="0" distL="114300" distR="114300" simplePos="0" relativeHeight="251692032" behindDoc="0" locked="0" layoutInCell="1" allowOverlap="1">
            <wp:simplePos x="0" y="0"/>
            <wp:positionH relativeFrom="column">
              <wp:posOffset>2540</wp:posOffset>
            </wp:positionH>
            <wp:positionV relativeFrom="paragraph">
              <wp:posOffset>194945</wp:posOffset>
            </wp:positionV>
            <wp:extent cx="5273675" cy="2905125"/>
            <wp:effectExtent l="0" t="0" r="3175" b="9525"/>
            <wp:wrapNone/>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273675" cy="2905125"/>
                    </a:xfrm>
                    <a:prstGeom prst="rect">
                      <a:avLst/>
                    </a:prstGeom>
                    <a:noFill/>
                  </pic:spPr>
                </pic:pic>
              </a:graphicData>
            </a:graphic>
          </wp:anchor>
        </w:drawing>
      </w: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560" w:firstLineChars="200"/>
        <w:contextualSpacing/>
        <w:rPr>
          <w:rFonts w:ascii="Times New Roman" w:hAnsi="Times New Roman" w:eastAsia="方正仿宋简体"/>
          <w:color w:val="000000"/>
          <w:sz w:val="28"/>
          <w:szCs w:val="28"/>
        </w:rPr>
      </w:pPr>
    </w:p>
    <w:p>
      <w:pPr>
        <w:snapToGrid w:val="0"/>
        <w:spacing w:line="560" w:lineRule="exact"/>
        <w:ind w:firstLine="480" w:firstLineChars="200"/>
        <w:contextualSpacing/>
        <w:jc w:val="center"/>
        <w:rPr>
          <w:rFonts w:ascii="仿宋" w:hAnsi="仿宋" w:eastAsia="仿宋"/>
          <w:bCs/>
          <w:color w:val="000000"/>
          <w:sz w:val="24"/>
          <w:szCs w:val="24"/>
        </w:rPr>
      </w:pPr>
      <w:r>
        <w:rPr>
          <w:rFonts w:ascii="仿宋" w:hAnsi="仿宋" w:eastAsia="仿宋"/>
          <w:bCs/>
          <w:color w:val="000000"/>
          <w:sz w:val="24"/>
          <w:szCs w:val="24"/>
        </w:rPr>
        <w:t>图</w:t>
      </w:r>
      <w:r>
        <w:rPr>
          <w:rFonts w:hint="eastAsia" w:ascii="仿宋" w:hAnsi="仿宋" w:eastAsia="仿宋"/>
          <w:bCs/>
          <w:color w:val="000000"/>
          <w:sz w:val="24"/>
          <w:szCs w:val="24"/>
        </w:rPr>
        <w:t>4</w:t>
      </w:r>
      <w:r>
        <w:rPr>
          <w:rFonts w:ascii="仿宋" w:hAnsi="仿宋" w:eastAsia="仿宋"/>
          <w:bCs/>
          <w:color w:val="000000"/>
          <w:sz w:val="24"/>
          <w:szCs w:val="24"/>
        </w:rPr>
        <w:t>-3 维护高层人员信息示例2</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（四）申报注意事项</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1．基本信息中的姓名、性别、国籍为必填项。</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2．当国籍为</w:t>
      </w:r>
      <w:r>
        <w:rPr>
          <w:rFonts w:hint="eastAsia" w:ascii="仿宋" w:hAnsi="仿宋" w:eastAsia="仿宋"/>
          <w:color w:val="000000"/>
          <w:sz w:val="32"/>
          <w:szCs w:val="28"/>
        </w:rPr>
        <w:t>“</w:t>
      </w:r>
      <w:r>
        <w:rPr>
          <w:rFonts w:ascii="仿宋" w:hAnsi="仿宋" w:eastAsia="仿宋"/>
          <w:color w:val="000000"/>
          <w:sz w:val="32"/>
          <w:szCs w:val="28"/>
        </w:rPr>
        <w:t>中国</w:t>
      </w:r>
      <w:r>
        <w:rPr>
          <w:rFonts w:hint="eastAsia" w:ascii="仿宋" w:hAnsi="仿宋" w:eastAsia="仿宋"/>
          <w:color w:val="000000"/>
          <w:sz w:val="32"/>
          <w:szCs w:val="28"/>
        </w:rPr>
        <w:t>”</w:t>
      </w:r>
      <w:r>
        <w:rPr>
          <w:rFonts w:ascii="仿宋" w:hAnsi="仿宋" w:eastAsia="仿宋"/>
          <w:color w:val="000000"/>
          <w:sz w:val="32"/>
          <w:szCs w:val="28"/>
        </w:rPr>
        <w:t>时必须填身份证号码，否则必须填</w:t>
      </w:r>
      <w:r>
        <w:rPr>
          <w:rFonts w:hint="eastAsia" w:ascii="仿宋" w:hAnsi="仿宋" w:eastAsia="仿宋"/>
          <w:color w:val="000000"/>
          <w:sz w:val="32"/>
          <w:szCs w:val="28"/>
        </w:rPr>
        <w:t>“</w:t>
      </w:r>
      <w:r>
        <w:rPr>
          <w:rFonts w:ascii="仿宋" w:hAnsi="仿宋" w:eastAsia="仿宋"/>
          <w:color w:val="000000"/>
          <w:sz w:val="32"/>
          <w:szCs w:val="28"/>
        </w:rPr>
        <w:t>护照或其他证件号码</w:t>
      </w:r>
      <w:r>
        <w:rPr>
          <w:rFonts w:hint="eastAsia" w:ascii="仿宋" w:hAnsi="仿宋" w:eastAsia="仿宋"/>
          <w:color w:val="000000"/>
          <w:sz w:val="32"/>
          <w:szCs w:val="28"/>
        </w:rPr>
        <w:t>”</w:t>
      </w:r>
      <w:r>
        <w:rPr>
          <w:rFonts w:ascii="仿宋" w:hAnsi="仿宋" w:eastAsia="仿宋"/>
          <w:color w:val="000000"/>
          <w:sz w:val="32"/>
          <w:szCs w:val="28"/>
        </w:rPr>
        <w:t>；中国军人的国籍选择</w:t>
      </w:r>
      <w:r>
        <w:rPr>
          <w:rFonts w:hint="eastAsia" w:ascii="仿宋" w:hAnsi="仿宋" w:eastAsia="仿宋"/>
          <w:color w:val="000000"/>
          <w:sz w:val="32"/>
          <w:szCs w:val="28"/>
        </w:rPr>
        <w:t>“</w:t>
      </w:r>
      <w:r>
        <w:rPr>
          <w:rFonts w:ascii="仿宋" w:hAnsi="仿宋" w:eastAsia="仿宋"/>
          <w:color w:val="000000"/>
          <w:sz w:val="32"/>
          <w:szCs w:val="28"/>
        </w:rPr>
        <w:t>中国（军人）</w:t>
      </w:r>
      <w:r>
        <w:rPr>
          <w:rFonts w:hint="eastAsia" w:ascii="仿宋" w:hAnsi="仿宋" w:eastAsia="仿宋"/>
          <w:color w:val="000000"/>
          <w:sz w:val="32"/>
          <w:szCs w:val="28"/>
        </w:rPr>
        <w:t>”</w:t>
      </w:r>
      <w:r>
        <w:rPr>
          <w:rFonts w:ascii="仿宋" w:hAnsi="仿宋" w:eastAsia="仿宋"/>
          <w:color w:val="000000"/>
          <w:sz w:val="32"/>
          <w:szCs w:val="28"/>
        </w:rPr>
        <w:t>，并将军官证号码填入</w:t>
      </w:r>
      <w:r>
        <w:rPr>
          <w:rFonts w:hint="eastAsia" w:ascii="仿宋" w:hAnsi="仿宋" w:eastAsia="仿宋"/>
          <w:color w:val="000000"/>
          <w:sz w:val="32"/>
          <w:szCs w:val="28"/>
        </w:rPr>
        <w:t>“</w:t>
      </w:r>
      <w:r>
        <w:rPr>
          <w:rFonts w:ascii="仿宋" w:hAnsi="仿宋" w:eastAsia="仿宋"/>
          <w:color w:val="000000"/>
          <w:sz w:val="32"/>
          <w:szCs w:val="28"/>
        </w:rPr>
        <w:t>护照或其他证件号码</w:t>
      </w:r>
      <w:r>
        <w:rPr>
          <w:rFonts w:hint="eastAsia" w:ascii="仿宋" w:hAnsi="仿宋" w:eastAsia="仿宋"/>
          <w:color w:val="000000"/>
          <w:sz w:val="32"/>
          <w:szCs w:val="28"/>
        </w:rPr>
        <w:t>”</w:t>
      </w:r>
      <w:r>
        <w:rPr>
          <w:rFonts w:ascii="仿宋" w:hAnsi="仿宋" w:eastAsia="仿宋"/>
          <w:color w:val="000000"/>
          <w:sz w:val="32"/>
          <w:szCs w:val="28"/>
        </w:rPr>
        <w:t>。</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3．姓名、身份证号码、护照或其他证件号码应与当事人所持证件一致。</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4．如当事人开立证券账户所填的身份资料有误，请到证券账户开户点变更开户资料。</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5．上市公司应该在公司高层人员正式任职及离职生效后当日内维护高层人员的任职状态。对于需要履行选举程序尚未正式任职的高层人员，可以将任职状态设为</w:t>
      </w:r>
      <w:r>
        <w:rPr>
          <w:rFonts w:hint="eastAsia" w:ascii="仿宋" w:hAnsi="仿宋" w:eastAsia="仿宋"/>
          <w:color w:val="000000"/>
          <w:sz w:val="32"/>
          <w:szCs w:val="28"/>
        </w:rPr>
        <w:t>“</w:t>
      </w:r>
      <w:r>
        <w:rPr>
          <w:rFonts w:ascii="仿宋" w:hAnsi="仿宋" w:eastAsia="仿宋"/>
          <w:color w:val="000000"/>
          <w:sz w:val="32"/>
          <w:szCs w:val="28"/>
        </w:rPr>
        <w:t>拟任</w:t>
      </w:r>
      <w:r>
        <w:rPr>
          <w:rFonts w:hint="eastAsia" w:ascii="仿宋" w:hAnsi="仿宋" w:eastAsia="仿宋"/>
          <w:color w:val="000000"/>
          <w:sz w:val="32"/>
          <w:szCs w:val="28"/>
        </w:rPr>
        <w:t>”</w:t>
      </w:r>
      <w:r>
        <w:rPr>
          <w:rFonts w:ascii="仿宋" w:hAnsi="仿宋" w:eastAsia="仿宋"/>
          <w:color w:val="000000"/>
          <w:sz w:val="32"/>
          <w:szCs w:val="28"/>
        </w:rPr>
        <w:t>，待选举后再根据选举结果变更为</w:t>
      </w:r>
      <w:r>
        <w:rPr>
          <w:rFonts w:hint="eastAsia" w:ascii="仿宋" w:hAnsi="仿宋" w:eastAsia="仿宋"/>
          <w:color w:val="000000"/>
          <w:sz w:val="32"/>
          <w:szCs w:val="28"/>
        </w:rPr>
        <w:t>“</w:t>
      </w:r>
      <w:r>
        <w:rPr>
          <w:rFonts w:ascii="仿宋" w:hAnsi="仿宋" w:eastAsia="仿宋"/>
          <w:color w:val="000000"/>
          <w:sz w:val="32"/>
          <w:szCs w:val="28"/>
        </w:rPr>
        <w:t>现任</w:t>
      </w:r>
      <w:r>
        <w:rPr>
          <w:rFonts w:hint="eastAsia" w:ascii="仿宋" w:hAnsi="仿宋" w:eastAsia="仿宋"/>
          <w:color w:val="000000"/>
          <w:sz w:val="32"/>
          <w:szCs w:val="28"/>
        </w:rPr>
        <w:t>”</w:t>
      </w:r>
      <w:r>
        <w:rPr>
          <w:rFonts w:ascii="仿宋" w:hAnsi="仿宋" w:eastAsia="仿宋"/>
          <w:color w:val="000000"/>
          <w:sz w:val="32"/>
          <w:szCs w:val="28"/>
        </w:rPr>
        <w:t>或</w:t>
      </w:r>
      <w:r>
        <w:rPr>
          <w:rFonts w:hint="eastAsia" w:ascii="仿宋" w:hAnsi="仿宋" w:eastAsia="仿宋"/>
          <w:color w:val="000000"/>
          <w:sz w:val="32"/>
          <w:szCs w:val="28"/>
        </w:rPr>
        <w:t>“</w:t>
      </w:r>
      <w:r>
        <w:rPr>
          <w:rFonts w:ascii="仿宋" w:hAnsi="仿宋" w:eastAsia="仿宋"/>
          <w:color w:val="000000"/>
          <w:sz w:val="32"/>
          <w:szCs w:val="28"/>
        </w:rPr>
        <w:t>落选</w:t>
      </w:r>
      <w:r>
        <w:rPr>
          <w:rFonts w:hint="eastAsia" w:ascii="仿宋" w:hAnsi="仿宋" w:eastAsia="仿宋"/>
          <w:color w:val="000000"/>
          <w:sz w:val="32"/>
          <w:szCs w:val="28"/>
        </w:rPr>
        <w:t>”</w:t>
      </w:r>
      <w:r>
        <w:rPr>
          <w:rFonts w:ascii="仿宋" w:hAnsi="仿宋" w:eastAsia="仿宋"/>
          <w:color w:val="000000"/>
          <w:sz w:val="32"/>
          <w:szCs w:val="28"/>
        </w:rPr>
        <w:t>。</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6．同一人有多个任职类型时，需要添加多条任职信息。</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7．对于同一任职类型，若有多个职务（如高管类型中，副总经理兼财务总监），其入职日期填最早的一个，离职日期填最晚的一个（在该任职类型的最后一个职务离职生效时填）。</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8．对于换届连任的情况，相应的任职记录不用修改。</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9．当填报完成时，应点击</w:t>
      </w:r>
      <w:r>
        <w:rPr>
          <w:rFonts w:hint="eastAsia" w:ascii="仿宋" w:hAnsi="仿宋" w:eastAsia="仿宋"/>
          <w:color w:val="000000"/>
          <w:sz w:val="32"/>
          <w:szCs w:val="28"/>
        </w:rPr>
        <w:t>“</w:t>
      </w:r>
      <w:r>
        <w:rPr>
          <w:rFonts w:ascii="仿宋" w:hAnsi="仿宋" w:eastAsia="仿宋"/>
          <w:color w:val="000000"/>
          <w:sz w:val="32"/>
          <w:szCs w:val="28"/>
        </w:rPr>
        <w:t>提交</w:t>
      </w:r>
      <w:r>
        <w:rPr>
          <w:rFonts w:hint="eastAsia" w:ascii="仿宋" w:hAnsi="仿宋" w:eastAsia="仿宋"/>
          <w:color w:val="000000"/>
          <w:sz w:val="32"/>
          <w:szCs w:val="28"/>
        </w:rPr>
        <w:t>”</w:t>
      </w:r>
      <w:r>
        <w:rPr>
          <w:rFonts w:ascii="仿宋" w:hAnsi="仿宋" w:eastAsia="仿宋"/>
          <w:color w:val="000000"/>
          <w:sz w:val="32"/>
          <w:szCs w:val="28"/>
        </w:rPr>
        <w:t>按钮，将填报的内容提交到本所创业板公司管理部。</w:t>
      </w:r>
    </w:p>
    <w:p>
      <w:pPr>
        <w:spacing w:line="560" w:lineRule="exact"/>
        <w:ind w:firstLine="640" w:firstLineChars="200"/>
        <w:rPr>
          <w:rFonts w:ascii="Times New Roman" w:hAnsi="Times New Roman" w:eastAsia="黑体"/>
          <w:sz w:val="32"/>
          <w:szCs w:val="20"/>
        </w:rPr>
      </w:pPr>
      <w:r>
        <w:rPr>
          <w:rFonts w:ascii="Times New Roman" w:hAnsi="Times New Roman" w:eastAsia="黑体"/>
          <w:sz w:val="32"/>
          <w:szCs w:val="20"/>
        </w:rPr>
        <w:t>五、</w:t>
      </w:r>
      <w:r>
        <w:rPr>
          <w:rFonts w:hint="eastAsia" w:ascii="Times New Roman" w:hAnsi="Times New Roman" w:eastAsia="黑体"/>
          <w:sz w:val="32"/>
          <w:szCs w:val="20"/>
        </w:rPr>
        <w:t>《董事（监事、高级管理人员）声明及承诺书》</w:t>
      </w:r>
      <w:r>
        <w:rPr>
          <w:rFonts w:ascii="Times New Roman" w:hAnsi="Times New Roman" w:eastAsia="黑体"/>
          <w:sz w:val="32"/>
          <w:szCs w:val="20"/>
        </w:rPr>
        <w:t>报备</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（一）报备程序</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1．董事会秘书负责组织董事、监事和高级管理人员及时完成</w:t>
      </w:r>
      <w:r>
        <w:rPr>
          <w:rFonts w:hint="eastAsia" w:ascii="仿宋" w:hAnsi="仿宋" w:eastAsia="仿宋"/>
          <w:color w:val="000000"/>
          <w:sz w:val="32"/>
          <w:szCs w:val="28"/>
        </w:rPr>
        <w:t>《董事（监事、高级管理人员）声明及承诺书》（以下简称《声明及承诺书》）</w:t>
      </w:r>
      <w:r>
        <w:rPr>
          <w:rFonts w:ascii="仿宋" w:hAnsi="仿宋" w:eastAsia="仿宋"/>
          <w:color w:val="000000"/>
          <w:sz w:val="32"/>
          <w:szCs w:val="28"/>
        </w:rPr>
        <w:t>的签署工作。</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2．《声明及承诺书》签署完成后，其书面文件可通过专人报送或邮寄方式送达本所信息组业务负责人员；上市公司还应根据《声明及承诺书》的书面文件及时到</w:t>
      </w:r>
      <w:r>
        <w:rPr>
          <w:rFonts w:hint="eastAsia" w:ascii="仿宋" w:hAnsi="仿宋" w:eastAsia="仿宋"/>
          <w:color w:val="000000"/>
          <w:sz w:val="32"/>
          <w:szCs w:val="28"/>
        </w:rPr>
        <w:t>业务专区</w:t>
      </w:r>
      <w:r>
        <w:rPr>
          <w:rFonts w:ascii="仿宋" w:hAnsi="仿宋" w:eastAsia="仿宋"/>
          <w:color w:val="000000"/>
          <w:sz w:val="32"/>
          <w:szCs w:val="28"/>
        </w:rPr>
        <w:t>填报和提交《声明及承诺书》的电子文件。</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3．《声明及承诺书》寄送到本所后，上市公司应当登录业务专区查询交易所登记数据，确认书面文件已寄到本所，并已完成登记。</w:t>
      </w:r>
    </w:p>
    <w:p>
      <w:pPr>
        <w:snapToGrid w:val="0"/>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上市公司登录业务专区后，点击</w:t>
      </w:r>
      <w:r>
        <w:rPr>
          <w:rFonts w:hint="eastAsia" w:ascii="仿宋" w:hAnsi="仿宋" w:eastAsia="仿宋"/>
          <w:color w:val="000000"/>
          <w:sz w:val="32"/>
          <w:szCs w:val="28"/>
        </w:rPr>
        <w:t>“</w:t>
      </w:r>
      <w:r>
        <w:rPr>
          <w:rFonts w:ascii="仿宋" w:hAnsi="仿宋" w:eastAsia="仿宋"/>
          <w:color w:val="000000"/>
          <w:sz w:val="32"/>
          <w:szCs w:val="28"/>
        </w:rPr>
        <w:t>在线填报—董监高信息填报—董监高申明与承诺填报</w:t>
      </w:r>
      <w:r>
        <w:rPr>
          <w:rFonts w:hint="eastAsia" w:ascii="仿宋" w:hAnsi="仿宋" w:eastAsia="仿宋"/>
          <w:color w:val="000000"/>
          <w:sz w:val="32"/>
          <w:szCs w:val="28"/>
        </w:rPr>
        <w:t>”</w:t>
      </w:r>
      <w:r>
        <w:rPr>
          <w:rFonts w:ascii="仿宋" w:hAnsi="仿宋" w:eastAsia="仿宋"/>
          <w:color w:val="000000"/>
          <w:sz w:val="32"/>
          <w:szCs w:val="28"/>
        </w:rPr>
        <w:t>菜单后，将会显示如图</w:t>
      </w:r>
      <w:r>
        <w:rPr>
          <w:rFonts w:hint="eastAsia" w:ascii="仿宋" w:hAnsi="仿宋" w:eastAsia="仿宋"/>
          <w:color w:val="000000"/>
          <w:sz w:val="32"/>
          <w:szCs w:val="28"/>
        </w:rPr>
        <w:t>5</w:t>
      </w:r>
      <w:r>
        <w:rPr>
          <w:rFonts w:ascii="仿宋" w:hAnsi="仿宋" w:eastAsia="仿宋"/>
          <w:color w:val="000000"/>
          <w:sz w:val="32"/>
          <w:szCs w:val="28"/>
        </w:rPr>
        <w:t>-1所示页面：</w:t>
      </w:r>
      <w:r>
        <w:rPr>
          <w:rFonts w:hint="eastAsia" w:ascii="仿宋" w:hAnsi="仿宋" w:eastAsia="仿宋"/>
          <w:color w:val="000000"/>
          <w:sz w:val="32"/>
          <w:szCs w:val="28"/>
        </w:rPr>
        <w:t>“</w:t>
      </w:r>
      <w:r>
        <w:rPr>
          <w:rFonts w:ascii="仿宋" w:hAnsi="仿宋" w:eastAsia="仿宋"/>
          <w:color w:val="000000"/>
          <w:sz w:val="32"/>
          <w:szCs w:val="28"/>
        </w:rPr>
        <w:t>书面文件</w:t>
      </w:r>
      <w:r>
        <w:rPr>
          <w:rFonts w:hint="eastAsia" w:ascii="仿宋" w:hAnsi="仿宋" w:eastAsia="仿宋"/>
          <w:color w:val="000000"/>
          <w:sz w:val="32"/>
          <w:szCs w:val="28"/>
        </w:rPr>
        <w:t>”</w:t>
      </w:r>
      <w:r>
        <w:rPr>
          <w:rFonts w:ascii="仿宋" w:hAnsi="仿宋" w:eastAsia="仿宋"/>
          <w:color w:val="000000"/>
          <w:sz w:val="32"/>
          <w:szCs w:val="28"/>
        </w:rPr>
        <w:t>一栏显示为</w:t>
      </w:r>
      <w:r>
        <w:rPr>
          <w:rFonts w:hint="eastAsia" w:ascii="仿宋" w:hAnsi="仿宋" w:eastAsia="仿宋"/>
          <w:color w:val="000000"/>
          <w:sz w:val="32"/>
          <w:szCs w:val="28"/>
        </w:rPr>
        <w:t>“</w:t>
      </w:r>
      <w:r>
        <w:rPr>
          <w:rFonts w:ascii="仿宋" w:hAnsi="仿宋" w:eastAsia="仿宋"/>
          <w:color w:val="000000"/>
          <w:sz w:val="32"/>
          <w:szCs w:val="28"/>
        </w:rPr>
        <w:t>是</w:t>
      </w:r>
      <w:r>
        <w:rPr>
          <w:rFonts w:hint="eastAsia" w:ascii="仿宋" w:hAnsi="仿宋" w:eastAsia="仿宋"/>
          <w:color w:val="000000"/>
          <w:sz w:val="32"/>
          <w:szCs w:val="28"/>
        </w:rPr>
        <w:t>”</w:t>
      </w:r>
      <w:r>
        <w:rPr>
          <w:rFonts w:ascii="仿宋" w:hAnsi="仿宋" w:eastAsia="仿宋"/>
          <w:color w:val="000000"/>
          <w:sz w:val="32"/>
          <w:szCs w:val="28"/>
        </w:rPr>
        <w:t>的表示已完成登记，显示为</w:t>
      </w:r>
      <w:r>
        <w:rPr>
          <w:rFonts w:hint="eastAsia" w:ascii="仿宋" w:hAnsi="仿宋" w:eastAsia="仿宋"/>
          <w:color w:val="000000"/>
          <w:sz w:val="32"/>
          <w:szCs w:val="28"/>
        </w:rPr>
        <w:t>“</w:t>
      </w:r>
      <w:r>
        <w:rPr>
          <w:rFonts w:ascii="仿宋" w:hAnsi="仿宋" w:eastAsia="仿宋"/>
          <w:color w:val="000000"/>
          <w:sz w:val="32"/>
          <w:szCs w:val="28"/>
        </w:rPr>
        <w:t>否</w:t>
      </w:r>
      <w:r>
        <w:rPr>
          <w:rFonts w:hint="eastAsia" w:ascii="仿宋" w:hAnsi="仿宋" w:eastAsia="仿宋"/>
          <w:color w:val="000000"/>
          <w:sz w:val="32"/>
          <w:szCs w:val="28"/>
        </w:rPr>
        <w:t>”</w:t>
      </w:r>
      <w:r>
        <w:rPr>
          <w:rFonts w:ascii="仿宋" w:hAnsi="仿宋" w:eastAsia="仿宋"/>
          <w:color w:val="000000"/>
          <w:sz w:val="32"/>
          <w:szCs w:val="28"/>
        </w:rPr>
        <w:t>的表示未完成登记。如系统显示为</w:t>
      </w:r>
      <w:r>
        <w:rPr>
          <w:rFonts w:hint="eastAsia" w:ascii="仿宋" w:hAnsi="仿宋" w:eastAsia="仿宋"/>
          <w:color w:val="000000"/>
          <w:sz w:val="32"/>
          <w:szCs w:val="28"/>
        </w:rPr>
        <w:t>“</w:t>
      </w:r>
      <w:r>
        <w:rPr>
          <w:rFonts w:ascii="仿宋" w:hAnsi="仿宋" w:eastAsia="仿宋"/>
          <w:color w:val="000000"/>
          <w:sz w:val="32"/>
          <w:szCs w:val="28"/>
        </w:rPr>
        <w:t>否</w:t>
      </w:r>
      <w:r>
        <w:rPr>
          <w:rFonts w:hint="eastAsia" w:ascii="仿宋" w:hAnsi="仿宋" w:eastAsia="仿宋"/>
          <w:color w:val="000000"/>
          <w:sz w:val="32"/>
          <w:szCs w:val="28"/>
        </w:rPr>
        <w:t>”</w:t>
      </w:r>
      <w:r>
        <w:rPr>
          <w:rFonts w:ascii="仿宋" w:hAnsi="仿宋" w:eastAsia="仿宋"/>
          <w:color w:val="000000"/>
          <w:sz w:val="32"/>
          <w:szCs w:val="28"/>
        </w:rPr>
        <w:t>，上市公司应当与本所联系，核实相关文件的报送与登记情况。</w:t>
      </w:r>
    </w:p>
    <w:p>
      <w:pPr>
        <w:snapToGrid w:val="0"/>
        <w:spacing w:line="560" w:lineRule="exact"/>
        <w:ind w:firstLine="640" w:firstLineChars="200"/>
        <w:contextualSpacing/>
        <w:rPr>
          <w:rFonts w:ascii="仿宋" w:hAnsi="仿宋" w:eastAsia="仿宋"/>
          <w:color w:val="000000"/>
          <w:sz w:val="32"/>
          <w:szCs w:val="28"/>
        </w:rPr>
      </w:pPr>
      <w:r>
        <w:rPr>
          <w:rFonts w:hint="eastAsia" w:ascii="仿宋" w:hAnsi="仿宋" w:eastAsia="仿宋"/>
          <w:color w:val="000000"/>
          <w:sz w:val="32"/>
          <w:szCs w:val="28"/>
        </w:rPr>
        <w:t>“</w:t>
      </w:r>
      <w:r>
        <w:rPr>
          <w:rFonts w:ascii="仿宋" w:hAnsi="仿宋" w:eastAsia="仿宋"/>
          <w:color w:val="000000"/>
          <w:sz w:val="32"/>
          <w:szCs w:val="28"/>
        </w:rPr>
        <w:t>电子数据</w:t>
      </w:r>
      <w:r>
        <w:rPr>
          <w:rFonts w:hint="eastAsia" w:ascii="仿宋" w:hAnsi="仿宋" w:eastAsia="仿宋"/>
          <w:color w:val="000000"/>
          <w:sz w:val="32"/>
          <w:szCs w:val="28"/>
        </w:rPr>
        <w:t>”</w:t>
      </w:r>
      <w:r>
        <w:rPr>
          <w:rFonts w:ascii="仿宋" w:hAnsi="仿宋" w:eastAsia="仿宋"/>
          <w:color w:val="000000"/>
          <w:sz w:val="32"/>
          <w:szCs w:val="28"/>
        </w:rPr>
        <w:t>一栏显示《声明及承诺书》的电子文件是否已经正确填报。</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（二）电子数据填报操作说明</w:t>
      </w:r>
    </w:p>
    <w:p>
      <w:pPr>
        <w:snapToGrid w:val="0"/>
        <w:spacing w:line="560" w:lineRule="exact"/>
        <w:ind w:firstLine="640" w:firstLineChars="200"/>
        <w:contextualSpacing/>
        <w:rPr>
          <w:rFonts w:ascii="Times New Roman" w:hAnsi="Times New Roman" w:eastAsia="方正仿宋简体"/>
          <w:color w:val="000000"/>
          <w:sz w:val="32"/>
          <w:szCs w:val="28"/>
        </w:rPr>
      </w:pPr>
      <w:r>
        <w:rPr>
          <w:rFonts w:ascii="Times New Roman" w:hAnsi="Times New Roman" w:eastAsia="方正仿宋简体"/>
          <w:color w:val="000000"/>
          <w:sz w:val="32"/>
          <w:szCs w:val="28"/>
        </w:rPr>
        <w:t>1．上市公司通过数字证书登录到业务专区，点击</w:t>
      </w:r>
      <w:r>
        <w:rPr>
          <w:rFonts w:hint="eastAsia" w:ascii="Times New Roman" w:hAnsi="Times New Roman" w:eastAsia="方正仿宋简体"/>
          <w:color w:val="000000"/>
          <w:sz w:val="32"/>
          <w:szCs w:val="28"/>
        </w:rPr>
        <w:t>“</w:t>
      </w:r>
      <w:r>
        <w:rPr>
          <w:rFonts w:ascii="Times New Roman" w:hAnsi="Times New Roman" w:eastAsia="方正仿宋简体"/>
          <w:color w:val="000000"/>
          <w:sz w:val="32"/>
          <w:szCs w:val="28"/>
        </w:rPr>
        <w:t>在线填报—董监高信息填报—董监高声明与承诺填报</w:t>
      </w:r>
      <w:r>
        <w:rPr>
          <w:rFonts w:hint="eastAsia" w:ascii="Times New Roman" w:hAnsi="Times New Roman" w:eastAsia="方正仿宋简体"/>
          <w:color w:val="000000"/>
          <w:sz w:val="32"/>
          <w:szCs w:val="28"/>
        </w:rPr>
        <w:t>”</w:t>
      </w:r>
      <w:r>
        <w:rPr>
          <w:rFonts w:ascii="Times New Roman" w:hAnsi="Times New Roman" w:eastAsia="方正仿宋简体"/>
          <w:color w:val="000000"/>
          <w:sz w:val="32"/>
          <w:szCs w:val="28"/>
        </w:rPr>
        <w:t>菜单，进入董事、监事和高级管理员信息网上填报主页面。</w:t>
      </w:r>
    </w:p>
    <w:p>
      <w:pPr>
        <w:snapToGrid w:val="0"/>
        <w:spacing w:line="560" w:lineRule="exact"/>
        <w:ind w:firstLine="640" w:firstLineChars="200"/>
        <w:contextualSpacing/>
        <w:rPr>
          <w:rFonts w:ascii="Times New Roman" w:hAnsi="Times New Roman" w:eastAsia="方正仿宋简体"/>
          <w:color w:val="000000"/>
          <w:sz w:val="32"/>
          <w:szCs w:val="28"/>
        </w:rPr>
      </w:pPr>
      <w:r>
        <w:rPr>
          <w:rFonts w:ascii="Times New Roman" w:hAnsi="Times New Roman" w:eastAsia="方正仿宋简体"/>
          <w:color w:val="000000"/>
          <w:sz w:val="32"/>
          <w:szCs w:val="28"/>
        </w:rPr>
        <w:t>2．</w:t>
      </w:r>
      <w:r>
        <w:rPr>
          <w:rFonts w:hint="eastAsia" w:ascii="Times New Roman" w:hAnsi="Times New Roman" w:eastAsia="方正仿宋简体"/>
          <w:color w:val="000000"/>
          <w:sz w:val="32"/>
          <w:szCs w:val="28"/>
        </w:rPr>
        <w:t>“</w:t>
      </w:r>
      <w:r>
        <w:rPr>
          <w:rFonts w:ascii="Times New Roman" w:hAnsi="Times New Roman" w:eastAsia="方正仿宋简体"/>
          <w:color w:val="000000"/>
          <w:sz w:val="32"/>
          <w:szCs w:val="28"/>
        </w:rPr>
        <w:t>董监高声明与承诺</w:t>
      </w:r>
      <w:r>
        <w:rPr>
          <w:rFonts w:hint="eastAsia" w:ascii="Times New Roman" w:hAnsi="Times New Roman" w:eastAsia="方正仿宋简体"/>
          <w:color w:val="000000"/>
          <w:sz w:val="32"/>
          <w:szCs w:val="28"/>
        </w:rPr>
        <w:t>”</w:t>
      </w:r>
      <w:r>
        <w:rPr>
          <w:rFonts w:ascii="Times New Roman" w:hAnsi="Times New Roman" w:eastAsia="方正仿宋简体"/>
          <w:color w:val="000000"/>
          <w:sz w:val="32"/>
          <w:szCs w:val="28"/>
        </w:rPr>
        <w:t>填报主页面为查询统计页面如图5-1所示，查询结果为公司董事、监事和高级管理员的声明与承诺文件报送情况。如需增加董事、监事和高级管理人员或修改现任董事、监事和高级管理人员个人基本信息应按照</w:t>
      </w:r>
      <w:r>
        <w:rPr>
          <w:rFonts w:hint="eastAsia" w:ascii="Times New Roman" w:hAnsi="Times New Roman" w:eastAsia="方正仿宋简体"/>
          <w:color w:val="000000"/>
          <w:sz w:val="32"/>
          <w:szCs w:val="28"/>
        </w:rPr>
        <w:t>“</w:t>
      </w:r>
      <w:r>
        <w:rPr>
          <w:rFonts w:ascii="Times New Roman" w:hAnsi="Times New Roman" w:eastAsia="方正仿宋简体"/>
          <w:color w:val="000000"/>
          <w:sz w:val="32"/>
          <w:szCs w:val="28"/>
        </w:rPr>
        <w:t>四、</w:t>
      </w:r>
      <w:r>
        <w:rPr>
          <w:rFonts w:hint="eastAsia" w:ascii="Times New Roman" w:hAnsi="Times New Roman" w:eastAsia="方正仿宋简体"/>
          <w:color w:val="000000"/>
          <w:sz w:val="32"/>
          <w:szCs w:val="28"/>
        </w:rPr>
        <w:t>上市公司高层人员</w:t>
      </w:r>
      <w:r>
        <w:rPr>
          <w:rFonts w:ascii="Times New Roman" w:hAnsi="Times New Roman" w:eastAsia="方正仿宋简体"/>
          <w:color w:val="000000"/>
          <w:sz w:val="32"/>
          <w:szCs w:val="28"/>
        </w:rPr>
        <w:t>及关联人信息申报</w:t>
      </w:r>
      <w:r>
        <w:rPr>
          <w:rFonts w:hint="eastAsia" w:ascii="Times New Roman" w:hAnsi="Times New Roman" w:eastAsia="方正仿宋简体"/>
          <w:color w:val="000000"/>
          <w:sz w:val="32"/>
          <w:szCs w:val="28"/>
        </w:rPr>
        <w:t>”</w:t>
      </w:r>
      <w:r>
        <w:rPr>
          <w:rFonts w:ascii="Times New Roman" w:hAnsi="Times New Roman" w:eastAsia="方正仿宋简体"/>
          <w:color w:val="000000"/>
          <w:sz w:val="32"/>
          <w:szCs w:val="28"/>
        </w:rPr>
        <w:t>部分的相关要求申报董</w:t>
      </w:r>
      <w:r>
        <w:drawing>
          <wp:anchor distT="0" distB="0" distL="114300" distR="114300" simplePos="0" relativeHeight="251697152" behindDoc="0" locked="0" layoutInCell="1" allowOverlap="1">
            <wp:simplePos x="0" y="0"/>
            <wp:positionH relativeFrom="column">
              <wp:posOffset>46990</wp:posOffset>
            </wp:positionH>
            <wp:positionV relativeFrom="paragraph">
              <wp:posOffset>1205865</wp:posOffset>
            </wp:positionV>
            <wp:extent cx="4991735" cy="3885565"/>
            <wp:effectExtent l="0" t="0" r="0" b="635"/>
            <wp:wrapTopAndBottom/>
            <wp:docPr id="2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991735" cy="3885565"/>
                    </a:xfrm>
                    <a:prstGeom prst="rect">
                      <a:avLst/>
                    </a:prstGeom>
                    <a:noFill/>
                  </pic:spPr>
                </pic:pic>
              </a:graphicData>
            </a:graphic>
          </wp:anchor>
        </w:drawing>
      </w:r>
      <w:r>
        <w:rPr>
          <w:rFonts w:ascii="Times New Roman" w:hAnsi="Times New Roman" w:eastAsia="方正仿宋简体"/>
          <w:color w:val="000000"/>
          <w:sz w:val="32"/>
          <w:szCs w:val="28"/>
        </w:rPr>
        <w:t>事、监事和高级管理员基本信息。</w:t>
      </w:r>
    </w:p>
    <w:p>
      <w:pPr>
        <w:snapToGrid w:val="0"/>
        <w:spacing w:line="560" w:lineRule="exact"/>
        <w:ind w:firstLine="420"/>
        <w:contextualSpacing/>
        <w:jc w:val="center"/>
        <w:rPr>
          <w:rFonts w:ascii="Times New Roman" w:hAnsi="Times New Roman" w:eastAsia="仿宋"/>
          <w:b/>
          <w:bCs/>
          <w:color w:val="000000"/>
          <w:sz w:val="28"/>
          <w:szCs w:val="28"/>
        </w:rPr>
      </w:pPr>
      <w:r>
        <w:rPr>
          <w:rFonts w:ascii="Times New Roman" w:hAnsi="Times New Roman" w:eastAsia="仿宋"/>
          <w:bCs/>
          <w:color w:val="000000"/>
          <w:sz w:val="24"/>
          <w:szCs w:val="24"/>
        </w:rPr>
        <w:t>图</w:t>
      </w:r>
      <w:r>
        <w:rPr>
          <w:rFonts w:hint="eastAsia" w:ascii="Times New Roman" w:hAnsi="Times New Roman" w:eastAsia="仿宋"/>
          <w:bCs/>
          <w:color w:val="000000"/>
          <w:sz w:val="24"/>
          <w:szCs w:val="24"/>
        </w:rPr>
        <w:t>5</w:t>
      </w:r>
      <w:r>
        <w:rPr>
          <w:rFonts w:ascii="Times New Roman" w:hAnsi="Times New Roman" w:eastAsia="仿宋"/>
          <w:bCs/>
          <w:color w:val="000000"/>
          <w:sz w:val="24"/>
          <w:szCs w:val="24"/>
        </w:rPr>
        <w:t>-1 董监高声明及承诺填报示例</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3．图5-1中</w:t>
      </w:r>
      <w:r>
        <w:rPr>
          <w:rFonts w:hint="eastAsia" w:ascii="仿宋" w:hAnsi="仿宋" w:eastAsia="仿宋"/>
          <w:color w:val="000000"/>
          <w:sz w:val="32"/>
          <w:szCs w:val="28"/>
        </w:rPr>
        <w:t>“</w:t>
      </w:r>
      <w:r>
        <w:rPr>
          <w:rFonts w:ascii="仿宋" w:hAnsi="仿宋" w:eastAsia="仿宋"/>
          <w:color w:val="000000"/>
          <w:sz w:val="32"/>
          <w:szCs w:val="28"/>
        </w:rPr>
        <w:t>电子数据</w:t>
      </w:r>
      <w:r>
        <w:rPr>
          <w:rFonts w:hint="eastAsia" w:ascii="仿宋" w:hAnsi="仿宋" w:eastAsia="仿宋"/>
          <w:color w:val="000000"/>
          <w:sz w:val="32"/>
          <w:szCs w:val="28"/>
        </w:rPr>
        <w:t>”</w:t>
      </w:r>
      <w:r>
        <w:rPr>
          <w:rFonts w:ascii="仿宋" w:hAnsi="仿宋" w:eastAsia="仿宋"/>
          <w:color w:val="000000"/>
          <w:sz w:val="32"/>
          <w:szCs w:val="28"/>
        </w:rPr>
        <w:t>一列显示相关人员的电子数据报送情况。如已填报，则显示为</w:t>
      </w:r>
      <w:r>
        <w:rPr>
          <w:rFonts w:hint="eastAsia" w:ascii="仿宋" w:hAnsi="仿宋" w:eastAsia="仿宋"/>
          <w:color w:val="000000"/>
          <w:sz w:val="32"/>
          <w:szCs w:val="28"/>
        </w:rPr>
        <w:t>“</w:t>
      </w:r>
      <w:r>
        <w:rPr>
          <w:rFonts w:ascii="仿宋" w:hAnsi="仿宋" w:eastAsia="仿宋"/>
          <w:color w:val="000000"/>
          <w:sz w:val="32"/>
          <w:szCs w:val="28"/>
        </w:rPr>
        <w:t>已提交，点击进入</w:t>
      </w:r>
      <w:r>
        <w:rPr>
          <w:rFonts w:hint="eastAsia" w:ascii="仿宋" w:hAnsi="仿宋" w:eastAsia="仿宋"/>
          <w:color w:val="000000"/>
          <w:sz w:val="32"/>
          <w:szCs w:val="28"/>
        </w:rPr>
        <w:t>”</w:t>
      </w:r>
      <w:r>
        <w:rPr>
          <w:rFonts w:ascii="仿宋" w:hAnsi="仿宋" w:eastAsia="仿宋"/>
          <w:color w:val="000000"/>
          <w:sz w:val="32"/>
          <w:szCs w:val="28"/>
        </w:rPr>
        <w:t>，否则显示为</w:t>
      </w:r>
      <w:r>
        <w:rPr>
          <w:rFonts w:hint="eastAsia" w:ascii="仿宋" w:hAnsi="仿宋" w:eastAsia="仿宋"/>
          <w:color w:val="000000"/>
          <w:sz w:val="32"/>
          <w:szCs w:val="28"/>
        </w:rPr>
        <w:t>“</w:t>
      </w:r>
      <w:r>
        <w:rPr>
          <w:rFonts w:ascii="仿宋" w:hAnsi="仿宋" w:eastAsia="仿宋"/>
          <w:color w:val="000000"/>
          <w:sz w:val="32"/>
          <w:szCs w:val="28"/>
        </w:rPr>
        <w:t>未填报，点击填报</w:t>
      </w:r>
      <w:r>
        <w:rPr>
          <w:rFonts w:hint="eastAsia" w:ascii="仿宋" w:hAnsi="仿宋" w:eastAsia="仿宋"/>
          <w:color w:val="000000"/>
          <w:sz w:val="32"/>
          <w:szCs w:val="28"/>
        </w:rPr>
        <w:t>”</w:t>
      </w:r>
      <w:r>
        <w:rPr>
          <w:rFonts w:ascii="仿宋" w:hAnsi="仿宋" w:eastAsia="仿宋"/>
          <w:color w:val="000000"/>
          <w:sz w:val="32"/>
          <w:szCs w:val="28"/>
        </w:rPr>
        <w:t>，上市公司可通过点击该按钮进行填报。</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4．上市公司也可通过点击</w:t>
      </w:r>
      <w:r>
        <w:rPr>
          <w:rFonts w:hint="eastAsia" w:ascii="仿宋" w:hAnsi="仿宋" w:eastAsia="仿宋"/>
          <w:color w:val="000000"/>
          <w:sz w:val="32"/>
          <w:szCs w:val="28"/>
        </w:rPr>
        <w:t>“</w:t>
      </w:r>
      <w:r>
        <w:rPr>
          <w:rFonts w:ascii="仿宋" w:hAnsi="仿宋" w:eastAsia="仿宋"/>
          <w:color w:val="000000"/>
          <w:sz w:val="32"/>
          <w:szCs w:val="28"/>
        </w:rPr>
        <w:t>在线填报—董监高信息填报—高层人员信息</w:t>
      </w:r>
      <w:r>
        <w:rPr>
          <w:rFonts w:hint="eastAsia" w:ascii="仿宋" w:hAnsi="仿宋" w:eastAsia="仿宋"/>
          <w:color w:val="000000"/>
          <w:sz w:val="32"/>
          <w:szCs w:val="28"/>
        </w:rPr>
        <w:t>”</w:t>
      </w:r>
      <w:r>
        <w:rPr>
          <w:rFonts w:ascii="仿宋" w:hAnsi="仿宋" w:eastAsia="仿宋"/>
          <w:color w:val="000000"/>
          <w:sz w:val="32"/>
          <w:szCs w:val="28"/>
        </w:rPr>
        <w:t>，进入高层人员信息填报页面，点击相应人员</w:t>
      </w:r>
      <w:r>
        <w:rPr>
          <w:rFonts w:hint="eastAsia" w:ascii="仿宋" w:hAnsi="仿宋" w:eastAsia="仿宋"/>
          <w:color w:val="000000"/>
          <w:sz w:val="32"/>
          <w:szCs w:val="28"/>
        </w:rPr>
        <w:t>“</w:t>
      </w:r>
      <w:r>
        <w:rPr>
          <w:rFonts w:ascii="仿宋" w:hAnsi="仿宋" w:eastAsia="仿宋"/>
          <w:color w:val="000000"/>
          <w:sz w:val="32"/>
          <w:szCs w:val="28"/>
        </w:rPr>
        <w:t>声明及承诺数据是否已报</w:t>
      </w:r>
      <w:r>
        <w:rPr>
          <w:rFonts w:hint="eastAsia" w:ascii="仿宋" w:hAnsi="仿宋" w:eastAsia="仿宋"/>
          <w:color w:val="000000"/>
          <w:sz w:val="32"/>
          <w:szCs w:val="28"/>
        </w:rPr>
        <w:t>”</w:t>
      </w:r>
      <w:r>
        <w:rPr>
          <w:rFonts w:ascii="仿宋" w:hAnsi="仿宋" w:eastAsia="仿宋"/>
          <w:color w:val="000000"/>
          <w:sz w:val="32"/>
          <w:szCs w:val="28"/>
        </w:rPr>
        <w:t>项下下面的电子数据栏</w:t>
      </w:r>
      <w:r>
        <w:rPr>
          <w:rFonts w:hint="eastAsia" w:ascii="仿宋" w:hAnsi="仿宋" w:eastAsia="仿宋"/>
          <w:color w:val="000000"/>
          <w:sz w:val="32"/>
          <w:szCs w:val="28"/>
        </w:rPr>
        <w:t>“</w:t>
      </w:r>
      <w:r>
        <w:rPr>
          <w:rFonts w:ascii="仿宋" w:hAnsi="仿宋" w:eastAsia="仿宋"/>
          <w:color w:val="000000"/>
          <w:sz w:val="32"/>
          <w:szCs w:val="28"/>
        </w:rPr>
        <w:t>未填报，点击填报</w:t>
      </w:r>
      <w:r>
        <w:rPr>
          <w:rFonts w:hint="eastAsia" w:ascii="仿宋" w:hAnsi="仿宋" w:eastAsia="仿宋"/>
          <w:color w:val="000000"/>
          <w:sz w:val="32"/>
          <w:szCs w:val="28"/>
        </w:rPr>
        <w:t>”</w:t>
      </w:r>
      <w:r>
        <w:rPr>
          <w:rFonts w:ascii="仿宋" w:hAnsi="仿宋" w:eastAsia="仿宋"/>
          <w:color w:val="000000"/>
          <w:sz w:val="32"/>
          <w:szCs w:val="28"/>
        </w:rPr>
        <w:t>进行填报，如图4-2所示。</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证券事务代表不需签署《声明与承诺书》书面文件，但其配偶、父母、子女、兄弟姐妹的信息通过点击图5-1中</w:t>
      </w:r>
      <w:r>
        <w:rPr>
          <w:rFonts w:hint="eastAsia" w:ascii="仿宋" w:hAnsi="仿宋" w:eastAsia="仿宋"/>
          <w:color w:val="000000"/>
          <w:sz w:val="32"/>
          <w:szCs w:val="28"/>
        </w:rPr>
        <w:t>“</w:t>
      </w:r>
      <w:r>
        <w:rPr>
          <w:rFonts w:ascii="仿宋" w:hAnsi="仿宋" w:eastAsia="仿宋"/>
          <w:color w:val="000000"/>
          <w:sz w:val="32"/>
          <w:szCs w:val="28"/>
        </w:rPr>
        <w:t>声明与承诺</w:t>
      </w:r>
      <w:r>
        <w:rPr>
          <w:rFonts w:hint="eastAsia" w:ascii="仿宋" w:hAnsi="仿宋" w:eastAsia="仿宋"/>
          <w:color w:val="000000"/>
          <w:sz w:val="32"/>
          <w:szCs w:val="28"/>
        </w:rPr>
        <w:t>”</w:t>
      </w:r>
      <w:r>
        <w:rPr>
          <w:rFonts w:ascii="仿宋" w:hAnsi="仿宋" w:eastAsia="仿宋"/>
          <w:color w:val="000000"/>
          <w:sz w:val="32"/>
          <w:szCs w:val="28"/>
        </w:rPr>
        <w:t>列中的</w:t>
      </w:r>
      <w:r>
        <w:rPr>
          <w:rFonts w:hint="eastAsia" w:ascii="仿宋" w:hAnsi="仿宋" w:eastAsia="仿宋"/>
          <w:color w:val="000000"/>
          <w:sz w:val="32"/>
          <w:szCs w:val="28"/>
        </w:rPr>
        <w:t>“</w:t>
      </w:r>
      <w:r>
        <w:rPr>
          <w:rFonts w:ascii="仿宋" w:hAnsi="仿宋" w:eastAsia="仿宋"/>
          <w:color w:val="000000"/>
          <w:sz w:val="32"/>
          <w:szCs w:val="28"/>
        </w:rPr>
        <w:t>点击进入</w:t>
      </w:r>
      <w:r>
        <w:rPr>
          <w:rFonts w:hint="eastAsia" w:ascii="仿宋" w:hAnsi="仿宋" w:eastAsia="仿宋"/>
          <w:color w:val="000000"/>
          <w:sz w:val="32"/>
          <w:szCs w:val="28"/>
        </w:rPr>
        <w:t>”</w:t>
      </w:r>
      <w:r>
        <w:rPr>
          <w:rFonts w:ascii="仿宋" w:hAnsi="仿宋" w:eastAsia="仿宋"/>
          <w:color w:val="000000"/>
          <w:sz w:val="32"/>
          <w:szCs w:val="28"/>
        </w:rPr>
        <w:t>链接进行填报。</w:t>
      </w:r>
    </w:p>
    <w:p>
      <w:pPr>
        <w:snapToGrid w:val="0"/>
        <w:spacing w:line="560" w:lineRule="exact"/>
        <w:ind w:firstLine="640" w:firstLineChars="200"/>
        <w:contextualSpacing/>
        <w:rPr>
          <w:rFonts w:ascii="仿宋" w:hAnsi="仿宋" w:eastAsia="仿宋"/>
        </w:rPr>
      </w:pPr>
      <w:r>
        <w:rPr>
          <w:rFonts w:hint="eastAsia" w:ascii="仿宋" w:hAnsi="仿宋" w:eastAsia="仿宋"/>
          <w:color w:val="000000"/>
          <w:sz w:val="32"/>
          <w:szCs w:val="28"/>
        </w:rPr>
        <w:t>5</w:t>
      </w:r>
      <w:r>
        <w:rPr>
          <w:rFonts w:ascii="仿宋" w:hAnsi="仿宋" w:eastAsia="仿宋"/>
          <w:color w:val="000000"/>
          <w:sz w:val="32"/>
          <w:szCs w:val="28"/>
        </w:rPr>
        <w:t>．对于已填报的记录，点击</w:t>
      </w:r>
      <w:r>
        <w:rPr>
          <w:rFonts w:hint="eastAsia" w:ascii="仿宋" w:hAnsi="仿宋" w:eastAsia="仿宋"/>
          <w:color w:val="000000"/>
          <w:sz w:val="32"/>
          <w:szCs w:val="28"/>
        </w:rPr>
        <w:t>“</w:t>
      </w:r>
      <w:r>
        <w:rPr>
          <w:rFonts w:ascii="仿宋" w:hAnsi="仿宋" w:eastAsia="仿宋"/>
          <w:color w:val="000000"/>
          <w:sz w:val="32"/>
          <w:szCs w:val="28"/>
        </w:rPr>
        <w:t>点击进入</w:t>
      </w:r>
      <w:r>
        <w:rPr>
          <w:rFonts w:hint="eastAsia" w:ascii="仿宋" w:hAnsi="仿宋" w:eastAsia="仿宋"/>
          <w:color w:val="000000"/>
          <w:sz w:val="32"/>
          <w:szCs w:val="28"/>
        </w:rPr>
        <w:t>”</w:t>
      </w:r>
      <w:r>
        <w:rPr>
          <w:rFonts w:ascii="仿宋" w:hAnsi="仿宋" w:eastAsia="仿宋"/>
          <w:color w:val="000000"/>
          <w:sz w:val="32"/>
          <w:szCs w:val="28"/>
        </w:rPr>
        <w:t>，可以查询以前填报过的数据，如图5-2所示。如有必要，也可以在此页面上进行修改：</w:t>
      </w:r>
    </w:p>
    <w:p>
      <w:pPr>
        <w:snapToGrid w:val="0"/>
        <w:spacing w:line="560" w:lineRule="exact"/>
        <w:ind w:firstLine="420" w:firstLineChars="200"/>
        <w:contextualSpacing/>
        <w:rPr>
          <w:rFonts w:ascii="Times New Roman" w:hAnsi="Times New Roman" w:eastAsia="仿宋"/>
        </w:rPr>
      </w:pPr>
    </w:p>
    <w:p>
      <w:pPr>
        <w:snapToGrid w:val="0"/>
        <w:spacing w:line="560" w:lineRule="exact"/>
        <w:ind w:firstLine="420" w:firstLineChars="200"/>
        <w:contextualSpacing/>
        <w:rPr>
          <w:rFonts w:ascii="Times New Roman" w:hAnsi="Times New Roman" w:eastAsia="仿宋"/>
        </w:rPr>
      </w:pPr>
      <w:r>
        <w:drawing>
          <wp:anchor distT="0" distB="0" distL="114300" distR="114300" simplePos="0" relativeHeight="251683840" behindDoc="0" locked="0" layoutInCell="1" allowOverlap="1">
            <wp:simplePos x="0" y="0"/>
            <wp:positionH relativeFrom="column">
              <wp:posOffset>107950</wp:posOffset>
            </wp:positionH>
            <wp:positionV relativeFrom="paragraph">
              <wp:posOffset>-29210</wp:posOffset>
            </wp:positionV>
            <wp:extent cx="5274310" cy="3310890"/>
            <wp:effectExtent l="19050" t="19050" r="21590" b="22860"/>
            <wp:wrapNone/>
            <wp:docPr id="2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74310" cy="3310890"/>
                    </a:xfrm>
                    <a:prstGeom prst="rect">
                      <a:avLst/>
                    </a:prstGeom>
                    <a:noFill/>
                    <a:ln w="9525">
                      <a:solidFill>
                        <a:srgbClr val="000000"/>
                      </a:solidFill>
                      <a:miter lim="800000"/>
                      <a:headEnd/>
                      <a:tailEnd/>
                    </a:ln>
                  </pic:spPr>
                </pic:pic>
              </a:graphicData>
            </a:graphic>
          </wp:anchor>
        </w:drawing>
      </w:r>
    </w:p>
    <w:p>
      <w:pPr>
        <w:snapToGrid w:val="0"/>
        <w:spacing w:line="560" w:lineRule="exact"/>
        <w:ind w:firstLine="420" w:firstLineChars="200"/>
        <w:contextualSpacing/>
        <w:rPr>
          <w:rFonts w:ascii="Times New Roman" w:hAnsi="Times New Roman" w:eastAsia="仿宋"/>
        </w:rPr>
      </w:pPr>
    </w:p>
    <w:p>
      <w:pPr>
        <w:snapToGrid w:val="0"/>
        <w:spacing w:line="560" w:lineRule="exact"/>
        <w:ind w:firstLine="420" w:firstLineChars="200"/>
        <w:contextualSpacing/>
        <w:rPr>
          <w:rFonts w:ascii="Times New Roman" w:hAnsi="Times New Roman" w:eastAsia="仿宋"/>
        </w:rPr>
      </w:pPr>
    </w:p>
    <w:p>
      <w:pPr>
        <w:snapToGrid w:val="0"/>
        <w:spacing w:line="560" w:lineRule="exact"/>
        <w:ind w:firstLine="420" w:firstLineChars="200"/>
        <w:contextualSpacing/>
        <w:rPr>
          <w:rFonts w:ascii="Times New Roman" w:hAnsi="Times New Roman" w:eastAsia="仿宋"/>
        </w:rPr>
      </w:pPr>
    </w:p>
    <w:p>
      <w:pPr>
        <w:snapToGrid w:val="0"/>
        <w:spacing w:line="560" w:lineRule="exact"/>
        <w:ind w:firstLine="420" w:firstLineChars="200"/>
        <w:contextualSpacing/>
        <w:rPr>
          <w:rFonts w:ascii="Times New Roman" w:hAnsi="Times New Roman" w:eastAsia="仿宋"/>
        </w:rPr>
      </w:pPr>
    </w:p>
    <w:p>
      <w:pPr>
        <w:snapToGrid w:val="0"/>
        <w:spacing w:line="560" w:lineRule="exact"/>
        <w:ind w:firstLine="420" w:firstLineChars="200"/>
        <w:contextualSpacing/>
        <w:rPr>
          <w:rFonts w:ascii="Times New Roman" w:hAnsi="Times New Roman" w:eastAsia="仿宋"/>
        </w:rPr>
      </w:pPr>
    </w:p>
    <w:p>
      <w:pPr>
        <w:snapToGrid w:val="0"/>
        <w:spacing w:line="560" w:lineRule="exact"/>
        <w:ind w:firstLine="420" w:firstLineChars="200"/>
        <w:contextualSpacing/>
        <w:rPr>
          <w:rFonts w:ascii="Times New Roman" w:hAnsi="Times New Roman" w:eastAsia="仿宋"/>
        </w:rPr>
      </w:pPr>
    </w:p>
    <w:p>
      <w:pPr>
        <w:snapToGrid w:val="0"/>
        <w:spacing w:line="560" w:lineRule="exact"/>
        <w:ind w:firstLine="420" w:firstLineChars="200"/>
        <w:contextualSpacing/>
        <w:rPr>
          <w:rFonts w:ascii="Times New Roman" w:hAnsi="Times New Roman" w:eastAsia="仿宋"/>
        </w:rPr>
      </w:pPr>
    </w:p>
    <w:p>
      <w:pPr>
        <w:snapToGrid w:val="0"/>
        <w:spacing w:line="560" w:lineRule="exact"/>
        <w:ind w:firstLine="420" w:firstLineChars="200"/>
        <w:contextualSpacing/>
        <w:rPr>
          <w:rFonts w:ascii="Times New Roman" w:hAnsi="Times New Roman" w:eastAsia="仿宋"/>
        </w:rPr>
      </w:pPr>
    </w:p>
    <w:p>
      <w:pPr>
        <w:snapToGrid w:val="0"/>
        <w:spacing w:line="560" w:lineRule="exact"/>
        <w:ind w:firstLine="480" w:firstLineChars="200"/>
        <w:contextualSpacing/>
        <w:jc w:val="center"/>
        <w:rPr>
          <w:rFonts w:ascii="仿宋" w:hAnsi="仿宋" w:eastAsia="仿宋"/>
          <w:color w:val="000000"/>
          <w:sz w:val="24"/>
          <w:szCs w:val="24"/>
        </w:rPr>
      </w:pPr>
      <w:r>
        <w:rPr>
          <w:rFonts w:ascii="仿宋" w:hAnsi="仿宋" w:eastAsia="仿宋"/>
          <w:color w:val="000000"/>
          <w:sz w:val="24"/>
          <w:szCs w:val="24"/>
        </w:rPr>
        <w:t>图5-2 维护声明与承诺示例</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6．相关人员的亲属信息通过点击如图5-2页面下方的</w:t>
      </w:r>
      <w:r>
        <w:rPr>
          <w:rFonts w:hint="eastAsia" w:ascii="仿宋" w:hAnsi="仿宋" w:eastAsia="仿宋"/>
          <w:color w:val="000000"/>
          <w:sz w:val="32"/>
          <w:szCs w:val="28"/>
        </w:rPr>
        <w:t>“</w:t>
      </w:r>
      <w:r>
        <w:rPr>
          <w:rFonts w:ascii="仿宋" w:hAnsi="仿宋" w:eastAsia="仿宋"/>
          <w:color w:val="000000"/>
          <w:sz w:val="32"/>
          <w:szCs w:val="28"/>
        </w:rPr>
        <w:t>增加亲属成员</w:t>
      </w:r>
      <w:r>
        <w:rPr>
          <w:rFonts w:hint="eastAsia" w:ascii="仿宋" w:hAnsi="仿宋" w:eastAsia="仿宋"/>
          <w:color w:val="000000"/>
          <w:sz w:val="32"/>
          <w:szCs w:val="28"/>
        </w:rPr>
        <w:t>”</w:t>
      </w:r>
      <w:r>
        <w:rPr>
          <w:rFonts w:ascii="仿宋" w:hAnsi="仿宋" w:eastAsia="仿宋"/>
          <w:color w:val="000000"/>
          <w:sz w:val="32"/>
          <w:szCs w:val="28"/>
        </w:rPr>
        <w:t>按钮，页面会增加一个空白行，供操作人员填写。亲属成员填写完成以后，如须删除已填报的人员，通过该行的最后</w:t>
      </w:r>
      <w:r>
        <w:rPr>
          <w:rFonts w:hint="eastAsia" w:ascii="仿宋" w:hAnsi="仿宋" w:eastAsia="仿宋"/>
          <w:color w:val="000000"/>
          <w:sz w:val="32"/>
          <w:szCs w:val="28"/>
        </w:rPr>
        <w:t>“</w:t>
      </w:r>
      <w:r>
        <w:rPr>
          <w:rFonts w:ascii="仿宋" w:hAnsi="仿宋" w:eastAsia="仿宋"/>
          <w:color w:val="000000"/>
          <w:sz w:val="32"/>
          <w:szCs w:val="28"/>
        </w:rPr>
        <w:t>删除</w:t>
      </w:r>
      <w:r>
        <w:rPr>
          <w:rFonts w:hint="eastAsia" w:ascii="仿宋" w:hAnsi="仿宋" w:eastAsia="仿宋"/>
          <w:color w:val="000000"/>
          <w:sz w:val="32"/>
          <w:szCs w:val="28"/>
        </w:rPr>
        <w:t>”</w:t>
      </w:r>
      <w:r>
        <w:rPr>
          <w:rFonts w:ascii="仿宋" w:hAnsi="仿宋" w:eastAsia="仿宋"/>
          <w:color w:val="000000"/>
          <w:sz w:val="32"/>
          <w:szCs w:val="28"/>
        </w:rPr>
        <w:t>链接进行删除。</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7．对于亲属信息之后的部分，根据相关人员的实际情况选择</w:t>
      </w:r>
      <w:r>
        <w:rPr>
          <w:rFonts w:hint="eastAsia" w:ascii="仿宋" w:hAnsi="仿宋" w:eastAsia="仿宋"/>
          <w:color w:val="000000"/>
          <w:sz w:val="32"/>
          <w:szCs w:val="28"/>
        </w:rPr>
        <w:t>“</w:t>
      </w:r>
      <w:r>
        <w:rPr>
          <w:rFonts w:ascii="仿宋" w:hAnsi="仿宋" w:eastAsia="仿宋"/>
          <w:color w:val="000000"/>
          <w:sz w:val="32"/>
          <w:szCs w:val="28"/>
        </w:rPr>
        <w:t>是</w:t>
      </w:r>
      <w:r>
        <w:rPr>
          <w:rFonts w:hint="eastAsia" w:ascii="仿宋" w:hAnsi="仿宋" w:eastAsia="仿宋"/>
          <w:color w:val="000000"/>
          <w:sz w:val="32"/>
          <w:szCs w:val="28"/>
        </w:rPr>
        <w:t>”</w:t>
      </w:r>
      <w:r>
        <w:rPr>
          <w:rFonts w:ascii="仿宋" w:hAnsi="仿宋" w:eastAsia="仿宋"/>
          <w:color w:val="000000"/>
          <w:sz w:val="32"/>
          <w:szCs w:val="28"/>
        </w:rPr>
        <w:t>或</w:t>
      </w:r>
      <w:r>
        <w:rPr>
          <w:rFonts w:hint="eastAsia" w:ascii="仿宋" w:hAnsi="仿宋" w:eastAsia="仿宋"/>
          <w:color w:val="000000"/>
          <w:sz w:val="32"/>
          <w:szCs w:val="28"/>
        </w:rPr>
        <w:t>“</w:t>
      </w:r>
      <w:r>
        <w:rPr>
          <w:rFonts w:ascii="仿宋" w:hAnsi="仿宋" w:eastAsia="仿宋"/>
          <w:color w:val="000000"/>
          <w:sz w:val="32"/>
          <w:szCs w:val="28"/>
        </w:rPr>
        <w:t>否</w:t>
      </w:r>
      <w:r>
        <w:rPr>
          <w:rFonts w:hint="eastAsia" w:ascii="仿宋" w:hAnsi="仿宋" w:eastAsia="仿宋"/>
          <w:color w:val="000000"/>
          <w:sz w:val="32"/>
          <w:szCs w:val="28"/>
        </w:rPr>
        <w:t>”</w:t>
      </w:r>
      <w:r>
        <w:rPr>
          <w:rFonts w:ascii="仿宋" w:hAnsi="仿宋" w:eastAsia="仿宋"/>
          <w:color w:val="000000"/>
          <w:sz w:val="32"/>
          <w:szCs w:val="28"/>
        </w:rPr>
        <w:t>。</w:t>
      </w:r>
    </w:p>
    <w:p>
      <w:pPr>
        <w:snapToGrid w:val="0"/>
        <w:spacing w:line="560" w:lineRule="exact"/>
        <w:ind w:firstLine="420" w:firstLineChars="200"/>
        <w:contextualSpacing/>
        <w:rPr>
          <w:rFonts w:ascii="仿宋" w:hAnsi="仿宋" w:eastAsia="仿宋"/>
          <w:color w:val="000000"/>
          <w:sz w:val="32"/>
          <w:szCs w:val="28"/>
        </w:rPr>
      </w:pPr>
      <w:r>
        <w:drawing>
          <wp:anchor distT="0" distB="0" distL="114300" distR="114300" simplePos="0" relativeHeight="251674624" behindDoc="0" locked="0" layoutInCell="1" allowOverlap="1">
            <wp:simplePos x="0" y="0"/>
            <wp:positionH relativeFrom="column">
              <wp:posOffset>133350</wp:posOffset>
            </wp:positionH>
            <wp:positionV relativeFrom="paragraph">
              <wp:posOffset>1501775</wp:posOffset>
            </wp:positionV>
            <wp:extent cx="5046980" cy="3362325"/>
            <wp:effectExtent l="0" t="0" r="1270" b="9525"/>
            <wp:wrapTopAndBottom/>
            <wp:docPr id="2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046980" cy="3362325"/>
                    </a:xfrm>
                    <a:prstGeom prst="rect">
                      <a:avLst/>
                    </a:prstGeom>
                    <a:noFill/>
                  </pic:spPr>
                </pic:pic>
              </a:graphicData>
            </a:graphic>
          </wp:anchor>
        </w:drawing>
      </w:r>
      <w:r>
        <w:rPr>
          <w:rFonts w:ascii="仿宋" w:hAnsi="仿宋" w:eastAsia="仿宋"/>
          <w:color w:val="000000"/>
          <w:sz w:val="32"/>
          <w:szCs w:val="28"/>
        </w:rPr>
        <w:t>8．全部声明内容填报完成后，填入声明日期、声明地点和声明见证律师，并在第二部分的承诺部分填入承诺日期、承诺地点、承诺见证律师，然后按</w:t>
      </w:r>
      <w:r>
        <w:rPr>
          <w:rFonts w:hint="eastAsia" w:ascii="仿宋" w:hAnsi="仿宋" w:eastAsia="仿宋"/>
          <w:color w:val="000000"/>
          <w:sz w:val="32"/>
          <w:szCs w:val="28"/>
        </w:rPr>
        <w:t>“</w:t>
      </w:r>
      <w:r>
        <w:rPr>
          <w:rFonts w:ascii="仿宋" w:hAnsi="仿宋" w:eastAsia="仿宋"/>
          <w:color w:val="000000"/>
          <w:sz w:val="32"/>
          <w:szCs w:val="28"/>
        </w:rPr>
        <w:t>提交</w:t>
      </w:r>
      <w:r>
        <w:rPr>
          <w:rFonts w:hint="eastAsia" w:ascii="仿宋" w:hAnsi="仿宋" w:eastAsia="仿宋"/>
          <w:color w:val="000000"/>
          <w:sz w:val="32"/>
          <w:szCs w:val="28"/>
        </w:rPr>
        <w:t>”</w:t>
      </w:r>
      <w:r>
        <w:rPr>
          <w:rFonts w:ascii="仿宋" w:hAnsi="仿宋" w:eastAsia="仿宋"/>
          <w:color w:val="000000"/>
          <w:sz w:val="32"/>
          <w:szCs w:val="28"/>
        </w:rPr>
        <w:t>按钮提交该人员的声明及承诺内容，页面如图5-3所示：</w:t>
      </w:r>
    </w:p>
    <w:p>
      <w:pPr>
        <w:snapToGrid w:val="0"/>
        <w:spacing w:line="560" w:lineRule="exact"/>
        <w:ind w:firstLine="480" w:firstLineChars="200"/>
        <w:contextualSpacing/>
        <w:jc w:val="center"/>
        <w:rPr>
          <w:rFonts w:ascii="仿宋" w:hAnsi="仿宋" w:eastAsia="仿宋"/>
          <w:color w:val="000000"/>
          <w:sz w:val="24"/>
          <w:szCs w:val="24"/>
        </w:rPr>
      </w:pPr>
      <w:r>
        <w:rPr>
          <w:rFonts w:ascii="仿宋" w:hAnsi="仿宋" w:eastAsia="仿宋"/>
          <w:color w:val="000000"/>
          <w:sz w:val="24"/>
          <w:szCs w:val="24"/>
        </w:rPr>
        <w:t>图5-3 提交声明与承诺示例</w:t>
      </w:r>
    </w:p>
    <w:p>
      <w:pPr>
        <w:snapToGrid w:val="0"/>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9．如填写过程中不能一次填写完成该页面的所有资料，可以点击</w:t>
      </w:r>
      <w:r>
        <w:rPr>
          <w:rFonts w:hint="eastAsia" w:ascii="仿宋" w:hAnsi="仿宋" w:eastAsia="仿宋"/>
          <w:color w:val="000000"/>
          <w:sz w:val="32"/>
          <w:szCs w:val="28"/>
        </w:rPr>
        <w:t>“</w:t>
      </w:r>
      <w:r>
        <w:rPr>
          <w:rFonts w:ascii="仿宋" w:hAnsi="仿宋" w:eastAsia="仿宋"/>
          <w:color w:val="000000"/>
          <w:sz w:val="32"/>
          <w:szCs w:val="28"/>
        </w:rPr>
        <w:t>保存</w:t>
      </w:r>
      <w:r>
        <w:rPr>
          <w:rFonts w:hint="eastAsia" w:ascii="仿宋" w:hAnsi="仿宋" w:eastAsia="仿宋"/>
          <w:color w:val="000000"/>
          <w:sz w:val="32"/>
          <w:szCs w:val="28"/>
        </w:rPr>
        <w:t>”</w:t>
      </w:r>
      <w:r>
        <w:rPr>
          <w:rFonts w:ascii="仿宋" w:hAnsi="仿宋" w:eastAsia="仿宋"/>
          <w:color w:val="000000"/>
          <w:sz w:val="32"/>
          <w:szCs w:val="28"/>
        </w:rPr>
        <w:t>按钮，暂时保存已经填写的不完整资料，待下次填写完成时再通过</w:t>
      </w:r>
      <w:r>
        <w:rPr>
          <w:rFonts w:hint="eastAsia" w:ascii="仿宋" w:hAnsi="仿宋" w:eastAsia="仿宋"/>
          <w:color w:val="000000"/>
          <w:sz w:val="32"/>
          <w:szCs w:val="28"/>
        </w:rPr>
        <w:t>“</w:t>
      </w:r>
      <w:r>
        <w:rPr>
          <w:rFonts w:ascii="仿宋" w:hAnsi="仿宋" w:eastAsia="仿宋"/>
          <w:color w:val="000000"/>
          <w:sz w:val="32"/>
          <w:szCs w:val="28"/>
        </w:rPr>
        <w:t>提交</w:t>
      </w:r>
      <w:r>
        <w:rPr>
          <w:rFonts w:hint="eastAsia" w:ascii="仿宋" w:hAnsi="仿宋" w:eastAsia="仿宋"/>
          <w:color w:val="000000"/>
          <w:sz w:val="32"/>
          <w:szCs w:val="28"/>
        </w:rPr>
        <w:t>”</w:t>
      </w:r>
      <w:r>
        <w:rPr>
          <w:rFonts w:ascii="仿宋" w:hAnsi="仿宋" w:eastAsia="仿宋"/>
          <w:color w:val="000000"/>
          <w:sz w:val="32"/>
          <w:szCs w:val="28"/>
        </w:rPr>
        <w:t>按钮提交所填报的资料。</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（三）电子文件填报注意事项</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1．亲属信息中的姓名、性别、国籍为必填项。</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2．当国籍为</w:t>
      </w:r>
      <w:r>
        <w:rPr>
          <w:rFonts w:hint="eastAsia" w:ascii="仿宋" w:hAnsi="仿宋" w:eastAsia="仿宋"/>
          <w:color w:val="000000"/>
          <w:sz w:val="32"/>
          <w:szCs w:val="28"/>
        </w:rPr>
        <w:t>“</w:t>
      </w:r>
      <w:r>
        <w:rPr>
          <w:rFonts w:ascii="仿宋" w:hAnsi="仿宋" w:eastAsia="仿宋"/>
          <w:color w:val="000000"/>
          <w:sz w:val="32"/>
          <w:szCs w:val="28"/>
        </w:rPr>
        <w:t>中国</w:t>
      </w:r>
      <w:r>
        <w:rPr>
          <w:rFonts w:hint="eastAsia" w:ascii="仿宋" w:hAnsi="仿宋" w:eastAsia="仿宋"/>
          <w:color w:val="000000"/>
          <w:sz w:val="32"/>
          <w:szCs w:val="28"/>
        </w:rPr>
        <w:t>”</w:t>
      </w:r>
      <w:r>
        <w:rPr>
          <w:rFonts w:ascii="仿宋" w:hAnsi="仿宋" w:eastAsia="仿宋"/>
          <w:color w:val="000000"/>
          <w:sz w:val="32"/>
          <w:szCs w:val="28"/>
        </w:rPr>
        <w:t>时必须填身份证号码，否则必须填</w:t>
      </w:r>
      <w:r>
        <w:rPr>
          <w:rFonts w:hint="eastAsia" w:ascii="仿宋" w:hAnsi="仿宋" w:eastAsia="仿宋"/>
          <w:color w:val="000000"/>
          <w:sz w:val="32"/>
          <w:szCs w:val="28"/>
        </w:rPr>
        <w:t>“</w:t>
      </w:r>
      <w:r>
        <w:rPr>
          <w:rFonts w:ascii="仿宋" w:hAnsi="仿宋" w:eastAsia="仿宋"/>
          <w:color w:val="000000"/>
          <w:sz w:val="32"/>
          <w:szCs w:val="28"/>
        </w:rPr>
        <w:t>护照或其他证件号码</w:t>
      </w:r>
      <w:r>
        <w:rPr>
          <w:rFonts w:hint="eastAsia" w:ascii="仿宋" w:hAnsi="仿宋" w:eastAsia="仿宋"/>
          <w:color w:val="000000"/>
          <w:sz w:val="32"/>
          <w:szCs w:val="28"/>
        </w:rPr>
        <w:t>”</w:t>
      </w:r>
      <w:r>
        <w:rPr>
          <w:rFonts w:ascii="仿宋" w:hAnsi="仿宋" w:eastAsia="仿宋"/>
          <w:color w:val="000000"/>
          <w:sz w:val="32"/>
          <w:szCs w:val="28"/>
        </w:rPr>
        <w:t>；中国军人的国籍选择</w:t>
      </w:r>
      <w:r>
        <w:rPr>
          <w:rFonts w:hint="eastAsia" w:ascii="仿宋" w:hAnsi="仿宋" w:eastAsia="仿宋"/>
          <w:color w:val="000000"/>
          <w:sz w:val="32"/>
          <w:szCs w:val="28"/>
        </w:rPr>
        <w:t>“</w:t>
      </w:r>
      <w:r>
        <w:rPr>
          <w:rFonts w:ascii="仿宋" w:hAnsi="仿宋" w:eastAsia="仿宋"/>
          <w:color w:val="000000"/>
          <w:sz w:val="32"/>
          <w:szCs w:val="28"/>
        </w:rPr>
        <w:t>中国（军人）</w:t>
      </w:r>
      <w:r>
        <w:rPr>
          <w:rFonts w:hint="eastAsia" w:ascii="仿宋" w:hAnsi="仿宋" w:eastAsia="仿宋"/>
          <w:color w:val="000000"/>
          <w:sz w:val="32"/>
          <w:szCs w:val="28"/>
        </w:rPr>
        <w:t>”</w:t>
      </w:r>
      <w:r>
        <w:rPr>
          <w:rFonts w:ascii="仿宋" w:hAnsi="仿宋" w:eastAsia="仿宋"/>
          <w:color w:val="000000"/>
          <w:sz w:val="32"/>
          <w:szCs w:val="28"/>
        </w:rPr>
        <w:t>，并将军官证号码填入</w:t>
      </w:r>
      <w:r>
        <w:rPr>
          <w:rFonts w:hint="eastAsia" w:ascii="仿宋" w:hAnsi="仿宋" w:eastAsia="仿宋"/>
          <w:color w:val="000000"/>
          <w:sz w:val="32"/>
          <w:szCs w:val="28"/>
        </w:rPr>
        <w:t>“</w:t>
      </w:r>
      <w:r>
        <w:rPr>
          <w:rFonts w:ascii="仿宋" w:hAnsi="仿宋" w:eastAsia="仿宋"/>
          <w:color w:val="000000"/>
          <w:sz w:val="32"/>
          <w:szCs w:val="28"/>
        </w:rPr>
        <w:t>护照或其他证件号码</w:t>
      </w:r>
      <w:r>
        <w:rPr>
          <w:rFonts w:hint="eastAsia" w:ascii="仿宋" w:hAnsi="仿宋" w:eastAsia="仿宋"/>
          <w:color w:val="000000"/>
          <w:sz w:val="32"/>
          <w:szCs w:val="28"/>
        </w:rPr>
        <w:t>”</w:t>
      </w:r>
      <w:r>
        <w:rPr>
          <w:rFonts w:ascii="仿宋" w:hAnsi="仿宋" w:eastAsia="仿宋"/>
          <w:color w:val="000000"/>
          <w:sz w:val="32"/>
          <w:szCs w:val="28"/>
        </w:rPr>
        <w:t>。</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3．任职对应的</w:t>
      </w:r>
      <w:r>
        <w:rPr>
          <w:rFonts w:hint="eastAsia" w:ascii="仿宋" w:hAnsi="仿宋" w:eastAsia="仿宋"/>
          <w:color w:val="000000"/>
          <w:sz w:val="32"/>
          <w:szCs w:val="28"/>
        </w:rPr>
        <w:t>“</w:t>
      </w:r>
      <w:r>
        <w:rPr>
          <w:rFonts w:ascii="仿宋" w:hAnsi="仿宋" w:eastAsia="仿宋"/>
          <w:color w:val="000000"/>
          <w:sz w:val="32"/>
          <w:szCs w:val="28"/>
        </w:rPr>
        <w:t>声明与承诺书面文件</w:t>
      </w:r>
      <w:r>
        <w:rPr>
          <w:rFonts w:hint="eastAsia" w:ascii="仿宋" w:hAnsi="仿宋" w:eastAsia="仿宋"/>
          <w:color w:val="000000"/>
          <w:sz w:val="32"/>
          <w:szCs w:val="28"/>
        </w:rPr>
        <w:t>”</w:t>
      </w:r>
      <w:r>
        <w:rPr>
          <w:rFonts w:ascii="仿宋" w:hAnsi="仿宋" w:eastAsia="仿宋"/>
          <w:color w:val="000000"/>
          <w:sz w:val="32"/>
          <w:szCs w:val="28"/>
        </w:rPr>
        <w:t>报送情况，是</w:t>
      </w:r>
      <w:r>
        <w:rPr>
          <w:rFonts w:hint="eastAsia" w:ascii="仿宋" w:hAnsi="仿宋" w:eastAsia="仿宋"/>
          <w:color w:val="000000"/>
          <w:sz w:val="32"/>
          <w:szCs w:val="28"/>
        </w:rPr>
        <w:t>创业板公司管理部</w:t>
      </w:r>
      <w:r>
        <w:rPr>
          <w:rFonts w:ascii="仿宋" w:hAnsi="仿宋" w:eastAsia="仿宋"/>
          <w:color w:val="000000"/>
          <w:sz w:val="32"/>
          <w:szCs w:val="28"/>
        </w:rPr>
        <w:t>接收登记的情况，仅能查看，不能修改，如公司发现差错，可联系</w:t>
      </w:r>
      <w:r>
        <w:rPr>
          <w:rFonts w:hint="eastAsia" w:ascii="仿宋" w:hAnsi="仿宋" w:eastAsia="仿宋"/>
          <w:color w:val="000000"/>
          <w:sz w:val="32"/>
          <w:szCs w:val="28"/>
        </w:rPr>
        <w:t>本所</w:t>
      </w:r>
      <w:r>
        <w:rPr>
          <w:rFonts w:ascii="仿宋" w:hAnsi="仿宋" w:eastAsia="仿宋"/>
          <w:color w:val="000000"/>
          <w:sz w:val="32"/>
          <w:szCs w:val="28"/>
        </w:rPr>
        <w:t>监管人员。</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（四）邮寄地址</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《声明及承诺书》请寄送到以下地址：</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地  址：深圳市深南大道2012号</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邮  编：518038</w:t>
      </w:r>
    </w:p>
    <w:p>
      <w:pPr>
        <w:snapToGrid w:val="0"/>
        <w:spacing w:line="560" w:lineRule="exact"/>
        <w:ind w:firstLine="640" w:firstLineChars="200"/>
        <w:contextualSpacing/>
        <w:rPr>
          <w:rFonts w:ascii="仿宋" w:hAnsi="仿宋" w:eastAsia="仿宋"/>
          <w:color w:val="000000"/>
          <w:sz w:val="28"/>
          <w:szCs w:val="28"/>
        </w:rPr>
      </w:pPr>
      <w:r>
        <w:rPr>
          <w:rFonts w:ascii="仿宋" w:hAnsi="仿宋" w:eastAsia="仿宋"/>
          <w:color w:val="000000"/>
          <w:sz w:val="32"/>
          <w:szCs w:val="28"/>
        </w:rPr>
        <w:t>收件人：深圳证券交易所创业板公司管理部信息组</w:t>
      </w:r>
    </w:p>
    <w:p>
      <w:pPr>
        <w:spacing w:line="560" w:lineRule="exact"/>
        <w:ind w:firstLine="640" w:firstLineChars="200"/>
        <w:rPr>
          <w:rFonts w:ascii="Times New Roman" w:hAnsi="Times New Roman" w:eastAsia="黑体"/>
          <w:sz w:val="32"/>
          <w:szCs w:val="20"/>
        </w:rPr>
      </w:pPr>
      <w:r>
        <w:rPr>
          <w:rFonts w:ascii="Times New Roman" w:hAnsi="Times New Roman" w:eastAsia="黑体"/>
          <w:sz w:val="32"/>
          <w:szCs w:val="20"/>
        </w:rPr>
        <w:t>六、投资者关系管理及其信息披露</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（一）披露内容和要求</w:t>
      </w:r>
    </w:p>
    <w:p>
      <w:pPr>
        <w:spacing w:line="560" w:lineRule="exact"/>
        <w:ind w:firstLine="646" w:firstLineChars="202"/>
        <w:rPr>
          <w:rFonts w:ascii="仿宋" w:hAnsi="仿宋" w:eastAsia="仿宋"/>
          <w:color w:val="000000"/>
          <w:sz w:val="32"/>
          <w:szCs w:val="28"/>
        </w:rPr>
      </w:pPr>
      <w:r>
        <w:rPr>
          <w:rFonts w:hint="eastAsia" w:ascii="仿宋" w:hAnsi="仿宋" w:eastAsia="仿宋"/>
          <w:color w:val="000000"/>
          <w:sz w:val="32"/>
          <w:szCs w:val="28"/>
        </w:rPr>
        <w:t>1</w:t>
      </w:r>
      <w:r>
        <w:rPr>
          <w:rFonts w:ascii="仿宋" w:hAnsi="仿宋" w:eastAsia="仿宋"/>
          <w:color w:val="000000"/>
          <w:sz w:val="32"/>
          <w:szCs w:val="28"/>
        </w:rPr>
        <w:t>．</w:t>
      </w:r>
      <w:r>
        <w:rPr>
          <w:rFonts w:hint="eastAsia" w:ascii="仿宋" w:hAnsi="仿宋" w:eastAsia="仿宋"/>
          <w:color w:val="000000"/>
          <w:sz w:val="32"/>
          <w:szCs w:val="28"/>
        </w:rPr>
        <w:t>上市公司应当制定投资者关系管理相关制度（包括投资者关系管理档案制度、接待和推广制度、信息披露备查登记制度等）；</w:t>
      </w:r>
    </w:p>
    <w:p>
      <w:pPr>
        <w:spacing w:line="560" w:lineRule="exact"/>
        <w:ind w:firstLine="646" w:firstLineChars="202"/>
        <w:rPr>
          <w:rFonts w:ascii="仿宋" w:hAnsi="仿宋" w:eastAsia="仿宋"/>
          <w:color w:val="000000"/>
          <w:sz w:val="32"/>
          <w:szCs w:val="28"/>
        </w:rPr>
      </w:pPr>
      <w:r>
        <w:rPr>
          <w:rFonts w:hint="eastAsia" w:ascii="仿宋" w:hAnsi="仿宋" w:eastAsia="仿宋"/>
          <w:color w:val="000000"/>
          <w:sz w:val="32"/>
          <w:szCs w:val="28"/>
        </w:rPr>
        <w:t>2</w:t>
      </w:r>
      <w:r>
        <w:rPr>
          <w:rFonts w:ascii="仿宋" w:hAnsi="仿宋" w:eastAsia="仿宋"/>
          <w:color w:val="000000"/>
          <w:sz w:val="32"/>
          <w:szCs w:val="28"/>
        </w:rPr>
        <w:t>．</w:t>
      </w:r>
      <w:r>
        <w:rPr>
          <w:rFonts w:hint="eastAsia" w:ascii="仿宋" w:hAnsi="仿宋" w:eastAsia="仿宋"/>
          <w:color w:val="000000"/>
          <w:sz w:val="32"/>
          <w:szCs w:val="28"/>
        </w:rPr>
        <w:t>上市公司在投资者说明会、业绩说明会、分析师会议、路演等投资者关系活动结束后应当及时编制《投资者关系活动记录表》,并于次一交易日开市前在互动易平台和公司网站（如有）刊载，具体格式见附件3；</w:t>
      </w:r>
    </w:p>
    <w:p>
      <w:pPr>
        <w:spacing w:line="560" w:lineRule="exact"/>
        <w:ind w:firstLine="646" w:firstLineChars="202"/>
        <w:rPr>
          <w:rFonts w:ascii="仿宋" w:hAnsi="仿宋" w:eastAsia="仿宋"/>
          <w:color w:val="000000"/>
          <w:sz w:val="32"/>
          <w:szCs w:val="28"/>
        </w:rPr>
      </w:pPr>
      <w:r>
        <w:rPr>
          <w:rFonts w:hint="eastAsia" w:ascii="仿宋" w:hAnsi="仿宋" w:eastAsia="仿宋"/>
          <w:color w:val="000000"/>
          <w:sz w:val="32"/>
          <w:szCs w:val="28"/>
        </w:rPr>
        <w:t>3</w:t>
      </w:r>
      <w:r>
        <w:rPr>
          <w:rFonts w:ascii="仿宋" w:hAnsi="仿宋" w:eastAsia="仿宋"/>
          <w:color w:val="000000"/>
          <w:sz w:val="32"/>
          <w:szCs w:val="28"/>
        </w:rPr>
        <w:t>．</w:t>
      </w:r>
      <w:r>
        <w:rPr>
          <w:rFonts w:hint="eastAsia" w:ascii="仿宋" w:hAnsi="仿宋" w:eastAsia="仿宋"/>
          <w:color w:val="000000"/>
          <w:sz w:val="32"/>
          <w:szCs w:val="28"/>
        </w:rPr>
        <w:t>投资者关系活动中的调研机构及个人在与上市公司直接沟通时，上市公司应要求其签署承诺书并交由上市公司妥善保管，承诺书格式见附件4；</w:t>
      </w:r>
    </w:p>
    <w:p>
      <w:pPr>
        <w:spacing w:line="560" w:lineRule="exact"/>
        <w:ind w:firstLine="646" w:firstLineChars="202"/>
        <w:rPr>
          <w:rFonts w:ascii="仿宋" w:hAnsi="仿宋" w:eastAsia="仿宋"/>
          <w:color w:val="000000"/>
          <w:sz w:val="32"/>
          <w:szCs w:val="28"/>
        </w:rPr>
      </w:pPr>
      <w:r>
        <w:rPr>
          <w:rFonts w:hint="eastAsia" w:ascii="仿宋" w:hAnsi="仿宋" w:eastAsia="仿宋"/>
          <w:color w:val="000000"/>
          <w:sz w:val="32"/>
          <w:szCs w:val="28"/>
        </w:rPr>
        <w:t>4</w:t>
      </w:r>
      <w:r>
        <w:rPr>
          <w:rFonts w:ascii="仿宋" w:hAnsi="仿宋" w:eastAsia="仿宋"/>
          <w:color w:val="000000"/>
          <w:sz w:val="32"/>
          <w:szCs w:val="28"/>
        </w:rPr>
        <w:t>．</w:t>
      </w:r>
      <w:r>
        <w:rPr>
          <w:rFonts w:hint="eastAsia" w:ascii="仿宋" w:hAnsi="仿宋" w:eastAsia="仿宋"/>
          <w:color w:val="000000"/>
          <w:sz w:val="32"/>
          <w:szCs w:val="28"/>
        </w:rPr>
        <w:t>投资者关系管理相关制度文件和编制的《投资者关系活动记录表》及活动过程中所使用的演示文稿、提供的文档等附件（如有）均应当通过本所业务专区在本所互动易平台披露，同时在公司网站（如有）披露</w:t>
      </w:r>
      <w:r>
        <w:rPr>
          <w:rFonts w:ascii="仿宋" w:hAnsi="仿宋" w:eastAsia="仿宋"/>
          <w:color w:val="000000"/>
          <w:sz w:val="32"/>
          <w:szCs w:val="28"/>
        </w:rPr>
        <w:t>；</w:t>
      </w:r>
    </w:p>
    <w:p>
      <w:pPr>
        <w:spacing w:line="560" w:lineRule="exact"/>
        <w:ind w:firstLine="646" w:firstLineChars="202"/>
        <w:rPr>
          <w:rFonts w:ascii="仿宋" w:hAnsi="仿宋" w:eastAsia="仿宋"/>
          <w:color w:val="000000"/>
          <w:sz w:val="32"/>
          <w:szCs w:val="28"/>
        </w:rPr>
      </w:pPr>
      <w:r>
        <w:rPr>
          <w:rFonts w:ascii="仿宋" w:hAnsi="仿宋" w:eastAsia="仿宋"/>
          <w:color w:val="000000"/>
          <w:sz w:val="32"/>
          <w:szCs w:val="28"/>
        </w:rPr>
        <w:t>5．投资者关系管理相关文件一旦披露，原则上不得撤回或替换</w:t>
      </w:r>
      <w:r>
        <w:rPr>
          <w:rFonts w:hint="eastAsia" w:ascii="仿宋" w:hAnsi="仿宋" w:eastAsia="仿宋"/>
          <w:color w:val="000000"/>
          <w:sz w:val="32"/>
          <w:szCs w:val="28"/>
        </w:rPr>
        <w:t>或者删除</w:t>
      </w:r>
      <w:r>
        <w:rPr>
          <w:rFonts w:ascii="仿宋" w:hAnsi="仿宋" w:eastAsia="仿宋"/>
          <w:color w:val="000000"/>
          <w:sz w:val="32"/>
          <w:szCs w:val="28"/>
        </w:rPr>
        <w:t>。上市公司发现已披露的文件存在错误或遗漏的，应当及时披露更正后的文件，并申请在文件名上添加标注，对更正前后的文件进行区分。</w:t>
      </w:r>
    </w:p>
    <w:p>
      <w:pPr>
        <w:spacing w:line="560" w:lineRule="exact"/>
        <w:ind w:firstLine="640" w:firstLineChars="200"/>
        <w:rPr>
          <w:rFonts w:ascii="Times New Roman" w:hAnsi="Times New Roman" w:eastAsia="楷体"/>
          <w:sz w:val="32"/>
          <w:szCs w:val="20"/>
        </w:rPr>
      </w:pPr>
      <w:r>
        <w:rPr>
          <w:rFonts w:ascii="Times New Roman" w:hAnsi="Times New Roman" w:eastAsia="楷体"/>
          <w:sz w:val="32"/>
          <w:szCs w:val="20"/>
        </w:rPr>
        <w:t>（二）具体操作步骤</w:t>
      </w:r>
    </w:p>
    <w:p>
      <w:pPr>
        <w:spacing w:line="560" w:lineRule="exact"/>
        <w:ind w:firstLine="646" w:firstLineChars="202"/>
        <w:rPr>
          <w:rFonts w:ascii="仿宋" w:hAnsi="仿宋" w:eastAsia="仿宋"/>
          <w:color w:val="000000"/>
          <w:sz w:val="32"/>
          <w:szCs w:val="28"/>
        </w:rPr>
      </w:pPr>
      <w:r>
        <w:rPr>
          <w:rFonts w:ascii="仿宋" w:hAnsi="仿宋" w:eastAsia="仿宋"/>
          <w:color w:val="000000"/>
          <w:sz w:val="32"/>
          <w:szCs w:val="28"/>
        </w:rPr>
        <w:t>上市公司通过业务专区</w:t>
      </w:r>
      <w:r>
        <w:rPr>
          <w:rFonts w:hint="eastAsia" w:ascii="仿宋" w:hAnsi="仿宋" w:eastAsia="仿宋"/>
          <w:color w:val="000000"/>
          <w:sz w:val="32"/>
          <w:szCs w:val="28"/>
        </w:rPr>
        <w:t>“</w:t>
      </w:r>
      <w:r>
        <w:rPr>
          <w:rFonts w:ascii="仿宋" w:hAnsi="仿宋" w:eastAsia="仿宋"/>
          <w:color w:val="000000"/>
          <w:sz w:val="32"/>
          <w:szCs w:val="28"/>
        </w:rPr>
        <w:t>信息披露业务—投资者关系管理信息填报</w:t>
      </w:r>
      <w:r>
        <w:rPr>
          <w:rFonts w:hint="eastAsia" w:ascii="仿宋" w:hAnsi="仿宋" w:eastAsia="仿宋"/>
          <w:color w:val="000000"/>
          <w:sz w:val="32"/>
          <w:szCs w:val="28"/>
        </w:rPr>
        <w:t>”</w:t>
      </w:r>
      <w:r>
        <w:rPr>
          <w:rFonts w:ascii="仿宋" w:hAnsi="仿宋" w:eastAsia="仿宋"/>
          <w:color w:val="000000"/>
          <w:sz w:val="32"/>
          <w:szCs w:val="28"/>
        </w:rPr>
        <w:t>栏目将投资者关系管理相关文件提交至本所互动易</w:t>
      </w:r>
      <w:r>
        <w:rPr>
          <w:rFonts w:hint="eastAsia" w:ascii="仿宋" w:hAnsi="仿宋" w:eastAsia="仿宋"/>
          <w:color w:val="000000"/>
          <w:sz w:val="32"/>
          <w:szCs w:val="28"/>
        </w:rPr>
        <w:t>平台</w:t>
      </w:r>
      <w:r>
        <w:rPr>
          <w:rFonts w:ascii="仿宋" w:hAnsi="仿宋" w:eastAsia="仿宋"/>
          <w:color w:val="000000"/>
          <w:sz w:val="32"/>
          <w:szCs w:val="28"/>
        </w:rPr>
        <w:t>（http://irm</w:t>
      </w:r>
      <w:r>
        <w:rPr>
          <w:rFonts w:hint="eastAsia" w:ascii="仿宋" w:hAnsi="仿宋" w:eastAsia="仿宋"/>
          <w:color w:val="000000"/>
          <w:sz w:val="32"/>
          <w:szCs w:val="28"/>
        </w:rPr>
        <w:t>.</w:t>
      </w:r>
      <w:r>
        <w:rPr>
          <w:rFonts w:ascii="仿宋" w:hAnsi="仿宋" w:eastAsia="仿宋"/>
          <w:color w:val="000000"/>
          <w:sz w:val="32"/>
          <w:szCs w:val="28"/>
        </w:rPr>
        <w:t>cninfo</w:t>
      </w:r>
      <w:r>
        <w:rPr>
          <w:rFonts w:hint="eastAsia" w:ascii="仿宋" w:hAnsi="仿宋" w:eastAsia="仿宋"/>
          <w:color w:val="000000"/>
          <w:sz w:val="32"/>
          <w:szCs w:val="28"/>
        </w:rPr>
        <w:t>.</w:t>
      </w:r>
      <w:r>
        <w:rPr>
          <w:rFonts w:ascii="仿宋" w:hAnsi="仿宋" w:eastAsia="仿宋"/>
          <w:color w:val="000000"/>
          <w:sz w:val="32"/>
          <w:szCs w:val="28"/>
        </w:rPr>
        <w:t>com</w:t>
      </w:r>
      <w:r>
        <w:rPr>
          <w:rFonts w:hint="eastAsia" w:ascii="仿宋" w:hAnsi="仿宋" w:eastAsia="仿宋"/>
          <w:color w:val="000000"/>
          <w:sz w:val="32"/>
          <w:szCs w:val="28"/>
        </w:rPr>
        <w:t>.</w:t>
      </w:r>
      <w:r>
        <w:rPr>
          <w:rFonts w:ascii="仿宋" w:hAnsi="仿宋" w:eastAsia="仿宋"/>
          <w:color w:val="000000"/>
          <w:sz w:val="32"/>
          <w:szCs w:val="28"/>
        </w:rPr>
        <w:t>cn）披露，同时在公司网站（如有）予以披露。披露方式如下：</w:t>
      </w:r>
    </w:p>
    <w:p>
      <w:pPr>
        <w:spacing w:line="560" w:lineRule="exact"/>
        <w:ind w:firstLine="646" w:firstLineChars="202"/>
        <w:rPr>
          <w:rFonts w:ascii="仿宋" w:hAnsi="仿宋" w:eastAsia="仿宋"/>
          <w:color w:val="000000"/>
          <w:sz w:val="32"/>
          <w:szCs w:val="28"/>
        </w:rPr>
      </w:pPr>
      <w:r>
        <w:rPr>
          <w:rFonts w:ascii="仿宋" w:hAnsi="仿宋" w:eastAsia="仿宋"/>
          <w:color w:val="000000"/>
          <w:sz w:val="32"/>
          <w:szCs w:val="28"/>
        </w:rPr>
        <w:t>1．通过资料填报-投资者关系管理信息填报进入</w:t>
      </w:r>
      <w:r>
        <w:rPr>
          <w:rFonts w:hint="eastAsia" w:ascii="仿宋" w:hAnsi="仿宋" w:eastAsia="仿宋"/>
          <w:color w:val="000000"/>
          <w:sz w:val="32"/>
          <w:szCs w:val="28"/>
        </w:rPr>
        <w:t>“</w:t>
      </w:r>
      <w:r>
        <w:rPr>
          <w:rFonts w:ascii="仿宋" w:hAnsi="仿宋" w:eastAsia="仿宋"/>
          <w:color w:val="000000"/>
          <w:sz w:val="32"/>
          <w:szCs w:val="28"/>
        </w:rPr>
        <w:t>投资者关系管理信息填报</w:t>
      </w:r>
      <w:r>
        <w:rPr>
          <w:rFonts w:hint="eastAsia" w:ascii="仿宋" w:hAnsi="仿宋" w:eastAsia="仿宋"/>
          <w:color w:val="000000"/>
          <w:sz w:val="32"/>
          <w:szCs w:val="28"/>
        </w:rPr>
        <w:t>”</w:t>
      </w:r>
      <w:r>
        <w:rPr>
          <w:rFonts w:ascii="仿宋" w:hAnsi="仿宋" w:eastAsia="仿宋"/>
          <w:color w:val="000000"/>
          <w:sz w:val="32"/>
          <w:szCs w:val="28"/>
        </w:rPr>
        <w:t>并新建申请，如图6-1所示：</w:t>
      </w:r>
    </w:p>
    <w:p>
      <w:pPr>
        <w:spacing w:line="560" w:lineRule="exact"/>
        <w:ind w:firstLine="424" w:firstLineChars="202"/>
        <w:rPr>
          <w:rFonts w:ascii="Times New Roman" w:hAnsi="Times New Roman" w:eastAsia="仿宋"/>
          <w:color w:val="000000"/>
          <w:sz w:val="28"/>
          <w:szCs w:val="28"/>
        </w:rPr>
      </w:pPr>
      <w:r>
        <w:drawing>
          <wp:anchor distT="0" distB="0" distL="114300" distR="114300" simplePos="0" relativeHeight="251684864" behindDoc="0" locked="0" layoutInCell="1" allowOverlap="1">
            <wp:simplePos x="0" y="0"/>
            <wp:positionH relativeFrom="column">
              <wp:posOffset>12700</wp:posOffset>
            </wp:positionH>
            <wp:positionV relativeFrom="paragraph">
              <wp:posOffset>70485</wp:posOffset>
            </wp:positionV>
            <wp:extent cx="5274310" cy="2829560"/>
            <wp:effectExtent l="19050" t="19050" r="21590" b="27940"/>
            <wp:wrapNone/>
            <wp:docPr id="2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74310" cy="2829560"/>
                    </a:xfrm>
                    <a:prstGeom prst="rect">
                      <a:avLst/>
                    </a:prstGeom>
                    <a:noFill/>
                    <a:ln w="9525">
                      <a:solidFill>
                        <a:srgbClr val="000000"/>
                      </a:solidFill>
                      <a:miter lim="800000"/>
                      <a:headEnd/>
                      <a:tailEnd/>
                    </a:ln>
                  </pic:spPr>
                </pic:pic>
              </a:graphicData>
            </a:graphic>
          </wp:anchor>
        </w:drawing>
      </w: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jc w:val="center"/>
        <w:rPr>
          <w:rFonts w:ascii="仿宋" w:hAnsi="仿宋" w:eastAsia="仿宋"/>
          <w:color w:val="000000"/>
          <w:sz w:val="24"/>
          <w:szCs w:val="24"/>
        </w:rPr>
      </w:pPr>
      <w:r>
        <w:rPr>
          <w:rFonts w:ascii="仿宋" w:hAnsi="仿宋" w:eastAsia="仿宋"/>
          <w:color w:val="000000"/>
          <w:sz w:val="24"/>
          <w:szCs w:val="24"/>
        </w:rPr>
        <w:t>图6-1 投资者关系管理信息填报示例1</w:t>
      </w:r>
    </w:p>
    <w:p>
      <w:pPr>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2．填写投资者关系管理详细信息，如图6-2所示：</w:t>
      </w:r>
    </w:p>
    <w:p>
      <w:pPr>
        <w:spacing w:line="560" w:lineRule="exact"/>
        <w:ind w:left="360"/>
        <w:jc w:val="center"/>
        <w:rPr>
          <w:rFonts w:ascii="仿宋" w:hAnsi="仿宋" w:eastAsia="仿宋"/>
          <w:color w:val="000000"/>
          <w:sz w:val="24"/>
          <w:szCs w:val="24"/>
        </w:rPr>
      </w:pPr>
      <w:r>
        <w:drawing>
          <wp:anchor distT="0" distB="0" distL="114300" distR="114300" simplePos="0" relativeHeight="251685888" behindDoc="1" locked="0" layoutInCell="1" allowOverlap="1">
            <wp:simplePos x="0" y="0"/>
            <wp:positionH relativeFrom="column">
              <wp:posOffset>123825</wp:posOffset>
            </wp:positionH>
            <wp:positionV relativeFrom="paragraph">
              <wp:posOffset>62865</wp:posOffset>
            </wp:positionV>
            <wp:extent cx="5105400" cy="2799715"/>
            <wp:effectExtent l="19050" t="19050" r="19050" b="19685"/>
            <wp:wrapTight wrapText="bothSides">
              <wp:wrapPolygon>
                <wp:start x="-81" y="-147"/>
                <wp:lineTo x="-81" y="21605"/>
                <wp:lineTo x="21600" y="21605"/>
                <wp:lineTo x="21600" y="-147"/>
                <wp:lineTo x="-81" y="-147"/>
              </wp:wrapPolygon>
            </wp:wrapTight>
            <wp:docPr id="2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105400" cy="2799715"/>
                    </a:xfrm>
                    <a:prstGeom prst="rect">
                      <a:avLst/>
                    </a:prstGeom>
                    <a:noFill/>
                    <a:ln w="9525">
                      <a:solidFill>
                        <a:srgbClr val="000000"/>
                      </a:solidFill>
                      <a:miter lim="800000"/>
                      <a:headEnd/>
                      <a:tailEnd/>
                    </a:ln>
                  </pic:spPr>
                </pic:pic>
              </a:graphicData>
            </a:graphic>
          </wp:anchor>
        </w:drawing>
      </w:r>
      <w:r>
        <w:rPr>
          <w:rFonts w:ascii="仿宋" w:hAnsi="仿宋" w:eastAsia="仿宋"/>
          <w:color w:val="000000"/>
          <w:sz w:val="24"/>
          <w:szCs w:val="24"/>
        </w:rPr>
        <w:t>图6-2投资者关系管理信息填报示例2</w:t>
      </w:r>
    </w:p>
    <w:p>
      <w:pPr>
        <w:spacing w:line="560" w:lineRule="exact"/>
        <w:ind w:left="357" w:firstLine="560" w:firstLineChars="200"/>
        <w:rPr>
          <w:rFonts w:ascii="仿宋" w:hAnsi="仿宋" w:eastAsia="仿宋"/>
          <w:color w:val="000000"/>
          <w:sz w:val="28"/>
          <w:szCs w:val="28"/>
        </w:rPr>
      </w:pPr>
      <w:r>
        <w:rPr>
          <w:rFonts w:ascii="仿宋" w:hAnsi="仿宋" w:eastAsia="仿宋"/>
          <w:color w:val="000000"/>
          <w:sz w:val="28"/>
          <w:szCs w:val="28"/>
        </w:rPr>
        <w:t>3．上传文件（允许上传的文件格式为：doc、docx、ppt、pptx、xls、xlsx、pdf、jpg、png、gif），如图6-3所示：</w:t>
      </w:r>
    </w:p>
    <w:p>
      <w:pPr>
        <w:spacing w:line="560" w:lineRule="exact"/>
        <w:jc w:val="center"/>
        <w:rPr>
          <w:rFonts w:ascii="仿宋" w:hAnsi="仿宋" w:eastAsia="仿宋"/>
          <w:color w:val="000000"/>
          <w:sz w:val="24"/>
          <w:szCs w:val="24"/>
        </w:rPr>
      </w:pPr>
      <w:r>
        <w:drawing>
          <wp:anchor distT="0" distB="0" distL="114300" distR="114300" simplePos="0" relativeHeight="251694080" behindDoc="1" locked="0" layoutInCell="1" allowOverlap="1">
            <wp:simplePos x="0" y="0"/>
            <wp:positionH relativeFrom="column">
              <wp:posOffset>-1270</wp:posOffset>
            </wp:positionH>
            <wp:positionV relativeFrom="page">
              <wp:posOffset>5285105</wp:posOffset>
            </wp:positionV>
            <wp:extent cx="5122545" cy="3408680"/>
            <wp:effectExtent l="0" t="0" r="1905" b="1270"/>
            <wp:wrapTight wrapText="bothSides">
              <wp:wrapPolygon>
                <wp:start x="0" y="0"/>
                <wp:lineTo x="0" y="21487"/>
                <wp:lineTo x="21528" y="21487"/>
                <wp:lineTo x="21528" y="0"/>
                <wp:lineTo x="0" y="0"/>
              </wp:wrapPolygon>
            </wp:wrapTight>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122545" cy="3408680"/>
                    </a:xfrm>
                    <a:prstGeom prst="rect">
                      <a:avLst/>
                    </a:prstGeom>
                    <a:noFill/>
                  </pic:spPr>
                </pic:pic>
              </a:graphicData>
            </a:graphic>
          </wp:anchor>
        </w:drawing>
      </w:r>
      <w:r>
        <w:rPr>
          <w:rFonts w:ascii="仿宋" w:hAnsi="仿宋" w:eastAsia="仿宋"/>
          <w:color w:val="000000"/>
          <w:sz w:val="24"/>
          <w:szCs w:val="24"/>
        </w:rPr>
        <w:t>图6-3投资者关系管理信息填报示例3</w:t>
      </w:r>
    </w:p>
    <w:p>
      <w:pPr>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4．保存提交的信息披露申请，如图6-4所示：</w:t>
      </w: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r>
        <w:drawing>
          <wp:anchor distT="0" distB="0" distL="114300" distR="114300" simplePos="0" relativeHeight="251688960" behindDoc="0" locked="0" layoutInCell="1" allowOverlap="1">
            <wp:simplePos x="0" y="0"/>
            <wp:positionH relativeFrom="column">
              <wp:posOffset>3175</wp:posOffset>
            </wp:positionH>
            <wp:positionV relativeFrom="paragraph">
              <wp:posOffset>-2579370</wp:posOffset>
            </wp:positionV>
            <wp:extent cx="5274310" cy="2862580"/>
            <wp:effectExtent l="19050" t="19050" r="21590" b="13970"/>
            <wp:wrapNone/>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74310" cy="2862580"/>
                    </a:xfrm>
                    <a:prstGeom prst="rect">
                      <a:avLst/>
                    </a:prstGeom>
                    <a:noFill/>
                    <a:ln w="9525">
                      <a:solidFill>
                        <a:srgbClr val="000000"/>
                      </a:solidFill>
                      <a:miter lim="800000"/>
                      <a:headEnd/>
                      <a:tailEnd/>
                    </a:ln>
                  </pic:spPr>
                </pic:pic>
              </a:graphicData>
            </a:graphic>
          </wp:anchor>
        </w:drawing>
      </w:r>
    </w:p>
    <w:p>
      <w:pPr>
        <w:spacing w:line="560" w:lineRule="exact"/>
        <w:jc w:val="center"/>
        <w:rPr>
          <w:rFonts w:ascii="仿宋" w:hAnsi="仿宋" w:eastAsia="仿宋"/>
          <w:color w:val="000000"/>
          <w:sz w:val="24"/>
          <w:szCs w:val="24"/>
        </w:rPr>
      </w:pPr>
      <w:r>
        <w:rPr>
          <w:rFonts w:ascii="仿宋" w:hAnsi="仿宋" w:eastAsia="仿宋"/>
          <w:color w:val="000000"/>
          <w:sz w:val="24"/>
          <w:szCs w:val="24"/>
        </w:rPr>
        <w:t>图6-4投资者关系管理信息填报示例4</w:t>
      </w:r>
    </w:p>
    <w:p>
      <w:pPr>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5．正式提交申请，如图6-5所示：</w:t>
      </w:r>
    </w:p>
    <w:p>
      <w:pPr>
        <w:spacing w:line="560" w:lineRule="exact"/>
        <w:rPr>
          <w:rFonts w:ascii="Times New Roman" w:hAnsi="Times New Roman" w:eastAsia="仿宋"/>
          <w:color w:val="000000"/>
          <w:sz w:val="28"/>
          <w:szCs w:val="28"/>
        </w:rPr>
      </w:pPr>
      <w:r>
        <w:drawing>
          <wp:anchor distT="0" distB="0" distL="114300" distR="114300" simplePos="0" relativeHeight="251689984" behindDoc="0" locked="0" layoutInCell="1" allowOverlap="1">
            <wp:simplePos x="0" y="0"/>
            <wp:positionH relativeFrom="column">
              <wp:posOffset>96520</wp:posOffset>
            </wp:positionH>
            <wp:positionV relativeFrom="paragraph">
              <wp:posOffset>90170</wp:posOffset>
            </wp:positionV>
            <wp:extent cx="5274310" cy="2776855"/>
            <wp:effectExtent l="19050" t="19050" r="21590" b="23495"/>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74310" cy="2776855"/>
                    </a:xfrm>
                    <a:prstGeom prst="rect">
                      <a:avLst/>
                    </a:prstGeom>
                    <a:noFill/>
                    <a:ln w="9525">
                      <a:solidFill>
                        <a:srgbClr val="000000"/>
                      </a:solidFill>
                      <a:miter lim="800000"/>
                      <a:headEnd/>
                      <a:tailEnd/>
                    </a:ln>
                  </pic:spPr>
                </pic:pic>
              </a:graphicData>
            </a:graphic>
          </wp:anchor>
        </w:drawing>
      </w: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rPr>
          <w:rFonts w:ascii="Times New Roman" w:hAnsi="Times New Roman" w:eastAsia="仿宋"/>
          <w:color w:val="000000"/>
          <w:sz w:val="28"/>
          <w:szCs w:val="28"/>
        </w:rPr>
      </w:pPr>
    </w:p>
    <w:p>
      <w:pPr>
        <w:spacing w:line="560" w:lineRule="exact"/>
        <w:jc w:val="center"/>
        <w:rPr>
          <w:rFonts w:ascii="仿宋" w:hAnsi="仿宋" w:eastAsia="仿宋"/>
          <w:color w:val="000000"/>
          <w:sz w:val="24"/>
          <w:szCs w:val="24"/>
        </w:rPr>
      </w:pPr>
      <w:r>
        <w:rPr>
          <w:rFonts w:ascii="仿宋" w:hAnsi="仿宋" w:eastAsia="仿宋"/>
          <w:color w:val="000000"/>
          <w:sz w:val="24"/>
          <w:szCs w:val="24"/>
        </w:rPr>
        <w:t>图6-5 投资者关系管理信息填报示例5</w:t>
      </w:r>
    </w:p>
    <w:p>
      <w:pPr>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6．正式提交前允许替换、删除已保存的文件，如图6-6所示：</w:t>
      </w:r>
    </w:p>
    <w:p>
      <w:pPr>
        <w:spacing w:line="560" w:lineRule="exact"/>
        <w:ind w:firstLine="420" w:firstLineChars="200"/>
        <w:jc w:val="center"/>
        <w:rPr>
          <w:rFonts w:ascii="仿宋" w:hAnsi="仿宋" w:eastAsia="仿宋"/>
          <w:color w:val="000000"/>
          <w:sz w:val="24"/>
          <w:szCs w:val="24"/>
        </w:rPr>
      </w:pPr>
      <w:r>
        <w:drawing>
          <wp:anchor distT="0" distB="0" distL="114300" distR="114300" simplePos="0" relativeHeight="251693056" behindDoc="1" locked="0" layoutInCell="1" allowOverlap="1">
            <wp:simplePos x="0" y="0"/>
            <wp:positionH relativeFrom="column">
              <wp:posOffset>-12065</wp:posOffset>
            </wp:positionH>
            <wp:positionV relativeFrom="paragraph">
              <wp:posOffset>137795</wp:posOffset>
            </wp:positionV>
            <wp:extent cx="5273675" cy="2750185"/>
            <wp:effectExtent l="19050" t="19050" r="22225" b="12065"/>
            <wp:wrapTight wrapText="bothSides">
              <wp:wrapPolygon>
                <wp:start x="-78" y="-150"/>
                <wp:lineTo x="-78" y="21545"/>
                <wp:lineTo x="21613" y="21545"/>
                <wp:lineTo x="21613" y="-150"/>
                <wp:lineTo x="-78" y="-150"/>
              </wp:wrapPolygon>
            </wp:wrapTight>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273675" cy="2750185"/>
                    </a:xfrm>
                    <a:prstGeom prst="rect">
                      <a:avLst/>
                    </a:prstGeom>
                    <a:noFill/>
                    <a:ln w="9525">
                      <a:solidFill>
                        <a:srgbClr val="000000"/>
                      </a:solidFill>
                      <a:miter lim="800000"/>
                      <a:headEnd/>
                      <a:tailEnd/>
                    </a:ln>
                  </pic:spPr>
                </pic:pic>
              </a:graphicData>
            </a:graphic>
          </wp:anchor>
        </w:drawing>
      </w:r>
      <w:r>
        <w:rPr>
          <w:rFonts w:ascii="仿宋" w:hAnsi="仿宋" w:eastAsia="仿宋"/>
          <w:color w:val="000000"/>
          <w:sz w:val="24"/>
          <w:szCs w:val="24"/>
        </w:rPr>
        <w:t>图6-6投资者关系管理信息填报示例5</w:t>
      </w:r>
    </w:p>
    <w:p>
      <w:pPr>
        <w:spacing w:line="560" w:lineRule="exact"/>
        <w:ind w:firstLine="640" w:firstLineChars="200"/>
        <w:rPr>
          <w:rFonts w:ascii="仿宋" w:hAnsi="仿宋" w:eastAsia="仿宋"/>
          <w:color w:val="000000"/>
          <w:sz w:val="32"/>
          <w:szCs w:val="28"/>
        </w:rPr>
      </w:pPr>
      <w:r>
        <w:rPr>
          <w:rFonts w:ascii="仿宋" w:hAnsi="仿宋" w:eastAsia="仿宋"/>
          <w:color w:val="000000"/>
          <w:sz w:val="32"/>
          <w:szCs w:val="28"/>
        </w:rPr>
        <w:t>7．允许查询受理中、已发布的申请。</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注意：已提交的申请不能修改或删除，如需修改已提交的申请，请新建一单新的申请，并在备注中写明原因，并致电（0755-88666049</w:t>
      </w:r>
      <w:r>
        <w:rPr>
          <w:rFonts w:hint="eastAsia" w:ascii="仿宋" w:hAnsi="仿宋" w:eastAsia="仿宋"/>
          <w:color w:val="000000"/>
          <w:sz w:val="32"/>
          <w:szCs w:val="28"/>
        </w:rPr>
        <w:t>、0755-88668499</w:t>
      </w:r>
      <w:r>
        <w:rPr>
          <w:rFonts w:ascii="仿宋" w:hAnsi="仿宋" w:eastAsia="仿宋"/>
          <w:color w:val="000000"/>
          <w:sz w:val="32"/>
          <w:szCs w:val="28"/>
        </w:rPr>
        <w:t>）联系相关人员处理。</w:t>
      </w:r>
    </w:p>
    <w:p>
      <w:pPr>
        <w:spacing w:line="560" w:lineRule="exact"/>
        <w:ind w:firstLine="640" w:firstLineChars="200"/>
        <w:rPr>
          <w:rFonts w:ascii="Times New Roman" w:hAnsi="Times New Roman" w:eastAsia="黑体"/>
          <w:sz w:val="32"/>
          <w:szCs w:val="20"/>
        </w:rPr>
      </w:pPr>
      <w:r>
        <w:rPr>
          <w:rFonts w:ascii="Times New Roman" w:hAnsi="Times New Roman" w:eastAsia="黑体"/>
          <w:sz w:val="32"/>
          <w:szCs w:val="20"/>
        </w:rPr>
        <w:t>七、联系方式</w:t>
      </w:r>
    </w:p>
    <w:p>
      <w:pPr>
        <w:snapToGrid w:val="0"/>
        <w:spacing w:line="560" w:lineRule="exact"/>
        <w:ind w:firstLine="640" w:firstLineChars="200"/>
        <w:contextualSpacing/>
        <w:rPr>
          <w:rFonts w:ascii="仿宋" w:hAnsi="仿宋" w:eastAsia="仿宋"/>
          <w:color w:val="000000"/>
          <w:sz w:val="32"/>
          <w:szCs w:val="28"/>
        </w:rPr>
      </w:pPr>
      <w:r>
        <w:rPr>
          <w:rFonts w:ascii="仿宋" w:hAnsi="仿宋" w:eastAsia="仿宋"/>
          <w:color w:val="000000"/>
          <w:sz w:val="32"/>
          <w:szCs w:val="28"/>
        </w:rPr>
        <w:t>上市公司在使用</w:t>
      </w:r>
      <w:r>
        <w:rPr>
          <w:rFonts w:hint="eastAsia" w:ascii="仿宋" w:hAnsi="仿宋" w:eastAsia="仿宋"/>
          <w:color w:val="000000"/>
          <w:sz w:val="32"/>
          <w:szCs w:val="28"/>
        </w:rPr>
        <w:t>业务专区时</w:t>
      </w:r>
      <w:r>
        <w:rPr>
          <w:rFonts w:ascii="仿宋" w:hAnsi="仿宋" w:eastAsia="仿宋"/>
          <w:color w:val="000000"/>
          <w:sz w:val="32"/>
          <w:szCs w:val="28"/>
        </w:rPr>
        <w:t>如有任何问题、意见或建议，请向本所反馈</w:t>
      </w:r>
      <w:r>
        <w:rPr>
          <w:rFonts w:hint="eastAsia" w:ascii="仿宋" w:hAnsi="仿宋" w:eastAsia="仿宋"/>
          <w:color w:val="000000"/>
          <w:sz w:val="32"/>
          <w:szCs w:val="28"/>
        </w:rPr>
        <w:t>，联系电话为</w:t>
      </w:r>
      <w:r>
        <w:rPr>
          <w:rFonts w:ascii="仿宋" w:hAnsi="仿宋" w:eastAsia="仿宋"/>
          <w:color w:val="000000"/>
          <w:sz w:val="32"/>
          <w:szCs w:val="28"/>
        </w:rPr>
        <w:t>0755-88668178，</w:t>
      </w:r>
      <w:r>
        <w:rPr>
          <w:rFonts w:hint="eastAsia" w:ascii="仿宋" w:hAnsi="仿宋" w:eastAsia="仿宋"/>
          <w:color w:val="000000"/>
          <w:sz w:val="32"/>
          <w:szCs w:val="28"/>
        </w:rPr>
        <w:t>邮箱为</w:t>
      </w:r>
      <w:r>
        <w:rPr>
          <w:rFonts w:ascii="仿宋" w:hAnsi="仿宋" w:eastAsia="仿宋"/>
          <w:color w:val="000000"/>
          <w:sz w:val="32"/>
          <w:szCs w:val="28"/>
        </w:rPr>
        <w:t>libin@szse</w:t>
      </w:r>
      <w:r>
        <w:rPr>
          <w:rFonts w:hint="eastAsia" w:ascii="仿宋" w:hAnsi="仿宋" w:eastAsia="仿宋"/>
          <w:color w:val="000000"/>
          <w:sz w:val="32"/>
          <w:szCs w:val="28"/>
        </w:rPr>
        <w:t>.</w:t>
      </w:r>
      <w:r>
        <w:rPr>
          <w:rFonts w:ascii="仿宋" w:hAnsi="仿宋" w:eastAsia="仿宋"/>
          <w:color w:val="000000"/>
          <w:sz w:val="32"/>
          <w:szCs w:val="28"/>
        </w:rPr>
        <w:t>cn</w:t>
      </w:r>
      <w:r>
        <w:rPr>
          <w:rFonts w:hint="eastAsia" w:ascii="仿宋" w:hAnsi="仿宋" w:eastAsia="仿宋"/>
          <w:color w:val="000000"/>
          <w:sz w:val="32"/>
          <w:szCs w:val="28"/>
        </w:rPr>
        <w:t>。</w:t>
      </w:r>
    </w:p>
    <w:p>
      <w:pPr>
        <w:spacing w:line="560" w:lineRule="exact"/>
        <w:ind w:firstLine="640" w:firstLineChars="200"/>
        <w:rPr>
          <w:rFonts w:ascii="仿宋" w:hAnsi="仿宋" w:eastAsia="仿宋"/>
          <w:sz w:val="32"/>
          <w:szCs w:val="28"/>
        </w:rPr>
      </w:pPr>
      <w:r>
        <w:rPr>
          <w:rFonts w:hint="eastAsia" w:ascii="仿宋" w:hAnsi="仿宋" w:eastAsia="仿宋"/>
          <w:sz w:val="32"/>
          <w:szCs w:val="28"/>
        </w:rPr>
        <w:t>上市公司如需传真相关文件或资料至本所，可拨打自动传真系统电话号码</w:t>
      </w:r>
      <w:r>
        <w:rPr>
          <w:rFonts w:ascii="仿宋" w:hAnsi="仿宋" w:eastAsia="仿宋"/>
          <w:sz w:val="32"/>
          <w:szCs w:val="28"/>
        </w:rPr>
        <w:t>0755-82083111</w:t>
      </w:r>
      <w:r>
        <w:rPr>
          <w:rFonts w:hint="eastAsia" w:ascii="仿宋" w:hAnsi="仿宋" w:eastAsia="仿宋"/>
          <w:sz w:val="32"/>
          <w:szCs w:val="28"/>
        </w:rPr>
        <w:t>，并按提示操作。</w:t>
      </w:r>
      <w:r>
        <w:rPr>
          <w:rFonts w:ascii="仿宋" w:hAnsi="仿宋" w:eastAsia="仿宋"/>
          <w:sz w:val="32"/>
          <w:szCs w:val="28"/>
        </w:rPr>
        <w:t>拨通该号码后系统会有自动提示音，提示输入公司代码，在输入完成后按</w:t>
      </w:r>
      <w:r>
        <w:rPr>
          <w:rFonts w:hint="eastAsia" w:ascii="仿宋" w:hAnsi="仿宋" w:eastAsia="仿宋"/>
          <w:sz w:val="32"/>
          <w:szCs w:val="28"/>
        </w:rPr>
        <w:t>“</w:t>
      </w:r>
      <w:r>
        <w:rPr>
          <w:rFonts w:ascii="仿宋" w:hAnsi="仿宋" w:eastAsia="仿宋"/>
          <w:sz w:val="32"/>
          <w:szCs w:val="28"/>
        </w:rPr>
        <w:t>#</w:t>
      </w:r>
      <w:r>
        <w:rPr>
          <w:rFonts w:hint="eastAsia" w:ascii="仿宋" w:hAnsi="仿宋" w:eastAsia="仿宋"/>
          <w:sz w:val="32"/>
          <w:szCs w:val="28"/>
        </w:rPr>
        <w:t>”</w:t>
      </w:r>
      <w:r>
        <w:rPr>
          <w:rFonts w:ascii="仿宋" w:hAnsi="仿宋" w:eastAsia="仿宋"/>
          <w:sz w:val="32"/>
          <w:szCs w:val="28"/>
        </w:rPr>
        <w:t>号键确认。在确认后会有提示音提示输入发送传真的类别：按1为公告，2为附件，9为其他。在选择完成后，自动传真系统将会把输入的公司代码及选择的传真类别再读一遍，并提示：按</w:t>
      </w:r>
      <w:r>
        <w:rPr>
          <w:rFonts w:hint="eastAsia" w:ascii="仿宋" w:hAnsi="仿宋" w:eastAsia="仿宋"/>
          <w:sz w:val="32"/>
          <w:szCs w:val="28"/>
        </w:rPr>
        <w:t>“</w:t>
      </w:r>
      <w:r>
        <w:rPr>
          <w:rFonts w:ascii="仿宋" w:hAnsi="仿宋" w:eastAsia="仿宋"/>
          <w:sz w:val="32"/>
          <w:szCs w:val="28"/>
        </w:rPr>
        <w:t>*</w:t>
      </w:r>
      <w:r>
        <w:rPr>
          <w:rFonts w:hint="eastAsia" w:ascii="仿宋" w:hAnsi="仿宋" w:eastAsia="仿宋"/>
          <w:sz w:val="32"/>
          <w:szCs w:val="28"/>
        </w:rPr>
        <w:t>”</w:t>
      </w:r>
      <w:r>
        <w:rPr>
          <w:rFonts w:ascii="仿宋" w:hAnsi="仿宋" w:eastAsia="仿宋"/>
          <w:sz w:val="32"/>
          <w:szCs w:val="28"/>
        </w:rPr>
        <w:t>键确认，按</w:t>
      </w:r>
      <w:r>
        <w:rPr>
          <w:rFonts w:hint="eastAsia" w:ascii="仿宋" w:hAnsi="仿宋" w:eastAsia="仿宋"/>
          <w:sz w:val="32"/>
          <w:szCs w:val="28"/>
        </w:rPr>
        <w:t>“</w:t>
      </w:r>
      <w:r>
        <w:rPr>
          <w:rFonts w:ascii="仿宋" w:hAnsi="仿宋" w:eastAsia="仿宋"/>
          <w:sz w:val="32"/>
          <w:szCs w:val="28"/>
        </w:rPr>
        <w:t>#</w:t>
      </w:r>
      <w:r>
        <w:rPr>
          <w:rFonts w:hint="eastAsia" w:ascii="仿宋" w:hAnsi="仿宋" w:eastAsia="仿宋"/>
          <w:sz w:val="32"/>
          <w:szCs w:val="28"/>
        </w:rPr>
        <w:t>”</w:t>
      </w:r>
      <w:r>
        <w:rPr>
          <w:rFonts w:ascii="仿宋" w:hAnsi="仿宋" w:eastAsia="仿宋"/>
          <w:sz w:val="32"/>
          <w:szCs w:val="28"/>
        </w:rPr>
        <w:t>键重新输入。如果确认输入无误后可按</w:t>
      </w:r>
      <w:r>
        <w:rPr>
          <w:rFonts w:hint="eastAsia" w:ascii="仿宋" w:hAnsi="仿宋" w:eastAsia="仿宋"/>
          <w:sz w:val="32"/>
          <w:szCs w:val="28"/>
        </w:rPr>
        <w:t>“</w:t>
      </w:r>
      <w:r>
        <w:rPr>
          <w:rFonts w:ascii="仿宋" w:hAnsi="仿宋" w:eastAsia="仿宋"/>
          <w:sz w:val="32"/>
          <w:szCs w:val="28"/>
        </w:rPr>
        <w:t>*</w:t>
      </w:r>
      <w:r>
        <w:rPr>
          <w:rFonts w:hint="eastAsia" w:ascii="仿宋" w:hAnsi="仿宋" w:eastAsia="仿宋"/>
          <w:sz w:val="32"/>
          <w:szCs w:val="28"/>
        </w:rPr>
        <w:t>”</w:t>
      </w:r>
      <w:r>
        <w:rPr>
          <w:rFonts w:ascii="仿宋" w:hAnsi="仿宋" w:eastAsia="仿宋"/>
          <w:sz w:val="32"/>
          <w:szCs w:val="28"/>
        </w:rPr>
        <w:t>号键予以确认，自动传真系统会给一个传真信号音，之后可以正常发送传真，结束后挂断即可。如果发现输入有误可以按</w:t>
      </w:r>
      <w:r>
        <w:rPr>
          <w:rFonts w:hint="eastAsia" w:ascii="仿宋" w:hAnsi="仿宋" w:eastAsia="仿宋"/>
          <w:sz w:val="32"/>
          <w:szCs w:val="28"/>
        </w:rPr>
        <w:t>“</w:t>
      </w:r>
      <w:r>
        <w:rPr>
          <w:rFonts w:ascii="仿宋" w:hAnsi="仿宋" w:eastAsia="仿宋"/>
          <w:sz w:val="32"/>
          <w:szCs w:val="28"/>
        </w:rPr>
        <w:t>#</w:t>
      </w:r>
      <w:r>
        <w:rPr>
          <w:rFonts w:hint="eastAsia" w:ascii="仿宋" w:hAnsi="仿宋" w:eastAsia="仿宋"/>
          <w:sz w:val="32"/>
          <w:szCs w:val="28"/>
        </w:rPr>
        <w:t>”</w:t>
      </w:r>
      <w:r>
        <w:rPr>
          <w:rFonts w:ascii="仿宋" w:hAnsi="仿宋" w:eastAsia="仿宋"/>
          <w:sz w:val="32"/>
          <w:szCs w:val="28"/>
        </w:rPr>
        <w:t>键取消，自动传真系统会提示重新输入公司代码。</w:t>
      </w:r>
    </w:p>
    <w:p>
      <w:pPr>
        <w:tabs>
          <w:tab w:val="left" w:pos="1080"/>
          <w:tab w:val="left" w:pos="7920"/>
        </w:tabs>
        <w:snapToGrid w:val="0"/>
        <w:spacing w:line="560" w:lineRule="exact"/>
        <w:ind w:firstLine="640" w:firstLineChars="200"/>
        <w:contextualSpacing/>
        <w:rPr>
          <w:rFonts w:ascii="Times New Roman" w:hAnsi="Times New Roman" w:eastAsia="方正仿宋简体"/>
          <w:color w:val="000000"/>
          <w:sz w:val="32"/>
          <w:szCs w:val="28"/>
        </w:rPr>
      </w:pPr>
    </w:p>
    <w:p>
      <w:pPr>
        <w:widowControl/>
        <w:jc w:val="left"/>
        <w:rPr>
          <w:rFonts w:ascii="黑体" w:hAnsi="黑体" w:eastAsia="黑体"/>
          <w:sz w:val="32"/>
          <w:szCs w:val="20"/>
        </w:rPr>
      </w:pPr>
      <w:r>
        <w:rPr>
          <w:rFonts w:ascii="Times New Roman" w:hAnsi="Times New Roman" w:eastAsia="方正仿宋简体"/>
          <w:b/>
          <w:kern w:val="0"/>
          <w:sz w:val="30"/>
          <w:szCs w:val="30"/>
        </w:rPr>
        <w:br w:type="page"/>
      </w:r>
      <w:r>
        <w:rPr>
          <w:rFonts w:ascii="黑体" w:hAnsi="黑体" w:eastAsia="黑体"/>
          <w:sz w:val="32"/>
          <w:szCs w:val="20"/>
        </w:rPr>
        <w:t>附件1</w:t>
      </w:r>
    </w:p>
    <w:p>
      <w:pPr>
        <w:widowControl/>
        <w:spacing w:line="560" w:lineRule="exact"/>
        <w:jc w:val="left"/>
        <w:rPr>
          <w:rFonts w:ascii="Times New Roman" w:hAnsi="Times New Roman" w:eastAsia="仿宋"/>
          <w:sz w:val="32"/>
          <w:szCs w:val="20"/>
        </w:rPr>
      </w:pPr>
    </w:p>
    <w:p>
      <w:pPr>
        <w:spacing w:line="560" w:lineRule="exact"/>
        <w:jc w:val="center"/>
        <w:rPr>
          <w:rFonts w:ascii="方正小标宋简体" w:hAnsi="Times New Roman" w:eastAsia="方正小标宋简体"/>
          <w:bCs/>
          <w:iCs/>
          <w:color w:val="000000"/>
          <w:sz w:val="32"/>
          <w:szCs w:val="32"/>
        </w:rPr>
      </w:pPr>
      <w:r>
        <w:rPr>
          <w:rFonts w:ascii="方正小标宋简体" w:hAnsi="Times New Roman" w:eastAsia="方正小标宋简体"/>
          <w:bCs/>
          <w:iCs/>
          <w:color w:val="000000"/>
          <w:sz w:val="32"/>
          <w:szCs w:val="32"/>
        </w:rPr>
        <w:t>上市公司业务专区登录方式</w:t>
      </w:r>
    </w:p>
    <w:p>
      <w:pPr>
        <w:spacing w:line="560" w:lineRule="exact"/>
        <w:ind w:firstLine="640" w:firstLineChars="200"/>
        <w:rPr>
          <w:rFonts w:ascii="仿宋" w:hAnsi="仿宋" w:eastAsia="仿宋"/>
          <w:color w:val="000000"/>
          <w:kern w:val="0"/>
          <w:sz w:val="32"/>
          <w:szCs w:val="32"/>
        </w:rPr>
      </w:pPr>
      <w:r>
        <w:rPr>
          <w:rFonts w:ascii="仿宋" w:hAnsi="仿宋" w:eastAsia="仿宋"/>
          <w:color w:val="000000"/>
          <w:kern w:val="0"/>
          <w:sz w:val="32"/>
          <w:szCs w:val="32"/>
        </w:rPr>
        <w:t>上市公司可以通过以下方式登录业务专区：</w:t>
      </w:r>
    </w:p>
    <w:p>
      <w:pPr>
        <w:spacing w:line="560" w:lineRule="exact"/>
        <w:ind w:firstLine="640" w:firstLineChars="200"/>
        <w:rPr>
          <w:rFonts w:ascii="仿宋" w:hAnsi="仿宋" w:eastAsia="仿宋"/>
          <w:color w:val="000000"/>
          <w:kern w:val="0"/>
          <w:sz w:val="32"/>
          <w:szCs w:val="32"/>
        </w:rPr>
      </w:pPr>
      <w:r>
        <w:rPr>
          <w:rFonts w:hint="eastAsia" w:ascii="仿宋" w:hAnsi="仿宋" w:eastAsia="仿宋"/>
          <w:color w:val="000000"/>
          <w:kern w:val="0"/>
          <w:sz w:val="32"/>
          <w:szCs w:val="32"/>
        </w:rPr>
        <w:t>一、</w:t>
      </w:r>
      <w:r>
        <w:rPr>
          <w:rFonts w:ascii="仿宋" w:hAnsi="仿宋" w:eastAsia="仿宋"/>
          <w:color w:val="000000"/>
          <w:kern w:val="0"/>
          <w:sz w:val="32"/>
          <w:szCs w:val="32"/>
        </w:rPr>
        <w:t>登录深交所网站（</w:t>
      </w:r>
      <w:r>
        <w:fldChar w:fldCharType="begin"/>
      </w:r>
      <w:r>
        <w:instrText xml:space="preserve"> HYPERLINK "http://www.szse.cn" </w:instrText>
      </w:r>
      <w:r>
        <w:fldChar w:fldCharType="separate"/>
      </w:r>
      <w:r>
        <w:rPr>
          <w:rFonts w:ascii="仿宋" w:hAnsi="仿宋" w:eastAsia="仿宋"/>
          <w:color w:val="000000"/>
          <w:kern w:val="0"/>
          <w:sz w:val="32"/>
          <w:szCs w:val="32"/>
        </w:rPr>
        <w:t>http://www</w:t>
      </w:r>
      <w:r>
        <w:rPr>
          <w:rFonts w:hint="eastAsia" w:ascii="仿宋" w:hAnsi="仿宋" w:eastAsia="仿宋"/>
          <w:color w:val="000000"/>
          <w:kern w:val="0"/>
          <w:sz w:val="32"/>
          <w:szCs w:val="32"/>
        </w:rPr>
        <w:t>.</w:t>
      </w:r>
      <w:r>
        <w:rPr>
          <w:rFonts w:ascii="仿宋" w:hAnsi="仿宋" w:eastAsia="仿宋"/>
          <w:color w:val="000000"/>
          <w:kern w:val="0"/>
          <w:sz w:val="32"/>
          <w:szCs w:val="32"/>
        </w:rPr>
        <w:t>szse</w:t>
      </w:r>
      <w:r>
        <w:rPr>
          <w:rFonts w:hint="eastAsia" w:ascii="仿宋" w:hAnsi="仿宋" w:eastAsia="仿宋"/>
          <w:color w:val="000000"/>
          <w:kern w:val="0"/>
          <w:sz w:val="32"/>
          <w:szCs w:val="32"/>
        </w:rPr>
        <w:t>.</w:t>
      </w:r>
      <w:r>
        <w:rPr>
          <w:rFonts w:ascii="仿宋" w:hAnsi="仿宋" w:eastAsia="仿宋"/>
          <w:color w:val="000000"/>
          <w:kern w:val="0"/>
          <w:sz w:val="32"/>
          <w:szCs w:val="32"/>
        </w:rPr>
        <w:t>cn</w:t>
      </w:r>
      <w:r>
        <w:rPr>
          <w:rFonts w:ascii="仿宋" w:hAnsi="仿宋" w:eastAsia="仿宋"/>
          <w:color w:val="000000"/>
          <w:kern w:val="0"/>
          <w:sz w:val="32"/>
          <w:szCs w:val="32"/>
        </w:rPr>
        <w:fldChar w:fldCharType="end"/>
      </w:r>
      <w:r>
        <w:rPr>
          <w:rFonts w:ascii="仿宋" w:hAnsi="仿宋" w:eastAsia="仿宋"/>
          <w:color w:val="000000"/>
          <w:kern w:val="0"/>
          <w:sz w:val="32"/>
          <w:szCs w:val="32"/>
        </w:rPr>
        <w:t>）点击创业板业务专区，输入用户名和密码即可登录。以该方式登录的上市公司，可查看</w:t>
      </w:r>
      <w:r>
        <w:rPr>
          <w:rFonts w:hint="eastAsia" w:ascii="仿宋" w:hAnsi="仿宋" w:eastAsia="仿宋"/>
          <w:color w:val="000000"/>
          <w:kern w:val="0"/>
          <w:sz w:val="32"/>
          <w:szCs w:val="32"/>
        </w:rPr>
        <w:t>“</w:t>
      </w:r>
      <w:r>
        <w:rPr>
          <w:rFonts w:ascii="仿宋" w:hAnsi="仿宋" w:eastAsia="仿宋"/>
          <w:color w:val="000000"/>
          <w:kern w:val="0"/>
          <w:sz w:val="32"/>
          <w:szCs w:val="32"/>
        </w:rPr>
        <w:t>业务通知</w:t>
      </w:r>
      <w:r>
        <w:rPr>
          <w:rFonts w:hint="eastAsia" w:ascii="仿宋" w:hAnsi="仿宋" w:eastAsia="仿宋"/>
          <w:color w:val="000000"/>
          <w:kern w:val="0"/>
          <w:sz w:val="32"/>
          <w:szCs w:val="32"/>
        </w:rPr>
        <w:t>”“</w:t>
      </w:r>
      <w:r>
        <w:rPr>
          <w:rFonts w:ascii="仿宋" w:hAnsi="仿宋" w:eastAsia="仿宋"/>
          <w:color w:val="000000"/>
          <w:kern w:val="0"/>
          <w:sz w:val="32"/>
          <w:szCs w:val="32"/>
        </w:rPr>
        <w:t>法律法规</w:t>
      </w:r>
      <w:r>
        <w:rPr>
          <w:rFonts w:hint="eastAsia" w:ascii="仿宋" w:hAnsi="仿宋" w:eastAsia="仿宋"/>
          <w:color w:val="000000"/>
          <w:kern w:val="0"/>
          <w:sz w:val="32"/>
          <w:szCs w:val="32"/>
        </w:rPr>
        <w:t>”</w:t>
      </w:r>
      <w:r>
        <w:rPr>
          <w:rFonts w:ascii="仿宋" w:hAnsi="仿宋" w:eastAsia="仿宋"/>
          <w:color w:val="000000"/>
          <w:kern w:val="0"/>
          <w:sz w:val="32"/>
          <w:szCs w:val="32"/>
        </w:rPr>
        <w:t>等栏目，但当点击</w:t>
      </w:r>
      <w:r>
        <w:rPr>
          <w:rFonts w:hint="eastAsia" w:ascii="仿宋" w:hAnsi="仿宋" w:eastAsia="仿宋"/>
          <w:color w:val="000000"/>
          <w:kern w:val="0"/>
          <w:sz w:val="32"/>
          <w:szCs w:val="32"/>
        </w:rPr>
        <w:t>“</w:t>
      </w:r>
      <w:r>
        <w:rPr>
          <w:rFonts w:ascii="仿宋" w:hAnsi="仿宋" w:eastAsia="仿宋"/>
          <w:color w:val="000000"/>
          <w:kern w:val="0"/>
          <w:sz w:val="32"/>
          <w:szCs w:val="32"/>
        </w:rPr>
        <w:t>信息披露业务</w:t>
      </w:r>
      <w:r>
        <w:rPr>
          <w:rFonts w:hint="eastAsia" w:ascii="仿宋" w:hAnsi="仿宋" w:eastAsia="仿宋"/>
          <w:color w:val="000000"/>
          <w:kern w:val="0"/>
          <w:sz w:val="32"/>
          <w:szCs w:val="32"/>
        </w:rPr>
        <w:t>”</w:t>
      </w:r>
      <w:r>
        <w:rPr>
          <w:rFonts w:ascii="仿宋" w:hAnsi="仿宋" w:eastAsia="仿宋"/>
          <w:color w:val="000000"/>
          <w:kern w:val="0"/>
          <w:sz w:val="32"/>
          <w:szCs w:val="32"/>
        </w:rPr>
        <w:t>时系统会再提示选择数字证书以进行业务办理的身份验证。</w:t>
      </w:r>
    </w:p>
    <w:p>
      <w:pPr>
        <w:snapToGrid w:val="0"/>
        <w:spacing w:line="560" w:lineRule="exact"/>
        <w:ind w:firstLine="640" w:firstLineChars="200"/>
        <w:contextualSpacing/>
        <w:rPr>
          <w:rFonts w:ascii="仿宋" w:hAnsi="仿宋" w:eastAsia="仿宋"/>
          <w:color w:val="000000"/>
          <w:kern w:val="0"/>
          <w:sz w:val="32"/>
          <w:szCs w:val="32"/>
        </w:rPr>
      </w:pPr>
      <w:r>
        <w:rPr>
          <w:rFonts w:hint="eastAsia" w:ascii="仿宋" w:hAnsi="仿宋" w:eastAsia="仿宋"/>
          <w:color w:val="000000"/>
          <w:kern w:val="0"/>
          <w:sz w:val="32"/>
          <w:szCs w:val="32"/>
        </w:rPr>
        <w:t>二</w:t>
      </w:r>
      <w:r>
        <w:rPr>
          <w:rFonts w:ascii="仿宋" w:hAnsi="仿宋" w:eastAsia="仿宋"/>
          <w:color w:val="000000"/>
          <w:kern w:val="0"/>
          <w:sz w:val="32"/>
          <w:szCs w:val="32"/>
        </w:rPr>
        <w:t>、在IE浏览器中直接输入地址（注意区分大小写）：</w:t>
      </w:r>
    </w:p>
    <w:p>
      <w:pPr>
        <w:snapToGrid w:val="0"/>
        <w:spacing w:line="560" w:lineRule="exact"/>
        <w:ind w:firstLine="420" w:firstLineChars="200"/>
        <w:contextualSpacing/>
        <w:rPr>
          <w:rFonts w:ascii="仿宋" w:hAnsi="仿宋" w:eastAsia="仿宋"/>
          <w:color w:val="000000"/>
          <w:kern w:val="0"/>
          <w:sz w:val="32"/>
          <w:szCs w:val="32"/>
        </w:rPr>
      </w:pPr>
      <w:r>
        <w:fldChar w:fldCharType="begin"/>
      </w:r>
      <w:r>
        <w:instrText xml:space="preserve"> HYPERLINK "https://biz.szse.cn/nmk/index.html" </w:instrText>
      </w:r>
      <w:r>
        <w:fldChar w:fldCharType="separate"/>
      </w:r>
      <w:r>
        <w:rPr>
          <w:rFonts w:ascii="Times New Roman" w:hAnsi="Times New Roman" w:eastAsia="仿宋"/>
          <w:color w:val="000000"/>
          <w:kern w:val="0"/>
          <w:sz w:val="32"/>
          <w:szCs w:val="32"/>
        </w:rPr>
        <w:t>https://biz.szse.cn/nmk/index.html</w:t>
      </w:r>
      <w:r>
        <w:rPr>
          <w:rFonts w:ascii="Times New Roman" w:hAnsi="Times New Roman" w:eastAsia="仿宋"/>
          <w:color w:val="000000"/>
          <w:kern w:val="0"/>
          <w:sz w:val="32"/>
          <w:szCs w:val="32"/>
        </w:rPr>
        <w:fldChar w:fldCharType="end"/>
      </w:r>
      <w:r>
        <w:rPr>
          <w:rFonts w:ascii="仿宋" w:hAnsi="仿宋" w:eastAsia="仿宋"/>
          <w:color w:val="000000"/>
          <w:kern w:val="0"/>
          <w:sz w:val="32"/>
          <w:szCs w:val="32"/>
        </w:rPr>
        <w:t>系统会自动提示选择数字证书进行身份验证，注意这里要求输入的EKey访问密码为证书密码。证书密码在数字证书申请时由发证机构设定，用户可以通过证书管理软件</w:t>
      </w:r>
      <w:r>
        <w:rPr>
          <w:rFonts w:hint="eastAsia" w:ascii="仿宋" w:hAnsi="仿宋" w:eastAsia="仿宋"/>
          <w:color w:val="000000"/>
          <w:kern w:val="0"/>
          <w:sz w:val="32"/>
          <w:szCs w:val="32"/>
        </w:rPr>
        <w:t>“</w:t>
      </w:r>
      <w:r>
        <w:rPr>
          <w:rFonts w:ascii="仿宋" w:hAnsi="仿宋" w:eastAsia="仿宋"/>
          <w:color w:val="000000"/>
          <w:kern w:val="0"/>
          <w:sz w:val="32"/>
          <w:szCs w:val="32"/>
        </w:rPr>
        <w:t>EKey管理器</w:t>
      </w:r>
      <w:r>
        <w:rPr>
          <w:rFonts w:hint="eastAsia" w:ascii="仿宋" w:hAnsi="仿宋" w:eastAsia="仿宋"/>
          <w:color w:val="000000"/>
          <w:kern w:val="0"/>
          <w:sz w:val="32"/>
          <w:szCs w:val="32"/>
        </w:rPr>
        <w:t>”</w:t>
      </w:r>
      <w:r>
        <w:rPr>
          <w:rFonts w:ascii="仿宋" w:hAnsi="仿宋" w:eastAsia="仿宋"/>
          <w:color w:val="000000"/>
          <w:kern w:val="0"/>
          <w:sz w:val="32"/>
          <w:szCs w:val="32"/>
        </w:rPr>
        <w:t>（在右下角的工具栏）中的</w:t>
      </w:r>
      <w:r>
        <w:rPr>
          <w:rFonts w:hint="eastAsia" w:ascii="仿宋" w:hAnsi="仿宋" w:eastAsia="仿宋"/>
          <w:color w:val="000000"/>
          <w:kern w:val="0"/>
          <w:sz w:val="32"/>
          <w:szCs w:val="32"/>
        </w:rPr>
        <w:t>“</w:t>
      </w:r>
      <w:r>
        <w:rPr>
          <w:rFonts w:ascii="仿宋" w:hAnsi="仿宋" w:eastAsia="仿宋"/>
          <w:color w:val="000000"/>
          <w:kern w:val="0"/>
          <w:sz w:val="32"/>
          <w:szCs w:val="32"/>
        </w:rPr>
        <w:t>修改用户密码</w:t>
      </w:r>
      <w:r>
        <w:rPr>
          <w:rFonts w:hint="eastAsia" w:ascii="仿宋" w:hAnsi="仿宋" w:eastAsia="仿宋"/>
          <w:color w:val="000000"/>
          <w:kern w:val="0"/>
          <w:sz w:val="32"/>
          <w:szCs w:val="32"/>
        </w:rPr>
        <w:t>”</w:t>
      </w:r>
      <w:r>
        <w:rPr>
          <w:rFonts w:ascii="仿宋" w:hAnsi="仿宋" w:eastAsia="仿宋"/>
          <w:color w:val="000000"/>
          <w:kern w:val="0"/>
          <w:sz w:val="32"/>
          <w:szCs w:val="32"/>
        </w:rPr>
        <w:t>进行修改。在数字证书使用时，如果密码连续输错五次，数字证书将会被自动锁住。请与数字证书发放机构联系解锁事宜（咨询电话：0755-88666172、0755-88666344）。</w:t>
      </w:r>
    </w:p>
    <w:p>
      <w:pPr>
        <w:tabs>
          <w:tab w:val="left" w:pos="0"/>
        </w:tabs>
        <w:snapToGrid w:val="0"/>
        <w:spacing w:line="560" w:lineRule="exact"/>
        <w:ind w:firstLine="640" w:firstLineChars="200"/>
        <w:contextualSpacing/>
        <w:rPr>
          <w:rFonts w:ascii="仿宋" w:hAnsi="仿宋" w:eastAsia="仿宋"/>
          <w:color w:val="000000"/>
          <w:kern w:val="0"/>
          <w:sz w:val="32"/>
          <w:szCs w:val="32"/>
        </w:rPr>
      </w:pPr>
      <w:r>
        <w:rPr>
          <w:rFonts w:hint="eastAsia" w:ascii="仿宋" w:hAnsi="仿宋" w:eastAsia="仿宋"/>
          <w:color w:val="000000"/>
          <w:kern w:val="0"/>
          <w:sz w:val="32"/>
          <w:szCs w:val="32"/>
        </w:rPr>
        <w:t>三</w:t>
      </w:r>
      <w:r>
        <w:rPr>
          <w:rFonts w:ascii="仿宋" w:hAnsi="仿宋" w:eastAsia="仿宋"/>
          <w:color w:val="000000"/>
          <w:kern w:val="0"/>
          <w:sz w:val="32"/>
          <w:szCs w:val="32"/>
        </w:rPr>
        <w:t>、在证书管理软件</w:t>
      </w:r>
      <w:r>
        <w:rPr>
          <w:rFonts w:hint="eastAsia" w:ascii="仿宋" w:hAnsi="仿宋" w:eastAsia="仿宋"/>
          <w:color w:val="000000"/>
          <w:kern w:val="0"/>
          <w:sz w:val="32"/>
          <w:szCs w:val="32"/>
        </w:rPr>
        <w:t>“</w:t>
      </w:r>
      <w:r>
        <w:rPr>
          <w:rFonts w:ascii="仿宋" w:hAnsi="仿宋" w:eastAsia="仿宋"/>
          <w:color w:val="000000"/>
          <w:kern w:val="0"/>
          <w:sz w:val="32"/>
          <w:szCs w:val="32"/>
        </w:rPr>
        <w:t>EKey管理器</w:t>
      </w:r>
      <w:r>
        <w:rPr>
          <w:rFonts w:hint="eastAsia" w:ascii="仿宋" w:hAnsi="仿宋" w:eastAsia="仿宋"/>
          <w:color w:val="000000"/>
          <w:kern w:val="0"/>
          <w:sz w:val="32"/>
          <w:szCs w:val="32"/>
        </w:rPr>
        <w:t>”</w:t>
      </w:r>
      <w:r>
        <w:rPr>
          <w:rFonts w:ascii="仿宋" w:hAnsi="仿宋" w:eastAsia="仿宋"/>
          <w:color w:val="000000"/>
          <w:kern w:val="0"/>
          <w:sz w:val="32"/>
          <w:szCs w:val="32"/>
        </w:rPr>
        <w:t>中，进入</w:t>
      </w:r>
      <w:r>
        <w:rPr>
          <w:rFonts w:hint="eastAsia" w:ascii="仿宋" w:hAnsi="仿宋" w:eastAsia="仿宋"/>
          <w:color w:val="000000"/>
          <w:kern w:val="0"/>
          <w:sz w:val="32"/>
          <w:szCs w:val="32"/>
        </w:rPr>
        <w:t>“</w:t>
      </w:r>
      <w:r>
        <w:rPr>
          <w:rFonts w:ascii="仿宋" w:hAnsi="仿宋" w:eastAsia="仿宋"/>
          <w:color w:val="000000"/>
          <w:kern w:val="0"/>
          <w:sz w:val="32"/>
          <w:szCs w:val="32"/>
        </w:rPr>
        <w:t>设置网址</w:t>
      </w:r>
      <w:r>
        <w:rPr>
          <w:rFonts w:hint="eastAsia" w:ascii="仿宋" w:hAnsi="仿宋" w:eastAsia="仿宋"/>
          <w:color w:val="000000"/>
          <w:kern w:val="0"/>
          <w:sz w:val="32"/>
          <w:szCs w:val="32"/>
        </w:rPr>
        <w:t>”</w:t>
      </w:r>
      <w:r>
        <w:rPr>
          <w:rFonts w:ascii="仿宋" w:hAnsi="仿宋" w:eastAsia="仿宋"/>
          <w:color w:val="000000"/>
          <w:kern w:val="0"/>
          <w:sz w:val="32"/>
          <w:szCs w:val="32"/>
        </w:rPr>
        <w:t>，点击</w:t>
      </w:r>
      <w:r>
        <w:rPr>
          <w:rFonts w:hint="eastAsia" w:ascii="仿宋" w:hAnsi="仿宋" w:eastAsia="仿宋"/>
          <w:color w:val="000000"/>
          <w:kern w:val="0"/>
          <w:sz w:val="32"/>
          <w:szCs w:val="32"/>
        </w:rPr>
        <w:t>“</w:t>
      </w:r>
      <w:r>
        <w:rPr>
          <w:rFonts w:ascii="仿宋" w:hAnsi="仿宋" w:eastAsia="仿宋"/>
          <w:color w:val="000000"/>
          <w:kern w:val="0"/>
          <w:sz w:val="32"/>
          <w:szCs w:val="32"/>
        </w:rPr>
        <w:t>增加链接</w:t>
      </w:r>
      <w:r>
        <w:rPr>
          <w:rFonts w:hint="eastAsia" w:ascii="仿宋" w:hAnsi="仿宋" w:eastAsia="仿宋"/>
          <w:color w:val="000000"/>
          <w:kern w:val="0"/>
          <w:sz w:val="32"/>
          <w:szCs w:val="32"/>
        </w:rPr>
        <w:t>”</w:t>
      </w:r>
      <w:r>
        <w:rPr>
          <w:rFonts w:ascii="仿宋" w:hAnsi="仿宋" w:eastAsia="仿宋"/>
          <w:color w:val="000000"/>
          <w:kern w:val="0"/>
          <w:sz w:val="32"/>
          <w:szCs w:val="32"/>
        </w:rPr>
        <w:t>，按如下要求进行设置：</w:t>
      </w:r>
    </w:p>
    <w:p>
      <w:pPr>
        <w:tabs>
          <w:tab w:val="left" w:pos="0"/>
        </w:tabs>
        <w:snapToGrid w:val="0"/>
        <w:spacing w:line="560" w:lineRule="exact"/>
        <w:ind w:firstLine="640" w:firstLineChars="200"/>
        <w:contextualSpacing/>
        <w:jc w:val="left"/>
        <w:rPr>
          <w:rFonts w:ascii="仿宋" w:hAnsi="仿宋" w:eastAsia="仿宋"/>
          <w:color w:val="000000"/>
          <w:kern w:val="0"/>
          <w:sz w:val="32"/>
          <w:szCs w:val="32"/>
        </w:rPr>
      </w:pPr>
      <w:r>
        <w:rPr>
          <w:rFonts w:ascii="仿宋" w:hAnsi="仿宋" w:eastAsia="仿宋"/>
          <w:color w:val="000000"/>
          <w:kern w:val="0"/>
          <w:sz w:val="32"/>
          <w:szCs w:val="32"/>
        </w:rPr>
        <w:t>网站名称设置为：深圳证券交易所上市公司业务专区</w:t>
      </w:r>
    </w:p>
    <w:p>
      <w:pPr>
        <w:tabs>
          <w:tab w:val="left" w:pos="720"/>
        </w:tabs>
        <w:snapToGrid w:val="0"/>
        <w:spacing w:line="560" w:lineRule="exact"/>
        <w:ind w:firstLine="640" w:firstLineChars="200"/>
        <w:contextualSpacing/>
        <w:jc w:val="left"/>
        <w:rPr>
          <w:rFonts w:ascii="仿宋" w:hAnsi="仿宋" w:eastAsia="仿宋"/>
          <w:color w:val="000000"/>
          <w:kern w:val="0"/>
          <w:sz w:val="32"/>
          <w:szCs w:val="32"/>
        </w:rPr>
      </w:pPr>
      <w:r>
        <w:rPr>
          <w:rFonts w:ascii="仿宋" w:hAnsi="仿宋" w:eastAsia="仿宋"/>
          <w:color w:val="000000"/>
          <w:kern w:val="0"/>
          <w:sz w:val="32"/>
          <w:szCs w:val="32"/>
        </w:rPr>
        <w:t>网站地址设置为：</w:t>
      </w:r>
      <w:r>
        <w:rPr>
          <w:rFonts w:ascii="Times New Roman" w:hAnsi="Times New Roman" w:eastAsia="仿宋"/>
          <w:color w:val="000000"/>
          <w:kern w:val="0"/>
          <w:sz w:val="32"/>
          <w:szCs w:val="32"/>
        </w:rPr>
        <w:t>https://biz.szse.cn/nmk/index.html</w:t>
      </w:r>
      <w:r>
        <w:rPr>
          <w:rFonts w:ascii="Times New Roman" w:hAnsi="Times New Roman" w:eastAsia="仿宋"/>
          <w:sz w:val="32"/>
          <w:szCs w:val="32"/>
        </w:rPr>
        <w:t xml:space="preserve"> </w:t>
      </w:r>
    </w:p>
    <w:p>
      <w:pPr>
        <w:tabs>
          <w:tab w:val="left" w:pos="720"/>
        </w:tabs>
        <w:snapToGrid w:val="0"/>
        <w:spacing w:line="560" w:lineRule="exact"/>
        <w:ind w:firstLine="640" w:firstLineChars="200"/>
        <w:contextualSpacing/>
        <w:jc w:val="left"/>
        <w:rPr>
          <w:rFonts w:ascii="仿宋" w:hAnsi="仿宋" w:eastAsia="仿宋"/>
          <w:color w:val="000000"/>
          <w:kern w:val="0"/>
          <w:sz w:val="32"/>
          <w:szCs w:val="32"/>
        </w:rPr>
      </w:pPr>
      <w:r>
        <w:rPr>
          <w:rFonts w:hint="eastAsia" w:ascii="仿宋" w:hAnsi="仿宋" w:eastAsia="仿宋"/>
          <w:color w:val="000000"/>
          <w:kern w:val="0"/>
          <w:sz w:val="32"/>
          <w:szCs w:val="32"/>
        </w:rPr>
        <w:t>以下</w:t>
      </w:r>
      <w:r>
        <w:rPr>
          <w:rFonts w:ascii="仿宋" w:hAnsi="仿宋" w:eastAsia="仿宋"/>
          <w:color w:val="000000"/>
          <w:kern w:val="0"/>
          <w:sz w:val="32"/>
          <w:szCs w:val="32"/>
        </w:rPr>
        <w:t>两个选项</w:t>
      </w:r>
      <w:r>
        <w:rPr>
          <w:rFonts w:hint="eastAsia" w:ascii="仿宋" w:hAnsi="仿宋" w:eastAsia="仿宋"/>
          <w:color w:val="000000"/>
          <w:kern w:val="0"/>
          <w:sz w:val="32"/>
          <w:szCs w:val="32"/>
        </w:rPr>
        <w:t>均需选择</w:t>
      </w:r>
      <w:r>
        <w:rPr>
          <w:rFonts w:ascii="仿宋" w:hAnsi="仿宋" w:eastAsia="仿宋"/>
          <w:color w:val="000000"/>
          <w:kern w:val="0"/>
          <w:sz w:val="32"/>
          <w:szCs w:val="32"/>
        </w:rPr>
        <w:t>：</w:t>
      </w:r>
    </w:p>
    <w:p>
      <w:pPr>
        <w:snapToGrid w:val="0"/>
        <w:spacing w:line="560" w:lineRule="exact"/>
        <w:ind w:firstLine="640" w:firstLineChars="200"/>
        <w:contextualSpacing/>
        <w:rPr>
          <w:rFonts w:ascii="仿宋" w:hAnsi="仿宋" w:eastAsia="仿宋"/>
          <w:color w:val="000000"/>
          <w:kern w:val="0"/>
          <w:sz w:val="32"/>
          <w:szCs w:val="32"/>
        </w:rPr>
      </w:pPr>
      <w:r>
        <w:rPr>
          <w:rFonts w:ascii="仿宋" w:hAnsi="仿宋" w:eastAsia="仿宋"/>
          <w:color w:val="000000"/>
          <w:kern w:val="0"/>
          <w:sz w:val="32"/>
          <w:szCs w:val="32"/>
        </w:rPr>
        <w:t>□插入移动数字证书时，是否自动弹出网站选择窗口？</w:t>
      </w:r>
    </w:p>
    <w:p>
      <w:pPr>
        <w:snapToGrid w:val="0"/>
        <w:spacing w:line="560" w:lineRule="exact"/>
        <w:ind w:firstLine="640" w:firstLineChars="200"/>
        <w:contextualSpacing/>
        <w:rPr>
          <w:rFonts w:ascii="仿宋" w:hAnsi="仿宋" w:eastAsia="仿宋"/>
          <w:color w:val="000000"/>
          <w:kern w:val="0"/>
          <w:sz w:val="32"/>
          <w:szCs w:val="32"/>
        </w:rPr>
      </w:pPr>
      <w:r>
        <w:rPr>
          <w:rFonts w:ascii="仿宋" w:hAnsi="仿宋" w:eastAsia="仿宋"/>
          <w:color w:val="000000"/>
          <w:kern w:val="0"/>
          <w:sz w:val="32"/>
          <w:szCs w:val="32"/>
        </w:rPr>
        <w:t>□拔出移动数字证书时，是否显示关闭IE窗口提示框？</w:t>
      </w:r>
    </w:p>
    <w:p>
      <w:pPr>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kern w:val="0"/>
          <w:sz w:val="32"/>
          <w:szCs w:val="32"/>
        </w:rPr>
        <w:t>按</w:t>
      </w:r>
      <w:r>
        <w:rPr>
          <w:rFonts w:hint="eastAsia" w:ascii="仿宋" w:hAnsi="仿宋" w:eastAsia="仿宋"/>
          <w:color w:val="000000"/>
          <w:kern w:val="0"/>
          <w:sz w:val="32"/>
          <w:szCs w:val="32"/>
        </w:rPr>
        <w:t>“</w:t>
      </w:r>
      <w:r>
        <w:rPr>
          <w:rFonts w:ascii="仿宋" w:hAnsi="仿宋" w:eastAsia="仿宋"/>
          <w:color w:val="000000"/>
          <w:kern w:val="0"/>
          <w:sz w:val="32"/>
          <w:szCs w:val="32"/>
        </w:rPr>
        <w:t>确定</w:t>
      </w:r>
      <w:r>
        <w:rPr>
          <w:rFonts w:hint="eastAsia" w:ascii="仿宋" w:hAnsi="仿宋" w:eastAsia="仿宋"/>
          <w:color w:val="000000"/>
          <w:kern w:val="0"/>
          <w:sz w:val="32"/>
          <w:szCs w:val="32"/>
        </w:rPr>
        <w:t>”</w:t>
      </w:r>
      <w:r>
        <w:rPr>
          <w:rFonts w:ascii="仿宋" w:hAnsi="仿宋" w:eastAsia="仿宋"/>
          <w:color w:val="000000"/>
          <w:kern w:val="0"/>
          <w:sz w:val="32"/>
          <w:szCs w:val="32"/>
        </w:rPr>
        <w:t>按钮，保存此次所作设置。在下一次插入数字证书时，系统会自动弹出网站选择窗口，点中上述网站后，按</w:t>
      </w:r>
      <w:r>
        <w:rPr>
          <w:rFonts w:hint="eastAsia" w:ascii="仿宋" w:hAnsi="仿宋" w:eastAsia="仿宋"/>
          <w:color w:val="000000"/>
          <w:kern w:val="0"/>
          <w:sz w:val="32"/>
          <w:szCs w:val="32"/>
        </w:rPr>
        <w:t>“</w:t>
      </w:r>
      <w:r>
        <w:rPr>
          <w:rFonts w:ascii="仿宋" w:hAnsi="仿宋" w:eastAsia="仿宋"/>
          <w:color w:val="000000"/>
          <w:kern w:val="0"/>
          <w:sz w:val="32"/>
          <w:szCs w:val="32"/>
        </w:rPr>
        <w:t>打开网站</w:t>
      </w:r>
      <w:r>
        <w:rPr>
          <w:rFonts w:hint="eastAsia" w:ascii="仿宋" w:hAnsi="仿宋" w:eastAsia="仿宋"/>
          <w:color w:val="000000"/>
          <w:kern w:val="0"/>
          <w:sz w:val="32"/>
          <w:szCs w:val="32"/>
        </w:rPr>
        <w:t>”</w:t>
      </w:r>
      <w:r>
        <w:rPr>
          <w:rFonts w:ascii="仿宋" w:hAnsi="仿宋" w:eastAsia="仿宋"/>
          <w:color w:val="000000"/>
          <w:kern w:val="0"/>
          <w:sz w:val="32"/>
          <w:szCs w:val="32"/>
        </w:rPr>
        <w:t>，进行身份验证后即可直接登录。</w:t>
      </w:r>
    </w:p>
    <w:p>
      <w:pPr>
        <w:widowControl/>
        <w:jc w:val="left"/>
        <w:rPr>
          <w:rFonts w:ascii="黑体" w:hAnsi="黑体" w:eastAsia="黑体"/>
          <w:sz w:val="32"/>
          <w:szCs w:val="20"/>
        </w:rPr>
      </w:pPr>
      <w:r>
        <w:rPr>
          <w:rFonts w:ascii="Times New Roman" w:hAnsi="Times New Roman" w:eastAsia="方正仿宋简体"/>
          <w:b/>
          <w:kern w:val="0"/>
          <w:sz w:val="30"/>
          <w:szCs w:val="30"/>
        </w:rPr>
        <w:br w:type="page"/>
      </w:r>
      <w:r>
        <w:rPr>
          <w:rFonts w:ascii="黑体" w:hAnsi="黑体" w:eastAsia="黑体"/>
          <w:sz w:val="32"/>
          <w:szCs w:val="20"/>
        </w:rPr>
        <w:t>附件2</w:t>
      </w:r>
    </w:p>
    <w:p>
      <w:pPr>
        <w:widowControl/>
        <w:spacing w:line="560" w:lineRule="exact"/>
        <w:jc w:val="left"/>
        <w:rPr>
          <w:rFonts w:ascii="Times New Roman" w:hAnsi="Times New Roman" w:eastAsia="仿宋"/>
          <w:sz w:val="32"/>
          <w:szCs w:val="20"/>
        </w:rPr>
      </w:pPr>
    </w:p>
    <w:p>
      <w:pPr>
        <w:spacing w:line="560" w:lineRule="exact"/>
        <w:jc w:val="center"/>
        <w:rPr>
          <w:rFonts w:ascii="方正小标宋简体" w:hAnsi="Times New Roman" w:eastAsia="方正小标宋简体"/>
          <w:bCs/>
          <w:iCs/>
          <w:color w:val="000000"/>
          <w:sz w:val="32"/>
          <w:szCs w:val="32"/>
        </w:rPr>
      </w:pPr>
      <w:r>
        <w:rPr>
          <w:rFonts w:ascii="方正小标宋简体" w:hAnsi="Times New Roman" w:eastAsia="方正小标宋简体"/>
          <w:bCs/>
          <w:iCs/>
          <w:color w:val="000000"/>
          <w:sz w:val="32"/>
          <w:szCs w:val="32"/>
        </w:rPr>
        <w:t>上传文件类型指引</w:t>
      </w:r>
    </w:p>
    <w:p>
      <w:pPr>
        <w:spacing w:line="560" w:lineRule="exact"/>
        <w:ind w:firstLine="640" w:firstLineChars="200"/>
        <w:rPr>
          <w:rFonts w:ascii="黑体" w:hAnsi="黑体" w:eastAsia="黑体"/>
          <w:bCs/>
          <w:color w:val="000000"/>
          <w:sz w:val="32"/>
          <w:szCs w:val="32"/>
        </w:rPr>
      </w:pPr>
      <w:r>
        <w:rPr>
          <w:rFonts w:ascii="黑体" w:hAnsi="黑体" w:eastAsia="黑体"/>
          <w:color w:val="000000"/>
          <w:sz w:val="32"/>
          <w:szCs w:val="32"/>
        </w:rPr>
        <w:t>一、</w:t>
      </w:r>
      <w:r>
        <w:rPr>
          <w:rFonts w:ascii="黑体" w:hAnsi="黑体" w:eastAsia="黑体"/>
          <w:bCs/>
          <w:color w:val="000000"/>
          <w:sz w:val="32"/>
          <w:szCs w:val="32"/>
        </w:rPr>
        <w:t>登报</w:t>
      </w:r>
    </w:p>
    <w:p>
      <w:pPr>
        <w:snapToGrid w:val="0"/>
        <w:spacing w:line="560" w:lineRule="exact"/>
        <w:ind w:firstLine="640" w:firstLineChars="200"/>
        <w:contextualSpacing/>
        <w:rPr>
          <w:rFonts w:ascii="仿宋" w:hAnsi="仿宋" w:eastAsia="仿宋"/>
          <w:color w:val="000000"/>
          <w:sz w:val="32"/>
          <w:szCs w:val="32"/>
        </w:rPr>
      </w:pPr>
      <w:r>
        <w:rPr>
          <w:rFonts w:hint="eastAsia" w:ascii="仿宋" w:hAnsi="仿宋" w:eastAsia="仿宋"/>
          <w:color w:val="000000"/>
          <w:sz w:val="32"/>
          <w:szCs w:val="32"/>
        </w:rPr>
        <w:t>适用于</w:t>
      </w:r>
      <w:r>
        <w:rPr>
          <w:rFonts w:ascii="仿宋" w:hAnsi="仿宋" w:eastAsia="仿宋"/>
          <w:color w:val="000000"/>
          <w:sz w:val="32"/>
          <w:szCs w:val="32"/>
        </w:rPr>
        <w:t>在</w:t>
      </w:r>
      <w:r>
        <w:rPr>
          <w:rFonts w:hint="eastAsia" w:ascii="仿宋" w:hAnsi="仿宋" w:eastAsia="仿宋"/>
          <w:color w:val="000000"/>
          <w:sz w:val="32"/>
          <w:szCs w:val="32"/>
        </w:rPr>
        <w:t>符合条件</w:t>
      </w:r>
      <w:r>
        <w:rPr>
          <w:rFonts w:ascii="仿宋" w:hAnsi="仿宋" w:eastAsia="仿宋"/>
          <w:color w:val="000000"/>
          <w:sz w:val="32"/>
          <w:szCs w:val="32"/>
        </w:rPr>
        <w:t>报刊刊登的公告</w:t>
      </w:r>
    </w:p>
    <w:p>
      <w:pPr>
        <w:spacing w:line="560" w:lineRule="exact"/>
        <w:ind w:firstLine="640" w:firstLineChars="200"/>
        <w:rPr>
          <w:rFonts w:ascii="黑体" w:hAnsi="黑体" w:eastAsia="黑体"/>
          <w:color w:val="000000"/>
          <w:sz w:val="32"/>
          <w:szCs w:val="32"/>
        </w:rPr>
      </w:pPr>
      <w:r>
        <w:rPr>
          <w:rFonts w:ascii="黑体" w:hAnsi="黑体" w:eastAsia="黑体"/>
          <w:color w:val="000000"/>
          <w:sz w:val="32"/>
          <w:szCs w:val="32"/>
        </w:rPr>
        <w:t>二、上网</w:t>
      </w:r>
    </w:p>
    <w:p>
      <w:pPr>
        <w:snapToGrid w:val="0"/>
        <w:spacing w:line="560" w:lineRule="exact"/>
        <w:ind w:firstLine="640" w:firstLineChars="200"/>
        <w:contextualSpacing/>
        <w:rPr>
          <w:rFonts w:ascii="仿宋" w:hAnsi="仿宋" w:eastAsia="仿宋"/>
          <w:color w:val="000000"/>
          <w:sz w:val="32"/>
          <w:szCs w:val="32"/>
        </w:rPr>
      </w:pPr>
      <w:r>
        <w:rPr>
          <w:rFonts w:hint="eastAsia" w:ascii="仿宋" w:hAnsi="仿宋" w:eastAsia="仿宋"/>
          <w:color w:val="000000"/>
          <w:sz w:val="32"/>
          <w:szCs w:val="32"/>
        </w:rPr>
        <w:t>适用于</w:t>
      </w:r>
      <w:r>
        <w:rPr>
          <w:rFonts w:ascii="仿宋" w:hAnsi="仿宋" w:eastAsia="仿宋"/>
          <w:color w:val="000000"/>
          <w:sz w:val="32"/>
          <w:szCs w:val="32"/>
        </w:rPr>
        <w:t>在网上披露的公告（文件），包括但不限于下列内容：</w:t>
      </w:r>
    </w:p>
    <w:p>
      <w:pPr>
        <w:snapToGrid w:val="0"/>
        <w:spacing w:line="560" w:lineRule="exact"/>
        <w:ind w:firstLine="640" w:firstLineChars="200"/>
        <w:contextualSpacing/>
        <w:rPr>
          <w:rFonts w:ascii="仿宋" w:hAnsi="仿宋" w:eastAsia="仿宋"/>
          <w:color w:val="000000"/>
          <w:sz w:val="32"/>
          <w:szCs w:val="32"/>
        </w:rPr>
      </w:pPr>
      <w:r>
        <w:rPr>
          <w:rFonts w:hint="eastAsia" w:ascii="仿宋" w:hAnsi="仿宋" w:eastAsia="仿宋"/>
          <w:color w:val="000000"/>
          <w:sz w:val="32"/>
          <w:szCs w:val="32"/>
        </w:rPr>
        <w:t>（一）符合条件报刊上刊登的公告；</w:t>
      </w:r>
    </w:p>
    <w:p>
      <w:pPr>
        <w:snapToGrid w:val="0"/>
        <w:spacing w:line="560" w:lineRule="exact"/>
        <w:ind w:firstLine="640" w:firstLineChars="200"/>
        <w:contextualSpacing/>
        <w:rPr>
          <w:rFonts w:ascii="仿宋" w:hAnsi="仿宋" w:eastAsia="仿宋"/>
          <w:color w:val="000000"/>
          <w:sz w:val="32"/>
          <w:szCs w:val="32"/>
        </w:rPr>
      </w:pPr>
      <w:r>
        <w:rPr>
          <w:rFonts w:hint="eastAsia" w:ascii="仿宋" w:hAnsi="仿宋" w:eastAsia="仿宋"/>
          <w:color w:val="000000"/>
          <w:sz w:val="32"/>
          <w:szCs w:val="32"/>
        </w:rPr>
        <w:t>（二）</w:t>
      </w:r>
      <w:r>
        <w:rPr>
          <w:rFonts w:ascii="仿宋" w:hAnsi="仿宋" w:eastAsia="仿宋"/>
          <w:color w:val="000000"/>
          <w:sz w:val="32"/>
          <w:szCs w:val="32"/>
        </w:rPr>
        <w:t>定期报告全文</w:t>
      </w:r>
      <w:r>
        <w:rPr>
          <w:rFonts w:hint="eastAsia" w:ascii="仿宋" w:hAnsi="仿宋" w:eastAsia="仿宋"/>
          <w:color w:val="000000"/>
          <w:sz w:val="32"/>
          <w:szCs w:val="32"/>
        </w:rPr>
        <w:t>；</w:t>
      </w:r>
    </w:p>
    <w:p>
      <w:pPr>
        <w:snapToGrid w:val="0"/>
        <w:spacing w:line="560" w:lineRule="exact"/>
        <w:ind w:firstLine="640" w:firstLineChars="200"/>
        <w:contextualSpacing/>
        <w:rPr>
          <w:rFonts w:ascii="仿宋" w:hAnsi="仿宋" w:eastAsia="仿宋"/>
          <w:color w:val="000000"/>
          <w:sz w:val="32"/>
          <w:szCs w:val="32"/>
        </w:rPr>
      </w:pPr>
      <w:r>
        <w:rPr>
          <w:rFonts w:hint="eastAsia" w:ascii="仿宋" w:hAnsi="仿宋" w:eastAsia="仿宋"/>
          <w:color w:val="000000"/>
          <w:sz w:val="32"/>
          <w:szCs w:val="32"/>
        </w:rPr>
        <w:t>（三）</w:t>
      </w:r>
      <w:r>
        <w:rPr>
          <w:rFonts w:ascii="仿宋" w:hAnsi="仿宋" w:eastAsia="仿宋"/>
          <w:color w:val="000000"/>
          <w:sz w:val="32"/>
          <w:szCs w:val="32"/>
        </w:rPr>
        <w:t>股东大会会议材料</w:t>
      </w:r>
      <w:r>
        <w:rPr>
          <w:rFonts w:hint="eastAsia" w:ascii="仿宋" w:hAnsi="仿宋" w:eastAsia="仿宋"/>
          <w:color w:val="000000"/>
          <w:sz w:val="32"/>
          <w:szCs w:val="32"/>
        </w:rPr>
        <w:t>；</w:t>
      </w:r>
    </w:p>
    <w:p>
      <w:pPr>
        <w:snapToGrid w:val="0"/>
        <w:spacing w:line="560" w:lineRule="exact"/>
        <w:ind w:firstLine="640" w:firstLineChars="200"/>
        <w:contextualSpacing/>
        <w:rPr>
          <w:rFonts w:ascii="仿宋" w:hAnsi="仿宋" w:eastAsia="仿宋"/>
          <w:color w:val="000000"/>
          <w:sz w:val="32"/>
          <w:szCs w:val="32"/>
        </w:rPr>
      </w:pPr>
      <w:r>
        <w:rPr>
          <w:rFonts w:hint="eastAsia" w:ascii="仿宋" w:hAnsi="仿宋" w:eastAsia="仿宋"/>
          <w:color w:val="000000"/>
          <w:sz w:val="32"/>
          <w:szCs w:val="32"/>
        </w:rPr>
        <w:t>（四）</w:t>
      </w:r>
      <w:r>
        <w:rPr>
          <w:rFonts w:ascii="仿宋" w:hAnsi="仿宋" w:eastAsia="仿宋"/>
          <w:color w:val="000000"/>
          <w:sz w:val="32"/>
          <w:szCs w:val="32"/>
        </w:rPr>
        <w:t>公司的规章制度（如</w:t>
      </w:r>
      <w:r>
        <w:rPr>
          <w:rFonts w:hint="eastAsia" w:ascii="仿宋" w:hAnsi="仿宋" w:eastAsia="仿宋"/>
          <w:color w:val="000000"/>
          <w:sz w:val="32"/>
          <w:szCs w:val="32"/>
        </w:rPr>
        <w:t>公司章程、股东大会议事规则、董事会议事规则、监事会议事规则、薪酬制度、信息披露管理制度等</w:t>
      </w:r>
      <w:r>
        <w:rPr>
          <w:rFonts w:ascii="仿宋" w:hAnsi="仿宋" w:eastAsia="仿宋"/>
          <w:color w:val="000000"/>
          <w:sz w:val="32"/>
          <w:szCs w:val="32"/>
        </w:rPr>
        <w:t>）</w:t>
      </w:r>
      <w:r>
        <w:rPr>
          <w:rFonts w:hint="eastAsia" w:ascii="仿宋" w:hAnsi="仿宋" w:eastAsia="仿宋"/>
          <w:color w:val="000000"/>
          <w:sz w:val="32"/>
          <w:szCs w:val="32"/>
        </w:rPr>
        <w:t>；</w:t>
      </w:r>
    </w:p>
    <w:p>
      <w:pPr>
        <w:snapToGrid w:val="0"/>
        <w:spacing w:line="560" w:lineRule="exact"/>
        <w:ind w:firstLine="640" w:firstLineChars="200"/>
        <w:contextualSpacing/>
        <w:rPr>
          <w:rFonts w:ascii="仿宋" w:hAnsi="仿宋" w:eastAsia="仿宋"/>
          <w:color w:val="000000"/>
          <w:sz w:val="32"/>
          <w:szCs w:val="32"/>
        </w:rPr>
      </w:pPr>
      <w:r>
        <w:rPr>
          <w:rFonts w:hint="eastAsia" w:ascii="仿宋" w:hAnsi="仿宋" w:eastAsia="仿宋"/>
          <w:color w:val="000000"/>
          <w:sz w:val="32"/>
          <w:szCs w:val="32"/>
        </w:rPr>
        <w:t>（五）</w:t>
      </w:r>
      <w:r>
        <w:rPr>
          <w:rFonts w:ascii="仿宋" w:hAnsi="仿宋" w:eastAsia="仿宋"/>
          <w:color w:val="000000"/>
          <w:sz w:val="32"/>
          <w:szCs w:val="32"/>
        </w:rPr>
        <w:t>中介机构意见（如法律意见书、独立财务顾问报告等）</w:t>
      </w:r>
      <w:r>
        <w:rPr>
          <w:rFonts w:hint="eastAsia" w:ascii="仿宋" w:hAnsi="仿宋" w:eastAsia="仿宋"/>
          <w:color w:val="000000"/>
          <w:sz w:val="32"/>
          <w:szCs w:val="32"/>
        </w:rPr>
        <w:t>。</w:t>
      </w:r>
    </w:p>
    <w:p>
      <w:pPr>
        <w:spacing w:line="560" w:lineRule="exact"/>
        <w:ind w:firstLine="640" w:firstLineChars="200"/>
        <w:rPr>
          <w:rFonts w:ascii="黑体" w:hAnsi="黑体" w:eastAsia="黑体"/>
          <w:color w:val="000000"/>
          <w:sz w:val="32"/>
          <w:szCs w:val="32"/>
        </w:rPr>
      </w:pPr>
      <w:r>
        <w:rPr>
          <w:rFonts w:ascii="黑体" w:hAnsi="黑体" w:eastAsia="黑体"/>
          <w:color w:val="000000"/>
          <w:sz w:val="32"/>
          <w:szCs w:val="32"/>
        </w:rPr>
        <w:t>三、报备</w:t>
      </w:r>
    </w:p>
    <w:p>
      <w:pPr>
        <w:snapToGrid w:val="0"/>
        <w:spacing w:line="560" w:lineRule="exact"/>
        <w:ind w:firstLine="640" w:firstLineChars="200"/>
        <w:contextualSpacing/>
        <w:rPr>
          <w:rFonts w:ascii="仿宋" w:hAnsi="仿宋" w:eastAsia="仿宋"/>
          <w:color w:val="000000"/>
          <w:sz w:val="32"/>
          <w:szCs w:val="32"/>
        </w:rPr>
      </w:pPr>
      <w:r>
        <w:rPr>
          <w:rFonts w:hint="eastAsia" w:ascii="仿宋" w:hAnsi="仿宋" w:eastAsia="仿宋"/>
          <w:color w:val="000000"/>
          <w:sz w:val="32"/>
          <w:szCs w:val="32"/>
        </w:rPr>
        <w:t>适用于不需对外披露的，但按照《创业板上市规则》、上市公司自律监管指引、自律监管指南规定等应当向本所提交的各类报备文件，如董事会决议、监事会决议、中介机构报告、合同文件、协议、意见或批文等</w:t>
      </w:r>
      <w:r>
        <w:rPr>
          <w:rFonts w:ascii="仿宋" w:hAnsi="仿宋" w:eastAsia="仿宋"/>
          <w:color w:val="000000"/>
          <w:sz w:val="32"/>
          <w:szCs w:val="32"/>
        </w:rPr>
        <w:t>。</w:t>
      </w:r>
    </w:p>
    <w:p>
      <w:pPr>
        <w:spacing w:line="560" w:lineRule="exact"/>
        <w:ind w:firstLine="640" w:firstLineChars="200"/>
        <w:rPr>
          <w:rFonts w:ascii="黑体" w:hAnsi="黑体" w:eastAsia="黑体"/>
          <w:color w:val="000000"/>
          <w:sz w:val="32"/>
          <w:szCs w:val="32"/>
        </w:rPr>
      </w:pPr>
      <w:r>
        <w:rPr>
          <w:rFonts w:ascii="黑体" w:hAnsi="黑体" w:eastAsia="黑体"/>
          <w:color w:val="000000"/>
          <w:sz w:val="32"/>
          <w:szCs w:val="32"/>
        </w:rPr>
        <w:t>四、优先显示</w:t>
      </w:r>
    </w:p>
    <w:p>
      <w:pPr>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指上市公司在业务专区提交信息披露申请时选择预期与投资者决策更为紧密的公告文件，这些公告文件将在巨潮网首页及相关上市公司专网优先显示，而其余公告文件则默认以折叠的方式隐藏显示。</w:t>
      </w:r>
    </w:p>
    <w:p>
      <w:pPr>
        <w:snapToGrid w:val="0"/>
        <w:spacing w:line="560" w:lineRule="exact"/>
        <w:ind w:firstLine="640" w:firstLineChars="200"/>
        <w:contextualSpacing/>
        <w:rPr>
          <w:rFonts w:ascii="黑体" w:hAnsi="黑体" w:eastAsia="黑体"/>
          <w:sz w:val="32"/>
          <w:szCs w:val="20"/>
        </w:rPr>
      </w:pPr>
      <w:r>
        <w:rPr>
          <w:rFonts w:ascii="仿宋" w:hAnsi="仿宋" w:eastAsia="仿宋"/>
          <w:color w:val="000000"/>
          <w:sz w:val="32"/>
          <w:szCs w:val="32"/>
        </w:rPr>
        <w:t>以上文件鼓励上市公司以扫描文件方式（PDF、WORD等）经</w:t>
      </w:r>
      <w:r>
        <w:rPr>
          <w:rFonts w:hint="eastAsia" w:ascii="仿宋" w:hAnsi="仿宋" w:eastAsia="仿宋"/>
          <w:color w:val="000000"/>
          <w:sz w:val="32"/>
          <w:szCs w:val="32"/>
        </w:rPr>
        <w:t>“</w:t>
      </w:r>
      <w:r>
        <w:rPr>
          <w:rFonts w:ascii="仿宋" w:hAnsi="仿宋" w:eastAsia="仿宋"/>
          <w:color w:val="000000"/>
          <w:sz w:val="32"/>
          <w:szCs w:val="32"/>
        </w:rPr>
        <w:t>业务办理</w:t>
      </w:r>
      <w:r>
        <w:rPr>
          <w:rFonts w:hint="eastAsia" w:ascii="仿宋" w:hAnsi="仿宋" w:eastAsia="仿宋"/>
          <w:color w:val="000000"/>
          <w:sz w:val="32"/>
          <w:szCs w:val="32"/>
        </w:rPr>
        <w:t>”</w:t>
      </w:r>
      <w:r>
        <w:rPr>
          <w:rFonts w:ascii="仿宋" w:hAnsi="仿宋" w:eastAsia="仿宋"/>
          <w:color w:val="000000"/>
          <w:sz w:val="32"/>
          <w:szCs w:val="32"/>
        </w:rPr>
        <w:t>子专区上传。上传文件无签章或签名页的，上市公司还需要以传真或书面方式向本所提交带有签章或签名的文件页。</w:t>
      </w:r>
      <w:r>
        <w:rPr>
          <w:rFonts w:ascii="Times New Roman" w:hAnsi="Times New Roman"/>
          <w:szCs w:val="24"/>
        </w:rPr>
        <w:br w:type="page"/>
      </w:r>
      <w:r>
        <w:rPr>
          <w:rFonts w:ascii="黑体" w:hAnsi="黑体" w:eastAsia="黑体"/>
          <w:sz w:val="32"/>
          <w:szCs w:val="20"/>
        </w:rPr>
        <w:t>附件</w:t>
      </w:r>
      <w:r>
        <w:rPr>
          <w:rFonts w:hint="eastAsia" w:ascii="黑体" w:hAnsi="黑体" w:eastAsia="黑体"/>
          <w:sz w:val="32"/>
          <w:szCs w:val="20"/>
        </w:rPr>
        <w:t>3</w:t>
      </w:r>
    </w:p>
    <w:p>
      <w:pPr>
        <w:snapToGrid w:val="0"/>
        <w:spacing w:line="240" w:lineRule="exact"/>
        <w:contextualSpacing/>
        <w:rPr>
          <w:rFonts w:ascii="Times New Roman" w:hAnsi="Times New Roman" w:eastAsia="仿宋"/>
          <w:sz w:val="32"/>
          <w:szCs w:val="20"/>
        </w:rPr>
      </w:pPr>
    </w:p>
    <w:p>
      <w:pPr>
        <w:spacing w:line="560" w:lineRule="exact"/>
        <w:jc w:val="center"/>
        <w:rPr>
          <w:rFonts w:ascii="仿宋" w:hAnsi="仿宋" w:eastAsia="仿宋"/>
          <w:bCs/>
          <w:iCs/>
          <w:color w:val="000000"/>
          <w:sz w:val="32"/>
          <w:szCs w:val="32"/>
        </w:rPr>
      </w:pPr>
      <w:r>
        <w:rPr>
          <w:rFonts w:ascii="方正小标宋简体" w:hAnsi="Times New Roman" w:eastAsia="方正小标宋简体"/>
          <w:bCs/>
          <w:iCs/>
          <w:color w:val="000000"/>
          <w:sz w:val="32"/>
          <w:szCs w:val="32"/>
        </w:rPr>
        <w:t xml:space="preserve">XX股份有限公司投资者关系活动记录表 </w:t>
      </w:r>
      <w:r>
        <w:rPr>
          <w:rFonts w:ascii="仿宋" w:hAnsi="仿宋" w:eastAsia="仿宋"/>
          <w:bCs/>
          <w:iCs/>
          <w:color w:val="000000"/>
          <w:sz w:val="32"/>
          <w:szCs w:val="32"/>
        </w:rPr>
        <w:t xml:space="preserve">                                                     </w:t>
      </w:r>
      <w:r>
        <w:rPr>
          <w:rFonts w:hint="eastAsia" w:ascii="仿宋" w:hAnsi="仿宋" w:eastAsia="仿宋"/>
          <w:bCs/>
          <w:iCs/>
          <w:color w:val="000000"/>
          <w:sz w:val="32"/>
          <w:szCs w:val="32"/>
        </w:rPr>
        <w:t xml:space="preserve">           </w:t>
      </w:r>
    </w:p>
    <w:p>
      <w:pPr>
        <w:spacing w:line="560" w:lineRule="exact"/>
        <w:jc w:val="right"/>
        <w:rPr>
          <w:rFonts w:ascii="宋体" w:hAnsi="宋体"/>
          <w:bCs/>
          <w:iCs/>
          <w:color w:val="000000"/>
          <w:sz w:val="28"/>
          <w:szCs w:val="28"/>
        </w:rPr>
      </w:pPr>
      <w:r>
        <w:rPr>
          <w:rFonts w:ascii="宋体" w:hAnsi="宋体"/>
          <w:bCs/>
          <w:iCs/>
          <w:color w:val="000000"/>
          <w:sz w:val="28"/>
          <w:szCs w:val="28"/>
        </w:rPr>
        <w:t>编号：</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6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r>
              <w:rPr>
                <w:rFonts w:ascii="宋体" w:hAnsi="宋体"/>
                <w:bCs/>
                <w:iCs/>
                <w:color w:val="000000"/>
                <w:sz w:val="24"/>
                <w:szCs w:val="24"/>
              </w:rPr>
              <w:t>投资者关系活动类别</w:t>
            </w:r>
          </w:p>
          <w:p>
            <w:pPr>
              <w:rPr>
                <w:rFonts w:ascii="宋体" w:hAnsi="宋体"/>
                <w:bCs/>
                <w:iCs/>
                <w:color w:val="000000"/>
                <w:sz w:val="24"/>
                <w:szCs w:val="24"/>
              </w:rPr>
            </w:pPr>
          </w:p>
        </w:tc>
        <w:tc>
          <w:tcPr>
            <w:tcW w:w="6614"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r>
              <w:rPr>
                <w:rFonts w:ascii="宋体" w:hAnsi="宋体"/>
                <w:bCs/>
                <w:iCs/>
                <w:color w:val="000000"/>
                <w:sz w:val="24"/>
                <w:szCs w:val="24"/>
              </w:rPr>
              <w:t>□</w:t>
            </w:r>
            <w:r>
              <w:rPr>
                <w:rFonts w:ascii="宋体" w:hAnsi="宋体"/>
                <w:color w:val="000000"/>
                <w:sz w:val="24"/>
                <w:szCs w:val="24"/>
              </w:rPr>
              <w:t xml:space="preserve">特定对象调研        </w:t>
            </w:r>
            <w:r>
              <w:rPr>
                <w:rFonts w:ascii="宋体" w:hAnsi="宋体"/>
                <w:bCs/>
                <w:iCs/>
                <w:color w:val="000000"/>
                <w:sz w:val="24"/>
                <w:szCs w:val="24"/>
              </w:rPr>
              <w:t>□</w:t>
            </w:r>
            <w:r>
              <w:rPr>
                <w:rFonts w:ascii="宋体" w:hAnsi="宋体"/>
                <w:color w:val="000000"/>
                <w:sz w:val="24"/>
                <w:szCs w:val="24"/>
              </w:rPr>
              <w:t>分析师会议</w:t>
            </w:r>
          </w:p>
          <w:p>
            <w:pPr>
              <w:rPr>
                <w:rFonts w:ascii="宋体" w:hAnsi="宋体"/>
                <w:bCs/>
                <w:iCs/>
                <w:color w:val="000000"/>
                <w:sz w:val="24"/>
                <w:szCs w:val="24"/>
              </w:rPr>
            </w:pPr>
            <w:r>
              <w:rPr>
                <w:rFonts w:ascii="宋体" w:hAnsi="宋体"/>
                <w:bCs/>
                <w:iCs/>
                <w:color w:val="000000"/>
                <w:sz w:val="24"/>
                <w:szCs w:val="24"/>
              </w:rPr>
              <w:t>□</w:t>
            </w:r>
            <w:r>
              <w:rPr>
                <w:rFonts w:ascii="宋体" w:hAnsi="宋体"/>
                <w:color w:val="000000"/>
                <w:sz w:val="24"/>
                <w:szCs w:val="24"/>
              </w:rPr>
              <w:t xml:space="preserve">媒体采访            </w:t>
            </w:r>
            <w:r>
              <w:rPr>
                <w:rFonts w:ascii="宋体" w:hAnsi="宋体"/>
                <w:bCs/>
                <w:iCs/>
                <w:color w:val="000000"/>
                <w:sz w:val="24"/>
                <w:szCs w:val="24"/>
              </w:rPr>
              <w:t>□</w:t>
            </w:r>
            <w:r>
              <w:rPr>
                <w:rFonts w:ascii="宋体" w:hAnsi="宋体"/>
                <w:color w:val="000000"/>
                <w:sz w:val="24"/>
                <w:szCs w:val="24"/>
              </w:rPr>
              <w:t>业绩说明会</w:t>
            </w:r>
          </w:p>
          <w:p>
            <w:pPr>
              <w:rPr>
                <w:rFonts w:ascii="宋体" w:hAnsi="宋体"/>
                <w:bCs/>
                <w:iCs/>
                <w:color w:val="000000"/>
                <w:sz w:val="24"/>
                <w:szCs w:val="24"/>
              </w:rPr>
            </w:pPr>
            <w:r>
              <w:rPr>
                <w:rFonts w:ascii="宋体" w:hAnsi="宋体"/>
                <w:bCs/>
                <w:iCs/>
                <w:color w:val="000000"/>
                <w:sz w:val="24"/>
                <w:szCs w:val="24"/>
              </w:rPr>
              <w:t>□</w:t>
            </w:r>
            <w:r>
              <w:rPr>
                <w:rFonts w:ascii="宋体" w:hAnsi="宋体"/>
                <w:color w:val="000000"/>
                <w:sz w:val="24"/>
                <w:szCs w:val="24"/>
              </w:rPr>
              <w:t xml:space="preserve">新闻发布会          </w:t>
            </w:r>
            <w:r>
              <w:rPr>
                <w:rFonts w:ascii="宋体" w:hAnsi="宋体"/>
                <w:bCs/>
                <w:iCs/>
                <w:color w:val="000000"/>
                <w:sz w:val="24"/>
                <w:szCs w:val="24"/>
              </w:rPr>
              <w:t>□</w:t>
            </w:r>
            <w:r>
              <w:rPr>
                <w:rFonts w:ascii="宋体" w:hAnsi="宋体"/>
                <w:color w:val="000000"/>
                <w:sz w:val="24"/>
                <w:szCs w:val="24"/>
              </w:rPr>
              <w:t>路演活动</w:t>
            </w:r>
          </w:p>
          <w:p>
            <w:pPr>
              <w:tabs>
                <w:tab w:val="left" w:pos="3045"/>
                <w:tab w:val="center" w:pos="3199"/>
              </w:tabs>
              <w:rPr>
                <w:rFonts w:ascii="宋体" w:hAnsi="宋体"/>
                <w:bCs/>
                <w:iCs/>
                <w:color w:val="000000"/>
                <w:sz w:val="24"/>
                <w:szCs w:val="24"/>
              </w:rPr>
            </w:pPr>
            <w:r>
              <w:rPr>
                <w:rFonts w:ascii="宋体" w:hAnsi="宋体"/>
                <w:bCs/>
                <w:iCs/>
                <w:color w:val="000000"/>
                <w:sz w:val="24"/>
                <w:szCs w:val="24"/>
              </w:rPr>
              <w:t>□</w:t>
            </w:r>
            <w:r>
              <w:rPr>
                <w:rFonts w:ascii="宋体" w:hAnsi="宋体"/>
                <w:color w:val="000000"/>
                <w:sz w:val="24"/>
                <w:szCs w:val="24"/>
              </w:rPr>
              <w:t>现场参观</w:t>
            </w:r>
            <w:r>
              <w:rPr>
                <w:rFonts w:ascii="宋体" w:hAnsi="宋体"/>
                <w:bCs/>
                <w:iCs/>
                <w:color w:val="000000"/>
                <w:sz w:val="24"/>
                <w:szCs w:val="24"/>
              </w:rPr>
              <w:tab/>
            </w:r>
          </w:p>
          <w:p>
            <w:pPr>
              <w:tabs>
                <w:tab w:val="center" w:pos="3199"/>
              </w:tabs>
              <w:rPr>
                <w:rFonts w:ascii="宋体" w:hAnsi="宋体"/>
                <w:bCs/>
                <w:iCs/>
                <w:color w:val="000000"/>
                <w:sz w:val="24"/>
                <w:szCs w:val="24"/>
              </w:rPr>
            </w:pPr>
            <w:r>
              <w:rPr>
                <w:rFonts w:ascii="宋体" w:hAnsi="宋体"/>
                <w:bCs/>
                <w:iCs/>
                <w:color w:val="000000"/>
                <w:sz w:val="24"/>
                <w:szCs w:val="24"/>
              </w:rPr>
              <w:t>□</w:t>
            </w:r>
            <w:r>
              <w:rPr>
                <w:rFonts w:ascii="宋体" w:hAnsi="宋体"/>
                <w:color w:val="000000"/>
                <w:sz w:val="24"/>
                <w:szCs w:val="24"/>
              </w:rPr>
              <w:t>其他 （</w:t>
            </w:r>
            <w:r>
              <w:rPr>
                <w:rFonts w:ascii="宋体" w:hAnsi="宋体"/>
                <w:color w:val="000000"/>
                <w:sz w:val="24"/>
                <w:szCs w:val="24"/>
                <w:u w:val="single"/>
              </w:rPr>
              <w:t>请文字说明其他活动内容）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r>
              <w:rPr>
                <w:rFonts w:ascii="宋体" w:hAnsi="宋体"/>
                <w:bCs/>
                <w:iCs/>
                <w:color w:val="000000"/>
                <w:sz w:val="24"/>
                <w:szCs w:val="24"/>
              </w:rPr>
              <w:t>参与单位名称及人员姓名</w:t>
            </w:r>
          </w:p>
        </w:tc>
        <w:tc>
          <w:tcPr>
            <w:tcW w:w="6614"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p>
          <w:p>
            <w:pPr>
              <w:rPr>
                <w:rFonts w:ascii="宋体" w:hAnsi="宋体"/>
                <w:bCs/>
                <w:iCs/>
                <w:color w:val="000000"/>
                <w:sz w:val="24"/>
                <w:szCs w:val="24"/>
              </w:rPr>
            </w:pPr>
          </w:p>
          <w:p>
            <w:pPr>
              <w:rPr>
                <w:rFonts w:ascii="宋体" w:hAnsi="宋体"/>
                <w:bCs/>
                <w:iCs/>
                <w:color w:val="000000"/>
                <w:sz w:val="24"/>
                <w:szCs w:val="24"/>
              </w:rPr>
            </w:pPr>
          </w:p>
          <w:p>
            <w:pPr>
              <w:rPr>
                <w:rFonts w:ascii="宋体" w:hAnsi="宋体"/>
                <w:bCs/>
                <w:i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r>
              <w:rPr>
                <w:rFonts w:ascii="宋体" w:hAnsi="宋体"/>
                <w:bCs/>
                <w:iCs/>
                <w:color w:val="000000"/>
                <w:sz w:val="24"/>
                <w:szCs w:val="24"/>
              </w:rPr>
              <w:t>时间</w:t>
            </w:r>
          </w:p>
        </w:tc>
        <w:tc>
          <w:tcPr>
            <w:tcW w:w="6614"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p>
          <w:p>
            <w:pPr>
              <w:rPr>
                <w:rFonts w:ascii="宋体" w:hAnsi="宋体"/>
                <w:bCs/>
                <w:i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r>
              <w:rPr>
                <w:rFonts w:ascii="宋体" w:hAnsi="宋体"/>
                <w:bCs/>
                <w:iCs/>
                <w:color w:val="000000"/>
                <w:sz w:val="24"/>
                <w:szCs w:val="24"/>
              </w:rPr>
              <w:t>地点</w:t>
            </w:r>
          </w:p>
        </w:tc>
        <w:tc>
          <w:tcPr>
            <w:tcW w:w="6614"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p>
          <w:p>
            <w:pPr>
              <w:rPr>
                <w:rFonts w:ascii="宋体" w:hAnsi="宋体"/>
                <w:bCs/>
                <w:i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r>
              <w:rPr>
                <w:rFonts w:ascii="宋体" w:hAnsi="宋体"/>
                <w:bCs/>
                <w:iCs/>
                <w:color w:val="000000"/>
                <w:sz w:val="24"/>
                <w:szCs w:val="24"/>
              </w:rPr>
              <w:t>上市公司接待人员姓名</w:t>
            </w:r>
          </w:p>
        </w:tc>
        <w:tc>
          <w:tcPr>
            <w:tcW w:w="6614"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p>
          <w:p>
            <w:pPr>
              <w:rPr>
                <w:rFonts w:ascii="宋体" w:hAnsi="宋体"/>
                <w:bCs/>
                <w:iCs/>
                <w:color w:val="000000"/>
                <w:sz w:val="24"/>
                <w:szCs w:val="24"/>
              </w:rPr>
            </w:pPr>
          </w:p>
          <w:p>
            <w:pPr>
              <w:rPr>
                <w:rFonts w:ascii="宋体" w:hAnsi="宋体"/>
                <w:bCs/>
                <w:iCs/>
                <w:color w:val="000000"/>
                <w:sz w:val="24"/>
                <w:szCs w:val="24"/>
              </w:rPr>
            </w:pPr>
          </w:p>
          <w:p>
            <w:pPr>
              <w:rPr>
                <w:rFonts w:ascii="宋体" w:hAnsi="宋体"/>
                <w:bCs/>
                <w:i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r>
              <w:rPr>
                <w:rFonts w:ascii="宋体" w:hAnsi="宋体"/>
                <w:bCs/>
                <w:iCs/>
                <w:color w:val="000000"/>
                <w:sz w:val="24"/>
                <w:szCs w:val="24"/>
              </w:rPr>
              <w:t>投资者关系活动主要内容介绍</w:t>
            </w:r>
          </w:p>
          <w:p>
            <w:pPr>
              <w:rPr>
                <w:rFonts w:ascii="宋体" w:hAnsi="宋体"/>
                <w:bCs/>
                <w:iCs/>
                <w:color w:val="000000"/>
                <w:sz w:val="24"/>
                <w:szCs w:val="24"/>
              </w:rPr>
            </w:pPr>
          </w:p>
        </w:tc>
        <w:tc>
          <w:tcPr>
            <w:tcW w:w="6614"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p>
          <w:p>
            <w:pPr>
              <w:rPr>
                <w:rFonts w:ascii="宋体" w:hAnsi="宋体"/>
                <w:bCs/>
                <w:iCs/>
                <w:color w:val="000000"/>
                <w:sz w:val="24"/>
                <w:szCs w:val="24"/>
              </w:rPr>
            </w:pPr>
          </w:p>
          <w:p>
            <w:pPr>
              <w:rPr>
                <w:rFonts w:ascii="宋体" w:hAnsi="宋体"/>
                <w:bCs/>
                <w:iCs/>
                <w:color w:val="000000"/>
                <w:sz w:val="24"/>
                <w:szCs w:val="24"/>
              </w:rPr>
            </w:pPr>
          </w:p>
          <w:p>
            <w:pPr>
              <w:rPr>
                <w:rFonts w:ascii="宋体" w:hAnsi="宋体"/>
                <w:bCs/>
                <w:iCs/>
                <w:color w:val="000000"/>
                <w:sz w:val="24"/>
                <w:szCs w:val="24"/>
              </w:rPr>
            </w:pPr>
          </w:p>
          <w:p>
            <w:pPr>
              <w:rPr>
                <w:rFonts w:ascii="宋体" w:hAnsi="宋体"/>
                <w:bCs/>
                <w:iCs/>
                <w:color w:val="000000"/>
                <w:sz w:val="24"/>
                <w:szCs w:val="24"/>
              </w:rPr>
            </w:pPr>
          </w:p>
          <w:p>
            <w:pPr>
              <w:rPr>
                <w:rFonts w:ascii="宋体" w:hAnsi="宋体"/>
                <w:bCs/>
                <w:iCs/>
                <w:color w:val="000000"/>
                <w:sz w:val="24"/>
                <w:szCs w:val="24"/>
              </w:rPr>
            </w:pPr>
          </w:p>
          <w:p>
            <w:pPr>
              <w:rPr>
                <w:rFonts w:ascii="宋体" w:hAnsi="宋体"/>
                <w:bCs/>
                <w:iCs/>
                <w:color w:val="000000"/>
                <w:sz w:val="24"/>
                <w:szCs w:val="24"/>
              </w:rPr>
            </w:pPr>
          </w:p>
          <w:p>
            <w:pPr>
              <w:rPr>
                <w:rFonts w:ascii="宋体" w:hAnsi="宋体"/>
                <w:bCs/>
                <w:iCs/>
                <w:color w:val="000000"/>
                <w:sz w:val="24"/>
                <w:szCs w:val="24"/>
              </w:rPr>
            </w:pPr>
          </w:p>
          <w:p>
            <w:pPr>
              <w:rPr>
                <w:rFonts w:ascii="宋体" w:hAnsi="宋体"/>
                <w:bCs/>
                <w:i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r>
              <w:rPr>
                <w:rFonts w:ascii="宋体" w:hAnsi="宋体"/>
                <w:bCs/>
                <w:iCs/>
                <w:color w:val="000000"/>
                <w:sz w:val="24"/>
                <w:szCs w:val="24"/>
              </w:rPr>
              <w:t>附件清单（如有）</w:t>
            </w:r>
          </w:p>
        </w:tc>
        <w:tc>
          <w:tcPr>
            <w:tcW w:w="6614"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p>
          <w:p>
            <w:pPr>
              <w:rPr>
                <w:rFonts w:ascii="宋体" w:hAnsi="宋体"/>
                <w:bCs/>
                <w:iCs/>
                <w:color w:val="000000"/>
                <w:sz w:val="24"/>
                <w:szCs w:val="24"/>
              </w:rPr>
            </w:pPr>
          </w:p>
          <w:p>
            <w:pPr>
              <w:rPr>
                <w:rFonts w:ascii="宋体" w:hAnsi="宋体"/>
                <w:bCs/>
                <w:i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r>
              <w:rPr>
                <w:rFonts w:ascii="宋体" w:hAnsi="宋体"/>
                <w:bCs/>
                <w:iCs/>
                <w:color w:val="000000"/>
                <w:sz w:val="24"/>
                <w:szCs w:val="24"/>
              </w:rPr>
              <w:t>日期</w:t>
            </w:r>
          </w:p>
        </w:tc>
        <w:tc>
          <w:tcPr>
            <w:tcW w:w="6614" w:type="dxa"/>
            <w:tcBorders>
              <w:top w:val="single" w:color="auto" w:sz="4" w:space="0"/>
              <w:left w:val="single" w:color="auto" w:sz="4" w:space="0"/>
              <w:bottom w:val="single" w:color="auto" w:sz="4" w:space="0"/>
              <w:right w:val="single" w:color="auto" w:sz="4" w:space="0"/>
            </w:tcBorders>
            <w:vAlign w:val="center"/>
          </w:tcPr>
          <w:p>
            <w:pPr>
              <w:rPr>
                <w:rFonts w:ascii="宋体" w:hAnsi="宋体"/>
                <w:bCs/>
                <w:iCs/>
                <w:color w:val="000000"/>
                <w:sz w:val="24"/>
                <w:szCs w:val="24"/>
              </w:rPr>
            </w:pPr>
          </w:p>
          <w:p>
            <w:pPr>
              <w:rPr>
                <w:rFonts w:ascii="宋体" w:hAnsi="宋体"/>
                <w:bCs/>
                <w:iCs/>
                <w:color w:val="000000"/>
                <w:sz w:val="24"/>
                <w:szCs w:val="24"/>
              </w:rPr>
            </w:pPr>
          </w:p>
        </w:tc>
      </w:tr>
    </w:tbl>
    <w:p>
      <w:pPr>
        <w:spacing w:line="560" w:lineRule="exact"/>
        <w:jc w:val="center"/>
        <w:rPr>
          <w:rFonts w:ascii="Times New Roman" w:hAnsi="Times New Roman" w:eastAsia="仿宋"/>
          <w:color w:val="000000"/>
          <w:szCs w:val="21"/>
        </w:rPr>
      </w:pPr>
    </w:p>
    <w:p>
      <w:pPr>
        <w:spacing w:line="560" w:lineRule="exact"/>
        <w:rPr>
          <w:rFonts w:ascii="Times New Roman" w:hAnsi="Times New Roman" w:eastAsia="仿宋"/>
          <w:sz w:val="32"/>
          <w:szCs w:val="20"/>
        </w:rPr>
      </w:pPr>
      <w:r>
        <w:rPr>
          <w:rFonts w:ascii="Times New Roman" w:hAnsi="Times New Roman" w:eastAsia="仿宋"/>
          <w:color w:val="000000"/>
          <w:szCs w:val="21"/>
        </w:rPr>
        <w:br w:type="page"/>
      </w:r>
      <w:r>
        <w:rPr>
          <w:rFonts w:ascii="黑体" w:hAnsi="黑体" w:eastAsia="黑体"/>
          <w:sz w:val="32"/>
          <w:szCs w:val="20"/>
        </w:rPr>
        <w:t>附件</w:t>
      </w:r>
      <w:r>
        <w:rPr>
          <w:rFonts w:hint="eastAsia" w:ascii="黑体" w:hAnsi="黑体" w:eastAsia="黑体"/>
          <w:sz w:val="32"/>
          <w:szCs w:val="20"/>
        </w:rPr>
        <w:t>4</w:t>
      </w:r>
    </w:p>
    <w:p>
      <w:pPr>
        <w:spacing w:line="560" w:lineRule="exact"/>
        <w:ind w:firstLine="560" w:firstLineChars="200"/>
        <w:rPr>
          <w:rFonts w:ascii="Times New Roman" w:hAnsi="Times New Roman" w:eastAsia="仿宋"/>
          <w:color w:val="000000"/>
          <w:sz w:val="28"/>
          <w:szCs w:val="28"/>
        </w:rPr>
      </w:pPr>
    </w:p>
    <w:p>
      <w:pPr>
        <w:spacing w:line="560" w:lineRule="exact"/>
        <w:jc w:val="center"/>
        <w:rPr>
          <w:rFonts w:ascii="方正小标宋简体" w:hAnsi="Times New Roman" w:eastAsia="方正小标宋简体"/>
          <w:bCs/>
          <w:iCs/>
          <w:color w:val="000000"/>
          <w:sz w:val="32"/>
          <w:szCs w:val="32"/>
        </w:rPr>
      </w:pPr>
      <w:r>
        <w:rPr>
          <w:rFonts w:ascii="方正小标宋简体" w:hAnsi="Times New Roman" w:eastAsia="方正小标宋简体"/>
          <w:bCs/>
          <w:iCs/>
          <w:color w:val="000000"/>
          <w:sz w:val="32"/>
          <w:szCs w:val="32"/>
        </w:rPr>
        <w:t>特定对象与上市公司直接沟通签署的承诺书格式</w:t>
      </w:r>
    </w:p>
    <w:p>
      <w:pPr>
        <w:spacing w:line="560" w:lineRule="exact"/>
        <w:jc w:val="center"/>
        <w:rPr>
          <w:rFonts w:ascii="Times New Roman" w:hAnsi="Times New Roman" w:eastAsia="方正小标宋简体"/>
          <w:color w:val="000000"/>
          <w:sz w:val="32"/>
          <w:szCs w:val="32"/>
        </w:rPr>
      </w:pPr>
    </w:p>
    <w:p>
      <w:pPr>
        <w:jc w:val="center"/>
        <w:rPr>
          <w:rFonts w:ascii="黑体" w:hAnsi="黑体" w:eastAsia="黑体"/>
          <w:bCs/>
          <w:color w:val="000000"/>
          <w:sz w:val="32"/>
          <w:szCs w:val="32"/>
        </w:rPr>
      </w:pPr>
      <w:r>
        <w:rPr>
          <w:rFonts w:ascii="黑体" w:hAnsi="黑体" w:eastAsia="黑体"/>
          <w:bCs/>
          <w:color w:val="000000"/>
          <w:sz w:val="32"/>
          <w:szCs w:val="32"/>
        </w:rPr>
        <w:t>承  诺  书</w:t>
      </w:r>
    </w:p>
    <w:p>
      <w:pPr>
        <w:tabs>
          <w:tab w:val="left" w:pos="1080"/>
        </w:tabs>
        <w:spacing w:line="560" w:lineRule="exact"/>
        <w:jc w:val="center"/>
        <w:rPr>
          <w:rFonts w:ascii="Times New Roman" w:hAnsi="Times New Roman" w:eastAsia="仿宋"/>
          <w:b/>
          <w:color w:val="000000"/>
          <w:sz w:val="32"/>
          <w:szCs w:val="32"/>
        </w:rPr>
      </w:pPr>
    </w:p>
    <w:p>
      <w:pPr>
        <w:tabs>
          <w:tab w:val="left" w:pos="-142"/>
        </w:tabs>
        <w:spacing w:line="560" w:lineRule="exact"/>
        <w:jc w:val="left"/>
        <w:rPr>
          <w:rFonts w:ascii="Times New Roman" w:hAnsi="Times New Roman" w:eastAsia="仿宋"/>
          <w:color w:val="000000"/>
          <w:sz w:val="32"/>
          <w:szCs w:val="32"/>
        </w:rPr>
      </w:pPr>
      <w:r>
        <w:rPr>
          <w:rFonts w:ascii="Times New Roman" w:hAnsi="Times New Roman" w:eastAsia="仿宋"/>
          <w:color w:val="000000"/>
          <w:sz w:val="32"/>
          <w:szCs w:val="32"/>
        </w:rPr>
        <w:t>XX股份有限公司：</w:t>
      </w:r>
    </w:p>
    <w:p>
      <w:pPr>
        <w:tabs>
          <w:tab w:val="left" w:pos="0"/>
        </w:tabs>
        <w:spacing w:line="560" w:lineRule="exact"/>
        <w:ind w:firstLine="567"/>
        <w:rPr>
          <w:rFonts w:ascii="Times New Roman" w:hAnsi="Times New Roman" w:eastAsia="仿宋"/>
          <w:color w:val="000000"/>
          <w:sz w:val="32"/>
          <w:szCs w:val="32"/>
        </w:rPr>
      </w:pPr>
      <w:r>
        <w:rPr>
          <w:rFonts w:ascii="Times New Roman" w:hAnsi="Times New Roman" w:eastAsia="仿宋"/>
          <w:color w:val="000000"/>
          <w:sz w:val="32"/>
          <w:szCs w:val="32"/>
        </w:rPr>
        <w:t xml:space="preserve">本人（公司）将对你公司进行调研（或参观、采访、座谈等），根据有关规定做出如下承诺： </w:t>
      </w:r>
    </w:p>
    <w:p>
      <w:pPr>
        <w:tabs>
          <w:tab w:val="left" w:pos="0"/>
        </w:tabs>
        <w:spacing w:line="560" w:lineRule="exact"/>
        <w:ind w:firstLine="567"/>
        <w:rPr>
          <w:rFonts w:ascii="Times New Roman" w:hAnsi="Times New Roman" w:eastAsia="仿宋"/>
          <w:color w:val="000000"/>
          <w:sz w:val="32"/>
          <w:szCs w:val="32"/>
        </w:rPr>
      </w:pPr>
      <w:r>
        <w:rPr>
          <w:rFonts w:ascii="Times New Roman" w:hAnsi="Times New Roman" w:eastAsia="仿宋"/>
          <w:color w:val="000000"/>
          <w:sz w:val="32"/>
          <w:szCs w:val="32"/>
        </w:rPr>
        <w:t>（一）本人（公司）承诺在调研（或参观、采访、座谈等）过程中不故意打探你公司未公开重大信息，未经你公司许可，不与你公司指定人员以外的人员进行沟通或问询；</w:t>
      </w:r>
    </w:p>
    <w:p>
      <w:pPr>
        <w:tabs>
          <w:tab w:val="left" w:pos="0"/>
        </w:tabs>
        <w:spacing w:line="560" w:lineRule="exact"/>
        <w:ind w:firstLine="567"/>
        <w:rPr>
          <w:rFonts w:ascii="Times New Roman" w:hAnsi="Times New Roman" w:eastAsia="仿宋"/>
          <w:color w:val="000000"/>
          <w:sz w:val="32"/>
          <w:szCs w:val="32"/>
        </w:rPr>
      </w:pPr>
      <w:r>
        <w:rPr>
          <w:rFonts w:ascii="Times New Roman" w:hAnsi="Times New Roman" w:eastAsia="仿宋"/>
          <w:color w:val="000000"/>
          <w:sz w:val="32"/>
          <w:szCs w:val="32"/>
        </w:rPr>
        <w:t>（二）本人（公司）承诺不</w:t>
      </w:r>
      <w:r>
        <w:rPr>
          <w:rFonts w:hint="eastAsia" w:ascii="Times New Roman" w:hAnsi="Times New Roman" w:eastAsia="仿宋"/>
          <w:color w:val="000000"/>
          <w:sz w:val="32"/>
          <w:szCs w:val="32"/>
        </w:rPr>
        <w:t>泄露</w:t>
      </w:r>
      <w:r>
        <w:rPr>
          <w:rFonts w:ascii="Times New Roman" w:hAnsi="Times New Roman" w:eastAsia="仿宋"/>
          <w:color w:val="000000"/>
          <w:sz w:val="32"/>
          <w:szCs w:val="32"/>
        </w:rPr>
        <w:t xml:space="preserve">在调研（或参观、采访、座谈等）过程中获取的你公司未公开重大信息，不利用所获取的未公开重大信息买卖你公司证券或建议他人买卖你公司证券；  </w:t>
      </w:r>
    </w:p>
    <w:p>
      <w:pPr>
        <w:tabs>
          <w:tab w:val="left" w:pos="0"/>
        </w:tabs>
        <w:spacing w:line="560" w:lineRule="exact"/>
        <w:ind w:firstLine="567"/>
        <w:rPr>
          <w:rFonts w:ascii="Times New Roman" w:hAnsi="Times New Roman" w:eastAsia="仿宋"/>
          <w:color w:val="000000"/>
          <w:sz w:val="32"/>
          <w:szCs w:val="32"/>
        </w:rPr>
      </w:pPr>
      <w:r>
        <w:rPr>
          <w:rFonts w:ascii="Times New Roman" w:hAnsi="Times New Roman" w:eastAsia="仿宋"/>
          <w:color w:val="000000"/>
          <w:sz w:val="32"/>
          <w:szCs w:val="32"/>
        </w:rPr>
        <w:t xml:space="preserve">（三）本人（公司）承诺在投资价值分析报告、新闻稿等文件中不使用本次调研（或参观、采访、座谈等）获取的你公司未公开重大信息； </w:t>
      </w:r>
    </w:p>
    <w:p>
      <w:pPr>
        <w:tabs>
          <w:tab w:val="left" w:pos="0"/>
        </w:tabs>
        <w:spacing w:line="560" w:lineRule="exact"/>
        <w:ind w:firstLine="567"/>
        <w:rPr>
          <w:rFonts w:ascii="Times New Roman" w:hAnsi="Times New Roman" w:eastAsia="仿宋"/>
          <w:color w:val="000000"/>
          <w:sz w:val="32"/>
          <w:szCs w:val="32"/>
        </w:rPr>
      </w:pPr>
      <w:r>
        <w:rPr>
          <w:rFonts w:ascii="Times New Roman" w:hAnsi="Times New Roman" w:eastAsia="仿宋"/>
          <w:color w:val="000000"/>
          <w:sz w:val="32"/>
          <w:szCs w:val="32"/>
        </w:rPr>
        <w:t xml:space="preserve">（四）本人（公司）承诺基于本次调研（或参观、采访、座谈等）形成的投资价值分析报告、新闻稿等文件中涉及盈利预测和股价预测的，注明资料来源，不使用缺乏事实根据的资料； </w:t>
      </w:r>
    </w:p>
    <w:p>
      <w:pPr>
        <w:tabs>
          <w:tab w:val="left" w:pos="0"/>
        </w:tabs>
        <w:spacing w:line="560" w:lineRule="exact"/>
        <w:ind w:firstLine="567"/>
        <w:rPr>
          <w:rFonts w:ascii="Times New Roman" w:hAnsi="Times New Roman" w:eastAsia="仿宋"/>
          <w:color w:val="000000"/>
          <w:sz w:val="32"/>
          <w:szCs w:val="32"/>
        </w:rPr>
      </w:pPr>
      <w:r>
        <w:rPr>
          <w:rFonts w:ascii="Times New Roman" w:hAnsi="Times New Roman" w:eastAsia="仿宋"/>
          <w:color w:val="000000"/>
          <w:sz w:val="32"/>
          <w:szCs w:val="32"/>
        </w:rPr>
        <w:t>（五）本人（公司）承诺基于本次调研（或参观、采访、座谈等）形成的投资价值分析报告、新闻稿等文件（或涉及基础性信息的部分内容），在对外发布或使用至少两个工作日前知会你公司，并保证相关内容客观真实；</w:t>
      </w:r>
    </w:p>
    <w:p>
      <w:pPr>
        <w:tabs>
          <w:tab w:val="left" w:pos="0"/>
        </w:tabs>
        <w:spacing w:line="560" w:lineRule="exact"/>
        <w:ind w:firstLine="567"/>
        <w:rPr>
          <w:rFonts w:ascii="Times New Roman" w:hAnsi="Times New Roman" w:eastAsia="仿宋"/>
          <w:color w:val="000000"/>
          <w:sz w:val="32"/>
          <w:szCs w:val="32"/>
        </w:rPr>
      </w:pPr>
      <w:r>
        <w:rPr>
          <w:rFonts w:ascii="Times New Roman" w:hAnsi="Times New Roman" w:eastAsia="仿宋"/>
          <w:color w:val="000000"/>
          <w:sz w:val="32"/>
          <w:szCs w:val="32"/>
        </w:rPr>
        <w:t>（六）本人（公司）如违反上述承诺，愿意承担由此引起的一切法律责任；（公司也可明确规定责任的内容）</w:t>
      </w:r>
    </w:p>
    <w:p>
      <w:pPr>
        <w:tabs>
          <w:tab w:val="left" w:pos="0"/>
        </w:tabs>
        <w:spacing w:line="560" w:lineRule="exact"/>
        <w:ind w:firstLine="567"/>
        <w:rPr>
          <w:rFonts w:ascii="Times New Roman" w:hAnsi="Times New Roman" w:eastAsia="仿宋"/>
          <w:color w:val="000000"/>
          <w:sz w:val="32"/>
          <w:szCs w:val="32"/>
        </w:rPr>
      </w:pPr>
      <w:r>
        <w:rPr>
          <w:rFonts w:ascii="Times New Roman" w:hAnsi="Times New Roman" w:eastAsia="仿宋"/>
          <w:color w:val="000000"/>
          <w:sz w:val="32"/>
          <w:szCs w:val="32"/>
        </w:rPr>
        <w:t>（七）本承诺书仅限于本人（公司）对你公司调研（或参观、采访、座谈等）活动，时间为：                ；</w:t>
      </w:r>
    </w:p>
    <w:p>
      <w:pPr>
        <w:tabs>
          <w:tab w:val="left" w:pos="0"/>
        </w:tabs>
        <w:spacing w:line="560" w:lineRule="exact"/>
        <w:ind w:firstLine="567"/>
        <w:rPr>
          <w:rFonts w:ascii="Times New Roman" w:hAnsi="Times New Roman" w:eastAsia="仿宋"/>
          <w:color w:val="000000"/>
          <w:sz w:val="32"/>
          <w:szCs w:val="32"/>
        </w:rPr>
      </w:pPr>
      <w:r>
        <w:rPr>
          <w:rFonts w:ascii="Times New Roman" w:hAnsi="Times New Roman" w:eastAsia="仿宋"/>
          <w:color w:val="000000"/>
          <w:sz w:val="32"/>
          <w:szCs w:val="32"/>
        </w:rPr>
        <w:t>（八）本承诺书的有效期为    年    月    日至    年     月     日。经本公司（或研究机构）书面授权的个人在本承诺书有效期内到你公司现场调研（或参观、采访、座谈等），视同本公司行为。（此条仅适用于以公司或研究机构名义签署的承诺书）</w:t>
      </w:r>
    </w:p>
    <w:p>
      <w:pPr>
        <w:tabs>
          <w:tab w:val="left" w:pos="1080"/>
        </w:tabs>
        <w:spacing w:line="560" w:lineRule="exact"/>
        <w:ind w:left="420" w:firstLine="493"/>
        <w:rPr>
          <w:rFonts w:ascii="Times New Roman" w:hAnsi="Times New Roman" w:eastAsia="仿宋"/>
          <w:color w:val="000000"/>
          <w:sz w:val="32"/>
          <w:szCs w:val="32"/>
        </w:rPr>
      </w:pPr>
    </w:p>
    <w:p>
      <w:pPr>
        <w:tabs>
          <w:tab w:val="left" w:pos="1080"/>
        </w:tabs>
        <w:spacing w:line="560" w:lineRule="exact"/>
        <w:ind w:left="420" w:firstLine="493"/>
        <w:rPr>
          <w:rFonts w:ascii="Times New Roman" w:hAnsi="Times New Roman" w:eastAsia="仿宋"/>
          <w:color w:val="000000"/>
          <w:sz w:val="32"/>
          <w:szCs w:val="32"/>
        </w:rPr>
      </w:pPr>
      <w:r>
        <w:rPr>
          <w:rFonts w:ascii="Times New Roman" w:hAnsi="Times New Roman" w:eastAsia="仿宋"/>
          <w:color w:val="000000"/>
          <w:sz w:val="32"/>
          <w:szCs w:val="32"/>
        </w:rPr>
        <w:t xml:space="preserve">                     承诺人（公司）：  （签章）</w:t>
      </w:r>
    </w:p>
    <w:p>
      <w:pPr>
        <w:tabs>
          <w:tab w:val="left" w:pos="1080"/>
        </w:tabs>
        <w:spacing w:line="560" w:lineRule="exact"/>
        <w:ind w:left="420" w:firstLine="493"/>
        <w:rPr>
          <w:rFonts w:ascii="Times New Roman" w:hAnsi="Times New Roman" w:eastAsia="仿宋"/>
          <w:color w:val="000000"/>
          <w:sz w:val="32"/>
          <w:szCs w:val="32"/>
        </w:rPr>
      </w:pPr>
      <w:r>
        <w:rPr>
          <w:rFonts w:ascii="Times New Roman" w:hAnsi="Times New Roman" w:eastAsia="仿宋"/>
          <w:color w:val="000000"/>
          <w:sz w:val="32"/>
          <w:szCs w:val="32"/>
        </w:rPr>
        <w:t xml:space="preserve">                       （授权代表）：    （签章）</w:t>
      </w:r>
    </w:p>
    <w:p>
      <w:pPr>
        <w:tabs>
          <w:tab w:val="left" w:pos="1080"/>
        </w:tabs>
        <w:spacing w:line="560" w:lineRule="exact"/>
        <w:ind w:left="420" w:firstLine="493"/>
        <w:rPr>
          <w:rFonts w:ascii="Times New Roman" w:hAnsi="Times New Roman" w:eastAsia="仿宋"/>
          <w:color w:val="000000"/>
          <w:sz w:val="32"/>
          <w:szCs w:val="32"/>
        </w:rPr>
      </w:pPr>
      <w:r>
        <w:rPr>
          <w:rFonts w:ascii="Times New Roman" w:hAnsi="Times New Roman" w:eastAsia="仿宋"/>
          <w:color w:val="000000"/>
          <w:sz w:val="32"/>
          <w:szCs w:val="32"/>
        </w:rPr>
        <w:t xml:space="preserve">                             </w:t>
      </w:r>
      <w:r>
        <w:rPr>
          <w:rFonts w:hint="eastAsia" w:ascii="Times New Roman" w:hAnsi="Times New Roman" w:eastAsia="仿宋"/>
          <w:color w:val="000000"/>
          <w:sz w:val="32"/>
          <w:szCs w:val="32"/>
        </w:rPr>
        <w:t xml:space="preserve"> </w:t>
      </w:r>
      <w:r>
        <w:rPr>
          <w:rFonts w:ascii="Times New Roman" w:hAnsi="Times New Roman" w:eastAsia="仿宋"/>
          <w:color w:val="000000"/>
          <w:sz w:val="32"/>
          <w:szCs w:val="32"/>
        </w:rPr>
        <w:t>日期：</w:t>
      </w:r>
    </w:p>
    <w:p>
      <w:pPr>
        <w:pStyle w:val="162"/>
        <w:ind w:firstLine="0" w:firstLineChars="0"/>
        <w:outlineLvl w:val="1"/>
        <w:rPr>
          <w:rFonts w:ascii="Times New Roman" w:hAnsi="Times New Roman" w:eastAsia="黑体"/>
        </w:rPr>
      </w:pPr>
      <w:r>
        <w:rPr>
          <w:rFonts w:ascii="Times New Roman" w:hAnsi="Times New Roman" w:eastAsia="仿宋"/>
          <w:color w:val="000000"/>
          <w:sz w:val="32"/>
          <w:szCs w:val="32"/>
        </w:rPr>
        <w:br w:type="page"/>
      </w:r>
      <w:bookmarkStart w:id="4" w:name="_Toc141954522"/>
      <w:bookmarkStart w:id="5" w:name="_Toc1034"/>
      <w:bookmarkStart w:id="6" w:name="_Toc129272518"/>
      <w:r>
        <w:rPr>
          <w:rFonts w:hint="eastAsia" w:hAnsi="黑体"/>
          <w:sz w:val="32"/>
          <w:szCs w:val="32"/>
        </w:rPr>
        <w:t xml:space="preserve">第二节 </w:t>
      </w:r>
      <w:r>
        <w:rPr>
          <w:rFonts w:hAnsi="黑体"/>
          <w:sz w:val="32"/>
          <w:szCs w:val="32"/>
        </w:rPr>
        <w:t>定期报告披露相关事宜</w:t>
      </w:r>
      <w:bookmarkEnd w:id="4"/>
      <w:bookmarkEnd w:id="5"/>
      <w:bookmarkEnd w:id="6"/>
    </w:p>
    <w:p>
      <w:pPr>
        <w:topLinePunct/>
        <w:adjustRightInd w:val="0"/>
        <w:snapToGrid w:val="0"/>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一、业绩预告、业绩快报、盈利预测及其修正</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（一）业绩预告披露标准</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仿宋" w:hAnsi="仿宋" w:eastAsia="仿宋"/>
          <w:sz w:val="32"/>
          <w:szCs w:val="32"/>
        </w:rPr>
        <w:t>上市公司董事会应当密切关注发生或可能发生对公司经营成果和财务状况有重大影响的事项，及时对年度经营业绩和财务状况进行预计。</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1．上市公司预计年度经营业绩或者财务状况将出现下列情形之一的，应当在会计年度结束之日起一个月内进行预告：</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（1）净利润为负；</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（2）实现扭亏为盈；</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（3）实现盈利，且净利润与上年同期相比上升或者下降50%以上；</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（4）扣除非经常性损益前后的净利润孰低者为负值，且扣除与主营业务无关的业务收入和不具备商业实质的收入后的营业收入低于一亿元；</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（5）期末净资产为负;</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（6）本所认定的其他情形。</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新上市公司在招股说明书、上市公告书等发行上市公开信息披露文件中未披露预计的年度主要财务数据和会计指标且存在上述情形之一的，应当披露业绩预告。</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2．上市公司触及前述第1项第（4）种情形的，应当预告全年营业收入、扣除与主营业务无关的业务收入和不具备商业实质的收入后的营业收入、净利润、扣除非经常性损益后的净利润。</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上市公司因《创业板上市规则》第10.3.1条第一款规定的情形，其股票被实施退市风险警示的，应当于会计年度结束之日起一个月内预告全年营业收入、扣除与主营业务无关的业务收入和不具备商业实质的收入后的营业收入、净利润、扣除非经常性损益后的净利润和净资产。</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（二）业绩预告方式</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上市公司应当合理、谨慎、客观、准确地披露业绩预告，明确披露业绩的变动范围、盈亏金额区间等，不得采用措辞模糊的表述，如“一定幅度”“较大幅度”“较高”等词语来代替。</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1．公司应当在业绩预告中披露业绩变动范围，上下限区间最大不得超过50%，即[(上限金额-下限金额)/下限金额] 的绝对值应不超过50%，鼓励不超过30%。</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公司应当在业绩预告中充分说明业绩或财务状况发生重大变动的主要原因，例如计提减值准备、停产、补交税费等。业绩变动主要源于非经常性损益的，需说明影响金额范围，并明确指出相关项目属于非经常性损益。</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注：本指南所称“元”，如无特指，均指人民币元。</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（三）业绩预告修正</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董事会应当根据公司的经营状况和盈利情况，持续关注实际业绩或财务状况是否与此前预告的业绩存在较大差异，如预计实际业绩或财务状况与已披露的数据相比存在下列情形之一时，应当及时披露业绩预告修正公告：</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业绩预告涉及净利润、扣除非经常性损益后的净利润指标的，最新预计的盈亏性质（包括净利润与扣除非经常性损益后净利润）与已披露的业绩预告不一致，或者最新预计的净利润较原预计金额差异幅度较大；</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2．业绩预告涉及扣除后营业收入指标的，最新预计的指标性质发生变化（原预计扣除后营业收入低于1亿元，但最新预计高于1亿元，或原预计扣除后营业收入高于1亿元，但最新预计低于1亿元）； </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3．业绩预告涉及期末净资产指标的，最新预计的净资产方向与已披露的业绩预告不一致；</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上市公司因《创业板上市规则》第10.3.1条第一款规定的情形其股票被实施退市风险警示后的首个会计年度，公司最新预计的全年营业收入、扣除与主营业务无关的业务收入和不具备商业实质的收入后的营业收入、净利润、扣除非经常性损益后的净利润和期末净资产与原预计方向或性质不一致，或者较原预计金额差异幅度较大；</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5．其他重大差异情况。</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上述差异幅度较大是指最新预计数据高于原预告区间金额上限的20%或者低于原预告区间金额下限的20%。</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（四）业绩预告、业绩预告修正公告披露要求</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上市公司披露业绩预告或业绩预告修正公告时，应当向本所提交以下文件并根据《创业板上市公司自律监管指南第2号——公告格式》（以下简称《公告格式》）“第15号  上市公司业绩预告及修正公告格式”进行披露：</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1．公告文稿；</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2．董事会的有关说明；</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3．会计师事务所对公司作出业绩预告或者修正其业绩预告的依据及过程是否适当和审慎的意见（如适用）；</w:t>
      </w:r>
    </w:p>
    <w:p>
      <w:pPr>
        <w:topLinePunct/>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sz w:val="32"/>
          <w:szCs w:val="32"/>
        </w:rPr>
        <w:t>本所的其他文件。</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（五）业绩快报披露标准</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1．本所鼓励上市公司在定期报告披露前，主动披露业绩快报。</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2．上市公司在定期报告披露前向国家有关机关报送未公开的定期财务数据，预计无法保密的，应当及时披露业绩快报。</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3．上市公司在定期报告披露前出现业绩泄露，或者因业绩传闻导致公司股票及其衍生品种交易异常波动的，应当及时披露业绩快报。</w:t>
      </w:r>
    </w:p>
    <w:p>
      <w:pPr>
        <w:topLinePunct/>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4．自愿发布第一季度报告业绩预告但其上年年报尚未披露的，上市公司应当在发布业绩预告的同时披露其上年度的业绩快报。</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（六）业绩快报修正</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1．为保证所披露的财务数据不存在重大误差，本所鼓励公司对发布的业绩快报数据由注册会计师进行预审计或者与注册会计师进行事先的充分沟通。</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应当确保业绩快报中的财务数据和指标与实际数据和指标不存在重大差异。上市公司预计实际数据与业绩快报披露的数据之间的差异幅度达到20%以上的，或最近预计的报告期盈亏性质（包括净利润与扣除非经常性损益后的净利润）发生变化、期末净资产发生方向性变化的，应当及时披露修正公告，说明修正内容及修正原因。</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（七）业绩快报及其修正公告披露要求</w:t>
      </w:r>
    </w:p>
    <w:p>
      <w:pPr>
        <w:spacing w:line="560" w:lineRule="exact"/>
        <w:ind w:firstLine="640" w:firstLineChars="200"/>
        <w:rPr>
          <w:rFonts w:ascii="仿宋" w:hAnsi="仿宋" w:eastAsia="仿宋"/>
          <w:bCs/>
          <w:sz w:val="32"/>
          <w:szCs w:val="32"/>
        </w:rPr>
      </w:pPr>
      <w:r>
        <w:rPr>
          <w:rFonts w:hint="eastAsia" w:ascii="仿宋" w:hAnsi="仿宋" w:eastAsia="仿宋"/>
          <w:sz w:val="32"/>
          <w:szCs w:val="32"/>
        </w:rPr>
        <w:t>业绩快报应当披露上市公司本期及上年同期营业收入、营业利润、利润总额、净利润、扣除非经常性损益后的净利润、总资产、净资产、每股收益、每股净资产和净资产收益率等数据和指标。上市公司披露业绩快报或业绩快报修正公告时，应当向本所提交下列文件并根据《公告格式》“第</w:t>
      </w:r>
      <w:r>
        <w:rPr>
          <w:rFonts w:ascii="仿宋" w:hAnsi="仿宋" w:eastAsia="仿宋"/>
          <w:sz w:val="32"/>
          <w:szCs w:val="32"/>
        </w:rPr>
        <w:t>16</w:t>
      </w:r>
      <w:r>
        <w:rPr>
          <w:rFonts w:hint="eastAsia" w:ascii="仿宋" w:hAnsi="仿宋" w:eastAsia="仿宋"/>
          <w:sz w:val="32"/>
          <w:szCs w:val="32"/>
        </w:rPr>
        <w:t xml:space="preserve">号  </w:t>
      </w:r>
      <w:r>
        <w:rPr>
          <w:rFonts w:hint="eastAsia" w:ascii="仿宋" w:hAnsi="仿宋" w:eastAsia="仿宋"/>
          <w:bCs/>
          <w:sz w:val="32"/>
          <w:szCs w:val="32"/>
        </w:rPr>
        <w:t>上市公司业绩快报及修正公告格式</w:t>
      </w:r>
      <w:r>
        <w:rPr>
          <w:rFonts w:hint="eastAsia" w:ascii="仿宋" w:hAnsi="仿宋" w:eastAsia="仿宋"/>
          <w:sz w:val="32"/>
          <w:szCs w:val="32"/>
        </w:rPr>
        <w:t>”进行披露：</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1．公告文稿；</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2．经公司现任法定代表人、主管会计工作的负责人、总会计师（如适用）、会计机构负责人（会计主管人员）签字并盖章的比较式资产负债表和利润表；</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3．公司董事会对差异内容及其原因的有关说明（如适用）；</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4．本所要求的其他文件。</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（八）盈利预测修正</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预计实际数据与招股说明书、上市公告书或定期报告等文件中已披露的盈利预测数据之间的差异幅度达到20%以上的，或最近预计的报告期净利润盈亏性质发生变化、期末净资产发生方向性变化的，应当及时披露修正公告，说明修正内容及修正原因。</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2．上市公司披露盈利预测修正公告的，应当向本所提交下列文件：</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（1）公告文稿；</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（2）董事会的有关说明；</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（3）董事会关于确认修正盈利预测的依据及过程是否适当和审慎的函件；</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（4）会计师事务所关于实际情况与盈利预测存在差异的专项说明；</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（5）本所要求的其他文件。</w:t>
      </w:r>
    </w:p>
    <w:p>
      <w:pPr>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3．上市公司披露的盈利预测修正公告应当包括下列内容：</w:t>
      </w:r>
    </w:p>
    <w:p>
      <w:pPr>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（1）预计的本期业绩；</w:t>
      </w:r>
    </w:p>
    <w:p>
      <w:pPr>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（2）预计的本期业绩与已披露的盈利预测存在的差异及造成差异的原因；</w:t>
      </w:r>
    </w:p>
    <w:p>
      <w:pPr>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（3）关于公司股票交易可能被实施或撤销风险警示，或者股票可能被终止上市的说明（如适用）。</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（九）其他事项</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1．因存在不确定因素可能影响业绩预告或者业绩快报准确性的，上市公司应当在业绩预告或业绩快报中做出声明，并披露不确定因素的具体情况及其影响程度。</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2．上市公司及其董事、监事、高级管理人员应当对业绩预告及修正公告、业绩快报及修正公告、盈利预测修正公告披露的准确性负责，确保披露情况与公司实际情况不存在重大差异。</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3．上市公司及其董事、监事、高级管理人员不得利用业绩预告及修正公告、业绩快报及修正公告、盈利预测修正公告误导投资者，从事内幕交易和操纵市场行为。</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4．本所或上市公司认为有必要披露业绩预告及其修正公告、业绩快报及其修正公告或盈利预测修正公告的，参照本节规定执行。</w:t>
      </w:r>
    </w:p>
    <w:p>
      <w:pPr>
        <w:topLinePunct/>
        <w:adjustRightInd w:val="0"/>
        <w:snapToGrid w:val="0"/>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二、</w:t>
      </w:r>
      <w:r>
        <w:rPr>
          <w:rFonts w:ascii="黑体" w:hAnsi="黑体" w:eastAsia="黑体"/>
          <w:color w:val="000000"/>
          <w:sz w:val="32"/>
          <w:szCs w:val="32"/>
        </w:rPr>
        <w:t xml:space="preserve"> </w:t>
      </w:r>
      <w:r>
        <w:rPr>
          <w:rFonts w:hint="eastAsia" w:ascii="黑体" w:hAnsi="黑体" w:eastAsia="黑体"/>
          <w:color w:val="000000"/>
          <w:sz w:val="32"/>
          <w:szCs w:val="32"/>
        </w:rPr>
        <w:t>定期报告报送、披露及相关要求</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（一）定期报告的报送要求</w:t>
      </w:r>
    </w:p>
    <w:p>
      <w:pPr>
        <w:topLinePunct/>
        <w:adjustRightInd w:val="0"/>
        <w:snapToGrid w:val="0"/>
        <w:spacing w:line="560" w:lineRule="exact"/>
        <w:ind w:firstLine="640" w:firstLineChars="200"/>
        <w:rPr>
          <w:rFonts w:ascii="仿宋" w:hAnsi="仿宋" w:eastAsia="仿宋"/>
          <w:kern w:val="0"/>
          <w:sz w:val="32"/>
          <w:szCs w:val="32"/>
          <w:lang w:val="zh-CN"/>
        </w:rPr>
      </w:pPr>
      <w:r>
        <w:rPr>
          <w:rFonts w:hint="eastAsia" w:ascii="仿宋" w:hAnsi="仿宋" w:eastAsia="仿宋"/>
          <w:kern w:val="0"/>
          <w:sz w:val="32"/>
          <w:szCs w:val="32"/>
          <w:lang w:val="zh-CN"/>
        </w:rPr>
        <w:t>上市公司应在董事会审议通过定期报告后及时履行报告和公告义务。上市公司向本所提交的定期报告公告文件、备查文件内容参见附件5《公告文件及报备文件要求》。报送时需注意：</w:t>
      </w:r>
    </w:p>
    <w:p>
      <w:pPr>
        <w:topLinePunct/>
        <w:adjustRightInd w:val="0"/>
        <w:snapToGrid w:val="0"/>
        <w:spacing w:line="560" w:lineRule="exact"/>
        <w:ind w:firstLine="640" w:firstLineChars="200"/>
        <w:rPr>
          <w:rFonts w:ascii="仿宋" w:hAnsi="仿宋" w:eastAsia="仿宋"/>
          <w:kern w:val="0"/>
          <w:sz w:val="32"/>
          <w:szCs w:val="32"/>
          <w:lang w:val="zh-CN"/>
        </w:rPr>
      </w:pPr>
      <w:r>
        <w:rPr>
          <w:rFonts w:hint="eastAsia" w:ascii="仿宋" w:hAnsi="仿宋" w:eastAsia="仿宋"/>
          <w:kern w:val="0"/>
          <w:sz w:val="32"/>
          <w:szCs w:val="32"/>
          <w:lang w:val="zh-CN"/>
        </w:rPr>
        <w:t>1．上市公司应使用本所提供的定期报告制作系统填制定期报告。在填制、披露定期报告前，上市公司应及时登录业务专区下载定期报告制作系统最新模板。</w:t>
      </w:r>
    </w:p>
    <w:p>
      <w:pPr>
        <w:topLinePunct/>
        <w:adjustRightInd w:val="0"/>
        <w:snapToGrid w:val="0"/>
        <w:spacing w:line="560" w:lineRule="exact"/>
        <w:ind w:firstLine="640" w:firstLineChars="200"/>
        <w:rPr>
          <w:rFonts w:ascii="仿宋" w:hAnsi="仿宋" w:eastAsia="仿宋"/>
          <w:kern w:val="0"/>
          <w:sz w:val="32"/>
          <w:szCs w:val="32"/>
          <w:lang w:val="zh-CN"/>
        </w:rPr>
      </w:pPr>
      <w:r>
        <w:rPr>
          <w:rFonts w:hint="eastAsia" w:ascii="仿宋" w:hAnsi="仿宋" w:eastAsia="仿宋"/>
          <w:kern w:val="0"/>
          <w:sz w:val="32"/>
          <w:szCs w:val="32"/>
          <w:lang w:val="zh-CN"/>
        </w:rPr>
        <w:t>2．填制定期报告文件时须保证数据校验通过。数据校验不通过的，上市公司应根据定期报告制作系统提示的错误信息进行补充或更正，直至数据校验通过。如数据校验始终无法通过，应当及时咨询本所。</w:t>
      </w:r>
    </w:p>
    <w:p>
      <w:pPr>
        <w:topLinePunct/>
        <w:adjustRightInd w:val="0"/>
        <w:snapToGrid w:val="0"/>
        <w:spacing w:line="560" w:lineRule="exact"/>
        <w:ind w:firstLine="640" w:firstLineChars="200"/>
        <w:rPr>
          <w:rFonts w:ascii="仿宋" w:hAnsi="仿宋" w:eastAsia="仿宋"/>
          <w:kern w:val="0"/>
          <w:sz w:val="32"/>
          <w:szCs w:val="32"/>
          <w:lang w:val="zh-CN"/>
        </w:rPr>
      </w:pPr>
      <w:r>
        <w:rPr>
          <w:rFonts w:hint="eastAsia" w:ascii="仿宋" w:hAnsi="仿宋" w:eastAsia="仿宋"/>
          <w:kern w:val="0"/>
          <w:sz w:val="32"/>
          <w:szCs w:val="32"/>
          <w:lang w:val="zh-CN"/>
        </w:rPr>
        <w:t>3．上市公司通过业务专区上传定期报告相关文件时，应同时上传在定期报告制作系统中生成的定期报告数据文件。</w:t>
      </w:r>
    </w:p>
    <w:p>
      <w:pPr>
        <w:topLinePunct/>
        <w:adjustRightInd w:val="0"/>
        <w:snapToGrid w:val="0"/>
        <w:spacing w:line="560" w:lineRule="exact"/>
        <w:ind w:firstLine="640" w:firstLineChars="200"/>
        <w:rPr>
          <w:rFonts w:ascii="黑体" w:hAnsi="黑体" w:eastAsia="黑体"/>
          <w:color w:val="000000"/>
          <w:sz w:val="32"/>
          <w:szCs w:val="32"/>
        </w:rPr>
      </w:pPr>
      <w:r>
        <w:rPr>
          <w:rFonts w:hint="eastAsia" w:ascii="仿宋" w:hAnsi="仿宋" w:eastAsia="仿宋"/>
          <w:kern w:val="0"/>
          <w:sz w:val="32"/>
          <w:szCs w:val="32"/>
          <w:lang w:val="zh-CN"/>
        </w:rPr>
        <w:t>4．上市公司需补充、更正定期报告的，在披露补充、更正后的定期报告全文时，应同时上传更新后的数据文件。</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（二）定期报告的披露时间</w:t>
      </w:r>
    </w:p>
    <w:p>
      <w:pPr>
        <w:autoSpaceDE w:val="0"/>
        <w:autoSpaceDN w:val="0"/>
        <w:adjustRightInd w:val="0"/>
        <w:spacing w:line="560" w:lineRule="exact"/>
        <w:ind w:firstLine="640" w:firstLineChars="200"/>
        <w:rPr>
          <w:rFonts w:ascii="仿宋" w:hAnsi="仿宋" w:eastAsia="仿宋"/>
          <w:kern w:val="0"/>
          <w:sz w:val="32"/>
          <w:szCs w:val="32"/>
          <w:lang w:val="zh-CN"/>
        </w:rPr>
      </w:pPr>
      <w:r>
        <w:rPr>
          <w:rFonts w:hint="eastAsia" w:ascii="仿宋" w:hAnsi="仿宋" w:eastAsia="仿宋"/>
          <w:kern w:val="0"/>
          <w:sz w:val="32"/>
          <w:szCs w:val="32"/>
          <w:lang w:val="zh-CN"/>
        </w:rPr>
        <w:t>1．上市公司应当根据《创业板上市规则》的要求及时披露定期报告。新上市的公司未在招股说明书或上市公告书中披露最近一期财务会计数据（年度财务数据应当经审计）的，应当及时披露最近一期定期报告。</w:t>
      </w:r>
    </w:p>
    <w:p>
      <w:pPr>
        <w:autoSpaceDE w:val="0"/>
        <w:autoSpaceDN w:val="0"/>
        <w:adjustRightInd w:val="0"/>
        <w:spacing w:line="560" w:lineRule="exact"/>
        <w:ind w:firstLine="640" w:firstLineChars="200"/>
        <w:rPr>
          <w:rFonts w:ascii="仿宋" w:hAnsi="仿宋" w:eastAsia="仿宋"/>
          <w:kern w:val="0"/>
          <w:sz w:val="32"/>
          <w:szCs w:val="32"/>
          <w:lang w:val="zh-CN"/>
        </w:rPr>
      </w:pPr>
      <w:r>
        <w:rPr>
          <w:rFonts w:hint="eastAsia" w:ascii="仿宋" w:hAnsi="仿宋" w:eastAsia="仿宋"/>
          <w:kern w:val="0"/>
          <w:sz w:val="32"/>
          <w:szCs w:val="32"/>
          <w:lang w:val="zh-CN"/>
        </w:rPr>
        <w:t>2．上市公司预计不能在《创业板上市规则》规定的截止日期前披露定期报告的，应当及时向本所提交书面报告。公司应在向本所报告的同时公告不能按期披露的原因、解决方案及延期披露的最后期限。</w:t>
      </w:r>
    </w:p>
    <w:p>
      <w:pPr>
        <w:autoSpaceDE w:val="0"/>
        <w:autoSpaceDN w:val="0"/>
        <w:adjustRightInd w:val="0"/>
        <w:spacing w:line="560" w:lineRule="exact"/>
        <w:ind w:firstLine="640" w:firstLineChars="200"/>
        <w:rPr>
          <w:rFonts w:ascii="仿宋" w:hAnsi="仿宋" w:eastAsia="仿宋"/>
          <w:kern w:val="0"/>
          <w:sz w:val="32"/>
          <w:szCs w:val="32"/>
          <w:lang w:val="zh-CN"/>
        </w:rPr>
      </w:pPr>
      <w:r>
        <w:rPr>
          <w:rFonts w:hint="eastAsia" w:ascii="仿宋" w:hAnsi="仿宋" w:eastAsia="仿宋"/>
          <w:kern w:val="0"/>
          <w:sz w:val="32"/>
          <w:szCs w:val="32"/>
          <w:lang w:val="zh-CN"/>
        </w:rPr>
        <w:t>3．上市公司应当与本所约定定期报告的披露时间，本所根据均衡原则统筹安排。公司应当按照预约日期办理定期报告披露事宜，如有特殊原因需要变更披露时间的，公司原则上应当提前5个交易日向本所提出申请，经本所同意后方可变更。如有特殊原因需要延期披露，且向本所申请时离原披露时间不足5个交易日的，经本所同意后还应当对外公告不能按期披露的原因、解决方案及延期披露的最后期限。本所原则上只接受一次变更申请。</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（三）董事、监事、高级管理人员签署书面确认意见</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董事、高级管理人员应当对上市公司定期报告签署书面确认意见，说明董事会的编制和审议程序是否符合法律法规、本所有关规定的要求，报告的内容是否能够真实、准确、完整地反映上市公司的实际情况。</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监事会应当对定期报告进行审核并提出书面审核意见。监事应当签署书面确认意见。监事会对定期报告出具的书面审核意见，应说明董事会的编制和审议程序是否符合法律法规、本所有关规定的要求，报告的内容是否能够真实、准确、完整地反映上市公司的实际情况。</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3．董事、监事无法保证定期报告内容的真实性、准确性、完整性或者有异议的，应当在董事会或者监事会审议、审核定期报告时投反对票或者弃权票。</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董事、监事和高级管理人员无法保证定期报告内容的真实性、准确性、完整性或者有异议的，应当在书面意见中发表意见并陈述理由，注明本人就无法保证或者持异议事项在定期报告编制及审议过程中的沟通决策情况以及履行勤勉义务所采取的尽职调查措施等信息。上市公司应当将该说明与定期报告同时予以披露。</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5．因故无法现场签字的董事、监事、高级管理人员，应当通过传真或其他方式对定期报告签署书面确认意见，并及时将原件寄达上市公司。</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6．董事、监事、高级管理人员因特殊原因（如暂时失去联系）无法在定期报告披露前对定期报告签署书面确认意见的，上市公司应当在定期报告全文和摘要中做出提示，在定期报告披露后要求相关董事、监事、高级管理人员补充签署意见，并应当根据补充签署意见对定期报告相关内容进行更正。</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7．董事、监事和高级管理人员书面确认意见的格式参考附件2《董事、监事、高级管理人员书面确认意见参考格式》。</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（四）独立董事年度述职和监事会报告</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独立董事应当向公司年度股东大会提交年度述职报告，独立董事年度述职报告最迟应当在上市公司发出年度股东大会通知时披露。述职报告内容应当包括：全年出席董事会方式、次数及投票情况，出席股东大会次数；向公司提出建议和发表独立意见的情况（如有）；参与董事会专门委员会、独立董事专门会议工作情况；行使特别职权的情况；与内部审计部门及承办上市公司审计业务的会计师事务所就公司财务、业务状况进行沟通的重大事项、方式及结果等情况；与中小投资者的沟通交流情况；在公司现场工作的时间、内容等情况；保护中小股东合法权益方面所做的其他工作等（模板见附件6）。</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独立董事述职应当作为年度股东大会的一个议程，但无需作为议案进行审议。公司在年度股东大会通知中应当写明“公司独立董事将在本次年度股东大会上进行述职”。因为特殊原因不能出席年度股东大会的独立董事，可以委托其他独立董事在年度股东大会上宣读述职报告。</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2．监事会应当在监事会报告中披露对公司信息披露事务管理制度进行检查的情况。</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（五）内幕信息知情人员管理</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在定期报告编制、审议和披露期间，上市公司应当加强内幕信息管理，严格控制内幕信息知情人员范围，及时登记知悉公司内幕信息的人员名单及其个人信息，在向本所报送定期报告的同时报备公司内幕信息知情人员档案。公司在报送内幕信息知情人档案的同时应当出具书面承诺，保证所填报内幕信息知情人信息及重大事项进程备忘录内容的真实、准确、完整，并向全部内幕信息知情人通报了有关法律法规对内幕信息知情人的相关规定。董事长及董事会秘书应当在书面承诺上签字确认。</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董事、监事、高级管理人员和其他知情人负有信息保密义务，不得以任何形式对外泄露定期报告内容，禁止内幕信息知情人员利用内幕信息买卖公司股票。在此期间公司依法对外报送报告期统计报表的，应当将所报送的外部单位相关人员作为内幕信息知情人进行登记，必要时应在对外报送前先行披露公司定期报告相关财务数据。</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3．上市公司应当尽量避免在年度报告、半年度报告披露前三十日内开展、接受投资者调研、媒体采访等活动。</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（六）年度报告说明会</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本所鼓励公司在年度报告披露后十五个交易日内举行年度报告说明会，向投资者真实、准确地介绍公司所处行业状况、发展战略、生产经营、财务状况、分红情况、风险因素等情况。上市公司董事长（或总经理）、财务负责人、董事会秘书、独立董事（至少1名）应当出席会议。公司处于持续督导期内的，鼓励保荐代表人或独立财务顾问主办人参加。</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2．公司拟召开年度报告说明会的，应当在投资者说明会召开前发布通知，公告内容应当包括日期及时间、召开方式（现场/网络）、召开地点或者网址、公司出席人员名单等。</w:t>
      </w:r>
    </w:p>
    <w:p>
      <w:pPr>
        <w:topLinePunct/>
        <w:adjustRightInd w:val="0"/>
        <w:snapToGrid w:val="0"/>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三、定期报告披露内容</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应当按照中国证监会定期报告准则，本所《创业板上市规则》《上市公司自律监管指引第2号——创业板上市公司规范运作》（以下简称《创业板规范运作指引》）、特定行业信息披露指引及下文要求，披露对投资者理解公司经营、业务、业绩及风险等有用的信息。上市公司应充分重视 “管理层讨论与分析”等非财务信息的披露，披露内容应具有相关性、针对性、决策有用性，避免空洞化、模版化。相关语言表述应当简明易懂、具备可理解性，并对可能造成投资者理解障碍以及具有特定含义的术语作出通俗易懂的解释。公司如需引用第三方数据资料的，应当保证引用内容充分可靠、客观权威，并注明来源。</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（一）非经常性损益的披露</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应当根据《公开发行证券的公司信息披露解释性公告第1号——非经常性损益》的规定，在定期报告中披露非经常性损益的项目和金额，对重大非经常性损益项目提供必要说明，并要求会计师事务所对非经常性损益及其说明的真实性、准确性、完整性和合理性进行核实（如经审计）。公司出现以前年度作为非经常性损益项目列报但本报告期因经营业务等变化导致不再作为非经常性损益项目情形的，应在附注中作出说明。</w:t>
      </w:r>
    </w:p>
    <w:p>
      <w:pPr>
        <w:topLinePunct/>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2．上市公司在定期报告中披露比较期间扣除非经常性损益的净利润时，应当根据规定统一口径披露。</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（二）每股收益的披露</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应当根据《企业会计准则第34号——每股收益》《公开发行证券的公司信息披露编报规则第9号——净资产收益率和每股收益的计算及披露》《公开发行证券的公司信息披露内容与格式准则第2号——年度报告的内容与格式》等规定，按以下原则计算并披露每股收益：</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1．报告期内上市公司股本总额因IPO、增发、配股、股权激励行权、股份回购等影响所有者权益金额的事项发生变动的，在计算每股收益时应当根据股份变动的时间对股本总额进行加权平均。</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在报告期结束后、定期报告对外披露前上市公司股本总额发生前述变动的，利润表和“主要财务指标”中列报的最近三期每股收益无需为此调整，各期的每股收益仍按各期股本总额的加权平均数计算；但是，上市公司应当在年报和半年报“主要财务指标”中增加披露报告期（T年）“按最新股本总额计算的每股收益”，按最新股本总额计算的每股收益=当期归属于上市公司股东的净利润/最新股本总额。</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报告期内上市公司股本总额因送红股、公积金转增股本、拆股或并股等不影响所有者权益金额的事项发生变动的，应当按调整后的股本总额重新计算各列报期间的每股收益（即调整以前年度的每股收益）。例如，上市公司在T年度内实施了每股送转C股的送股转增方案，T-1年度、T-2年度调整前每股收益分别为A和B，则在披露T年年报时，T-1年度、T-2年度的每股收益应当分别按调整后的每股收益A/(1+C)和B/(1+C)列报。</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在报告期结束后、定期报告对外披露前上市公司股本总额发生前述变动的，利润表和“主要财务指标”中列报的最近三期每股收益需进行调整，各期的每股收益应当以调整后的股本总额重新计算。</w:t>
      </w:r>
    </w:p>
    <w:p>
      <w:pPr>
        <w:autoSpaceDE w:val="0"/>
        <w:autoSpaceDN w:val="0"/>
        <w:adjustRightInd w:val="0"/>
        <w:spacing w:line="560" w:lineRule="exact"/>
        <w:ind w:firstLine="640" w:firstLineChars="200"/>
        <w:rPr>
          <w:rFonts w:eastAsia="方正仿宋简体"/>
          <w:sz w:val="28"/>
        </w:rPr>
      </w:pPr>
      <w:r>
        <w:rPr>
          <w:rFonts w:hint="eastAsia" w:ascii="仿宋" w:hAnsi="仿宋" w:eastAsia="仿宋"/>
          <w:sz w:val="32"/>
          <w:szCs w:val="32"/>
        </w:rPr>
        <w:t>3．上市公司发行优先股并分类为权益工具的，计算基本每股收益和净资产收益率时，归属于普通股股东的净利润不应包含优先股股利，其中对于不可累积优先股，应扣除当年经审议批准宣告发放的股利；对于累积优先股，无论当期是否宣告发放，均应扣除相关股利。对于存在具有潜在稀释性的优先股，应考虑其假定转换对计算基本每股收益的分子、分母进行调整后计算确定稀释每股收益。计算净资产收益率时，归属于普通股股东的加权平均净资产不应包括优先股股东享有的净资产，其中对于累积优先股，应扣除已累积但尚未宣告发放的股利。上市公司发行永续债等并分类为权益工具的，在计算每股收益和净资产收益率时参照上述优先股的计算方法。</w:t>
      </w:r>
    </w:p>
    <w:p>
      <w:pPr>
        <w:autoSpaceDE w:val="0"/>
        <w:autoSpaceDN w:val="0"/>
        <w:adjustRightIn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（三）管理层讨论与分析的披露</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上市公司在编制年度报告全文的“管理层讨论与分析”时，除遵守《公开发行证券的公司信息披露内容与格式准则第2号——年度报告的内容与格式》的相关规定外，还应当按照以下要求详细披露相关内容：</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公司应当使用简明易懂的语言介绍报告期内从事的主要业务、主要产品及其用途、所处产业及产业链环节、经营模式、主要业绩驱动因素等，重点突出报告期内发生的重大变化；报告期内公司所处行业的发展阶段、周期性特点、行业发展趋势及重大变化、细分行业竞争格局、公司所处的行业地位等。</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公司应当结合所处行业的重要竞争因素及风险因素，针对性地披露报告期内核心竞争力的重要变化及对公司所产生的影响。如发生因核心管理团队或关键技术人员离职、设备或技术升级换代、行业政策发生重大变化、特许经营权丧失等导致公司核心竞争力受到严重影响的，公司应当详细分析，并说明拟采取的相应措施。</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3．公司主要经营情况</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（1）毛利率变动情况。结合产品结构、产销率、产能利用率、主要客户、人工成本、原材料价格等因素分析变动情况，如同比变动达到30%以上的，量化分析导致毛利率变动的主要原因。</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主要客户、供应商情况。说明前五名客户、供应商是否与公司存在关联关系，公司董事、监事、高级管理人员、核心技术人员、持股5%以上股东、实际控制人和其他关联方在主要客户、供应商中是否直接或者间接拥有权益等。若报告期内公司向单个客户或供应商的销售或采购比例超过总额的50%、前五名客户或供应商存在新增对象的，或严重依赖于少数客户或供应商的，公司应披露相应客户或供应商的名称及销售或采购金额。</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研发投入情况。对比列示最近三年研发人员的数量、占比及其变动情况，以及最近三年研发投入资本化的情况，包括研发投入金额、资本化金额、资本化率（资本化金额占研发投入的比例）、资本化金额占当期净利润的比例。上市公司本期研发投入资本化率同比变动幅度达到30%以上的，说明大幅变动的原因及其合理性。公司研发人员构成发生重大变化的，应当说明原因及对公司未来发展的影响。</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主要境外资产情况。公司境外资产占比较高的，应当披露主要境外资产的具体内容、形成原因、资产规模、所在地、运营模式、保障资产安全性的控制措施、收益状况、境外资产占公司净资产的比重、是否存在重大减值风险等。</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（5）公司上市时未盈利的，在实现盈利前应当披露尚未盈利的原因及影响，公司核心竞争力和经营活动面临的重大风险。</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4．证券投资、期货和衍生品投资情况</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就证券投资，披露报告期末证券投资的组合情况，说明证券品种、投资金额以及占总投资金额的比例；披露报告期末按市值占总投资金额比例大小排列的前十只证券的名称、代码、持有数量、初始投资金额、期末市值以及占总投资金额的比例；披露报告期内证券投资的损益情况。</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就期货和衍生品交易情况，说明交易目的，分类披露报告期期货和衍生品交易及持仓情况，包括初始投资成本、资金来源、报告期购入或售出及投资收益情况等，并说明所采用的分类方式和标准；披露已交易期货和衍生品报告期内市场价格或者公允价值变动的情况，以及公允价值计量时具体使用的方法及相关假设与参数的设定；披露公司期货和衍生品的会计政策及会计核算具体原则与上一报告期相比是否发生重大变化。</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开展以套期保值为目的的期货和衍生品交易，应当将套期工具与被套期项目价值变动加总后说明报告期内的实际投资收益，并对报告期套期保值业务具体的会计政策和会计核算原则进行说明，结合被套期项目情况对套期保值效果进行全面披露。套期保值业务不满足会计准则规定的套期会计适用条件或未适用套期会计核算，但能够通过期货和衍生品交易实现风险管理目标的，上市公司可以结合套期工具和被套期项目之间的关系等说明套期保值业务是否有效实现了预期风险管理目标。</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5．年度经营计划、经营目标</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根据定期报告准则等要求，对未来发展进行展望，讨论和分析公司未来发展战略、下一年度的经营计划、经营目标时，由于相关信息在较大程度上涉及公司对未来经营状况及财务业绩的预计，对上市公司股票交易有潜在重大影响，上市公司在编制时务必恪守审慎客观的原则，立足实际，避免误导投资者。</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公司在披露下一年度经营计划、经营目标时，应当对比披露上一年度的计划数据、上一年度的实际数据和增减变动比例，充分提示计划、目标等可能无法实现的风险。公司制定的下一年度业绩目标与上年相比增减变动幅度超过30%，或大幅背离以前年度业绩变动趋势的，还应当详细披露确定下一年度业绩目标所考虑的主要因素、所依据的主要假设或前提条件。</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公司在披露前述展望信息时，需结合最近一个会计年度以来生产、销售、库存、订单状态、成本和售价的最新趋势，披露已知的可能对未来销售、经营活动现金流、收益等产生重大影响的信息及其影响，提示不确定性。</w:t>
      </w:r>
    </w:p>
    <w:p>
      <w:pPr>
        <w:autoSpaceDE w:val="0"/>
        <w:autoSpaceDN w:val="0"/>
        <w:adjustRightInd w:val="0"/>
        <w:spacing w:line="560" w:lineRule="exact"/>
        <w:ind w:firstLine="640" w:firstLineChars="200"/>
        <w:rPr>
          <w:rFonts w:eastAsia="方正仿宋简体"/>
          <w:sz w:val="28"/>
        </w:rPr>
      </w:pPr>
      <w:r>
        <w:rPr>
          <w:rFonts w:hint="eastAsia" w:ascii="仿宋" w:hAnsi="仿宋" w:eastAsia="仿宋"/>
          <w:sz w:val="32"/>
          <w:szCs w:val="32"/>
        </w:rPr>
        <w:t>6．接受调研、沟通及采访。上市公司对接受或者邀请特定对象的调研、沟通、采访等活动予以记载，内容应当至少包括活动时间、地点、方式（书面或者口头）、双方当事人姓名、活动中谈论的有关公司的内容、提供的有关资料等。公司应当在定期报告中将上述内容以及信息披露备查登记情况予以披露。</w:t>
      </w:r>
    </w:p>
    <w:p>
      <w:pPr>
        <w:autoSpaceDE w:val="0"/>
        <w:autoSpaceDN w:val="0"/>
        <w:adjustRightIn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（四）利润分配和资本公积金转增股本的披露</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1．上市公司应当按照《公司法》《企业会计准则》《上市公司监管指引第3号——上市公司现金分红》《创业板规范运作指引》及公司章程等相关规定，合理制定利润分配和资本公积金转增股本方案。</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原则上应当依据经审计的财务报表进行利润分配，且应当在董事会审议定期报告的同时审议利润分配方案。上市公司拟以半年度、季度财务报告为基础进行现金分红，且不送红股或者不用资本公积金转增股本的，半年度、季度财务报告可以不经审计。</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公司董事会制定现金分红方案时，应当综合考虑所处行业特点、发展阶段、自身经营模式、盈利水平、偿债能力、是否有重大资金支出安排以及投资者回报等因素，确保现金分红占利润分配的比例符合公司章程等规定。</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4．涉及高比例送转方案（指每10股送红股与资本公积金转增股本合计达到或者超过5股的分配方案）的，应当按照本所《创业板规范运作指引》及《公告格式》“第39号  </w:t>
      </w:r>
      <w:r>
        <w:rPr>
          <w:rFonts w:hint="eastAsia" w:ascii="仿宋" w:hAnsi="仿宋" w:eastAsia="仿宋"/>
          <w:bCs/>
          <w:sz w:val="32"/>
          <w:szCs w:val="32"/>
        </w:rPr>
        <w:t>上市公司高比例送转方案公告格式</w:t>
      </w:r>
      <w:r>
        <w:rPr>
          <w:rFonts w:hint="eastAsia" w:ascii="仿宋" w:hAnsi="仿宋" w:eastAsia="仿宋"/>
          <w:sz w:val="32"/>
          <w:szCs w:val="32"/>
        </w:rPr>
        <w:t>”等规定进行披露，并向本所报送内幕信息知情人员的相关信息。</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（五）股本变动及股东情况的披露</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1．上市公司应当按照《公开发行证券的公司信息披露内容与格式准则第5号——公司股份变动报告的内容与格式》披露股份变动情况。</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应当按照报告期末股东实际持股比例的排列顺序披露公司前十名股东的名称、报告期内股份增减变动的情况、期末持股数量、所持股份类别及所持股份质押、标记、冻结的情况。公司股东既持有限售条件股份又持有无限售条件股份的，应当以该股东持有的无限售条件股份数量判断其是否应当列示在前十名无限售条件股东中。</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如前十名股东中存在回购专户，应予以说明，但不纳入前十名股东列示。如前十名股东存在委托表决、受托表决、放弃表决权，应予以说明。</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涉及融资融券、转融通业务相关信息披露的，上市公司应当按照本指南第一章第六节的相关要求办理。</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3．公司股东通过信用交易担保证券账户持有的股票应当与其通过普通证券账户持有的股票合并计算，并分别说明该股东通过信用交易担保证券账户和普通证券账户的持股数。</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公司控股股东或第一大股东及其一致行动人累计质押股份数量占其所持公司股份数量比例达到80%以上的，应当披露股票质押融资总额、具体用途、偿还期限、还款资金来源、是否存在偿债或平仓风险，以及是否会存在影响公司控制权稳定的情况。</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（六）对子公司的控制情况</w:t>
      </w:r>
    </w:p>
    <w:p>
      <w:pPr>
        <w:topLinePunct/>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公司应当披露报告期内对子公司的管理控制情况。报告期内因购买新增子公司的，公司应当详细说明在资产、人员、财务、机构、业务等方面的整合计划、整合进展、整合中遇到的问题、已采取的解决措施、解决进展以及后续解决计划。</w:t>
      </w:r>
    </w:p>
    <w:p>
      <w:pPr>
        <w:topLinePunct/>
        <w:adjustRightInd w:val="0"/>
        <w:snapToGrid w:val="0"/>
        <w:spacing w:line="560" w:lineRule="exact"/>
        <w:ind w:firstLine="640" w:firstLineChars="200"/>
      </w:pPr>
      <w:r>
        <w:rPr>
          <w:rFonts w:hint="eastAsia" w:ascii="楷体" w:hAnsi="楷体" w:eastAsia="楷体"/>
          <w:color w:val="000000"/>
          <w:sz w:val="32"/>
          <w:szCs w:val="32"/>
        </w:rPr>
        <w:t>（七）重大对外担保的披露</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及其子公司违反规定程序对外提供担保的，应当在年报和半年报中披露被担保对象名称、与上市公司的关系、违规担保金额及其占公司最近一期经审计净资产的比例、担保类型、担保期、违规原因、截至报告期末违规担保余额及其占公司最近一期经审计净资产的比例、已采取的解决措施及进展、后续解决措施、预计解除金额及预计解决时间（具体到月份）。</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（八）关联交易及关联人资金往来的披露</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1．上市公司应当在年度报告和半年度报告中如实披露关联交易及关联债务往来情况，明确披露关联交易的定价原则和依据。</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在披露年度报告和半年度报告时，上市公司应当按照附件3《上市公司20XX年度非经营性资金占用及其他关联资金往来情况汇总表》披露上市公司与控股股东及其他关联方的资金往来情况，上市公司存在控股股东及其他关联方非经营性占用资金的，还应按照附件4《控股股东及其他关联方非经营性资金占用及清偿情况表》披露占用资金的期初金额、发生额、期末余额、占用原因、预计偿还方式及清偿时间等。</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公司披露年度报告时，应聘请会计师事务所对报告期内上市公司与控股股东及其他关联方的资金往来情况出具专项审核意见。公司应当在披露年度报告的同时披露上述专项审核意见。若公司年度报告披露的控股股东及其他关联方非经营性占用资金情况与专项审核意见不一致，应当说明原因。</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（九）承诺事项履行情况的披露</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应当在定期报告的“承诺事项履行情况”中详细披露报告期内履行完毕的，以及截至报告期末尚未履行完毕的，由公司、股东、实际控制人、收购人、董事、监事、高级管理人员或其他关联方作出的承诺事项。</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股东、交易对手方对公司或相关资产年度经营业绩作出承诺的，董事会应当关注业绩承诺的实现情况。公司或相关资产年度业绩未达到承诺的，公司董事会应当对公司或相关资产的实际盈利数与承诺数据的差异情况进行单独审议，详细说明差异情况及上市公司已采取或拟采取的措施，督促公司相关股东、交易对手方履行承诺。</w:t>
      </w:r>
    </w:p>
    <w:p>
      <w:pPr>
        <w:autoSpaceDE w:val="0"/>
        <w:autoSpaceDN w:val="0"/>
        <w:adjustRightInd w:val="0"/>
        <w:spacing w:line="560" w:lineRule="exact"/>
        <w:ind w:firstLine="640" w:firstLineChars="200"/>
        <w:rPr>
          <w:rFonts w:eastAsia="方正仿宋简体"/>
          <w:sz w:val="28"/>
        </w:rPr>
      </w:pPr>
      <w:r>
        <w:rPr>
          <w:rFonts w:hint="eastAsia" w:ascii="仿宋" w:hAnsi="仿宋" w:eastAsia="仿宋"/>
          <w:sz w:val="32"/>
          <w:szCs w:val="32"/>
        </w:rPr>
        <w:t>3．公司应当在年度报告全文“承诺事项履行情况”中披露上述事项，并要求会计师事务所、保荐机构或财务顾问（如适用）对此出具专项审核意见。公司应当在披露年度报告的同时披露会计师事务所及保荐机构或财务顾问（如适用）出具的专项审核意见。</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（十）内部控制情况的披露</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应当按照《创业板规范运作指引》的规定，对与财务报告和信息披露事务相关的内部控制制度的建立和实施情况，出具年度内部控制评价报告。内部控制评价报告应当经董事会审议通过，上市公司监事会、保荐机构（如适用）应当对内部控制评价报告发表意见。上市公司应当在披露年度报告的同时以单独报告的形式披露内部控制评价报告。</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2．报告期内上市公司内部控制存在重大缺陷的，应当披露具体情况，包括缺陷发生的时间、对缺陷的具体描述、缺陷对财务报告的潜在影响，已实施或拟实施的整改措施、整改时间、整改责任人及整改效果。</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（十一）环境和社会责任情况的披露</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1．环境保护信息</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属于环境保护部门公布的重点排污单位的上市公司或者其重要子公司，应当在年度报告、半年度报告的“环境和社会责任”中披露下列环境保护信息： </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（1）自身生产经营过程中需遵守的与环境保护相关的法律法规和行业标准；</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（2）相关的环境保护行政许可情况，如现有排污许可证的申领时间、有效期等；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有关行业排放标准，以及生产经营活动中涉及的污染物排放的具体情况，包括但不限于污染物的种类和名称、排放方式、主要排放口数量和分布情况、排放浓度/强度和总量、超标排放情况、执行的排放标准、核定的排放总量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（4）对污染物的处理技术和处理方式，污染防治设施的建设、运行情况和实施成果（例如排放浓度/强度或排放总量的降幅）；</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（5）环境自行监测方案和执行情况，包括但不限于监测指标、执行标准及其限值、监测频次、质量保证与质量控制等；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（6）针对突发环境事件的风险评估、预防相关风险的管理措施和针对突发环境事件的应急预案；</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（7）环境治理和保护的投入情况，以及缴纳环境保护税的相关情况；</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（8）受到环境保护部门行政处罚的情况，包括但不限于违法情形、处罚结果、对上市公司生产经营的影响以及公司的整改措施；</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（9）其他应当公开的环境信息。</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2．社会责任</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纳入“深证100指数”的上市公司应当披露社会责任报告，本所鼓励其他上市公司主动披露积极履行社会责任的工作情况。社会责任报告应当经公司董事会审议通过，参照附件1《上市公司社会责任报告披露要求》以单独报告的形式在披露年度报告的同时对外披露。本所鼓励上市公司聘请中介机构对社会责任报告出具鉴证意见。</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社会责任报告期间应当与年度报告期间一致。披露社会责任报告的公司，应当结合所处行业特点，重点就社会责任履行情况、存在问题、改进计划等作出详细披露，避免“报喜不报忧”等选择性披露。</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本所鼓励公司编制的社会责任报告图文并茂，采用照片、图表等形式辅助说明，提高报告的可读性。</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（十二）募集资金使用的披露</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募集资金在报告期内使用完毕的，以及截至报告期末尚未使用完毕的，公司应当在定期报告的“募集资金使用情况”部分列表说明募集资金投资项目进度及经济效益等。经济效益应以“净利润”为统计口径，不得使用“营业收入”“营业利润”等其他指标。</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2．上市公司在报告期内存在募集资金或募集资金使用的，董事会应当按照《创业板规范运作指引》的要求，对半年度及年度募集资金存放与使用情况出具专项报告（参照《公告格式》“第21号 上市公司募集资金年度存放与使用情况的专项报告格式”），并聘请注册会计师对年度募集资金存放与使用情况出具鉴证报告，鉴证报告应当与年度报告同时披露。</w:t>
      </w:r>
    </w:p>
    <w:p>
      <w:pPr>
        <w:topLinePunct/>
        <w:adjustRightInd w:val="0"/>
        <w:snapToGrid w:val="0"/>
        <w:spacing w:line="560" w:lineRule="exact"/>
        <w:ind w:firstLine="640" w:firstLineChars="200"/>
      </w:pPr>
      <w:r>
        <w:rPr>
          <w:rFonts w:hint="eastAsia" w:ascii="楷体" w:hAnsi="楷体" w:eastAsia="楷体"/>
          <w:color w:val="000000"/>
          <w:sz w:val="32"/>
          <w:szCs w:val="32"/>
        </w:rPr>
        <w:t>（十三）其他重要事项的披露</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上市公司存在下列情形的，应当在定期报告的“重要事项”中披露相应内容：</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存在向控股股东及其他关联方提供资金、违反规定程序对外提供担保的，应当披露提供资金、违规担保涉及的对象、与上市公司的关系、发生金额以及期末余额、相关金额占公司最近一期经审计净资产的比例、公司的解决方案和解决期限等。</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报告期发生董事、监事、高级管理人员、持股5%以上的股东违反相关规定买卖公司股票，或发生其他违规买卖公司股票且公司已披露将收回违规所得收益的，应当在年度报告中披露违规买卖公司股票的具体情况、违规所得收益的追缴情况以及董事会对相关人员采取的问责措施。</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上市公司披露年度报告后面临终止上市情形的，或者因重大违法、规范类原因面临终止上市风险的，或者已披露主动退市方案的，应当按照《公开发行证券的公司信息披露内容与格式准则第2号——年度报告的内容与格式》的要求单独披露退市情况专项报告，并提醒投资者予以关注。相关专项报告和风险提示公告应与年度报告同时披露。</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最近一个会计年度经审计归属于母公司所有者的净利润（以扣除非经常性损益前后孰低者为准）为负值的公司，应当在年度报告中披露营业收入扣除情况及扣除后的营业收入金额；负责审计的会计师事务所应当就公司营业收入扣除事项是否合规及扣除后的营业收入金额出具专项核查意见。</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上市公司应当按照相关规定，按项目逐一列示营业收入扣除的具体情况及扣除后的营业收入金额；会计师事务所应当对上市公司披露内容的合规性、真实性、准确性、完整性进行核实。</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5．按照本所有关规定应当在定期报告中披露的其他重要事项。</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（十四）非标准审计意见的披露</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1．上市公司前期财务报告被注册会计师出具非标准审计意见，且相关审计意见所涉事项在披露最近一期定期报告时尚未解决的，应当在本次定期报告“重要事项”中说明对相关事项的解决进展情况。</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2．上市公司财务报告被注册会计师出具非标准审计意见的，应当按照《公开发行证券的公司信息披露编报规则第14号——非标准审计意见及其涉及事项的处理》以及《创业板上市规则》的规定向本所提交相关文件，同时在定期报告“重要事项”中披露董事会、监事会对非标准审计意见的说明。 </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（十五）资产减值准备计提及资产核销</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1．上市公司计提资产减值准备或核销资产对公司当期损益的影响占公司最近一个会计年度经审计净利润10%以上且绝对金额超过100万元的，应及时履行信息披露义务。</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应按照《会计监管风险提示第8号——商誉减值》的相关要求，结合可获取的内部与外部信息，合理判断并识别商誉减值迹象。当商誉所在资产组或资产组组合出现特定减值迹象时，公司应及时进行商誉减值测试，并恰当考虑该减值迹象的影响。对因企业合并所形成的商誉，不论其是否存在减值迹象，都应当至少在每年年度终了进行减值测试。上市公司应合理区别并分别处理商誉减值事项和并购重组相关方的业绩补偿事项，不得以业绩补偿为由，不进行商誉减值测试。</w:t>
      </w:r>
    </w:p>
    <w:p>
      <w:pPr>
        <w:autoSpaceDE w:val="0"/>
        <w:autoSpaceDN w:val="0"/>
        <w:adjustRightInd w:val="0"/>
        <w:spacing w:line="560" w:lineRule="exact"/>
        <w:ind w:firstLine="640" w:firstLineChars="200"/>
        <w:rPr>
          <w:rFonts w:eastAsia="方正仿宋简体"/>
          <w:sz w:val="28"/>
        </w:rPr>
      </w:pPr>
      <w:r>
        <w:rPr>
          <w:rFonts w:hint="eastAsia" w:ascii="仿宋" w:hAnsi="仿宋" w:eastAsia="仿宋"/>
          <w:sz w:val="32"/>
          <w:szCs w:val="32"/>
        </w:rPr>
        <w:t>3．上市公司应按照《企业会计准则》《公开发行证券的公司信息披露编报规则第15号——财务报告的一般规定》《会计监管风险提示第8号——商誉减值》的规定，在财务报告中详细披露商誉减值测试的过程与方法，包括但不限于可收回金额的确定方法、重要假设及其合理性、关键参数（如预计未来现金流量现值时的预测期增长率、稳定期增长率、利润率、折现率、预测期等）及其确定依据等相关信息，以及其他与商誉减值相关的、对财务报表使用者作出决策有用的所有重要信息。</w:t>
      </w:r>
    </w:p>
    <w:p>
      <w:pPr>
        <w:topLinePunct/>
        <w:adjustRightInd w:val="0"/>
        <w:snapToGrid w:val="0"/>
        <w:spacing w:line="560" w:lineRule="exact"/>
        <w:ind w:firstLine="640" w:firstLineChars="200"/>
      </w:pPr>
      <w:r>
        <w:rPr>
          <w:rFonts w:hint="eastAsia" w:ascii="楷体" w:hAnsi="楷体" w:eastAsia="楷体"/>
          <w:color w:val="000000"/>
          <w:sz w:val="32"/>
          <w:szCs w:val="32"/>
        </w:rPr>
        <w:t>（十六）会计政策、会计估计变更和会计差错更正</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1．上市公司需要对前期已披露的财务报告会计差错更正的，应当按照《公开发行证券的公司信息披露编报规则第</w:t>
      </w:r>
      <w:r>
        <w:rPr>
          <w:rFonts w:ascii="仿宋" w:hAnsi="仿宋" w:eastAsia="仿宋"/>
          <w:sz w:val="32"/>
          <w:szCs w:val="32"/>
        </w:rPr>
        <w:t>19</w:t>
      </w:r>
      <w:r>
        <w:rPr>
          <w:rFonts w:hint="eastAsia" w:ascii="仿宋" w:hAnsi="仿宋" w:eastAsia="仿宋"/>
          <w:sz w:val="32"/>
          <w:szCs w:val="32"/>
        </w:rPr>
        <w:t>号——财务信息的更正及相关披露》等规定的要求，以临时报告的形式披露会计差错更正有关事项、审计委员会审议情况以及董事会、监事会的书面意见。如对已披露的年度财务报告进行会计差错更正的，还应当向本所提交会计师事务所出具的审计报告或专项鉴证报告并公告。</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2．上市公司在本次定期报告中对以前报告期披露的财务报表数据进行追溯调整的，应当在报送本次定期报告的同时向本所提交董事会、监事会和会计师事务所出具的（如适用）有关书面说明并公告。</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3．上市公司发生会计政策、会计估计变更且在本报告期开始执行的，应当按照本所有关规定，在本次定期报告披露前完成有关审议程序和履行信息披露义务。</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（十七）其他特殊披露内容</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1．发行可转换公司债券的上市公司应当在年度报告及半年度报告中披露下列内容：</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（1）转股价格历次调整的情况，经调整后的最新转股价格；</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（2）可转换公司债券发行后累计转股的情况；</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（3）前十名可转换公司债券持有人的名单和持有量；</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（4）担保人盈利能力、资产状况和信用状况发生重大变化的情况；</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（5）公司的负债情况、资信变化情况以及在未来年度还债的现金安排；</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（6）中国证监会和本所规定的其他内容。</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2．发行公司债券的上市公司应当按照本所《公司债券上市规则》及本所相关规定的要求，在年度报告及半年度报告中披露相关内容。</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 本所发布的《上市公司自律监管指引第3号——行业信息披露》《上市公司自律监管指引第4号——创业板行业信息披露》对特定行业公司的定期报告披露内容另有规定的，应当遵守其规定。</w:t>
      </w:r>
    </w:p>
    <w:p>
      <w:pPr>
        <w:topLinePunct/>
        <w:adjustRightInd w:val="0"/>
        <w:snapToGrid w:val="0"/>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四、年度报告审计相关事项</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公司应当根据《创业板上市规则》的要求，聘请会计师事务所对财务会计报告进行审计。公司应当关注签字注册会计师定期轮换的相关规定，提醒连续审计年限超期的签字注册会计师进行轮换，并在定期报告中披露有关轮换签字注册会计师的事项。</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原聘请的会计师事务所发生合并的，若原聘会计师事务所吸收合并其他事务所且其法人资格和业务资格存续的，上市公司应及时披露会计师事务所合并相关公告，说明是否构成会计师事务所变更。若原聘会计师事务所被合并不再存续的，则需在年度报告披露前履行变更会计师事务所的审议程序，提交董事会和股东大会审议。上市公司非因会计师事务所合并而变更会计师事务所的，如果原会计师事务所提供陈述意见的，上市公司应当予以披露。</w:t>
      </w:r>
    </w:p>
    <w:p>
      <w:pPr>
        <w:autoSpaceDE w:val="0"/>
        <w:autoSpaceDN w:val="0"/>
        <w:adjustRightInd w:val="0"/>
        <w:spacing w:line="560" w:lineRule="exact"/>
        <w:ind w:firstLine="640" w:firstLineChars="200"/>
        <w:rPr>
          <w:rFonts w:ascii="仿宋" w:hAnsi="仿宋" w:eastAsia="仿宋"/>
          <w:sz w:val="32"/>
          <w:szCs w:val="32"/>
        </w:rPr>
      </w:pPr>
      <w:r>
        <w:rPr>
          <w:rFonts w:ascii="仿宋" w:hAnsi="仿宋" w:eastAsia="仿宋"/>
          <w:sz w:val="32"/>
          <w:szCs w:val="32"/>
        </w:rPr>
        <w:t>公司披露拟聘任会计师事务所公告时，应当严格按照</w:t>
      </w:r>
      <w:r>
        <w:rPr>
          <w:rFonts w:hint="eastAsia" w:ascii="仿宋" w:hAnsi="仿宋" w:eastAsia="仿宋"/>
          <w:sz w:val="32"/>
          <w:szCs w:val="32"/>
        </w:rPr>
        <w:t>《公告格式》“</w:t>
      </w:r>
      <w:r>
        <w:rPr>
          <w:rFonts w:ascii="仿宋" w:hAnsi="仿宋" w:eastAsia="仿宋"/>
          <w:sz w:val="32"/>
          <w:szCs w:val="32"/>
        </w:rPr>
        <w:t>第4</w:t>
      </w:r>
      <w:r>
        <w:rPr>
          <w:rFonts w:hint="eastAsia" w:ascii="仿宋" w:hAnsi="仿宋" w:eastAsia="仿宋"/>
          <w:sz w:val="32"/>
          <w:szCs w:val="32"/>
        </w:rPr>
        <w:t>4</w:t>
      </w:r>
      <w:r>
        <w:rPr>
          <w:rFonts w:ascii="仿宋" w:hAnsi="仿宋" w:eastAsia="仿宋"/>
          <w:sz w:val="32"/>
          <w:szCs w:val="32"/>
        </w:rPr>
        <w:t>号</w:t>
      </w:r>
      <w:r>
        <w:rPr>
          <w:rFonts w:hint="eastAsia" w:ascii="仿宋" w:hAnsi="仿宋" w:eastAsia="仿宋"/>
          <w:sz w:val="32"/>
          <w:szCs w:val="32"/>
        </w:rPr>
        <w:t xml:space="preserve">  上市公司拟续聘/变更会计师事务所公告格式”</w:t>
      </w:r>
      <w:r>
        <w:rPr>
          <w:rFonts w:ascii="仿宋" w:hAnsi="仿宋" w:eastAsia="仿宋"/>
          <w:sz w:val="32"/>
          <w:szCs w:val="32"/>
        </w:rPr>
        <w:t>的要求披露。</w:t>
      </w:r>
    </w:p>
    <w:p>
      <w:pPr>
        <w:topLinePunct/>
        <w:adjustRightInd w:val="0"/>
        <w:snapToGrid w:val="0"/>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五、定期报告相关公告的披露要求</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（一）总体要求</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上市公司在披露定期报告时，还应当以单独报告的形式，同时披露年度募集资金存放与使用情况专项报告（如适用）、</w:t>
      </w:r>
      <w:r>
        <w:rPr>
          <w:rFonts w:ascii="仿宋" w:hAnsi="仿宋" w:eastAsia="仿宋"/>
          <w:sz w:val="32"/>
          <w:szCs w:val="32"/>
        </w:rPr>
        <w:t>公司控股股东及其</w:t>
      </w:r>
      <w:r>
        <w:rPr>
          <w:rFonts w:hint="eastAsia" w:ascii="仿宋" w:hAnsi="仿宋" w:eastAsia="仿宋"/>
          <w:sz w:val="32"/>
          <w:szCs w:val="32"/>
        </w:rPr>
        <w:t>他</w:t>
      </w:r>
      <w:r>
        <w:rPr>
          <w:rFonts w:ascii="仿宋" w:hAnsi="仿宋" w:eastAsia="仿宋"/>
          <w:sz w:val="32"/>
          <w:szCs w:val="32"/>
        </w:rPr>
        <w:t>关联</w:t>
      </w:r>
      <w:r>
        <w:rPr>
          <w:rFonts w:hint="eastAsia" w:ascii="仿宋" w:hAnsi="仿宋" w:eastAsia="仿宋"/>
          <w:sz w:val="32"/>
          <w:szCs w:val="32"/>
        </w:rPr>
        <w:t>方</w:t>
      </w:r>
      <w:r>
        <w:rPr>
          <w:rFonts w:ascii="仿宋" w:hAnsi="仿宋" w:eastAsia="仿宋"/>
          <w:sz w:val="32"/>
          <w:szCs w:val="32"/>
        </w:rPr>
        <w:t>占用资金情况</w:t>
      </w:r>
      <w:r>
        <w:rPr>
          <w:rFonts w:hint="eastAsia" w:ascii="仿宋" w:hAnsi="仿宋" w:eastAsia="仿宋"/>
          <w:sz w:val="32"/>
          <w:szCs w:val="32"/>
        </w:rPr>
        <w:t>专项公告、内部控制评价及相关意见公告（仅年报需要）、非标准审计意见专项报告（如适用）、公司或相关资产业绩承诺实现情况的专项报告（如适用）、会计差错更正的专项报告（如适用）等专项公告，并同时向我所报备保荐机构、独立财务顾问、年审会计师等主体出具的附签字盖章页的相关文件（详见附件）。</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披露前述专项公告时，应当遵循提高信息披露简明度、减少重复性信息披露的原则，同一事项的相关披露内容应当合并为一个公告文件。</w:t>
      </w:r>
    </w:p>
    <w:p>
      <w:pPr>
        <w:topLinePunct/>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（二）具体披露要求</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募集资金存放与使用情况专项报告。年度募集资金存放与使用情况的相关披露内容应当合并为一个文件，内容包括董事会关于募集资金存放与使用情况的专项报告、会计师事务所出具的鉴证报告（如适用）、保荐机构或者独立财务顾问出具的专项核查报告（如适用）。</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2．内部控制评价及相关意见公告。内部控制评价的相关披露内容应当合并为一个文件，内容包括经董事会审议通过的内部控制评价报告以及监事会、保荐机构（如适用）等主体发表的意见。</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公司控股股东及其他关联方占用资金情况专项公告。控股股东及其他关联方占用公司资金情况的相关披露内容应当合并为一个文件。内容包括会计师事务所对报告期内上市公司与控股股东及其他关联方的资金往来情况出具专项说明。</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4．非标准审计意见专项报告（如适用）。非标准审计意见的相关披露内容应当合并为一个文件，内容包括董事会对非标准审计意见涉及事项的专项说明、会计师事务所专项说明、监事会意见。</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5．公司或相关资产业绩承诺实现情况的专项报告（如适用）。业绩承诺实现情况的相关披露内容应当合并为一个文件，内容包括公司或相关资产业绩承诺实现情况、会计师事务所及保荐机构或财务顾问出具的专项审核意见。</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6．会计差错更正的专项报告（如适用）。会计差错更正的相关披露内容应当合并为一个文件，内容包括董事会、监事会的书面意见，会计师事务所出具的审计报告或专项鉴证报告并公告。</w:t>
      </w:r>
    </w:p>
    <w:p>
      <w:pPr>
        <w:autoSpaceDE w:val="0"/>
        <w:autoSpaceDN w:val="0"/>
        <w:adjustRightInd w:val="0"/>
        <w:spacing w:line="560" w:lineRule="exact"/>
        <w:ind w:firstLine="560" w:firstLineChars="200"/>
        <w:rPr>
          <w:rFonts w:ascii="黑体" w:hAnsi="黑体" w:eastAsia="黑体"/>
          <w:sz w:val="28"/>
          <w:szCs w:val="28"/>
        </w:rPr>
      </w:pPr>
      <w:r>
        <w:rPr>
          <w:rFonts w:eastAsia="方正仿宋简体"/>
          <w:sz w:val="28"/>
        </w:rPr>
        <w:br w:type="page"/>
      </w:r>
      <w:r>
        <w:rPr>
          <w:rFonts w:hint="eastAsia" w:ascii="黑体" w:hAnsi="黑体" w:eastAsia="黑体"/>
          <w:sz w:val="32"/>
          <w:szCs w:val="28"/>
        </w:rPr>
        <w:t>附件1</w:t>
      </w:r>
    </w:p>
    <w:p>
      <w:pPr>
        <w:tabs>
          <w:tab w:val="left" w:pos="720"/>
        </w:tabs>
        <w:spacing w:line="560" w:lineRule="exact"/>
        <w:rPr>
          <w:rFonts w:eastAsia="方正仿宋简体"/>
          <w:b/>
          <w:sz w:val="28"/>
          <w:szCs w:val="28"/>
        </w:rPr>
      </w:pPr>
    </w:p>
    <w:p>
      <w:pPr>
        <w:tabs>
          <w:tab w:val="left" w:pos="900"/>
          <w:tab w:val="left" w:pos="2340"/>
        </w:tabs>
        <w:spacing w:line="560" w:lineRule="exact"/>
        <w:jc w:val="center"/>
        <w:rPr>
          <w:rFonts w:ascii="方正小标宋简体" w:hAnsi="黑体" w:eastAsia="方正小标宋简体"/>
          <w:b/>
          <w:sz w:val="28"/>
          <w:szCs w:val="28"/>
        </w:rPr>
      </w:pPr>
      <w:r>
        <w:rPr>
          <w:rFonts w:hint="eastAsia" w:ascii="方正小标宋简体" w:hAnsi="黑体" w:eastAsia="方正小标宋简体"/>
          <w:sz w:val="32"/>
          <w:szCs w:val="32"/>
        </w:rPr>
        <w:t>上市公司社会责任报告披露要求</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上市公司社会责任报告应当包括但不限于以下内容：</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1．综述</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简要说明公司履行社会责任的宗旨和理念。说明公司为保证社会责任履行所进行的制度建设、组织安排等情况以及公司在履行社会责任方面的思路、规划等。说明本年度公司在履行社会责任方面所进行的重要活动、工作及成效、公司在社会责任方面被有关部门奖励及获得荣誉称号等情况。</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2．社会责任履行情况</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对照本所《创业板规范运作指引》关于社会责任的具体要求，分别就股东和债权人权益保护、职工权益保护、供应商、客户和消费者权益保护、环境保护与可持续发展、公共关系、社会公益事业和精准扶贫工作等方面情况进行具体说明。至少应当包括下列内容：</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（1）股东和债权人权益保护。应重点就中小股东权益保护情况进行说明，包括股东大会召开程序的规范性、网络投票情况、是否存在选择性信息披露、利润分配情况以及投资者关系管理工作情况等。</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2）职工权益保护。应明确说明在用工制度上是否符合《劳动法》《劳动合同法》等法律法规的要求。在劳动安全卫生制度、社会保障等方面是否严格执行了国家规定和标准。未达到有关要求和标准的应如实说明。说明公司在员工利益保障、安全生产、职业培训以及员工福利等方面采取的具体措施和改进情况。</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3）供应商、客户和消费者权益保护。重点说明公司反商业贿赂的具体措施和办法，如在反商业贿赂中查出问题应如实说明。说明公司在产品质量和安全控制方面所采取的具体措施，如发生重大产品质量和安全事故应如实说明。</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4）环境保护与可持续发展。说明公司在环保投资及技术开发、环保设施的建设运行以及降低能源消耗、污染物排放、进行废物回收和综合利用等方面采取的具体措施，并与国家标准、行业水平、以往指标等进行比较，用具体数字指标说明目前状况以及改进的效果。如存在未达标情况应如实说明。</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被列入环保部门公布的重点排污单位的上市公司或其主要子公司，应当按照相关法律法规及部门规章的规定披露排污信息（包括但不限于主要污染物及特征污染物的名称、排放方式、排放口数量和分布情况、排放浓度和总量、超标排放情况、执行的污染物排放标准、核定的排放总量）、防治污染设施的建设和运行情况、建设项目环境影响评价及其他环境保护行政许可情况、突发环境事件应急预案、环境自行监测方案、报告期内因环境问题受到行政处罚的情况及其他应当公开的环境信息。重点排污单位之外的公司应当披露报告期内因环境问题受到行政处罚的情况，并可以参照上述要求披露其他环境信息，若不披露其他环境信息，应当充分说明原因。鼓励公司自愿披露有利于保护生态、防治污染、履行环境责任的相关信息。环境信息核查机构、鉴证机构、评价机构、指数公司等第三方机构对公司环境信息存在核查、鉴定、评价的，鼓励公司披露相关信息。鼓励公司自愿披露在报告期内为减少其碳排放所采取的措施及效果。</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存在其他重大社会安全问题的上市公司或其重要子公司，应当披露公司存在的问题、影响和整改情况，如报告期内被行政处罚的，应披露处罚事项、处罚措施、影响及整改情况。没有重大环保或其他重大社会安全问题的公司，需明确披露“公司不存在重大环保或其他重大社会安全问题”。</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（5）公共关系和社会公益事业。重点说明报告期内公司在灾害救援、捐赠、灾后重建等方面所做的工作，并说明有关捐赠是否履行了相关审议程序和信息披露义务。</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（6）鼓励公司积极披露报告期内巩固拓展脱贫攻坚成果、乡村振兴等工作具体情况。</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3．公司在履行社会责任方面存在的问题及整改计划</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（1）结合上述未达到国家法律法规要求和标准、出现重大环保和安全事故、被列入环保部门的污染严重企业名单以及被环保、劳动等部门处罚等问题，说明解决进展情况。</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（2）公司在履行社会责任方面存在的其他主要问题以及对公司经营及持续发展的影响，提出具体的改进计划和措施。</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4．医药生物、食品饮料行业公司应当披露产品质量管理体系、售后服务体系，以及产品召回制度建设及执行情况；说明公司报告期内是否发生产品质量重大责任事故，造成的影响及损害，采取的应对措施、改进办法。</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重污染行业公司（包括冶金、化工、石化、煤炭、火电、建材、造纸、酿造、制药、发酵、纺织、制革和采矿业等）应当披露污染物排放是否达到国家或地方规定的标准、环保设施投入及运转情况、雇员职业病防治情况；说明公司报告期内是否发生重大环保事故，造成的影响及损害，采取的应对措施、改进办法。</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采矿、建筑等易发生重大生产安全事故的公司应当披露安全生产资金投入情况、雇员安全生产教育和培训情况；说明报告期是否发生生产安全重大责任事故、造成的影响及损害，采取的应对措施、改进办法。</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公共传媒对公司社会责任履行出现的问题进行报道和质疑的，披露社会责任报告的公司应当在报告中进行明确回应，如确实存在媒体报道的问题，应说明整改情况和措施。</w:t>
      </w:r>
    </w:p>
    <w:p>
      <w:pPr>
        <w:tabs>
          <w:tab w:val="left" w:pos="1080"/>
          <w:tab w:val="left" w:pos="2340"/>
        </w:tabs>
        <w:spacing w:line="560" w:lineRule="exact"/>
        <w:ind w:firstLine="640" w:firstLineChars="200"/>
        <w:rPr>
          <w:rFonts w:ascii="仿宋" w:hAnsi="仿宋" w:eastAsia="仿宋"/>
          <w:sz w:val="32"/>
          <w:szCs w:val="28"/>
        </w:rPr>
      </w:pPr>
      <w:r>
        <w:rPr>
          <w:rFonts w:hint="eastAsia" w:ascii="仿宋" w:hAnsi="仿宋" w:eastAsia="仿宋"/>
          <w:sz w:val="32"/>
          <w:szCs w:val="28"/>
        </w:rPr>
        <w:t>社会责任报告期间应与年度报告期间一致，对社会责任履行有重大影响的期后事项，也应当予以说明。公司应在社会责任报告中说明下一年度社会责任工作总体目标、具体计划；以前年度提出的主要问题在本年度的改进情况；本年度落实上一年度工作计划的情况。</w:t>
      </w:r>
    </w:p>
    <w:p>
      <w:pPr>
        <w:widowControl/>
        <w:jc w:val="left"/>
        <w:rPr>
          <w:rFonts w:ascii="黑体" w:hAnsi="黑体" w:eastAsia="黑体"/>
          <w:sz w:val="32"/>
          <w:szCs w:val="28"/>
        </w:rPr>
      </w:pPr>
      <w:r>
        <w:rPr>
          <w:rFonts w:ascii="仿宋" w:hAnsi="仿宋" w:eastAsia="仿宋"/>
          <w:sz w:val="28"/>
          <w:szCs w:val="28"/>
        </w:rPr>
        <w:br w:type="page"/>
      </w:r>
      <w:r>
        <w:rPr>
          <w:rFonts w:ascii="黑体" w:hAnsi="黑体" w:eastAsia="黑体"/>
          <w:sz w:val="32"/>
          <w:szCs w:val="28"/>
        </w:rPr>
        <w:t>附件</w:t>
      </w:r>
      <w:r>
        <w:rPr>
          <w:rFonts w:hint="eastAsia" w:ascii="黑体" w:hAnsi="黑体" w:eastAsia="黑体"/>
          <w:sz w:val="32"/>
          <w:szCs w:val="28"/>
        </w:rPr>
        <w:t>2</w:t>
      </w:r>
    </w:p>
    <w:p>
      <w:pPr>
        <w:tabs>
          <w:tab w:val="left" w:pos="720"/>
        </w:tabs>
        <w:spacing w:line="560" w:lineRule="exact"/>
        <w:rPr>
          <w:rFonts w:ascii="黑体" w:hAnsi="黑体" w:eastAsia="黑体"/>
          <w:sz w:val="32"/>
          <w:szCs w:val="32"/>
        </w:rPr>
      </w:pPr>
    </w:p>
    <w:p>
      <w:pPr>
        <w:tabs>
          <w:tab w:val="left" w:pos="720"/>
        </w:tabs>
        <w:spacing w:line="560" w:lineRule="exact"/>
        <w:jc w:val="center"/>
        <w:rPr>
          <w:rFonts w:ascii="方正小标宋简体" w:hAnsi="宋体" w:eastAsia="方正小标宋简体"/>
          <w:sz w:val="32"/>
          <w:szCs w:val="32"/>
        </w:rPr>
      </w:pPr>
      <w:r>
        <w:rPr>
          <w:rFonts w:hint="eastAsia" w:ascii="方正小标宋简体" w:hAnsi="宋体" w:eastAsia="方正小标宋简体"/>
          <w:sz w:val="32"/>
          <w:szCs w:val="32"/>
        </w:rPr>
        <w:t>董事、监事、高级管理人员</w:t>
      </w:r>
      <w:r>
        <w:rPr>
          <w:rFonts w:ascii="方正小标宋简体" w:hAnsi="宋体" w:eastAsia="方正小标宋简体"/>
          <w:sz w:val="32"/>
          <w:szCs w:val="32"/>
        </w:rPr>
        <w:t>书面确认意见参考格式</w:t>
      </w:r>
    </w:p>
    <w:p>
      <w:pPr>
        <w:tabs>
          <w:tab w:val="left" w:pos="720"/>
        </w:tabs>
        <w:spacing w:line="560" w:lineRule="exact"/>
        <w:jc w:val="center"/>
        <w:rPr>
          <w:rFonts w:ascii="黑体" w:hAnsi="黑体" w:eastAsia="黑体"/>
          <w:sz w:val="32"/>
          <w:szCs w:val="32"/>
        </w:rPr>
      </w:pPr>
      <w:r>
        <mc:AlternateContent>
          <mc:Choice Requires="wps">
            <w:drawing>
              <wp:anchor distT="0" distB="0" distL="114300" distR="114300" simplePos="0" relativeHeight="251660288" behindDoc="0" locked="0" layoutInCell="1" allowOverlap="1">
                <wp:simplePos x="0" y="0"/>
                <wp:positionH relativeFrom="column">
                  <wp:posOffset>-180975</wp:posOffset>
                </wp:positionH>
                <wp:positionV relativeFrom="paragraph">
                  <wp:posOffset>459105</wp:posOffset>
                </wp:positionV>
                <wp:extent cx="5433060" cy="7044055"/>
                <wp:effectExtent l="0" t="0" r="15240" b="23495"/>
                <wp:wrapSquare wrapText="right"/>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33060" cy="7044055"/>
                        </a:xfrm>
                        <a:prstGeom prst="rect">
                          <a:avLst/>
                        </a:prstGeom>
                        <a:solidFill>
                          <a:srgbClr val="FFFFFF"/>
                        </a:solidFill>
                        <a:ln w="9525">
                          <a:solidFill>
                            <a:srgbClr val="000000"/>
                          </a:solidFill>
                          <a:miter lim="800000"/>
                        </a:ln>
                      </wps:spPr>
                      <wps:txbx>
                        <w:txbxContent>
                          <w:p>
                            <w:pPr>
                              <w:spacing w:line="360" w:lineRule="auto"/>
                              <w:jc w:val="center"/>
                              <w:rPr>
                                <w:rFonts w:ascii="仿宋" w:hAnsi="仿宋" w:eastAsia="仿宋"/>
                                <w:b/>
                                <w:bCs/>
                                <w:sz w:val="32"/>
                              </w:rPr>
                            </w:pPr>
                            <w:r>
                              <w:rPr>
                                <w:rFonts w:ascii="仿宋" w:hAnsi="仿宋" w:eastAsia="仿宋"/>
                                <w:b/>
                                <w:bCs/>
                                <w:sz w:val="32"/>
                              </w:rPr>
                              <w:t>XX</w:t>
                            </w:r>
                            <w:r>
                              <w:rPr>
                                <w:rFonts w:hint="eastAsia" w:ascii="仿宋" w:hAnsi="仿宋" w:eastAsia="仿宋"/>
                                <w:b/>
                                <w:bCs/>
                                <w:sz w:val="32"/>
                              </w:rPr>
                              <w:t>股份有限公司董事、监事、高级管理人员关于</w:t>
                            </w:r>
                            <w:r>
                              <w:rPr>
                                <w:rFonts w:ascii="仿宋" w:hAnsi="仿宋" w:eastAsia="仿宋"/>
                                <w:b/>
                                <w:bCs/>
                                <w:sz w:val="32"/>
                              </w:rPr>
                              <w:t>XX</w:t>
                            </w:r>
                            <w:r>
                              <w:rPr>
                                <w:rFonts w:hint="eastAsia" w:ascii="仿宋" w:hAnsi="仿宋" w:eastAsia="仿宋"/>
                                <w:b/>
                                <w:bCs/>
                                <w:sz w:val="32"/>
                              </w:rPr>
                              <w:t>年</w:t>
                            </w:r>
                          </w:p>
                          <w:p>
                            <w:pPr>
                              <w:spacing w:line="480" w:lineRule="auto"/>
                              <w:jc w:val="center"/>
                              <w:rPr>
                                <w:rFonts w:ascii="仿宋" w:hAnsi="仿宋" w:eastAsia="仿宋"/>
                                <w:b/>
                                <w:bCs/>
                                <w:sz w:val="28"/>
                              </w:rPr>
                            </w:pPr>
                            <w:r>
                              <w:rPr>
                                <w:rFonts w:hint="eastAsia" w:ascii="仿宋" w:hAnsi="仿宋" w:eastAsia="仿宋"/>
                                <w:b/>
                                <w:bCs/>
                                <w:sz w:val="32"/>
                              </w:rPr>
                              <w:t>年度（半年度/季度）报告的书面确认意见</w:t>
                            </w:r>
                          </w:p>
                          <w:p>
                            <w:pPr>
                              <w:spacing w:line="360" w:lineRule="auto"/>
                              <w:ind w:firstLine="560" w:firstLineChars="200"/>
                              <w:rPr>
                                <w:rFonts w:ascii="仿宋" w:hAnsi="仿宋" w:eastAsia="仿宋"/>
                                <w:bCs/>
                                <w:sz w:val="28"/>
                              </w:rPr>
                            </w:pPr>
                            <w:r>
                              <w:rPr>
                                <w:rFonts w:hint="eastAsia" w:ascii="仿宋" w:hAnsi="仿宋" w:eastAsia="仿宋"/>
                                <w:bCs/>
                                <w:sz w:val="28"/>
                              </w:rPr>
                              <w:t>根据《证券法》第八十二条的要求，本人作为</w:t>
                            </w:r>
                            <w:r>
                              <w:rPr>
                                <w:rFonts w:ascii="仿宋" w:hAnsi="仿宋" w:eastAsia="仿宋"/>
                                <w:bCs/>
                                <w:sz w:val="28"/>
                              </w:rPr>
                              <w:t>XX</w:t>
                            </w:r>
                            <w:r>
                              <w:rPr>
                                <w:rFonts w:hint="eastAsia" w:ascii="仿宋" w:hAnsi="仿宋" w:eastAsia="仿宋"/>
                                <w:bCs/>
                                <w:sz w:val="28"/>
                              </w:rPr>
                              <w:t>股份有限公司的董事、监事、高级管理人员，保证公司</w:t>
                            </w:r>
                            <w:r>
                              <w:rPr>
                                <w:rFonts w:ascii="仿宋" w:hAnsi="仿宋" w:eastAsia="仿宋"/>
                                <w:bCs/>
                                <w:sz w:val="28"/>
                              </w:rPr>
                              <w:t>XX</w:t>
                            </w:r>
                            <w:r>
                              <w:rPr>
                                <w:rFonts w:hint="eastAsia" w:ascii="仿宋" w:hAnsi="仿宋" w:eastAsia="仿宋"/>
                                <w:bCs/>
                                <w:sz w:val="28"/>
                              </w:rPr>
                              <w:t>年年度（半年度/季度）报告内容真实、准确、完整，不存在任何虚假记载、误导性陈述或者重大遗漏。</w:t>
                            </w:r>
                          </w:p>
                          <w:p>
                            <w:pPr>
                              <w:spacing w:line="360" w:lineRule="auto"/>
                              <w:ind w:firstLine="560" w:firstLineChars="200"/>
                              <w:rPr>
                                <w:rFonts w:ascii="仿宋" w:hAnsi="仿宋" w:eastAsia="仿宋"/>
                                <w:bCs/>
                                <w:sz w:val="28"/>
                              </w:rPr>
                            </w:pPr>
                            <w:r>
                              <w:rPr>
                                <w:rFonts w:hint="eastAsia" w:ascii="仿宋" w:hAnsi="仿宋" w:eastAsia="仿宋"/>
                                <w:bCs/>
                                <w:sz w:val="28"/>
                              </w:rPr>
                              <w:t>公司董事（监事或高级管理人员）XXX无法保证公司XX年年度（半年度/季度）报告内容真实、准确、完整，无法保证或者持异议的具体内容是____、详细原因是____，本人就无法保证或者持异议事项在定期报告编制及审议过程中的沟通决策情况以及履行勤勉义务所采取的尽职调查措施包括____（如适用）。</w:t>
                            </w:r>
                          </w:p>
                          <w:p>
                            <w:pPr>
                              <w:spacing w:line="360" w:lineRule="auto"/>
                              <w:ind w:firstLine="560" w:firstLineChars="200"/>
                              <w:rPr>
                                <w:rFonts w:ascii="仿宋" w:hAnsi="仿宋" w:eastAsia="仿宋"/>
                                <w:bCs/>
                                <w:sz w:val="28"/>
                              </w:rPr>
                            </w:pPr>
                            <w:r>
                              <w:rPr>
                                <w:rFonts w:hint="eastAsia" w:ascii="仿宋" w:hAnsi="仿宋" w:eastAsia="仿宋"/>
                                <w:bCs/>
                                <w:sz w:val="28"/>
                              </w:rPr>
                              <w:t>董事签署：</w:t>
                            </w:r>
                          </w:p>
                          <w:p>
                            <w:pPr>
                              <w:spacing w:line="360" w:lineRule="auto"/>
                              <w:ind w:firstLine="560" w:firstLineChars="200"/>
                              <w:rPr>
                                <w:rFonts w:ascii="仿宋" w:hAnsi="仿宋" w:eastAsia="仿宋"/>
                                <w:bCs/>
                                <w:sz w:val="28"/>
                              </w:rPr>
                            </w:pPr>
                            <w:r>
                              <w:rPr>
                                <w:rFonts w:ascii="仿宋" w:hAnsi="仿宋" w:eastAsia="仿宋"/>
                                <w:bCs/>
                                <w:sz w:val="28"/>
                              </w:rPr>
                              <w:t xml:space="preserve">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 xml:space="preserve">__  </w:t>
                            </w:r>
                          </w:p>
                          <w:p>
                            <w:pPr>
                              <w:spacing w:line="360" w:lineRule="auto"/>
                              <w:ind w:firstLine="560" w:firstLineChars="200"/>
                              <w:rPr>
                                <w:rFonts w:ascii="仿宋" w:hAnsi="仿宋" w:eastAsia="仿宋"/>
                                <w:bCs/>
                                <w:sz w:val="28"/>
                              </w:rPr>
                            </w:pPr>
                            <w:r>
                              <w:rPr>
                                <w:rFonts w:hint="eastAsia" w:ascii="仿宋" w:hAnsi="仿宋" w:eastAsia="仿宋"/>
                                <w:bCs/>
                                <w:sz w:val="28"/>
                              </w:rPr>
                              <w:t>监事签署：</w:t>
                            </w:r>
                          </w:p>
                          <w:p>
                            <w:pPr>
                              <w:spacing w:line="360" w:lineRule="auto"/>
                              <w:ind w:firstLine="560" w:firstLineChars="200"/>
                              <w:rPr>
                                <w:rFonts w:ascii="仿宋" w:hAnsi="仿宋" w:eastAsia="仿宋"/>
                                <w:bCs/>
                                <w:sz w:val="28"/>
                              </w:rPr>
                            </w:pPr>
                            <w:r>
                              <w:rPr>
                                <w:rFonts w:ascii="仿宋" w:hAnsi="仿宋" w:eastAsia="仿宋"/>
                                <w:bCs/>
                                <w:sz w:val="28"/>
                              </w:rPr>
                              <w:t xml:space="preserve">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__</w:t>
                            </w:r>
                          </w:p>
                          <w:p>
                            <w:pPr>
                              <w:spacing w:line="360" w:lineRule="auto"/>
                              <w:ind w:firstLine="560" w:firstLineChars="200"/>
                              <w:rPr>
                                <w:rFonts w:ascii="仿宋" w:hAnsi="仿宋" w:eastAsia="仿宋"/>
                                <w:bCs/>
                                <w:sz w:val="28"/>
                              </w:rPr>
                            </w:pPr>
                            <w:r>
                              <w:rPr>
                                <w:rFonts w:hint="eastAsia" w:ascii="仿宋" w:hAnsi="仿宋" w:eastAsia="仿宋"/>
                                <w:bCs/>
                                <w:sz w:val="28"/>
                              </w:rPr>
                              <w:t>高级管理人员签署：</w:t>
                            </w:r>
                          </w:p>
                          <w:p>
                            <w:pPr>
                              <w:spacing w:line="360" w:lineRule="auto"/>
                              <w:ind w:firstLine="1680" w:firstLineChars="600"/>
                              <w:rPr>
                                <w:rFonts w:ascii="仿宋" w:hAnsi="仿宋" w:eastAsia="仿宋"/>
                                <w:sz w:val="22"/>
                              </w:rPr>
                            </w:pPr>
                            <w:r>
                              <w:rPr>
                                <w:rFonts w:ascii="仿宋" w:hAnsi="仿宋" w:eastAsia="仿宋"/>
                                <w:bCs/>
                                <w:sz w:val="28"/>
                              </w:rPr>
                              <w:t>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 xml:space="preserve">__  </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14.25pt;margin-top:36.15pt;height:554.65pt;width:427.8pt;mso-wrap-distance-bottom:0pt;mso-wrap-distance-left:9pt;mso-wrap-distance-right:9pt;mso-wrap-distance-top:0pt;z-index:251660288;mso-width-relative:page;mso-height-relative:page;" fillcolor="#FFFFFF" filled="t" stroked="t" coordsize="21600,21600" o:gfxdata="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weJCzaAAAACwEAAA8AAAAAAAAAAQAgAAAA&#10;IgAAAGRycy9kb3ducmV2LnhtbFBLAQIUABQAAAAIAIdO4kAE6O5eQgIAAIkEAAAOAAAAAAAAAAEA&#10;IAAAACkBAABkcnMvZTJvRG9jLnhtbFBLBQYAAAAABgAGAFkBAADdBQAAAAA=&#10;">
                <v:fill on="t" focussize="0,0"/>
                <v:stroke color="#000000" miterlimit="8" joinstyle="miter"/>
                <v:imagedata o:title=""/>
                <o:lock v:ext="edit" aspectratio="f"/>
                <v:textbox>
                  <w:txbxContent>
                    <w:p>
                      <w:pPr>
                        <w:spacing w:line="360" w:lineRule="auto"/>
                        <w:jc w:val="center"/>
                        <w:rPr>
                          <w:rFonts w:ascii="仿宋" w:hAnsi="仿宋" w:eastAsia="仿宋"/>
                          <w:b/>
                          <w:bCs/>
                          <w:sz w:val="32"/>
                        </w:rPr>
                      </w:pPr>
                      <w:r>
                        <w:rPr>
                          <w:rFonts w:ascii="仿宋" w:hAnsi="仿宋" w:eastAsia="仿宋"/>
                          <w:b/>
                          <w:bCs/>
                          <w:sz w:val="32"/>
                        </w:rPr>
                        <w:t>XX</w:t>
                      </w:r>
                      <w:r>
                        <w:rPr>
                          <w:rFonts w:hint="eastAsia" w:ascii="仿宋" w:hAnsi="仿宋" w:eastAsia="仿宋"/>
                          <w:b/>
                          <w:bCs/>
                          <w:sz w:val="32"/>
                        </w:rPr>
                        <w:t>股份有限公司董事、监事、高级管理人员关于</w:t>
                      </w:r>
                      <w:r>
                        <w:rPr>
                          <w:rFonts w:ascii="仿宋" w:hAnsi="仿宋" w:eastAsia="仿宋"/>
                          <w:b/>
                          <w:bCs/>
                          <w:sz w:val="32"/>
                        </w:rPr>
                        <w:t>XX</w:t>
                      </w:r>
                      <w:r>
                        <w:rPr>
                          <w:rFonts w:hint="eastAsia" w:ascii="仿宋" w:hAnsi="仿宋" w:eastAsia="仿宋"/>
                          <w:b/>
                          <w:bCs/>
                          <w:sz w:val="32"/>
                        </w:rPr>
                        <w:t>年</w:t>
                      </w:r>
                    </w:p>
                    <w:p>
                      <w:pPr>
                        <w:spacing w:line="480" w:lineRule="auto"/>
                        <w:jc w:val="center"/>
                        <w:rPr>
                          <w:rFonts w:ascii="仿宋" w:hAnsi="仿宋" w:eastAsia="仿宋"/>
                          <w:b/>
                          <w:bCs/>
                          <w:sz w:val="28"/>
                        </w:rPr>
                      </w:pPr>
                      <w:r>
                        <w:rPr>
                          <w:rFonts w:hint="eastAsia" w:ascii="仿宋" w:hAnsi="仿宋" w:eastAsia="仿宋"/>
                          <w:b/>
                          <w:bCs/>
                          <w:sz w:val="32"/>
                        </w:rPr>
                        <w:t>年度（半年度/季度）报告的书面确认意见</w:t>
                      </w:r>
                    </w:p>
                    <w:p>
                      <w:pPr>
                        <w:spacing w:line="360" w:lineRule="auto"/>
                        <w:ind w:firstLine="560" w:firstLineChars="200"/>
                        <w:rPr>
                          <w:rFonts w:ascii="仿宋" w:hAnsi="仿宋" w:eastAsia="仿宋"/>
                          <w:bCs/>
                          <w:sz w:val="28"/>
                        </w:rPr>
                      </w:pPr>
                      <w:r>
                        <w:rPr>
                          <w:rFonts w:hint="eastAsia" w:ascii="仿宋" w:hAnsi="仿宋" w:eastAsia="仿宋"/>
                          <w:bCs/>
                          <w:sz w:val="28"/>
                        </w:rPr>
                        <w:t>根据《证券法》第八十二条的要求，本人作为</w:t>
                      </w:r>
                      <w:r>
                        <w:rPr>
                          <w:rFonts w:ascii="仿宋" w:hAnsi="仿宋" w:eastAsia="仿宋"/>
                          <w:bCs/>
                          <w:sz w:val="28"/>
                        </w:rPr>
                        <w:t>XX</w:t>
                      </w:r>
                      <w:r>
                        <w:rPr>
                          <w:rFonts w:hint="eastAsia" w:ascii="仿宋" w:hAnsi="仿宋" w:eastAsia="仿宋"/>
                          <w:bCs/>
                          <w:sz w:val="28"/>
                        </w:rPr>
                        <w:t>股份有限公司的董事、监事、高级管理人员，保证公司</w:t>
                      </w:r>
                      <w:r>
                        <w:rPr>
                          <w:rFonts w:ascii="仿宋" w:hAnsi="仿宋" w:eastAsia="仿宋"/>
                          <w:bCs/>
                          <w:sz w:val="28"/>
                        </w:rPr>
                        <w:t>XX</w:t>
                      </w:r>
                      <w:r>
                        <w:rPr>
                          <w:rFonts w:hint="eastAsia" w:ascii="仿宋" w:hAnsi="仿宋" w:eastAsia="仿宋"/>
                          <w:bCs/>
                          <w:sz w:val="28"/>
                        </w:rPr>
                        <w:t>年年度（半年度/季度）报告内容真实、准确、完整，不存在任何虚假记载、误导性陈述或者重大遗漏。</w:t>
                      </w:r>
                    </w:p>
                    <w:p>
                      <w:pPr>
                        <w:spacing w:line="360" w:lineRule="auto"/>
                        <w:ind w:firstLine="560" w:firstLineChars="200"/>
                        <w:rPr>
                          <w:rFonts w:ascii="仿宋" w:hAnsi="仿宋" w:eastAsia="仿宋"/>
                          <w:bCs/>
                          <w:sz w:val="28"/>
                        </w:rPr>
                      </w:pPr>
                      <w:r>
                        <w:rPr>
                          <w:rFonts w:hint="eastAsia" w:ascii="仿宋" w:hAnsi="仿宋" w:eastAsia="仿宋"/>
                          <w:bCs/>
                          <w:sz w:val="28"/>
                        </w:rPr>
                        <w:t>公司董事（监事或高级管理人员）XXX无法保证公司XX年年度（半年度/季度）报告内容真实、准确、完整，无法保证或者持异议的具体内容是____、详细原因是____，本人就无法保证或者持异议事项在定期报告编制及审议过程中的沟通决策情况以及履行勤勉义务所采取的尽职调查措施包括____（如适用）。</w:t>
                      </w:r>
                    </w:p>
                    <w:p>
                      <w:pPr>
                        <w:spacing w:line="360" w:lineRule="auto"/>
                        <w:ind w:firstLine="560" w:firstLineChars="200"/>
                        <w:rPr>
                          <w:rFonts w:ascii="仿宋" w:hAnsi="仿宋" w:eastAsia="仿宋"/>
                          <w:bCs/>
                          <w:sz w:val="28"/>
                        </w:rPr>
                      </w:pPr>
                      <w:r>
                        <w:rPr>
                          <w:rFonts w:hint="eastAsia" w:ascii="仿宋" w:hAnsi="仿宋" w:eastAsia="仿宋"/>
                          <w:bCs/>
                          <w:sz w:val="28"/>
                        </w:rPr>
                        <w:t>董事签署：</w:t>
                      </w:r>
                    </w:p>
                    <w:p>
                      <w:pPr>
                        <w:spacing w:line="360" w:lineRule="auto"/>
                        <w:ind w:firstLine="560" w:firstLineChars="200"/>
                        <w:rPr>
                          <w:rFonts w:ascii="仿宋" w:hAnsi="仿宋" w:eastAsia="仿宋"/>
                          <w:bCs/>
                          <w:sz w:val="28"/>
                        </w:rPr>
                      </w:pPr>
                      <w:r>
                        <w:rPr>
                          <w:rFonts w:ascii="仿宋" w:hAnsi="仿宋" w:eastAsia="仿宋"/>
                          <w:bCs/>
                          <w:sz w:val="28"/>
                        </w:rPr>
                        <w:t xml:space="preserve">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 xml:space="preserve">__  </w:t>
                      </w:r>
                    </w:p>
                    <w:p>
                      <w:pPr>
                        <w:spacing w:line="360" w:lineRule="auto"/>
                        <w:ind w:firstLine="560" w:firstLineChars="200"/>
                        <w:rPr>
                          <w:rFonts w:ascii="仿宋" w:hAnsi="仿宋" w:eastAsia="仿宋"/>
                          <w:bCs/>
                          <w:sz w:val="28"/>
                        </w:rPr>
                      </w:pPr>
                      <w:r>
                        <w:rPr>
                          <w:rFonts w:hint="eastAsia" w:ascii="仿宋" w:hAnsi="仿宋" w:eastAsia="仿宋"/>
                          <w:bCs/>
                          <w:sz w:val="28"/>
                        </w:rPr>
                        <w:t>监事签署：</w:t>
                      </w:r>
                    </w:p>
                    <w:p>
                      <w:pPr>
                        <w:spacing w:line="360" w:lineRule="auto"/>
                        <w:ind w:firstLine="560" w:firstLineChars="200"/>
                        <w:rPr>
                          <w:rFonts w:ascii="仿宋" w:hAnsi="仿宋" w:eastAsia="仿宋"/>
                          <w:bCs/>
                          <w:sz w:val="28"/>
                        </w:rPr>
                      </w:pPr>
                      <w:r>
                        <w:rPr>
                          <w:rFonts w:ascii="仿宋" w:hAnsi="仿宋" w:eastAsia="仿宋"/>
                          <w:bCs/>
                          <w:sz w:val="28"/>
                        </w:rPr>
                        <w:t xml:space="preserve">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__</w:t>
                      </w:r>
                    </w:p>
                    <w:p>
                      <w:pPr>
                        <w:spacing w:line="360" w:lineRule="auto"/>
                        <w:ind w:firstLine="560" w:firstLineChars="200"/>
                        <w:rPr>
                          <w:rFonts w:ascii="仿宋" w:hAnsi="仿宋" w:eastAsia="仿宋"/>
                          <w:bCs/>
                          <w:sz w:val="28"/>
                        </w:rPr>
                      </w:pPr>
                      <w:r>
                        <w:rPr>
                          <w:rFonts w:hint="eastAsia" w:ascii="仿宋" w:hAnsi="仿宋" w:eastAsia="仿宋"/>
                          <w:bCs/>
                          <w:sz w:val="28"/>
                        </w:rPr>
                        <w:t>高级管理人员签署：</w:t>
                      </w:r>
                    </w:p>
                    <w:p>
                      <w:pPr>
                        <w:spacing w:line="360" w:lineRule="auto"/>
                        <w:ind w:firstLine="1680" w:firstLineChars="600"/>
                        <w:rPr>
                          <w:rFonts w:ascii="仿宋" w:hAnsi="仿宋" w:eastAsia="仿宋"/>
                          <w:sz w:val="22"/>
                        </w:rPr>
                      </w:pPr>
                      <w:r>
                        <w:rPr>
                          <w:rFonts w:ascii="仿宋" w:hAnsi="仿宋" w:eastAsia="仿宋"/>
                          <w:bCs/>
                          <w:sz w:val="28"/>
                        </w:rPr>
                        <w:t>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__    XXX __</w:t>
                      </w:r>
                      <w:r>
                        <w:rPr>
                          <w:rFonts w:hint="eastAsia" w:ascii="仿宋" w:hAnsi="仿宋" w:eastAsia="仿宋"/>
                          <w:bCs/>
                          <w:sz w:val="28"/>
                          <w:u w:val="single"/>
                        </w:rPr>
                        <w:t>签名</w:t>
                      </w:r>
                      <w:r>
                        <w:rPr>
                          <w:rFonts w:ascii="仿宋" w:hAnsi="仿宋" w:eastAsia="仿宋"/>
                          <w:bCs/>
                          <w:sz w:val="28"/>
                        </w:rPr>
                        <w:t xml:space="preserve">__  </w:t>
                      </w:r>
                    </w:p>
                  </w:txbxContent>
                </v:textbox>
                <w10:wrap type="square" side="right"/>
              </v:shape>
            </w:pict>
          </mc:Fallback>
        </mc:AlternateContent>
      </w:r>
    </w:p>
    <w:p>
      <w:pPr>
        <w:widowControl/>
        <w:tabs>
          <w:tab w:val="center" w:pos="4153"/>
        </w:tabs>
        <w:rPr>
          <w:rFonts w:eastAsia="方正仿宋简体"/>
          <w:sz w:val="30"/>
          <w:szCs w:val="30"/>
        </w:rPr>
        <w:sectPr>
          <w:pgSz w:w="11906" w:h="16838"/>
          <w:pgMar w:top="1440" w:right="1800" w:bottom="1440" w:left="1800" w:header="851" w:footer="992" w:gutter="0"/>
          <w:pgNumType w:start="1"/>
          <w:cols w:space="720" w:num="1"/>
          <w:docGrid w:type="lines" w:linePitch="312" w:charSpace="0"/>
        </w:sectPr>
      </w:pPr>
    </w:p>
    <w:p>
      <w:pPr>
        <w:tabs>
          <w:tab w:val="left" w:pos="720"/>
        </w:tabs>
        <w:spacing w:line="560" w:lineRule="exact"/>
        <w:rPr>
          <w:rFonts w:ascii="黑体" w:hAnsi="黑体" w:eastAsia="黑体"/>
          <w:sz w:val="32"/>
          <w:szCs w:val="28"/>
        </w:rPr>
      </w:pPr>
      <w:r>
        <w:rPr>
          <w:rFonts w:ascii="黑体" w:hAnsi="黑体" w:eastAsia="黑体"/>
          <w:sz w:val="32"/>
          <w:szCs w:val="28"/>
        </w:rPr>
        <w:t>附件</w:t>
      </w:r>
      <w:r>
        <w:rPr>
          <w:rFonts w:hint="eastAsia" w:ascii="黑体" w:hAnsi="黑体" w:eastAsia="黑体"/>
          <w:sz w:val="32"/>
          <w:szCs w:val="28"/>
        </w:rPr>
        <w:t>3</w:t>
      </w:r>
    </w:p>
    <w:p>
      <w:pPr>
        <w:jc w:val="center"/>
        <w:rPr>
          <w:rFonts w:eastAsia="方正仿宋简体"/>
          <w:sz w:val="24"/>
        </w:rPr>
      </w:pPr>
      <w:r>
        <w:rPr>
          <w:rFonts w:hint="eastAsia" w:ascii="方正小标宋简体" w:hAnsi="黑体" w:eastAsia="方正小标宋简体"/>
          <w:sz w:val="32"/>
          <w:szCs w:val="32"/>
        </w:rPr>
        <w:t>上市公司20XX年度非经营性资金占用及其他关联资金往来情况汇总表</w:t>
      </w:r>
    </w:p>
    <w:p>
      <w:pPr>
        <w:ind w:right="210"/>
        <w:jc w:val="right"/>
        <w:rPr>
          <w:rFonts w:ascii="仿宋" w:hAnsi="仿宋" w:eastAsia="仿宋"/>
          <w:sz w:val="24"/>
          <w:szCs w:val="24"/>
        </w:rPr>
      </w:pPr>
      <w:r>
        <w:rPr>
          <w:rFonts w:ascii="仿宋" w:hAnsi="仿宋" w:eastAsia="仿宋"/>
          <w:sz w:val="24"/>
          <w:szCs w:val="24"/>
        </w:rPr>
        <w:t>单位：万元</w:t>
      </w:r>
    </w:p>
    <w:tbl>
      <w:tblPr>
        <w:tblStyle w:val="56"/>
        <w:tblpPr w:leftFromText="180" w:rightFromText="180" w:vertAnchor="text" w:horzAnchor="margin" w:tblpXSpec="center" w:tblpY="48"/>
        <w:tblW w:w="0" w:type="auto"/>
        <w:tblInd w:w="0" w:type="dxa"/>
        <w:tblLayout w:type="fixed"/>
        <w:tblCellMar>
          <w:top w:w="0" w:type="dxa"/>
          <w:left w:w="0" w:type="dxa"/>
          <w:bottom w:w="0" w:type="dxa"/>
          <w:right w:w="0" w:type="dxa"/>
        </w:tblCellMar>
      </w:tblPr>
      <w:tblGrid>
        <w:gridCol w:w="2380"/>
        <w:gridCol w:w="991"/>
        <w:gridCol w:w="1135"/>
        <w:gridCol w:w="1419"/>
        <w:gridCol w:w="1135"/>
        <w:gridCol w:w="1400"/>
        <w:gridCol w:w="1295"/>
        <w:gridCol w:w="1277"/>
        <w:gridCol w:w="1277"/>
        <w:gridCol w:w="850"/>
        <w:gridCol w:w="1419"/>
      </w:tblGrid>
      <w:tr>
        <w:tblPrEx>
          <w:tblCellMar>
            <w:top w:w="0" w:type="dxa"/>
            <w:left w:w="0" w:type="dxa"/>
            <w:bottom w:w="0" w:type="dxa"/>
            <w:right w:w="0" w:type="dxa"/>
          </w:tblCellMar>
        </w:tblPrEx>
        <w:trPr>
          <w:trHeight w:val="855" w:hRule="atLeast"/>
        </w:trPr>
        <w:tc>
          <w:tcPr>
            <w:tcW w:w="2380" w:type="dxa"/>
            <w:tcBorders>
              <w:top w:val="single" w:color="auto" w:sz="8" w:space="0"/>
              <w:left w:val="single" w:color="auto" w:sz="8"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非经营性资金占用</w:t>
            </w:r>
          </w:p>
        </w:tc>
        <w:tc>
          <w:tcPr>
            <w:tcW w:w="991"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资金占用方名称</w:t>
            </w:r>
          </w:p>
        </w:tc>
        <w:tc>
          <w:tcPr>
            <w:tcW w:w="1135"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占用方与上市公司的关联关系</w:t>
            </w:r>
          </w:p>
        </w:tc>
        <w:tc>
          <w:tcPr>
            <w:tcW w:w="1419" w:type="dxa"/>
            <w:tcBorders>
              <w:top w:val="single" w:color="auto" w:sz="8" w:space="0"/>
              <w:left w:val="nil"/>
              <w:bottom w:val="single" w:color="auto" w:sz="4" w:space="0"/>
              <w:right w:val="single" w:color="auto" w:sz="4" w:space="0"/>
            </w:tcBorders>
            <w:vAlign w:val="center"/>
          </w:tcPr>
          <w:p>
            <w:pPr>
              <w:jc w:val="center"/>
              <w:rPr>
                <w:rFonts w:ascii="宋体" w:hAnsi="宋体"/>
                <w:b/>
                <w:szCs w:val="21"/>
              </w:rPr>
            </w:pPr>
            <w:r>
              <w:rPr>
                <w:rFonts w:ascii="宋体" w:hAnsi="宋体"/>
                <w:b/>
                <w:szCs w:val="21"/>
              </w:rPr>
              <w:t>上市公司核算的会计科目</w:t>
            </w:r>
          </w:p>
        </w:tc>
        <w:tc>
          <w:tcPr>
            <w:tcW w:w="1135" w:type="dxa"/>
            <w:tcBorders>
              <w:top w:val="single" w:color="auto" w:sz="8"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20XX年期初占用资金余额</w:t>
            </w:r>
          </w:p>
        </w:tc>
        <w:tc>
          <w:tcPr>
            <w:tcW w:w="1400"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20XX年度占用累计发生金额（不含利息）</w:t>
            </w:r>
          </w:p>
        </w:tc>
        <w:tc>
          <w:tcPr>
            <w:tcW w:w="1295" w:type="dxa"/>
            <w:tcBorders>
              <w:top w:val="single" w:color="auto" w:sz="8" w:space="0"/>
              <w:left w:val="nil"/>
              <w:bottom w:val="single" w:color="auto" w:sz="4" w:space="0"/>
              <w:right w:val="single" w:color="auto" w:sz="4" w:space="0"/>
            </w:tcBorders>
            <w:vAlign w:val="center"/>
          </w:tcPr>
          <w:p>
            <w:pPr>
              <w:jc w:val="center"/>
              <w:rPr>
                <w:rFonts w:ascii="宋体" w:hAnsi="宋体"/>
                <w:b/>
                <w:szCs w:val="21"/>
              </w:rPr>
            </w:pPr>
            <w:r>
              <w:rPr>
                <w:rFonts w:ascii="宋体" w:hAnsi="宋体"/>
                <w:b/>
                <w:szCs w:val="21"/>
              </w:rPr>
              <w:t>20XX年度占用资金的利息（如有）</w:t>
            </w:r>
          </w:p>
        </w:tc>
        <w:tc>
          <w:tcPr>
            <w:tcW w:w="1277" w:type="dxa"/>
            <w:tcBorders>
              <w:top w:val="single" w:color="auto" w:sz="8"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20XX年度偿还累计发生金额</w:t>
            </w:r>
          </w:p>
        </w:tc>
        <w:tc>
          <w:tcPr>
            <w:tcW w:w="1277" w:type="dxa"/>
            <w:tcBorders>
              <w:top w:val="single" w:color="auto" w:sz="8"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20XX年期末占用资金余额</w:t>
            </w:r>
          </w:p>
        </w:tc>
        <w:tc>
          <w:tcPr>
            <w:tcW w:w="850"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占用形成原因</w:t>
            </w:r>
          </w:p>
        </w:tc>
        <w:tc>
          <w:tcPr>
            <w:tcW w:w="1419" w:type="dxa"/>
            <w:tcBorders>
              <w:top w:val="single" w:color="auto" w:sz="8" w:space="0"/>
              <w:left w:val="nil"/>
              <w:bottom w:val="single" w:color="auto" w:sz="4" w:space="0"/>
              <w:right w:val="single" w:color="auto" w:sz="8"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占用性质</w:t>
            </w:r>
          </w:p>
        </w:tc>
      </w:tr>
      <w:tr>
        <w:tblPrEx>
          <w:tblCellMar>
            <w:top w:w="0" w:type="dxa"/>
            <w:left w:w="0" w:type="dxa"/>
            <w:bottom w:w="0" w:type="dxa"/>
            <w:right w:w="0" w:type="dxa"/>
          </w:tblCellMar>
        </w:tblPrEx>
        <w:trPr>
          <w:cantSplit/>
          <w:trHeight w:val="285" w:hRule="atLeast"/>
        </w:trPr>
        <w:tc>
          <w:tcPr>
            <w:tcW w:w="2380" w:type="dxa"/>
            <w:vMerge w:val="restart"/>
            <w:tcBorders>
              <w:top w:val="nil"/>
              <w:left w:val="single" w:color="auto" w:sz="8" w:space="0"/>
              <w:bottom w:val="single" w:color="auto" w:sz="4" w:space="0"/>
              <w:right w:val="single" w:color="auto" w:sz="4" w:space="0"/>
            </w:tcBorders>
            <w:tcMar>
              <w:top w:w="15" w:type="dxa"/>
              <w:left w:w="15" w:type="dxa"/>
              <w:bottom w:w="0" w:type="dxa"/>
              <w:right w:w="15" w:type="dxa"/>
            </w:tcMar>
          </w:tcPr>
          <w:p>
            <w:pPr>
              <w:rPr>
                <w:rFonts w:ascii="宋体" w:hAnsi="宋体"/>
                <w:szCs w:val="21"/>
              </w:rPr>
            </w:pPr>
            <w:r>
              <w:rPr>
                <w:rFonts w:hint="eastAsia" w:ascii="宋体" w:hAnsi="宋体"/>
                <w:szCs w:val="21"/>
              </w:rPr>
              <w:t>控股股东、实际控制人</w:t>
            </w:r>
            <w:r>
              <w:rPr>
                <w:rFonts w:ascii="宋体" w:hAnsi="宋体"/>
                <w:szCs w:val="21"/>
              </w:rPr>
              <w:t>及其附属企业</w:t>
            </w: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19" w:type="dxa"/>
            <w:tcBorders>
              <w:top w:val="single" w:color="auto" w:sz="4" w:space="0"/>
              <w:left w:val="nil"/>
              <w:bottom w:val="single" w:color="auto" w:sz="4" w:space="0"/>
              <w:right w:val="single" w:color="auto" w:sz="4" w:space="0"/>
            </w:tcBorders>
            <w:vAlign w:val="bottom"/>
          </w:tcPr>
          <w:p>
            <w:pPr>
              <w:rPr>
                <w:rFonts w:ascii="宋体" w:hAnsi="宋体"/>
                <w:szCs w:val="21"/>
              </w:rPr>
            </w:pPr>
            <w:r>
              <w:rPr>
                <w:rFonts w:ascii="宋体" w:hAnsi="宋体"/>
                <w:szCs w:val="21"/>
              </w:rPr>
              <w:t>　</w:t>
            </w: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非经营性占用</w:t>
            </w:r>
          </w:p>
        </w:tc>
      </w:tr>
      <w:tr>
        <w:tblPrEx>
          <w:tblCellMar>
            <w:top w:w="0" w:type="dxa"/>
            <w:left w:w="0" w:type="dxa"/>
            <w:bottom w:w="0" w:type="dxa"/>
            <w:right w:w="0" w:type="dxa"/>
          </w:tblCellMar>
        </w:tblPrEx>
        <w:trPr>
          <w:cantSplit/>
          <w:trHeight w:val="285" w:hRule="atLeast"/>
        </w:trPr>
        <w:tc>
          <w:tcPr>
            <w:tcW w:w="2380" w:type="dxa"/>
            <w:vMerge w:val="continue"/>
            <w:tcBorders>
              <w:top w:val="nil"/>
              <w:left w:val="single" w:color="auto" w:sz="8" w:space="0"/>
              <w:bottom w:val="single" w:color="auto" w:sz="4" w:space="0"/>
              <w:right w:val="single" w:color="auto" w:sz="4" w:space="0"/>
            </w:tcBorders>
            <w:vAlign w:val="center"/>
          </w:tcPr>
          <w:p>
            <w:pPr>
              <w:widowControl/>
              <w:jc w:val="left"/>
              <w:rPr>
                <w:rFonts w:ascii="宋体" w:hAnsi="宋体"/>
                <w:szCs w:val="21"/>
              </w:rPr>
            </w:pP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19" w:type="dxa"/>
            <w:tcBorders>
              <w:top w:val="single" w:color="auto" w:sz="4" w:space="0"/>
              <w:left w:val="nil"/>
              <w:bottom w:val="single" w:color="auto" w:sz="4" w:space="0"/>
              <w:right w:val="single" w:color="auto" w:sz="4" w:space="0"/>
            </w:tcBorders>
            <w:vAlign w:val="bottom"/>
          </w:tcPr>
          <w:p>
            <w:pPr>
              <w:rPr>
                <w:rFonts w:ascii="宋体" w:hAnsi="宋体"/>
                <w:szCs w:val="21"/>
              </w:rPr>
            </w:pPr>
            <w:r>
              <w:rPr>
                <w:rFonts w:ascii="宋体" w:hAnsi="宋体"/>
                <w:szCs w:val="21"/>
              </w:rPr>
              <w:t>　</w:t>
            </w: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非经营性占用</w:t>
            </w:r>
          </w:p>
        </w:tc>
      </w:tr>
      <w:tr>
        <w:tblPrEx>
          <w:tblCellMar>
            <w:top w:w="0" w:type="dxa"/>
            <w:left w:w="0" w:type="dxa"/>
            <w:bottom w:w="0" w:type="dxa"/>
            <w:right w:w="0" w:type="dxa"/>
          </w:tblCellMar>
        </w:tblPrEx>
        <w:trPr>
          <w:cantSplit/>
          <w:trHeight w:val="285" w:hRule="atLeast"/>
        </w:trPr>
        <w:tc>
          <w:tcPr>
            <w:tcW w:w="2380" w:type="dxa"/>
            <w:tcBorders>
              <w:top w:val="single" w:color="auto" w:sz="4" w:space="0"/>
              <w:left w:val="single" w:color="auto" w:sz="8"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szCs w:val="21"/>
              </w:rPr>
            </w:pPr>
            <w:r>
              <w:rPr>
                <w:rFonts w:ascii="宋体" w:hAnsi="宋体"/>
                <w:b/>
                <w:bCs/>
                <w:szCs w:val="21"/>
              </w:rPr>
              <w:t>小计</w:t>
            </w: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jc w:val="center"/>
              <w:rPr>
                <w:rFonts w:ascii="宋体" w:hAnsi="宋体"/>
                <w:szCs w:val="21"/>
              </w:rPr>
            </w:pPr>
            <w:r>
              <w:rPr>
                <w:rFonts w:ascii="宋体" w:hAnsi="宋体"/>
                <w:szCs w:val="21"/>
              </w:rPr>
              <w:t>-</w:t>
            </w: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jc w:val="center"/>
              <w:rPr>
                <w:rFonts w:ascii="宋体" w:hAnsi="宋体"/>
                <w:szCs w:val="21"/>
              </w:rPr>
            </w:pPr>
            <w:r>
              <w:rPr>
                <w:rFonts w:ascii="宋体" w:hAnsi="宋体"/>
                <w:szCs w:val="21"/>
              </w:rPr>
              <w:t>-</w:t>
            </w:r>
          </w:p>
        </w:tc>
        <w:tc>
          <w:tcPr>
            <w:tcW w:w="1419" w:type="dxa"/>
            <w:tcBorders>
              <w:top w:val="single" w:color="auto" w:sz="4" w:space="0"/>
              <w:left w:val="nil"/>
              <w:bottom w:val="single" w:color="auto" w:sz="4" w:space="0"/>
              <w:right w:val="single" w:color="auto" w:sz="4" w:space="0"/>
            </w:tcBorders>
            <w:vAlign w:val="bottom"/>
          </w:tcPr>
          <w:p>
            <w:pPr>
              <w:jc w:val="center"/>
              <w:rPr>
                <w:rFonts w:ascii="宋体" w:hAnsi="宋体"/>
                <w:szCs w:val="21"/>
              </w:rPr>
            </w:pPr>
            <w:r>
              <w:rPr>
                <w:rFonts w:ascii="宋体" w:hAnsi="宋体"/>
                <w:szCs w:val="21"/>
              </w:rPr>
              <w:t>-</w:t>
            </w: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jc w:val="center"/>
              <w:rPr>
                <w:rFonts w:ascii="宋体" w:hAnsi="宋体"/>
                <w:szCs w:val="21"/>
              </w:rPr>
            </w:pPr>
            <w:r>
              <w:rPr>
                <w:rFonts w:ascii="宋体" w:hAnsi="宋体"/>
                <w:szCs w:val="21"/>
              </w:rPr>
              <w:t>-</w:t>
            </w:r>
          </w:p>
        </w:tc>
      </w:tr>
      <w:tr>
        <w:tblPrEx>
          <w:tblCellMar>
            <w:top w:w="0" w:type="dxa"/>
            <w:left w:w="0" w:type="dxa"/>
            <w:bottom w:w="0" w:type="dxa"/>
            <w:right w:w="0" w:type="dxa"/>
          </w:tblCellMar>
        </w:tblPrEx>
        <w:trPr>
          <w:cantSplit/>
          <w:trHeight w:val="285" w:hRule="atLeast"/>
        </w:trPr>
        <w:tc>
          <w:tcPr>
            <w:tcW w:w="2380" w:type="dxa"/>
            <w:vMerge w:val="restart"/>
            <w:tcBorders>
              <w:top w:val="nil"/>
              <w:left w:val="single" w:color="auto" w:sz="8" w:space="0"/>
              <w:bottom w:val="single" w:color="auto" w:sz="4" w:space="0"/>
              <w:right w:val="single" w:color="auto" w:sz="4" w:space="0"/>
            </w:tcBorders>
            <w:tcMar>
              <w:top w:w="15" w:type="dxa"/>
              <w:left w:w="15" w:type="dxa"/>
              <w:bottom w:w="0" w:type="dxa"/>
              <w:right w:w="15" w:type="dxa"/>
            </w:tcMar>
            <w:vAlign w:val="bottom"/>
          </w:tcPr>
          <w:p>
            <w:pPr>
              <w:rPr>
                <w:rFonts w:ascii="宋体" w:hAnsi="宋体"/>
                <w:b/>
                <w:bCs/>
                <w:szCs w:val="21"/>
              </w:rPr>
            </w:pPr>
            <w:r>
              <w:rPr>
                <w:rFonts w:hint="eastAsia" w:ascii="宋体" w:hAnsi="宋体"/>
                <w:szCs w:val="21"/>
              </w:rPr>
              <w:t>前控股股东、实际控制人</w:t>
            </w:r>
            <w:r>
              <w:rPr>
                <w:rFonts w:ascii="宋体" w:hAnsi="宋体"/>
                <w:szCs w:val="21"/>
              </w:rPr>
              <w:t>及其附属企业</w:t>
            </w: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p>
        </w:tc>
        <w:tc>
          <w:tcPr>
            <w:tcW w:w="1419" w:type="dxa"/>
            <w:tcBorders>
              <w:top w:val="single" w:color="auto" w:sz="4" w:space="0"/>
              <w:left w:val="nil"/>
              <w:bottom w:val="single" w:color="auto" w:sz="4" w:space="0"/>
              <w:right w:val="single" w:color="auto" w:sz="4" w:space="0"/>
            </w:tcBorders>
            <w:vAlign w:val="bottom"/>
          </w:tcPr>
          <w:p>
            <w:pPr>
              <w:jc w:val="center"/>
              <w:rPr>
                <w:rFonts w:ascii="宋体" w:hAnsi="宋体"/>
                <w:szCs w:val="21"/>
              </w:rPr>
            </w:pP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850"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p>
        </w:tc>
        <w:tc>
          <w:tcPr>
            <w:tcW w:w="1419" w:type="dxa"/>
            <w:tcBorders>
              <w:top w:val="nil"/>
              <w:left w:val="nil"/>
              <w:bottom w:val="single" w:color="auto" w:sz="4" w:space="0"/>
              <w:right w:val="single" w:color="auto" w:sz="8" w:space="0"/>
            </w:tcBorders>
            <w:tcMar>
              <w:top w:w="15" w:type="dxa"/>
              <w:left w:w="15" w:type="dxa"/>
              <w:bottom w:w="0" w:type="dxa"/>
              <w:right w:w="15" w:type="dxa"/>
            </w:tcMar>
          </w:tcPr>
          <w:p>
            <w:pPr>
              <w:rPr>
                <w:rFonts w:ascii="宋体" w:hAnsi="宋体"/>
                <w:szCs w:val="21"/>
              </w:rPr>
            </w:pPr>
            <w:r>
              <w:rPr>
                <w:rFonts w:ascii="宋体" w:hAnsi="宋体"/>
                <w:szCs w:val="21"/>
              </w:rPr>
              <w:t>非经营性占用</w:t>
            </w:r>
          </w:p>
        </w:tc>
      </w:tr>
      <w:tr>
        <w:tblPrEx>
          <w:tblCellMar>
            <w:top w:w="0" w:type="dxa"/>
            <w:left w:w="0" w:type="dxa"/>
            <w:bottom w:w="0" w:type="dxa"/>
            <w:right w:w="0" w:type="dxa"/>
          </w:tblCellMar>
        </w:tblPrEx>
        <w:trPr>
          <w:cantSplit/>
          <w:trHeight w:val="285" w:hRule="atLeast"/>
        </w:trPr>
        <w:tc>
          <w:tcPr>
            <w:tcW w:w="2380" w:type="dxa"/>
            <w:vMerge w:val="continue"/>
            <w:tcBorders>
              <w:top w:val="nil"/>
              <w:left w:val="single" w:color="auto" w:sz="8" w:space="0"/>
              <w:bottom w:val="single" w:color="auto" w:sz="4" w:space="0"/>
              <w:right w:val="single" w:color="auto" w:sz="4" w:space="0"/>
            </w:tcBorders>
            <w:vAlign w:val="center"/>
          </w:tcPr>
          <w:p>
            <w:pPr>
              <w:widowControl/>
              <w:jc w:val="left"/>
              <w:rPr>
                <w:rFonts w:ascii="宋体" w:hAnsi="宋体"/>
                <w:b/>
                <w:bCs/>
                <w:szCs w:val="21"/>
              </w:rPr>
            </w:pP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p>
        </w:tc>
        <w:tc>
          <w:tcPr>
            <w:tcW w:w="1419" w:type="dxa"/>
            <w:tcBorders>
              <w:top w:val="single" w:color="auto" w:sz="4" w:space="0"/>
              <w:left w:val="nil"/>
              <w:bottom w:val="single" w:color="auto" w:sz="4" w:space="0"/>
              <w:right w:val="single" w:color="auto" w:sz="4" w:space="0"/>
            </w:tcBorders>
            <w:vAlign w:val="bottom"/>
          </w:tcPr>
          <w:p>
            <w:pPr>
              <w:jc w:val="center"/>
              <w:rPr>
                <w:rFonts w:ascii="宋体" w:hAnsi="宋体"/>
                <w:szCs w:val="21"/>
              </w:rPr>
            </w:pP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850"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p>
        </w:tc>
        <w:tc>
          <w:tcPr>
            <w:tcW w:w="1419" w:type="dxa"/>
            <w:tcBorders>
              <w:top w:val="nil"/>
              <w:left w:val="nil"/>
              <w:bottom w:val="single" w:color="auto" w:sz="4" w:space="0"/>
              <w:right w:val="single" w:color="auto" w:sz="8" w:space="0"/>
            </w:tcBorders>
            <w:tcMar>
              <w:top w:w="15" w:type="dxa"/>
              <w:left w:w="15" w:type="dxa"/>
              <w:bottom w:w="0" w:type="dxa"/>
              <w:right w:w="15" w:type="dxa"/>
            </w:tcMar>
          </w:tcPr>
          <w:p>
            <w:pPr>
              <w:rPr>
                <w:rFonts w:ascii="宋体" w:hAnsi="宋体"/>
                <w:szCs w:val="21"/>
              </w:rPr>
            </w:pPr>
            <w:r>
              <w:rPr>
                <w:rFonts w:ascii="宋体" w:hAnsi="宋体"/>
                <w:szCs w:val="21"/>
              </w:rPr>
              <w:t>非经营性占用</w:t>
            </w:r>
          </w:p>
        </w:tc>
      </w:tr>
      <w:tr>
        <w:tblPrEx>
          <w:tblCellMar>
            <w:top w:w="0" w:type="dxa"/>
            <w:left w:w="0" w:type="dxa"/>
            <w:bottom w:w="0" w:type="dxa"/>
            <w:right w:w="0" w:type="dxa"/>
          </w:tblCellMar>
        </w:tblPrEx>
        <w:trPr>
          <w:cantSplit/>
          <w:trHeight w:val="285" w:hRule="atLeast"/>
        </w:trPr>
        <w:tc>
          <w:tcPr>
            <w:tcW w:w="2380" w:type="dxa"/>
            <w:tcBorders>
              <w:top w:val="single" w:color="auto" w:sz="4" w:space="0"/>
              <w:left w:val="single" w:color="auto" w:sz="8"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szCs w:val="21"/>
              </w:rPr>
            </w:pPr>
            <w:r>
              <w:rPr>
                <w:rFonts w:ascii="宋体" w:hAnsi="宋体"/>
                <w:b/>
                <w:bCs/>
                <w:szCs w:val="21"/>
              </w:rPr>
              <w:t>小计</w:t>
            </w: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jc w:val="center"/>
              <w:rPr>
                <w:rFonts w:ascii="宋体" w:hAnsi="宋体"/>
                <w:szCs w:val="21"/>
              </w:rPr>
            </w:pPr>
            <w:r>
              <w:rPr>
                <w:rFonts w:ascii="宋体" w:hAnsi="宋体"/>
                <w:szCs w:val="21"/>
              </w:rPr>
              <w:t>-</w:t>
            </w: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jc w:val="center"/>
              <w:rPr>
                <w:rFonts w:ascii="宋体" w:hAnsi="宋体"/>
                <w:szCs w:val="21"/>
              </w:rPr>
            </w:pPr>
            <w:r>
              <w:rPr>
                <w:rFonts w:ascii="宋体" w:hAnsi="宋体"/>
                <w:szCs w:val="21"/>
              </w:rPr>
              <w:t>-</w:t>
            </w:r>
          </w:p>
        </w:tc>
        <w:tc>
          <w:tcPr>
            <w:tcW w:w="1419" w:type="dxa"/>
            <w:tcBorders>
              <w:top w:val="single" w:color="auto" w:sz="4" w:space="0"/>
              <w:left w:val="nil"/>
              <w:bottom w:val="single" w:color="auto" w:sz="4" w:space="0"/>
              <w:right w:val="single" w:color="auto" w:sz="4" w:space="0"/>
            </w:tcBorders>
            <w:vAlign w:val="bottom"/>
          </w:tcPr>
          <w:p>
            <w:pPr>
              <w:jc w:val="center"/>
              <w:rPr>
                <w:rFonts w:ascii="宋体" w:hAnsi="宋体"/>
                <w:szCs w:val="21"/>
              </w:rPr>
            </w:pPr>
            <w:r>
              <w:rPr>
                <w:rFonts w:ascii="宋体" w:hAnsi="宋体"/>
                <w:szCs w:val="21"/>
              </w:rPr>
              <w:t>-</w:t>
            </w: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jc w:val="center"/>
              <w:rPr>
                <w:rFonts w:ascii="宋体" w:hAnsi="宋体"/>
                <w:szCs w:val="21"/>
              </w:rPr>
            </w:pPr>
            <w:r>
              <w:rPr>
                <w:rFonts w:ascii="宋体" w:hAnsi="宋体"/>
                <w:szCs w:val="21"/>
              </w:rPr>
              <w:t>-</w:t>
            </w:r>
          </w:p>
        </w:tc>
      </w:tr>
      <w:tr>
        <w:tblPrEx>
          <w:tblCellMar>
            <w:top w:w="0" w:type="dxa"/>
            <w:left w:w="0" w:type="dxa"/>
            <w:bottom w:w="0" w:type="dxa"/>
            <w:right w:w="0" w:type="dxa"/>
          </w:tblCellMar>
        </w:tblPrEx>
        <w:trPr>
          <w:trHeight w:val="285" w:hRule="atLeast"/>
        </w:trPr>
        <w:tc>
          <w:tcPr>
            <w:tcW w:w="2380" w:type="dxa"/>
            <w:tcBorders>
              <w:top w:val="nil"/>
              <w:left w:val="single" w:color="auto" w:sz="8" w:space="0"/>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bCs/>
                <w:szCs w:val="21"/>
              </w:rPr>
            </w:pPr>
            <w:r>
              <w:rPr>
                <w:rFonts w:hint="eastAsia" w:ascii="宋体" w:hAnsi="宋体"/>
                <w:bCs/>
                <w:szCs w:val="21"/>
              </w:rPr>
              <w:t>其他关联方及附属企业</w:t>
            </w: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p>
        </w:tc>
        <w:tc>
          <w:tcPr>
            <w:tcW w:w="1419" w:type="dxa"/>
            <w:tcBorders>
              <w:top w:val="single" w:color="auto" w:sz="4" w:space="0"/>
              <w:left w:val="nil"/>
              <w:bottom w:val="single" w:color="auto" w:sz="4" w:space="0"/>
              <w:right w:val="single" w:color="auto" w:sz="4" w:space="0"/>
            </w:tcBorders>
            <w:vAlign w:val="bottom"/>
          </w:tcPr>
          <w:p>
            <w:pPr>
              <w:jc w:val="center"/>
              <w:rPr>
                <w:rFonts w:ascii="宋体" w:hAnsi="宋体"/>
                <w:szCs w:val="21"/>
              </w:rPr>
            </w:pP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850"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p>
        </w:tc>
        <w:tc>
          <w:tcPr>
            <w:tcW w:w="1419" w:type="dxa"/>
            <w:tcBorders>
              <w:top w:val="nil"/>
              <w:left w:val="nil"/>
              <w:bottom w:val="single" w:color="auto" w:sz="4" w:space="0"/>
              <w:right w:val="single" w:color="auto" w:sz="8" w:space="0"/>
            </w:tcBorders>
            <w:tcMar>
              <w:top w:w="15" w:type="dxa"/>
              <w:left w:w="15" w:type="dxa"/>
              <w:bottom w:w="0" w:type="dxa"/>
              <w:right w:w="15" w:type="dxa"/>
            </w:tcMar>
            <w:vAlign w:val="center"/>
          </w:tcPr>
          <w:p>
            <w:pPr>
              <w:rPr>
                <w:rFonts w:ascii="宋体" w:hAnsi="宋体"/>
                <w:szCs w:val="21"/>
              </w:rPr>
            </w:pPr>
            <w:r>
              <w:rPr>
                <w:rFonts w:ascii="宋体" w:hAnsi="宋体"/>
                <w:szCs w:val="21"/>
              </w:rPr>
              <w:t>非经营性占用</w:t>
            </w:r>
          </w:p>
        </w:tc>
      </w:tr>
      <w:tr>
        <w:tblPrEx>
          <w:tblCellMar>
            <w:top w:w="0" w:type="dxa"/>
            <w:left w:w="0" w:type="dxa"/>
            <w:bottom w:w="0" w:type="dxa"/>
            <w:right w:w="0" w:type="dxa"/>
          </w:tblCellMar>
        </w:tblPrEx>
        <w:trPr>
          <w:trHeight w:val="285" w:hRule="atLeast"/>
        </w:trPr>
        <w:tc>
          <w:tcPr>
            <w:tcW w:w="2380" w:type="dxa"/>
            <w:tcBorders>
              <w:top w:val="nil"/>
              <w:left w:val="single" w:color="auto" w:sz="8" w:space="0"/>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b/>
                <w:bCs/>
                <w:szCs w:val="21"/>
              </w:rPr>
            </w:pPr>
            <w:r>
              <w:rPr>
                <w:rFonts w:hint="eastAsia" w:ascii="宋体" w:hAnsi="宋体"/>
                <w:b/>
                <w:bCs/>
                <w:szCs w:val="21"/>
              </w:rPr>
              <w:t>小计</w:t>
            </w: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p>
        </w:tc>
        <w:tc>
          <w:tcPr>
            <w:tcW w:w="1419" w:type="dxa"/>
            <w:tcBorders>
              <w:top w:val="single" w:color="auto" w:sz="4" w:space="0"/>
              <w:left w:val="nil"/>
              <w:bottom w:val="single" w:color="auto" w:sz="4" w:space="0"/>
              <w:right w:val="single" w:color="auto" w:sz="4" w:space="0"/>
            </w:tcBorders>
            <w:vAlign w:val="bottom"/>
          </w:tcPr>
          <w:p>
            <w:pPr>
              <w:jc w:val="center"/>
              <w:rPr>
                <w:rFonts w:ascii="宋体" w:hAnsi="宋体"/>
                <w:szCs w:val="21"/>
              </w:rPr>
            </w:pP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p>
        </w:tc>
        <w:tc>
          <w:tcPr>
            <w:tcW w:w="850"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p>
        </w:tc>
        <w:tc>
          <w:tcPr>
            <w:tcW w:w="1419" w:type="dxa"/>
            <w:tcBorders>
              <w:top w:val="nil"/>
              <w:left w:val="nil"/>
              <w:bottom w:val="single" w:color="auto" w:sz="4" w:space="0"/>
              <w:right w:val="single" w:color="auto" w:sz="8" w:space="0"/>
            </w:tcBorders>
            <w:tcMar>
              <w:top w:w="15" w:type="dxa"/>
              <w:left w:w="15" w:type="dxa"/>
              <w:bottom w:w="0" w:type="dxa"/>
              <w:right w:w="15" w:type="dxa"/>
            </w:tcMar>
            <w:vAlign w:val="bottom"/>
          </w:tcPr>
          <w:p>
            <w:pPr>
              <w:jc w:val="center"/>
              <w:rPr>
                <w:rFonts w:ascii="宋体" w:hAnsi="宋体"/>
                <w:szCs w:val="21"/>
              </w:rPr>
            </w:pPr>
          </w:p>
        </w:tc>
      </w:tr>
      <w:tr>
        <w:tblPrEx>
          <w:tblCellMar>
            <w:top w:w="0" w:type="dxa"/>
            <w:left w:w="0" w:type="dxa"/>
            <w:bottom w:w="0" w:type="dxa"/>
            <w:right w:w="0" w:type="dxa"/>
          </w:tblCellMar>
        </w:tblPrEx>
        <w:trPr>
          <w:trHeight w:val="285" w:hRule="atLeast"/>
        </w:trPr>
        <w:tc>
          <w:tcPr>
            <w:tcW w:w="2380" w:type="dxa"/>
            <w:tcBorders>
              <w:top w:val="nil"/>
              <w:left w:val="single" w:color="auto" w:sz="8" w:space="0"/>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b/>
                <w:bCs/>
                <w:szCs w:val="21"/>
              </w:rPr>
            </w:pPr>
            <w:r>
              <w:rPr>
                <w:rFonts w:ascii="宋体" w:hAnsi="宋体"/>
                <w:b/>
                <w:bCs/>
                <w:szCs w:val="21"/>
              </w:rPr>
              <w:t>总计</w:t>
            </w:r>
          </w:p>
        </w:tc>
        <w:tc>
          <w:tcPr>
            <w:tcW w:w="991"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r>
              <w:rPr>
                <w:rFonts w:ascii="宋体" w:hAnsi="宋体"/>
                <w:szCs w:val="21"/>
              </w:rPr>
              <w:t>-</w:t>
            </w:r>
          </w:p>
        </w:tc>
        <w:tc>
          <w:tcPr>
            <w:tcW w:w="1135"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r>
              <w:rPr>
                <w:rFonts w:ascii="宋体" w:hAnsi="宋体"/>
                <w:szCs w:val="21"/>
              </w:rPr>
              <w:t>-</w:t>
            </w:r>
          </w:p>
        </w:tc>
        <w:tc>
          <w:tcPr>
            <w:tcW w:w="1419" w:type="dxa"/>
            <w:tcBorders>
              <w:top w:val="single" w:color="auto" w:sz="4" w:space="0"/>
              <w:left w:val="nil"/>
              <w:bottom w:val="single" w:color="auto" w:sz="4" w:space="0"/>
              <w:right w:val="single" w:color="auto" w:sz="4" w:space="0"/>
            </w:tcBorders>
            <w:vAlign w:val="bottom"/>
          </w:tcPr>
          <w:p>
            <w:pPr>
              <w:jc w:val="center"/>
              <w:rPr>
                <w:rFonts w:ascii="宋体" w:hAnsi="宋体"/>
                <w:szCs w:val="21"/>
              </w:rPr>
            </w:pPr>
            <w:r>
              <w:rPr>
                <w:rFonts w:ascii="宋体" w:hAnsi="宋体"/>
                <w:szCs w:val="21"/>
              </w:rPr>
              <w:t>-</w:t>
            </w:r>
          </w:p>
        </w:tc>
        <w:tc>
          <w:tcPr>
            <w:tcW w:w="1135"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00" w:type="dxa"/>
            <w:tcBorders>
              <w:top w:val="nil"/>
              <w:left w:val="nil"/>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77" w:type="dxa"/>
            <w:tcBorders>
              <w:top w:val="nil"/>
              <w:left w:val="single" w:color="auto" w:sz="4" w:space="0"/>
              <w:bottom w:val="single" w:color="auto" w:sz="4"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850" w:type="dxa"/>
            <w:tcBorders>
              <w:top w:val="nil"/>
              <w:left w:val="nil"/>
              <w:bottom w:val="single" w:color="auto" w:sz="4" w:space="0"/>
              <w:right w:val="single" w:color="auto" w:sz="4" w:space="0"/>
            </w:tcBorders>
            <w:tcMar>
              <w:top w:w="15" w:type="dxa"/>
              <w:left w:w="15" w:type="dxa"/>
              <w:bottom w:w="0" w:type="dxa"/>
              <w:right w:w="15" w:type="dxa"/>
            </w:tcMar>
            <w:vAlign w:val="bottom"/>
          </w:tcPr>
          <w:p>
            <w:pPr>
              <w:jc w:val="center"/>
              <w:rPr>
                <w:rFonts w:ascii="宋体" w:hAnsi="宋体"/>
                <w:szCs w:val="21"/>
              </w:rPr>
            </w:pPr>
            <w:r>
              <w:rPr>
                <w:rFonts w:ascii="宋体" w:hAnsi="宋体"/>
                <w:szCs w:val="21"/>
              </w:rPr>
              <w:t>　</w:t>
            </w:r>
          </w:p>
        </w:tc>
        <w:tc>
          <w:tcPr>
            <w:tcW w:w="1419" w:type="dxa"/>
            <w:tcBorders>
              <w:top w:val="nil"/>
              <w:left w:val="nil"/>
              <w:bottom w:val="single" w:color="auto" w:sz="4" w:space="0"/>
              <w:right w:val="single" w:color="auto" w:sz="8" w:space="0"/>
            </w:tcBorders>
            <w:tcMar>
              <w:top w:w="15" w:type="dxa"/>
              <w:left w:w="15" w:type="dxa"/>
              <w:bottom w:w="0" w:type="dxa"/>
              <w:right w:w="15" w:type="dxa"/>
            </w:tcMar>
            <w:vAlign w:val="bottom"/>
          </w:tcPr>
          <w:p>
            <w:pPr>
              <w:jc w:val="center"/>
              <w:rPr>
                <w:rFonts w:ascii="宋体" w:hAnsi="宋体"/>
                <w:szCs w:val="21"/>
              </w:rPr>
            </w:pPr>
            <w:r>
              <w:rPr>
                <w:rFonts w:ascii="宋体" w:hAnsi="宋体"/>
                <w:szCs w:val="21"/>
              </w:rPr>
              <w:t>-</w:t>
            </w:r>
          </w:p>
        </w:tc>
      </w:tr>
      <w:tr>
        <w:tblPrEx>
          <w:tblCellMar>
            <w:top w:w="0" w:type="dxa"/>
            <w:left w:w="0" w:type="dxa"/>
            <w:bottom w:w="0" w:type="dxa"/>
            <w:right w:w="0" w:type="dxa"/>
          </w:tblCellMar>
        </w:tblPrEx>
        <w:trPr>
          <w:trHeight w:val="855" w:hRule="atLeast"/>
        </w:trPr>
        <w:tc>
          <w:tcPr>
            <w:tcW w:w="2380" w:type="dxa"/>
            <w:tcBorders>
              <w:top w:val="single" w:color="auto" w:sz="8" w:space="0"/>
              <w:left w:val="single" w:color="auto" w:sz="8"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其它关联资金往来</w:t>
            </w:r>
          </w:p>
        </w:tc>
        <w:tc>
          <w:tcPr>
            <w:tcW w:w="991"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资金往来方名称</w:t>
            </w:r>
          </w:p>
        </w:tc>
        <w:tc>
          <w:tcPr>
            <w:tcW w:w="1135"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往来方与上市公司的关联关系</w:t>
            </w:r>
          </w:p>
        </w:tc>
        <w:tc>
          <w:tcPr>
            <w:tcW w:w="1419" w:type="dxa"/>
            <w:tcBorders>
              <w:top w:val="single" w:color="auto" w:sz="8" w:space="0"/>
              <w:left w:val="nil"/>
              <w:bottom w:val="single" w:color="auto" w:sz="4" w:space="0"/>
              <w:right w:val="single" w:color="auto" w:sz="4" w:space="0"/>
            </w:tcBorders>
            <w:vAlign w:val="center"/>
          </w:tcPr>
          <w:p>
            <w:pPr>
              <w:jc w:val="center"/>
              <w:rPr>
                <w:rFonts w:ascii="宋体" w:hAnsi="宋体"/>
                <w:b/>
                <w:szCs w:val="21"/>
              </w:rPr>
            </w:pPr>
            <w:r>
              <w:rPr>
                <w:rFonts w:ascii="宋体" w:hAnsi="宋体"/>
                <w:b/>
                <w:szCs w:val="21"/>
              </w:rPr>
              <w:t>上市公司核算的会计科目</w:t>
            </w:r>
          </w:p>
        </w:tc>
        <w:tc>
          <w:tcPr>
            <w:tcW w:w="1135" w:type="dxa"/>
            <w:tcBorders>
              <w:top w:val="single" w:color="auto" w:sz="8"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20XX年期初往来资金余额</w:t>
            </w:r>
          </w:p>
        </w:tc>
        <w:tc>
          <w:tcPr>
            <w:tcW w:w="1400"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20XX年度往来累计发生金额（不含利息）</w:t>
            </w:r>
          </w:p>
        </w:tc>
        <w:tc>
          <w:tcPr>
            <w:tcW w:w="1295" w:type="dxa"/>
            <w:tcBorders>
              <w:top w:val="single" w:color="auto" w:sz="8" w:space="0"/>
              <w:left w:val="nil"/>
              <w:bottom w:val="single" w:color="auto" w:sz="4" w:space="0"/>
              <w:right w:val="single" w:color="auto" w:sz="4" w:space="0"/>
            </w:tcBorders>
            <w:vAlign w:val="center"/>
          </w:tcPr>
          <w:p>
            <w:pPr>
              <w:jc w:val="center"/>
              <w:rPr>
                <w:rFonts w:ascii="宋体" w:hAnsi="宋体"/>
                <w:b/>
                <w:szCs w:val="21"/>
              </w:rPr>
            </w:pPr>
            <w:r>
              <w:rPr>
                <w:rFonts w:ascii="宋体" w:hAnsi="宋体"/>
                <w:b/>
                <w:szCs w:val="21"/>
              </w:rPr>
              <w:t>20XX年度往来资金的利息（如有）</w:t>
            </w:r>
          </w:p>
        </w:tc>
        <w:tc>
          <w:tcPr>
            <w:tcW w:w="1277" w:type="dxa"/>
            <w:tcBorders>
              <w:top w:val="single" w:color="auto" w:sz="8"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20XX年度偿还累计发生金额</w:t>
            </w:r>
          </w:p>
        </w:tc>
        <w:tc>
          <w:tcPr>
            <w:tcW w:w="1277" w:type="dxa"/>
            <w:tcBorders>
              <w:top w:val="single" w:color="auto" w:sz="8" w:space="0"/>
              <w:left w:val="single" w:color="auto" w:sz="4" w:space="0"/>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20XX年期末往来资金余额</w:t>
            </w:r>
          </w:p>
        </w:tc>
        <w:tc>
          <w:tcPr>
            <w:tcW w:w="850" w:type="dxa"/>
            <w:tcBorders>
              <w:top w:val="single" w:color="auto" w:sz="8" w:space="0"/>
              <w:left w:val="nil"/>
              <w:bottom w:val="single" w:color="auto" w:sz="4" w:space="0"/>
              <w:right w:val="single" w:color="auto" w:sz="4"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往来形成原因</w:t>
            </w:r>
          </w:p>
        </w:tc>
        <w:tc>
          <w:tcPr>
            <w:tcW w:w="1419" w:type="dxa"/>
            <w:tcBorders>
              <w:top w:val="single" w:color="auto" w:sz="8" w:space="0"/>
              <w:left w:val="nil"/>
              <w:bottom w:val="single" w:color="auto" w:sz="4" w:space="0"/>
              <w:right w:val="single" w:color="auto" w:sz="8" w:space="0"/>
            </w:tcBorders>
            <w:tcMar>
              <w:top w:w="15" w:type="dxa"/>
              <w:left w:w="15" w:type="dxa"/>
              <w:bottom w:w="0" w:type="dxa"/>
              <w:right w:w="15" w:type="dxa"/>
            </w:tcMar>
            <w:vAlign w:val="center"/>
          </w:tcPr>
          <w:p>
            <w:pPr>
              <w:jc w:val="center"/>
              <w:rPr>
                <w:rFonts w:ascii="宋体" w:hAnsi="宋体"/>
                <w:b/>
                <w:szCs w:val="21"/>
              </w:rPr>
            </w:pPr>
            <w:r>
              <w:rPr>
                <w:rFonts w:ascii="宋体" w:hAnsi="宋体"/>
                <w:b/>
                <w:szCs w:val="21"/>
              </w:rPr>
              <w:t>往来性质</w:t>
            </w:r>
          </w:p>
          <w:p>
            <w:pPr>
              <w:jc w:val="center"/>
              <w:rPr>
                <w:rFonts w:ascii="宋体" w:hAnsi="宋体"/>
                <w:b/>
                <w:szCs w:val="21"/>
              </w:rPr>
            </w:pPr>
            <w:r>
              <w:rPr>
                <w:rFonts w:hint="eastAsia" w:ascii="宋体" w:hAnsi="宋体"/>
                <w:b/>
                <w:szCs w:val="21"/>
              </w:rPr>
              <w:t>（经营性往来、非经营性往来）</w:t>
            </w:r>
          </w:p>
        </w:tc>
      </w:tr>
      <w:tr>
        <w:tblPrEx>
          <w:tblCellMar>
            <w:top w:w="0" w:type="dxa"/>
            <w:left w:w="0" w:type="dxa"/>
            <w:bottom w:w="0" w:type="dxa"/>
            <w:right w:w="0" w:type="dxa"/>
          </w:tblCellMar>
        </w:tblPrEx>
        <w:trPr>
          <w:cantSplit/>
          <w:trHeight w:val="285" w:hRule="atLeast"/>
        </w:trPr>
        <w:tc>
          <w:tcPr>
            <w:tcW w:w="2380" w:type="dxa"/>
            <w:vMerge w:val="restart"/>
            <w:tcBorders>
              <w:top w:val="single" w:color="auto" w:sz="4" w:space="0"/>
              <w:left w:val="single" w:color="auto" w:sz="8" w:space="0"/>
              <w:bottom w:val="single" w:color="auto" w:sz="4" w:space="0"/>
              <w:right w:val="single" w:color="auto" w:sz="4" w:space="0"/>
            </w:tcBorders>
            <w:tcMar>
              <w:top w:w="15" w:type="dxa"/>
              <w:left w:w="15" w:type="dxa"/>
              <w:bottom w:w="0" w:type="dxa"/>
              <w:right w:w="15" w:type="dxa"/>
            </w:tcMar>
            <w:vAlign w:val="center"/>
          </w:tcPr>
          <w:p>
            <w:pPr>
              <w:rPr>
                <w:rFonts w:ascii="宋体" w:hAnsi="宋体"/>
                <w:szCs w:val="21"/>
              </w:rPr>
            </w:pPr>
            <w:r>
              <w:rPr>
                <w:rFonts w:hint="eastAsia" w:ascii="宋体" w:hAnsi="宋体"/>
                <w:szCs w:val="21"/>
              </w:rPr>
              <w:t>控股股东、实际控制人</w:t>
            </w:r>
            <w:r>
              <w:rPr>
                <w:rFonts w:ascii="宋体" w:hAnsi="宋体"/>
                <w:szCs w:val="21"/>
              </w:rPr>
              <w:t>及其附属企业</w:t>
            </w: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419" w:type="dxa"/>
            <w:tcBorders>
              <w:top w:val="single" w:color="auto" w:sz="4" w:space="0"/>
              <w:left w:val="nil"/>
              <w:bottom w:val="single" w:color="auto" w:sz="4" w:space="0"/>
              <w:right w:val="single" w:color="auto" w:sz="4" w:space="0"/>
            </w:tcBorders>
            <w:vAlign w:val="bottom"/>
          </w:tcPr>
          <w:p>
            <w:pPr>
              <w:rPr>
                <w:rFonts w:ascii="宋体" w:hAnsi="宋体"/>
                <w:szCs w:val="21"/>
              </w:rPr>
            </w:pP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rPr>
                <w:rFonts w:ascii="宋体" w:hAnsi="宋体"/>
                <w:szCs w:val="21"/>
              </w:rPr>
            </w:pPr>
          </w:p>
        </w:tc>
      </w:tr>
      <w:tr>
        <w:tblPrEx>
          <w:tblCellMar>
            <w:top w:w="0" w:type="dxa"/>
            <w:left w:w="0" w:type="dxa"/>
            <w:bottom w:w="0" w:type="dxa"/>
            <w:right w:w="0" w:type="dxa"/>
          </w:tblCellMar>
        </w:tblPrEx>
        <w:trPr>
          <w:cantSplit/>
          <w:trHeight w:val="285" w:hRule="atLeast"/>
        </w:trPr>
        <w:tc>
          <w:tcPr>
            <w:tcW w:w="2380"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宋体" w:hAnsi="宋体"/>
                <w:szCs w:val="21"/>
              </w:rPr>
            </w:pP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419" w:type="dxa"/>
            <w:tcBorders>
              <w:top w:val="single" w:color="auto" w:sz="4" w:space="0"/>
              <w:left w:val="nil"/>
              <w:bottom w:val="single" w:color="auto" w:sz="4" w:space="0"/>
              <w:right w:val="single" w:color="auto" w:sz="4" w:space="0"/>
            </w:tcBorders>
            <w:vAlign w:val="bottom"/>
          </w:tcPr>
          <w:p>
            <w:pPr>
              <w:rPr>
                <w:rFonts w:ascii="宋体" w:hAnsi="宋体"/>
                <w:szCs w:val="21"/>
              </w:rPr>
            </w:pP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rPr>
                <w:rFonts w:ascii="宋体" w:hAnsi="宋体"/>
                <w:szCs w:val="21"/>
              </w:rPr>
            </w:pPr>
          </w:p>
        </w:tc>
      </w:tr>
      <w:tr>
        <w:tblPrEx>
          <w:tblCellMar>
            <w:top w:w="0" w:type="dxa"/>
            <w:left w:w="0" w:type="dxa"/>
            <w:bottom w:w="0" w:type="dxa"/>
            <w:right w:w="0" w:type="dxa"/>
          </w:tblCellMar>
        </w:tblPrEx>
        <w:trPr>
          <w:cantSplit/>
          <w:trHeight w:val="285" w:hRule="atLeast"/>
        </w:trPr>
        <w:tc>
          <w:tcPr>
            <w:tcW w:w="2380" w:type="dxa"/>
            <w:vMerge w:val="restart"/>
            <w:tcBorders>
              <w:top w:val="nil"/>
              <w:left w:val="single" w:color="auto" w:sz="8" w:space="0"/>
              <w:bottom w:val="single" w:color="auto" w:sz="4" w:space="0"/>
              <w:right w:val="single" w:color="auto" w:sz="4" w:space="0"/>
            </w:tcBorders>
            <w:tcMar>
              <w:top w:w="15" w:type="dxa"/>
              <w:left w:w="15" w:type="dxa"/>
              <w:bottom w:w="0" w:type="dxa"/>
              <w:right w:w="15" w:type="dxa"/>
            </w:tcMar>
            <w:vAlign w:val="center"/>
          </w:tcPr>
          <w:p>
            <w:pPr>
              <w:rPr>
                <w:rFonts w:ascii="宋体" w:hAnsi="宋体"/>
                <w:szCs w:val="21"/>
              </w:rPr>
            </w:pPr>
            <w:r>
              <w:rPr>
                <w:rFonts w:ascii="宋体" w:hAnsi="宋体"/>
                <w:szCs w:val="21"/>
              </w:rPr>
              <w:t>上市公司的子公司及其附属企业</w:t>
            </w: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19" w:type="dxa"/>
            <w:tcBorders>
              <w:top w:val="single" w:color="auto" w:sz="4" w:space="0"/>
              <w:left w:val="nil"/>
              <w:bottom w:val="single" w:color="auto" w:sz="4" w:space="0"/>
              <w:right w:val="single" w:color="auto" w:sz="4" w:space="0"/>
            </w:tcBorders>
            <w:vAlign w:val="bottom"/>
          </w:tcPr>
          <w:p>
            <w:pPr>
              <w:rPr>
                <w:rFonts w:ascii="宋体" w:hAnsi="宋体"/>
                <w:szCs w:val="21"/>
              </w:rPr>
            </w:pPr>
            <w:r>
              <w:rPr>
                <w:rFonts w:ascii="宋体" w:hAnsi="宋体"/>
                <w:szCs w:val="21"/>
              </w:rPr>
              <w:t>　</w:t>
            </w: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rPr>
                <w:rFonts w:ascii="宋体" w:hAnsi="宋体"/>
                <w:szCs w:val="21"/>
              </w:rPr>
            </w:pPr>
          </w:p>
        </w:tc>
      </w:tr>
      <w:tr>
        <w:tblPrEx>
          <w:tblCellMar>
            <w:top w:w="0" w:type="dxa"/>
            <w:left w:w="0" w:type="dxa"/>
            <w:bottom w:w="0" w:type="dxa"/>
            <w:right w:w="0" w:type="dxa"/>
          </w:tblCellMar>
        </w:tblPrEx>
        <w:trPr>
          <w:cantSplit/>
          <w:trHeight w:val="285" w:hRule="atLeast"/>
        </w:trPr>
        <w:tc>
          <w:tcPr>
            <w:tcW w:w="2380" w:type="dxa"/>
            <w:vMerge w:val="continue"/>
            <w:tcBorders>
              <w:top w:val="nil"/>
              <w:left w:val="single" w:color="auto" w:sz="8" w:space="0"/>
              <w:bottom w:val="single" w:color="auto" w:sz="4" w:space="0"/>
              <w:right w:val="single" w:color="auto" w:sz="4" w:space="0"/>
            </w:tcBorders>
            <w:vAlign w:val="center"/>
          </w:tcPr>
          <w:p>
            <w:pPr>
              <w:widowControl/>
              <w:jc w:val="left"/>
              <w:rPr>
                <w:rFonts w:ascii="宋体" w:hAnsi="宋体"/>
                <w:szCs w:val="21"/>
              </w:rPr>
            </w:pP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19" w:type="dxa"/>
            <w:tcBorders>
              <w:top w:val="single" w:color="auto" w:sz="4" w:space="0"/>
              <w:left w:val="nil"/>
              <w:bottom w:val="single" w:color="auto" w:sz="4" w:space="0"/>
              <w:right w:val="single" w:color="auto" w:sz="4" w:space="0"/>
            </w:tcBorders>
            <w:vAlign w:val="bottom"/>
          </w:tcPr>
          <w:p>
            <w:pPr>
              <w:rPr>
                <w:rFonts w:ascii="宋体" w:hAnsi="宋体"/>
                <w:szCs w:val="21"/>
              </w:rPr>
            </w:pPr>
            <w:r>
              <w:rPr>
                <w:rFonts w:ascii="宋体" w:hAnsi="宋体"/>
                <w:szCs w:val="21"/>
              </w:rPr>
              <w:t>　</w:t>
            </w: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rPr>
                <w:rFonts w:ascii="宋体" w:hAnsi="宋体"/>
                <w:szCs w:val="21"/>
              </w:rPr>
            </w:pPr>
          </w:p>
        </w:tc>
      </w:tr>
      <w:tr>
        <w:tblPrEx>
          <w:tblCellMar>
            <w:top w:w="0" w:type="dxa"/>
            <w:left w:w="0" w:type="dxa"/>
            <w:bottom w:w="0" w:type="dxa"/>
            <w:right w:w="0" w:type="dxa"/>
          </w:tblCellMar>
        </w:tblPrEx>
        <w:trPr>
          <w:cantSplit/>
          <w:trHeight w:val="285" w:hRule="atLeast"/>
        </w:trPr>
        <w:tc>
          <w:tcPr>
            <w:tcW w:w="2380" w:type="dxa"/>
            <w:vMerge w:val="restart"/>
            <w:tcBorders>
              <w:top w:val="nil"/>
              <w:left w:val="single" w:color="auto" w:sz="8" w:space="0"/>
              <w:bottom w:val="single" w:color="auto" w:sz="4" w:space="0"/>
              <w:right w:val="single" w:color="auto" w:sz="4" w:space="0"/>
            </w:tcBorders>
            <w:tcMar>
              <w:top w:w="15" w:type="dxa"/>
              <w:left w:w="15" w:type="dxa"/>
              <w:bottom w:w="0" w:type="dxa"/>
              <w:right w:w="15" w:type="dxa"/>
            </w:tcMar>
          </w:tcPr>
          <w:p>
            <w:pPr>
              <w:rPr>
                <w:rFonts w:ascii="宋体" w:hAnsi="宋体"/>
                <w:szCs w:val="21"/>
              </w:rPr>
            </w:pPr>
            <w:r>
              <w:rPr>
                <w:rFonts w:ascii="宋体" w:hAnsi="宋体"/>
                <w:szCs w:val="21"/>
              </w:rPr>
              <w:t>其他关联</w:t>
            </w:r>
            <w:r>
              <w:rPr>
                <w:rFonts w:hint="eastAsia" w:ascii="宋体" w:hAnsi="宋体"/>
                <w:szCs w:val="21"/>
              </w:rPr>
              <w:t>方</w:t>
            </w:r>
            <w:r>
              <w:rPr>
                <w:rFonts w:ascii="宋体" w:hAnsi="宋体"/>
                <w:szCs w:val="21"/>
              </w:rPr>
              <w:t>及其附属企业</w:t>
            </w: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19" w:type="dxa"/>
            <w:tcBorders>
              <w:top w:val="single" w:color="auto" w:sz="4" w:space="0"/>
              <w:left w:val="nil"/>
              <w:bottom w:val="single" w:color="auto" w:sz="4" w:space="0"/>
              <w:right w:val="single" w:color="auto" w:sz="4" w:space="0"/>
            </w:tcBorders>
            <w:vAlign w:val="bottom"/>
          </w:tcPr>
          <w:p>
            <w:pPr>
              <w:rPr>
                <w:rFonts w:ascii="宋体" w:hAnsi="宋体"/>
                <w:szCs w:val="21"/>
              </w:rPr>
            </w:pPr>
            <w:r>
              <w:rPr>
                <w:rFonts w:ascii="宋体" w:hAnsi="宋体"/>
                <w:szCs w:val="21"/>
              </w:rPr>
              <w:t>　</w:t>
            </w: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rPr>
                <w:rFonts w:ascii="宋体" w:hAnsi="宋体"/>
                <w:szCs w:val="21"/>
              </w:rPr>
            </w:pPr>
          </w:p>
        </w:tc>
      </w:tr>
      <w:tr>
        <w:tblPrEx>
          <w:tblCellMar>
            <w:top w:w="0" w:type="dxa"/>
            <w:left w:w="0" w:type="dxa"/>
            <w:bottom w:w="0" w:type="dxa"/>
            <w:right w:w="0" w:type="dxa"/>
          </w:tblCellMar>
        </w:tblPrEx>
        <w:trPr>
          <w:cantSplit/>
          <w:trHeight w:val="285" w:hRule="atLeast"/>
        </w:trPr>
        <w:tc>
          <w:tcPr>
            <w:tcW w:w="2380" w:type="dxa"/>
            <w:vMerge w:val="continue"/>
            <w:tcBorders>
              <w:top w:val="nil"/>
              <w:left w:val="single" w:color="auto" w:sz="8" w:space="0"/>
              <w:bottom w:val="single" w:color="auto" w:sz="4" w:space="0"/>
              <w:right w:val="single" w:color="auto" w:sz="4" w:space="0"/>
            </w:tcBorders>
            <w:vAlign w:val="center"/>
          </w:tcPr>
          <w:p>
            <w:pPr>
              <w:widowControl/>
              <w:jc w:val="left"/>
              <w:rPr>
                <w:rFonts w:ascii="宋体" w:hAnsi="宋体"/>
                <w:szCs w:val="21"/>
              </w:rPr>
            </w:pPr>
          </w:p>
        </w:tc>
        <w:tc>
          <w:tcPr>
            <w:tcW w:w="991"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135"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19" w:type="dxa"/>
            <w:tcBorders>
              <w:top w:val="single" w:color="auto" w:sz="4" w:space="0"/>
              <w:left w:val="nil"/>
              <w:bottom w:val="single" w:color="auto" w:sz="4" w:space="0"/>
              <w:right w:val="single" w:color="auto" w:sz="4" w:space="0"/>
            </w:tcBorders>
            <w:vAlign w:val="bottom"/>
          </w:tcPr>
          <w:p>
            <w:pPr>
              <w:rPr>
                <w:rFonts w:ascii="宋体" w:hAnsi="宋体"/>
                <w:szCs w:val="21"/>
              </w:rPr>
            </w:pPr>
            <w:r>
              <w:rPr>
                <w:rFonts w:ascii="宋体" w:hAnsi="宋体"/>
                <w:szCs w:val="21"/>
              </w:rPr>
              <w:t>　</w:t>
            </w:r>
          </w:p>
        </w:tc>
        <w:tc>
          <w:tcPr>
            <w:tcW w:w="1135"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0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95" w:type="dxa"/>
            <w:tcBorders>
              <w:top w:val="single" w:color="auto" w:sz="4" w:space="0"/>
              <w:left w:val="nil"/>
              <w:bottom w:val="single" w:color="auto" w:sz="4" w:space="0"/>
              <w:right w:val="single" w:color="auto" w:sz="4" w:space="0"/>
            </w:tcBorders>
          </w:tcPr>
          <w:p>
            <w:pPr>
              <w:rPr>
                <w:rFonts w:ascii="宋体" w:hAnsi="宋体"/>
                <w:szCs w:val="21"/>
              </w:rPr>
            </w:pP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77" w:type="dxa"/>
            <w:tcBorders>
              <w:top w:val="nil"/>
              <w:left w:val="single" w:color="auto" w:sz="4" w:space="0"/>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850" w:type="dxa"/>
            <w:tcBorders>
              <w:top w:val="nil"/>
              <w:left w:val="nil"/>
              <w:bottom w:val="single" w:color="auto" w:sz="4" w:space="0"/>
              <w:right w:val="single" w:color="auto" w:sz="4" w:space="0"/>
            </w:tcBorders>
            <w:noWrap/>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19" w:type="dxa"/>
            <w:tcBorders>
              <w:top w:val="nil"/>
              <w:left w:val="nil"/>
              <w:bottom w:val="single" w:color="auto" w:sz="4" w:space="0"/>
              <w:right w:val="single" w:color="auto" w:sz="8" w:space="0"/>
            </w:tcBorders>
            <w:noWrap/>
            <w:tcMar>
              <w:top w:w="15" w:type="dxa"/>
              <w:left w:w="15" w:type="dxa"/>
              <w:bottom w:w="0" w:type="dxa"/>
              <w:right w:w="15" w:type="dxa"/>
            </w:tcMar>
            <w:vAlign w:val="bottom"/>
          </w:tcPr>
          <w:p>
            <w:pPr>
              <w:rPr>
                <w:rFonts w:ascii="宋体" w:hAnsi="宋体"/>
                <w:szCs w:val="21"/>
              </w:rPr>
            </w:pPr>
          </w:p>
        </w:tc>
      </w:tr>
      <w:tr>
        <w:tblPrEx>
          <w:tblCellMar>
            <w:top w:w="0" w:type="dxa"/>
            <w:left w:w="0" w:type="dxa"/>
            <w:bottom w:w="0" w:type="dxa"/>
            <w:right w:w="0" w:type="dxa"/>
          </w:tblCellMar>
        </w:tblPrEx>
        <w:trPr>
          <w:trHeight w:val="300" w:hRule="atLeast"/>
        </w:trPr>
        <w:tc>
          <w:tcPr>
            <w:tcW w:w="2380" w:type="dxa"/>
            <w:tcBorders>
              <w:top w:val="nil"/>
              <w:left w:val="single" w:color="auto" w:sz="8" w:space="0"/>
              <w:bottom w:val="single" w:color="auto" w:sz="8" w:space="0"/>
              <w:right w:val="single" w:color="auto" w:sz="4" w:space="0"/>
            </w:tcBorders>
            <w:tcMar>
              <w:top w:w="15" w:type="dxa"/>
              <w:left w:w="15" w:type="dxa"/>
              <w:bottom w:w="0" w:type="dxa"/>
              <w:right w:w="15" w:type="dxa"/>
            </w:tcMar>
            <w:vAlign w:val="bottom"/>
          </w:tcPr>
          <w:p>
            <w:pPr>
              <w:jc w:val="center"/>
              <w:rPr>
                <w:rFonts w:ascii="宋体" w:hAnsi="宋体"/>
                <w:b/>
                <w:bCs/>
                <w:szCs w:val="21"/>
              </w:rPr>
            </w:pPr>
            <w:r>
              <w:rPr>
                <w:rFonts w:ascii="宋体" w:hAnsi="宋体"/>
                <w:b/>
                <w:bCs/>
                <w:szCs w:val="21"/>
              </w:rPr>
              <w:t>总计</w:t>
            </w:r>
          </w:p>
        </w:tc>
        <w:tc>
          <w:tcPr>
            <w:tcW w:w="991" w:type="dxa"/>
            <w:tcBorders>
              <w:top w:val="nil"/>
              <w:left w:val="nil"/>
              <w:bottom w:val="single" w:color="auto" w:sz="8" w:space="0"/>
              <w:right w:val="single" w:color="auto" w:sz="4" w:space="0"/>
            </w:tcBorders>
            <w:tcMar>
              <w:top w:w="15" w:type="dxa"/>
              <w:left w:w="15" w:type="dxa"/>
              <w:bottom w:w="0" w:type="dxa"/>
              <w:right w:w="15" w:type="dxa"/>
            </w:tcMar>
            <w:vAlign w:val="bottom"/>
          </w:tcPr>
          <w:p>
            <w:pPr>
              <w:jc w:val="center"/>
              <w:rPr>
                <w:rFonts w:ascii="宋体" w:hAnsi="宋体"/>
                <w:szCs w:val="21"/>
              </w:rPr>
            </w:pPr>
            <w:r>
              <w:rPr>
                <w:rFonts w:ascii="宋体" w:hAnsi="宋体"/>
                <w:szCs w:val="21"/>
              </w:rPr>
              <w:t>-</w:t>
            </w:r>
          </w:p>
        </w:tc>
        <w:tc>
          <w:tcPr>
            <w:tcW w:w="1135" w:type="dxa"/>
            <w:tcBorders>
              <w:top w:val="nil"/>
              <w:left w:val="nil"/>
              <w:bottom w:val="single" w:color="auto" w:sz="8" w:space="0"/>
              <w:right w:val="single" w:color="auto" w:sz="4" w:space="0"/>
            </w:tcBorders>
            <w:tcMar>
              <w:top w:w="15" w:type="dxa"/>
              <w:left w:w="15" w:type="dxa"/>
              <w:bottom w:w="0" w:type="dxa"/>
              <w:right w:w="15" w:type="dxa"/>
            </w:tcMar>
            <w:vAlign w:val="bottom"/>
          </w:tcPr>
          <w:p>
            <w:pPr>
              <w:jc w:val="center"/>
              <w:rPr>
                <w:rFonts w:ascii="宋体" w:hAnsi="宋体"/>
                <w:szCs w:val="21"/>
              </w:rPr>
            </w:pPr>
            <w:r>
              <w:rPr>
                <w:rFonts w:ascii="宋体" w:hAnsi="宋体"/>
                <w:szCs w:val="21"/>
              </w:rPr>
              <w:t>-</w:t>
            </w:r>
          </w:p>
        </w:tc>
        <w:tc>
          <w:tcPr>
            <w:tcW w:w="1419" w:type="dxa"/>
            <w:tcBorders>
              <w:top w:val="single" w:color="auto" w:sz="4" w:space="0"/>
              <w:left w:val="nil"/>
              <w:bottom w:val="single" w:color="auto" w:sz="8" w:space="0"/>
              <w:right w:val="single" w:color="auto" w:sz="4" w:space="0"/>
            </w:tcBorders>
            <w:vAlign w:val="bottom"/>
          </w:tcPr>
          <w:p>
            <w:pPr>
              <w:jc w:val="center"/>
              <w:rPr>
                <w:rFonts w:ascii="宋体" w:hAnsi="宋体"/>
                <w:szCs w:val="21"/>
              </w:rPr>
            </w:pPr>
            <w:r>
              <w:rPr>
                <w:rFonts w:ascii="宋体" w:hAnsi="宋体"/>
                <w:szCs w:val="21"/>
              </w:rPr>
              <w:t>-</w:t>
            </w:r>
          </w:p>
        </w:tc>
        <w:tc>
          <w:tcPr>
            <w:tcW w:w="1135" w:type="dxa"/>
            <w:tcBorders>
              <w:top w:val="nil"/>
              <w:left w:val="single" w:color="auto" w:sz="4" w:space="0"/>
              <w:bottom w:val="single" w:color="auto" w:sz="8"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400" w:type="dxa"/>
            <w:tcBorders>
              <w:top w:val="nil"/>
              <w:left w:val="nil"/>
              <w:bottom w:val="single" w:color="auto" w:sz="8"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95" w:type="dxa"/>
            <w:tcBorders>
              <w:top w:val="single" w:color="auto" w:sz="4" w:space="0"/>
              <w:left w:val="nil"/>
              <w:bottom w:val="single" w:color="auto" w:sz="8" w:space="0"/>
              <w:right w:val="single" w:color="auto" w:sz="4" w:space="0"/>
            </w:tcBorders>
          </w:tcPr>
          <w:p>
            <w:pPr>
              <w:rPr>
                <w:rFonts w:ascii="宋体" w:hAnsi="宋体"/>
                <w:szCs w:val="21"/>
              </w:rPr>
            </w:pPr>
          </w:p>
        </w:tc>
        <w:tc>
          <w:tcPr>
            <w:tcW w:w="1277" w:type="dxa"/>
            <w:tcBorders>
              <w:top w:val="nil"/>
              <w:left w:val="single" w:color="auto" w:sz="4" w:space="0"/>
              <w:bottom w:val="single" w:color="auto" w:sz="8"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1277" w:type="dxa"/>
            <w:tcBorders>
              <w:top w:val="nil"/>
              <w:left w:val="single" w:color="auto" w:sz="4" w:space="0"/>
              <w:bottom w:val="single" w:color="auto" w:sz="8" w:space="0"/>
              <w:right w:val="single" w:color="auto" w:sz="4" w:space="0"/>
            </w:tcBorders>
            <w:tcMar>
              <w:top w:w="15" w:type="dxa"/>
              <w:left w:w="15" w:type="dxa"/>
              <w:bottom w:w="0" w:type="dxa"/>
              <w:right w:w="15" w:type="dxa"/>
            </w:tcMar>
            <w:vAlign w:val="bottom"/>
          </w:tcPr>
          <w:p>
            <w:pPr>
              <w:rPr>
                <w:rFonts w:ascii="宋体" w:hAnsi="宋体"/>
                <w:szCs w:val="21"/>
              </w:rPr>
            </w:pPr>
            <w:r>
              <w:rPr>
                <w:rFonts w:ascii="宋体" w:hAnsi="宋体"/>
                <w:szCs w:val="21"/>
              </w:rPr>
              <w:t>　</w:t>
            </w:r>
          </w:p>
        </w:tc>
        <w:tc>
          <w:tcPr>
            <w:tcW w:w="850" w:type="dxa"/>
            <w:tcBorders>
              <w:top w:val="nil"/>
              <w:left w:val="nil"/>
              <w:bottom w:val="single" w:color="auto" w:sz="8" w:space="0"/>
              <w:right w:val="single" w:color="auto" w:sz="4" w:space="0"/>
            </w:tcBorders>
            <w:tcMar>
              <w:top w:w="15" w:type="dxa"/>
              <w:left w:w="15" w:type="dxa"/>
              <w:bottom w:w="0" w:type="dxa"/>
              <w:right w:w="15" w:type="dxa"/>
            </w:tcMar>
            <w:vAlign w:val="bottom"/>
          </w:tcPr>
          <w:p>
            <w:pPr>
              <w:jc w:val="center"/>
              <w:rPr>
                <w:rFonts w:ascii="宋体" w:hAnsi="宋体"/>
                <w:szCs w:val="21"/>
              </w:rPr>
            </w:pPr>
            <w:r>
              <w:rPr>
                <w:rFonts w:ascii="宋体" w:hAnsi="宋体"/>
                <w:szCs w:val="21"/>
              </w:rPr>
              <w:t>　</w:t>
            </w:r>
          </w:p>
        </w:tc>
        <w:tc>
          <w:tcPr>
            <w:tcW w:w="1419" w:type="dxa"/>
            <w:tcBorders>
              <w:top w:val="nil"/>
              <w:left w:val="nil"/>
              <w:bottom w:val="single" w:color="auto" w:sz="8" w:space="0"/>
              <w:right w:val="single" w:color="auto" w:sz="8" w:space="0"/>
            </w:tcBorders>
            <w:tcMar>
              <w:top w:w="15" w:type="dxa"/>
              <w:left w:w="15" w:type="dxa"/>
              <w:bottom w:w="0" w:type="dxa"/>
              <w:right w:w="15" w:type="dxa"/>
            </w:tcMar>
            <w:vAlign w:val="bottom"/>
          </w:tcPr>
          <w:p>
            <w:pPr>
              <w:jc w:val="center"/>
              <w:rPr>
                <w:rFonts w:ascii="宋体" w:hAnsi="宋体"/>
                <w:szCs w:val="21"/>
              </w:rPr>
            </w:pPr>
            <w:r>
              <w:rPr>
                <w:rFonts w:ascii="宋体" w:hAnsi="宋体"/>
                <w:szCs w:val="21"/>
              </w:rPr>
              <w:t>-</w:t>
            </w:r>
          </w:p>
        </w:tc>
      </w:tr>
    </w:tbl>
    <w:p>
      <w:pPr>
        <w:rPr>
          <w:rFonts w:ascii="宋体" w:hAnsi="宋体"/>
        </w:rPr>
      </w:pPr>
    </w:p>
    <w:p>
      <w:pPr>
        <w:rPr>
          <w:rFonts w:ascii="宋体" w:hAnsi="宋体"/>
        </w:rPr>
      </w:pPr>
      <w:r>
        <w:rPr>
          <w:rFonts w:hint="eastAsia" w:ascii="宋体" w:hAnsi="宋体"/>
        </w:rPr>
        <w:t>注：①表中非经营性占用部分，关联方范围依照《创业板上市规则》确定。②无控股股东、实际控制人的公司，存在第一大股东或第一大股东关联人非经营性占用资金的，也应填写本表非经营性占用部分。</w:t>
      </w:r>
    </w:p>
    <w:p>
      <w:pPr>
        <w:rPr>
          <w:rFonts w:ascii="宋体" w:hAnsi="宋体"/>
        </w:rPr>
      </w:pPr>
      <w:r>
        <w:rPr>
          <w:rFonts w:ascii="宋体" w:hAnsi="宋体"/>
        </w:rPr>
        <w:br w:type="page"/>
      </w:r>
    </w:p>
    <w:p>
      <w:pPr>
        <w:tabs>
          <w:tab w:val="left" w:pos="720"/>
        </w:tabs>
        <w:spacing w:line="560" w:lineRule="exact"/>
        <w:rPr>
          <w:rFonts w:ascii="黑体" w:hAnsi="黑体" w:eastAsia="黑体"/>
          <w:sz w:val="32"/>
          <w:szCs w:val="32"/>
        </w:rPr>
      </w:pPr>
      <w:r>
        <w:rPr>
          <w:rFonts w:ascii="黑体" w:hAnsi="黑体" w:eastAsia="黑体"/>
          <w:sz w:val="32"/>
          <w:szCs w:val="28"/>
        </w:rPr>
        <w:t>附件</w:t>
      </w:r>
      <w:r>
        <w:rPr>
          <w:rFonts w:hint="eastAsia" w:ascii="黑体" w:hAnsi="黑体" w:eastAsia="黑体"/>
          <w:sz w:val="32"/>
          <w:szCs w:val="28"/>
        </w:rPr>
        <w:t>4</w:t>
      </w:r>
    </w:p>
    <w:p>
      <w:pPr>
        <w:tabs>
          <w:tab w:val="left" w:pos="720"/>
        </w:tabs>
        <w:spacing w:line="560" w:lineRule="exact"/>
        <w:rPr>
          <w:rFonts w:ascii="方正小标宋简体" w:hAnsi="黑体" w:eastAsia="方正小标宋简体"/>
          <w:sz w:val="24"/>
          <w:szCs w:val="24"/>
        </w:rPr>
      </w:pPr>
      <w:r>
        <w:rPr>
          <w:rFonts w:eastAsia="方正仿宋简体"/>
          <w:sz w:val="28"/>
          <w:szCs w:val="28"/>
        </w:rPr>
        <w:t xml:space="preserve">  </w:t>
      </w:r>
    </w:p>
    <w:p>
      <w:pPr>
        <w:spacing w:line="56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控股股东及其他关联方非经营性资金占用及清偿情况表</w:t>
      </w:r>
    </w:p>
    <w:p>
      <w:pPr>
        <w:spacing w:line="560" w:lineRule="exact"/>
        <w:jc w:val="center"/>
        <w:rPr>
          <w:rFonts w:ascii="方正小标宋简体" w:hAnsi="黑体" w:eastAsia="方正小标宋简体"/>
          <w:sz w:val="32"/>
          <w:szCs w:val="32"/>
        </w:rPr>
      </w:pPr>
    </w:p>
    <w:tbl>
      <w:tblPr>
        <w:tblStyle w:val="5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80"/>
        <w:gridCol w:w="1080"/>
        <w:gridCol w:w="1260"/>
        <w:gridCol w:w="1440"/>
        <w:gridCol w:w="1620"/>
        <w:gridCol w:w="1620"/>
        <w:gridCol w:w="1620"/>
        <w:gridCol w:w="1440"/>
        <w:gridCol w:w="1440"/>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29" w:hRule="atLeast"/>
          <w:jc w:val="center"/>
        </w:trPr>
        <w:tc>
          <w:tcPr>
            <w:tcW w:w="1980" w:type="dxa"/>
            <w:tcBorders>
              <w:top w:val="single" w:color="auto" w:sz="4" w:space="0"/>
              <w:bottom w:val="single" w:color="auto" w:sz="4" w:space="0"/>
              <w:right w:val="single" w:color="auto" w:sz="4" w:space="0"/>
            </w:tcBorders>
            <w:vAlign w:val="center"/>
          </w:tcPr>
          <w:p>
            <w:pPr>
              <w:jc w:val="center"/>
              <w:rPr>
                <w:rFonts w:ascii="宋体" w:hAnsi="宋体"/>
                <w:b/>
                <w:szCs w:val="21"/>
              </w:rPr>
            </w:pPr>
            <w:r>
              <w:rPr>
                <w:rFonts w:hint="eastAsia" w:ascii="宋体" w:hAnsi="宋体"/>
                <w:b/>
                <w:szCs w:val="21"/>
              </w:rPr>
              <w:t>控股股东或其他关联方名称</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ascii="宋体" w:hAnsi="宋体"/>
                <w:b/>
                <w:szCs w:val="21"/>
              </w:rPr>
              <w:t>占用时间</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ascii="宋体" w:hAnsi="宋体"/>
                <w:b/>
                <w:szCs w:val="21"/>
              </w:rPr>
              <w:t>发生原因</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ascii="宋体" w:hAnsi="宋体"/>
                <w:b/>
                <w:szCs w:val="21"/>
              </w:rPr>
              <w:t>期初余额</w:t>
            </w:r>
          </w:p>
          <w:p>
            <w:pPr>
              <w:jc w:val="center"/>
              <w:rPr>
                <w:rFonts w:ascii="宋体" w:hAnsi="宋体"/>
                <w:b/>
                <w:szCs w:val="21"/>
              </w:rPr>
            </w:pPr>
            <w:r>
              <w:rPr>
                <w:rFonts w:hint="eastAsia" w:ascii="宋体" w:hAnsi="宋体"/>
                <w:b/>
                <w:szCs w:val="21"/>
              </w:rPr>
              <w:t>（20XX年1月1日）</w:t>
            </w:r>
          </w:p>
          <w:p>
            <w:pPr>
              <w:jc w:val="center"/>
              <w:rPr>
                <w:rFonts w:ascii="宋体" w:hAnsi="宋体"/>
                <w:b/>
                <w:szCs w:val="21"/>
              </w:rPr>
            </w:pPr>
            <w:r>
              <w:rPr>
                <w:rFonts w:ascii="宋体" w:hAnsi="宋体"/>
                <w:b/>
                <w:szCs w:val="21"/>
              </w:rPr>
              <w:t>（万元）</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ascii="宋体" w:hAnsi="宋体"/>
                <w:b/>
                <w:szCs w:val="21"/>
              </w:rPr>
              <w:t>报告期</w:t>
            </w:r>
          </w:p>
          <w:p>
            <w:pPr>
              <w:jc w:val="center"/>
              <w:rPr>
                <w:rFonts w:ascii="宋体" w:hAnsi="宋体"/>
                <w:b/>
                <w:szCs w:val="21"/>
              </w:rPr>
            </w:pPr>
            <w:r>
              <w:rPr>
                <w:rFonts w:ascii="宋体" w:hAnsi="宋体"/>
                <w:b/>
                <w:szCs w:val="21"/>
              </w:rPr>
              <w:t>新增占用金额</w:t>
            </w:r>
          </w:p>
          <w:p>
            <w:pPr>
              <w:jc w:val="center"/>
              <w:rPr>
                <w:rFonts w:ascii="宋体" w:hAnsi="宋体"/>
                <w:b/>
                <w:szCs w:val="21"/>
              </w:rPr>
            </w:pPr>
            <w:r>
              <w:rPr>
                <w:rFonts w:hint="eastAsia" w:ascii="宋体" w:hAnsi="宋体"/>
                <w:b/>
                <w:szCs w:val="21"/>
              </w:rPr>
              <w:t>（20XX年度）</w:t>
            </w:r>
          </w:p>
          <w:p>
            <w:pPr>
              <w:ind w:firstLine="207" w:firstLineChars="98"/>
              <w:jc w:val="center"/>
              <w:rPr>
                <w:rFonts w:ascii="宋体" w:hAnsi="宋体"/>
                <w:b/>
                <w:szCs w:val="21"/>
              </w:rPr>
            </w:pPr>
            <w:r>
              <w:rPr>
                <w:rFonts w:ascii="宋体" w:hAnsi="宋体"/>
                <w:b/>
                <w:szCs w:val="21"/>
              </w:rPr>
              <w:t>（万元）</w:t>
            </w:r>
          </w:p>
        </w:tc>
        <w:tc>
          <w:tcPr>
            <w:tcW w:w="1620" w:type="dxa"/>
            <w:tcBorders>
              <w:top w:val="single" w:color="auto" w:sz="4" w:space="0"/>
              <w:left w:val="single" w:color="auto" w:sz="4" w:space="0"/>
              <w:bottom w:val="single" w:color="auto" w:sz="4" w:space="0"/>
              <w:right w:val="single" w:color="auto" w:sz="4" w:space="0"/>
            </w:tcBorders>
            <w:vAlign w:val="center"/>
          </w:tcPr>
          <w:p>
            <w:pPr>
              <w:ind w:firstLine="207" w:firstLineChars="98"/>
              <w:jc w:val="center"/>
              <w:rPr>
                <w:rFonts w:ascii="宋体" w:hAnsi="宋体"/>
                <w:b/>
                <w:szCs w:val="21"/>
              </w:rPr>
            </w:pPr>
            <w:r>
              <w:rPr>
                <w:rFonts w:ascii="宋体" w:hAnsi="宋体"/>
                <w:b/>
                <w:szCs w:val="21"/>
              </w:rPr>
              <w:t>报告期</w:t>
            </w:r>
          </w:p>
          <w:p>
            <w:pPr>
              <w:jc w:val="center"/>
              <w:rPr>
                <w:rFonts w:ascii="宋体" w:hAnsi="宋体"/>
                <w:b/>
                <w:szCs w:val="21"/>
              </w:rPr>
            </w:pPr>
            <w:r>
              <w:rPr>
                <w:rFonts w:ascii="宋体" w:hAnsi="宋体"/>
                <w:b/>
                <w:szCs w:val="21"/>
              </w:rPr>
              <w:t>偿还总金额</w:t>
            </w:r>
          </w:p>
          <w:p>
            <w:pPr>
              <w:jc w:val="center"/>
              <w:rPr>
                <w:rFonts w:ascii="宋体" w:hAnsi="宋体"/>
                <w:b/>
                <w:szCs w:val="21"/>
              </w:rPr>
            </w:pPr>
            <w:r>
              <w:rPr>
                <w:rFonts w:hint="eastAsia" w:ascii="宋体" w:hAnsi="宋体"/>
                <w:b/>
                <w:szCs w:val="21"/>
              </w:rPr>
              <w:t>（20XX年度）</w:t>
            </w:r>
          </w:p>
          <w:p>
            <w:pPr>
              <w:ind w:firstLine="207" w:firstLineChars="98"/>
              <w:jc w:val="center"/>
              <w:rPr>
                <w:rFonts w:ascii="宋体" w:hAnsi="宋体"/>
                <w:b/>
                <w:szCs w:val="21"/>
              </w:rPr>
            </w:pPr>
            <w:r>
              <w:rPr>
                <w:rFonts w:ascii="宋体" w:hAnsi="宋体"/>
                <w:b/>
                <w:szCs w:val="21"/>
              </w:rPr>
              <w:t>（万元）</w:t>
            </w:r>
          </w:p>
        </w:tc>
        <w:tc>
          <w:tcPr>
            <w:tcW w:w="16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ascii="宋体" w:hAnsi="宋体"/>
                <w:b/>
                <w:szCs w:val="21"/>
              </w:rPr>
              <w:t>期末余额</w:t>
            </w:r>
          </w:p>
          <w:p>
            <w:pPr>
              <w:jc w:val="center"/>
              <w:rPr>
                <w:rFonts w:ascii="宋体" w:hAnsi="宋体"/>
                <w:b/>
                <w:szCs w:val="21"/>
              </w:rPr>
            </w:pPr>
            <w:r>
              <w:rPr>
                <w:rFonts w:hint="eastAsia" w:ascii="宋体" w:hAnsi="宋体"/>
                <w:b/>
                <w:szCs w:val="21"/>
              </w:rPr>
              <w:t>（20XX年12月31日）</w:t>
            </w:r>
          </w:p>
          <w:p>
            <w:pPr>
              <w:ind w:firstLine="103" w:firstLineChars="49"/>
              <w:jc w:val="center"/>
              <w:rPr>
                <w:rFonts w:ascii="宋体" w:hAnsi="宋体"/>
                <w:b/>
                <w:szCs w:val="21"/>
              </w:rPr>
            </w:pPr>
            <w:r>
              <w:rPr>
                <w:rFonts w:ascii="宋体" w:hAnsi="宋体"/>
                <w:b/>
                <w:szCs w:val="21"/>
              </w:rPr>
              <w:t>（万元）</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hint="eastAsia" w:ascii="宋体" w:hAnsi="宋体"/>
                <w:b/>
                <w:szCs w:val="21"/>
              </w:rPr>
              <w:t>截至年报披露日余额</w:t>
            </w:r>
          </w:p>
          <w:p>
            <w:pPr>
              <w:jc w:val="center"/>
              <w:rPr>
                <w:rFonts w:ascii="宋体" w:hAnsi="宋体"/>
                <w:b/>
                <w:szCs w:val="21"/>
              </w:rPr>
            </w:pPr>
            <w:r>
              <w:rPr>
                <w:rFonts w:hint="eastAsia" w:ascii="宋体" w:hAnsi="宋体"/>
                <w:b/>
                <w:szCs w:val="21"/>
              </w:rPr>
              <w:t>（万元）</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ascii="宋体" w:hAnsi="宋体"/>
                <w:b/>
                <w:szCs w:val="21"/>
              </w:rPr>
              <w:t>预计</w:t>
            </w:r>
          </w:p>
          <w:p>
            <w:pPr>
              <w:jc w:val="center"/>
              <w:rPr>
                <w:rFonts w:ascii="宋体" w:hAnsi="宋体"/>
                <w:b/>
                <w:szCs w:val="21"/>
              </w:rPr>
            </w:pPr>
            <w:r>
              <w:rPr>
                <w:rFonts w:ascii="宋体" w:hAnsi="宋体"/>
                <w:b/>
                <w:szCs w:val="21"/>
              </w:rPr>
              <w:t>偿还方式</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ascii="宋体" w:hAnsi="宋体"/>
                <w:b/>
                <w:szCs w:val="21"/>
              </w:rPr>
              <w:t>预计</w:t>
            </w:r>
          </w:p>
          <w:p>
            <w:pPr>
              <w:jc w:val="center"/>
              <w:rPr>
                <w:rFonts w:ascii="宋体" w:hAnsi="宋体"/>
                <w:b/>
                <w:szCs w:val="21"/>
              </w:rPr>
            </w:pPr>
            <w:r>
              <w:rPr>
                <w:rFonts w:ascii="宋体" w:hAnsi="宋体"/>
                <w:b/>
                <w:szCs w:val="21"/>
              </w:rPr>
              <w:t>偿还金额</w:t>
            </w:r>
          </w:p>
          <w:p>
            <w:pPr>
              <w:jc w:val="center"/>
              <w:rPr>
                <w:rFonts w:ascii="宋体" w:hAnsi="宋体"/>
                <w:b/>
                <w:szCs w:val="21"/>
              </w:rPr>
            </w:pPr>
            <w:r>
              <w:rPr>
                <w:rFonts w:ascii="宋体" w:hAnsi="宋体"/>
                <w:b/>
                <w:szCs w:val="21"/>
              </w:rPr>
              <w:t>（万元）</w:t>
            </w:r>
          </w:p>
        </w:tc>
        <w:tc>
          <w:tcPr>
            <w:tcW w:w="1260" w:type="dxa"/>
            <w:tcBorders>
              <w:top w:val="single" w:color="auto" w:sz="4" w:space="0"/>
              <w:left w:val="single" w:color="auto" w:sz="4" w:space="0"/>
              <w:bottom w:val="single" w:color="auto" w:sz="4" w:space="0"/>
            </w:tcBorders>
            <w:vAlign w:val="center"/>
          </w:tcPr>
          <w:p>
            <w:pPr>
              <w:jc w:val="center"/>
              <w:rPr>
                <w:rFonts w:ascii="宋体" w:hAnsi="宋体"/>
                <w:b/>
                <w:szCs w:val="21"/>
              </w:rPr>
            </w:pPr>
            <w:r>
              <w:rPr>
                <w:rFonts w:ascii="宋体" w:hAnsi="宋体"/>
                <w:b/>
                <w:szCs w:val="21"/>
              </w:rPr>
              <w:t>预计</w:t>
            </w:r>
          </w:p>
          <w:p>
            <w:pPr>
              <w:jc w:val="center"/>
              <w:rPr>
                <w:rFonts w:ascii="宋体" w:hAnsi="宋体"/>
                <w:b/>
                <w:szCs w:val="21"/>
              </w:rPr>
            </w:pPr>
            <w:r>
              <w:rPr>
                <w:rFonts w:ascii="宋体" w:hAnsi="宋体"/>
                <w:b/>
                <w:szCs w:val="21"/>
              </w:rPr>
              <w:t>偿还时间</w:t>
            </w:r>
          </w:p>
          <w:p>
            <w:pPr>
              <w:jc w:val="center"/>
              <w:rPr>
                <w:rFonts w:ascii="宋体" w:hAnsi="宋体"/>
                <w:b/>
                <w:szCs w:val="21"/>
              </w:rPr>
            </w:pPr>
            <w:r>
              <w:rPr>
                <w:rFonts w:ascii="宋体" w:hAnsi="宋体"/>
                <w:b/>
                <w:szCs w:val="21"/>
              </w:rPr>
              <w:t>（月份）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5" w:hRule="atLeast"/>
          <w:jc w:val="center"/>
        </w:trPr>
        <w:tc>
          <w:tcPr>
            <w:tcW w:w="1980" w:type="dxa"/>
            <w:tcBorders>
              <w:top w:val="single" w:color="auto" w:sz="4" w:space="0"/>
              <w:bottom w:val="single" w:color="auto" w:sz="4" w:space="0"/>
              <w:right w:val="single" w:color="auto" w:sz="4" w:space="0"/>
            </w:tcBorders>
            <w:vAlign w:val="center"/>
          </w:tcPr>
          <w:p>
            <w:pP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44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62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62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44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260" w:type="dxa"/>
            <w:tcBorders>
              <w:top w:val="single" w:color="auto" w:sz="4" w:space="0"/>
              <w:left w:val="single" w:color="auto" w:sz="4" w:space="0"/>
              <w:bottom w:val="sing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3" w:hRule="atLeast"/>
          <w:jc w:val="center"/>
        </w:trPr>
        <w:tc>
          <w:tcPr>
            <w:tcW w:w="1980" w:type="dxa"/>
            <w:tcBorders>
              <w:top w:val="single" w:color="auto" w:sz="4" w:space="0"/>
              <w:bottom w:val="single" w:color="auto" w:sz="4" w:space="0"/>
              <w:right w:val="single" w:color="auto" w:sz="4" w:space="0"/>
            </w:tcBorders>
            <w:vAlign w:val="center"/>
          </w:tcPr>
          <w:p>
            <w:pP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44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62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62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44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260" w:type="dxa"/>
            <w:tcBorders>
              <w:top w:val="single" w:color="auto" w:sz="4" w:space="0"/>
              <w:left w:val="single" w:color="auto" w:sz="4" w:space="0"/>
              <w:bottom w:val="sing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1980" w:type="dxa"/>
            <w:tcBorders>
              <w:top w:val="single" w:color="auto" w:sz="4" w:space="0"/>
              <w:bottom w:val="single" w:color="auto" w:sz="4" w:space="0"/>
              <w:right w:val="single" w:color="auto" w:sz="4" w:space="0"/>
            </w:tcBorders>
            <w:vAlign w:val="center"/>
          </w:tcPr>
          <w:p>
            <w:pP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44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62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62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62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44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44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1260" w:type="dxa"/>
            <w:tcBorders>
              <w:top w:val="single" w:color="auto" w:sz="4" w:space="0"/>
              <w:left w:val="single" w:color="auto" w:sz="4" w:space="0"/>
              <w:bottom w:val="sing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4320" w:type="dxa"/>
            <w:gridSpan w:val="3"/>
            <w:tcBorders>
              <w:top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当年新增非经营性资金占用情况的原因、责任人追究及董事会拟定采取措施的情况说明</w:t>
            </w:r>
          </w:p>
        </w:tc>
        <w:tc>
          <w:tcPr>
            <w:tcW w:w="11700" w:type="dxa"/>
            <w:gridSpan w:val="8"/>
            <w:tcBorders>
              <w:top w:val="single" w:color="auto" w:sz="4" w:space="0"/>
              <w:bottom w:val="sing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4320" w:type="dxa"/>
            <w:gridSpan w:val="3"/>
            <w:tcBorders>
              <w:top w:val="single" w:color="auto" w:sz="4" w:space="0"/>
              <w:bottom w:val="single" w:color="auto" w:sz="4" w:space="0"/>
              <w:right w:val="single" w:color="auto" w:sz="4" w:space="0"/>
            </w:tcBorders>
            <w:vAlign w:val="center"/>
          </w:tcPr>
          <w:p>
            <w:pPr>
              <w:rPr>
                <w:rFonts w:ascii="宋体" w:hAnsi="宋体"/>
                <w:szCs w:val="21"/>
              </w:rPr>
            </w:pPr>
            <w:r>
              <w:rPr>
                <w:rFonts w:hint="eastAsia" w:ascii="宋体" w:hAnsi="宋体"/>
                <w:szCs w:val="21"/>
              </w:rPr>
              <w:t>未能按计划清偿非经营性资金占用的原因、责任追究情况及董事会拟定采取的措施说明</w:t>
            </w:r>
          </w:p>
        </w:tc>
        <w:tc>
          <w:tcPr>
            <w:tcW w:w="11700" w:type="dxa"/>
            <w:gridSpan w:val="8"/>
            <w:tcBorders>
              <w:top w:val="single" w:color="auto" w:sz="4" w:space="0"/>
              <w:bottom w:val="single" w:color="auto" w:sz="4" w:space="0"/>
            </w:tcBorders>
          </w:tcPr>
          <w:p>
            <w:pPr>
              <w:rPr>
                <w:rFonts w:ascii="宋体" w:hAnsi="宋体"/>
                <w:szCs w:val="21"/>
              </w:rPr>
            </w:pPr>
          </w:p>
        </w:tc>
      </w:tr>
    </w:tbl>
    <w:p>
      <w:pPr>
        <w:rPr>
          <w:rFonts w:eastAsia="方正仿宋简体"/>
        </w:rPr>
      </w:pPr>
    </w:p>
    <w:p>
      <w:pPr>
        <w:rPr>
          <w:rFonts w:eastAsia="方正仿宋简体"/>
        </w:rPr>
      </w:pPr>
      <w:r>
        <w:rPr>
          <w:rFonts w:hint="eastAsia" w:ascii="宋体" w:hAnsi="宋体"/>
        </w:rPr>
        <w:t>注：①清欠方式可从“现金清偿”“红利抵债清偿”“股权转让收入清偿”“以股抵债清偿”“以资抵债清偿”和“其他”中选择，可多选。②无控股股东、实际控制人的公司，存在第一大股东或第一大股东关联人占用资金的，也应填写本表。</w:t>
      </w:r>
    </w:p>
    <w:p>
      <w:pPr>
        <w:rPr>
          <w:rFonts w:eastAsia="方正仿宋简体"/>
        </w:rPr>
      </w:pPr>
    </w:p>
    <w:p>
      <w:pPr>
        <w:rPr>
          <w:rFonts w:eastAsia="方正仿宋简体"/>
          <w:sz w:val="28"/>
        </w:rPr>
        <w:sectPr>
          <w:footerReference r:id="rId5" w:type="default"/>
          <w:pgSz w:w="16838" w:h="11906" w:orient="landscape"/>
          <w:pgMar w:top="1134" w:right="1134" w:bottom="1134" w:left="1134" w:header="624" w:footer="567" w:gutter="0"/>
          <w:cols w:space="720" w:num="1"/>
          <w:docGrid w:linePitch="286" w:charSpace="0"/>
        </w:sectPr>
      </w:pPr>
    </w:p>
    <w:p>
      <w:pPr>
        <w:tabs>
          <w:tab w:val="left" w:pos="720"/>
        </w:tabs>
        <w:spacing w:line="560" w:lineRule="exact"/>
        <w:rPr>
          <w:rFonts w:ascii="黑体" w:hAnsi="黑体" w:eastAsia="黑体"/>
          <w:sz w:val="32"/>
          <w:szCs w:val="28"/>
        </w:rPr>
      </w:pPr>
      <w:r>
        <w:rPr>
          <w:rFonts w:ascii="黑体" w:hAnsi="黑体" w:eastAsia="黑体"/>
          <w:sz w:val="32"/>
          <w:szCs w:val="28"/>
        </w:rPr>
        <w:t>附件</w:t>
      </w:r>
      <w:r>
        <w:rPr>
          <w:rFonts w:hint="eastAsia" w:ascii="黑体" w:hAnsi="黑体" w:eastAsia="黑体"/>
          <w:sz w:val="32"/>
          <w:szCs w:val="28"/>
        </w:rPr>
        <w:t>5</w:t>
      </w:r>
      <w:r>
        <w:rPr>
          <w:rFonts w:ascii="黑体" w:hAnsi="黑体" w:eastAsia="黑体"/>
          <w:sz w:val="32"/>
          <w:szCs w:val="28"/>
        </w:rPr>
        <w:t xml:space="preserve"> </w:t>
      </w:r>
    </w:p>
    <w:p>
      <w:pPr>
        <w:tabs>
          <w:tab w:val="left" w:pos="720"/>
        </w:tabs>
        <w:spacing w:line="560" w:lineRule="exact"/>
        <w:rPr>
          <w:rFonts w:eastAsia="方正仿宋简体"/>
          <w:sz w:val="28"/>
          <w:szCs w:val="28"/>
        </w:rPr>
      </w:pPr>
    </w:p>
    <w:p>
      <w:pPr>
        <w:spacing w:line="56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公告文件及报备文件要求</w:t>
      </w:r>
    </w:p>
    <w:p>
      <w:pPr>
        <w:jc w:val="center"/>
        <w:rPr>
          <w:rFonts w:ascii="方正小标宋简体" w:hAnsi="宋体" w:eastAsia="方正小标宋简体"/>
          <w:sz w:val="32"/>
          <w:szCs w:val="32"/>
        </w:rPr>
      </w:pPr>
    </w:p>
    <w:p>
      <w:pPr>
        <w:ind w:firstLine="640" w:firstLineChars="200"/>
        <w:rPr>
          <w:rFonts w:ascii="黑体" w:hAnsi="黑体" w:eastAsia="黑体"/>
          <w:sz w:val="32"/>
          <w:szCs w:val="32"/>
        </w:rPr>
      </w:pPr>
      <w:r>
        <w:rPr>
          <w:rFonts w:hint="eastAsia" w:ascii="黑体" w:hAnsi="黑体" w:eastAsia="黑体"/>
          <w:sz w:val="32"/>
          <w:szCs w:val="32"/>
        </w:rPr>
        <w:t>一、披露年度报告应当提交的文件</w:t>
      </w:r>
    </w:p>
    <w:p>
      <w:pPr>
        <w:autoSpaceDE w:val="0"/>
        <w:autoSpaceDN w:val="0"/>
        <w:adjustRightInd w:val="0"/>
        <w:spacing w:line="560" w:lineRule="exact"/>
        <w:ind w:firstLine="640" w:firstLineChars="200"/>
        <w:rPr>
          <w:rFonts w:ascii="楷体" w:hAnsi="楷体" w:eastAsia="楷体"/>
          <w:sz w:val="32"/>
          <w:szCs w:val="32"/>
        </w:rPr>
      </w:pPr>
      <w:bookmarkStart w:id="7" w:name="secretTime"/>
      <w:bookmarkEnd w:id="7"/>
      <w:bookmarkStart w:id="8" w:name="secretLevel"/>
      <w:bookmarkEnd w:id="8"/>
      <w:r>
        <w:rPr>
          <w:rFonts w:ascii="楷体" w:hAnsi="楷体" w:eastAsia="楷体"/>
          <w:sz w:val="32"/>
          <w:szCs w:val="32"/>
        </w:rPr>
        <w:t>（一）公告文件</w:t>
      </w:r>
    </w:p>
    <w:p>
      <w:pPr>
        <w:autoSpaceDE w:val="0"/>
        <w:autoSpaceDN w:val="0"/>
        <w:adjustRightInd w:val="0"/>
        <w:spacing w:line="560" w:lineRule="exact"/>
        <w:ind w:firstLine="640" w:firstLineChars="200"/>
        <w:rPr>
          <w:rFonts w:ascii="仿宋" w:hAnsi="仿宋" w:eastAsia="仿宋"/>
          <w:sz w:val="32"/>
          <w:szCs w:val="32"/>
        </w:rPr>
      </w:pPr>
      <w:r>
        <w:rPr>
          <w:rFonts w:ascii="仿宋" w:hAnsi="仿宋" w:eastAsia="仿宋"/>
          <w:sz w:val="32"/>
          <w:szCs w:val="32"/>
        </w:rPr>
        <w:t>1．年度报告全文（含经审计的年度财务报告）及其摘要。</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2．经公司董事会审议通过的</w:t>
      </w:r>
      <w:r>
        <w:rPr>
          <w:rFonts w:ascii="仿宋" w:hAnsi="仿宋" w:eastAsia="仿宋"/>
          <w:sz w:val="32"/>
          <w:szCs w:val="32"/>
        </w:rPr>
        <w:t>社会责任报告（如有）</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董事会决议</w:t>
      </w:r>
      <w:r>
        <w:rPr>
          <w:rFonts w:hint="eastAsia" w:ascii="仿宋" w:hAnsi="仿宋" w:eastAsia="仿宋"/>
          <w:sz w:val="32"/>
          <w:szCs w:val="32"/>
        </w:rPr>
        <w:t>公告。</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监事会决议公告</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5</w:t>
      </w:r>
      <w:r>
        <w:rPr>
          <w:rFonts w:ascii="仿宋" w:hAnsi="仿宋" w:eastAsia="仿宋"/>
          <w:sz w:val="32"/>
          <w:szCs w:val="32"/>
        </w:rPr>
        <w:t>．与独立董事相关的文件</w:t>
      </w:r>
    </w:p>
    <w:p>
      <w:pPr>
        <w:autoSpaceDE w:val="0"/>
        <w:autoSpaceDN w:val="0"/>
        <w:adjustRightInd w:val="0"/>
        <w:spacing w:line="560" w:lineRule="exact"/>
        <w:ind w:firstLine="640" w:firstLineChars="200"/>
        <w:rPr>
          <w:rFonts w:ascii="仿宋" w:hAnsi="仿宋" w:eastAsia="仿宋"/>
          <w:sz w:val="32"/>
          <w:szCs w:val="32"/>
        </w:rPr>
      </w:pPr>
      <w:r>
        <w:rPr>
          <w:rFonts w:ascii="仿宋" w:hAnsi="仿宋" w:eastAsia="仿宋"/>
          <w:sz w:val="32"/>
          <w:szCs w:val="32"/>
        </w:rPr>
        <w:t>（1）独立董事年度述职报告；</w:t>
      </w:r>
      <w:r>
        <w:rPr>
          <w:rFonts w:hint="eastAsia" w:ascii="仿宋" w:hAnsi="仿宋" w:eastAsia="仿宋"/>
          <w:sz w:val="32"/>
          <w:szCs w:val="32"/>
        </w:rPr>
        <w:t xml:space="preserve"> </w:t>
      </w:r>
    </w:p>
    <w:p>
      <w:pPr>
        <w:autoSpaceDE w:val="0"/>
        <w:autoSpaceDN w:val="0"/>
        <w:adjustRightInd w:val="0"/>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董事会对独立董事独立性自查情况的专项报告。</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6．内部控制评价及相关意见公告。公告内容包括经董事会审议通过的</w:t>
      </w:r>
      <w:r>
        <w:rPr>
          <w:rFonts w:ascii="仿宋" w:hAnsi="仿宋" w:eastAsia="仿宋"/>
          <w:sz w:val="32"/>
          <w:szCs w:val="32"/>
        </w:rPr>
        <w:t>内部控制评价报告</w:t>
      </w:r>
      <w:r>
        <w:rPr>
          <w:rFonts w:hint="eastAsia" w:ascii="仿宋" w:hAnsi="仿宋" w:eastAsia="仿宋"/>
          <w:sz w:val="32"/>
          <w:szCs w:val="32"/>
        </w:rPr>
        <w:t>、监事会、保荐机构（如适用）等主体发表的意见。</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7</w:t>
      </w:r>
      <w:r>
        <w:rPr>
          <w:rFonts w:ascii="仿宋" w:hAnsi="仿宋" w:eastAsia="仿宋"/>
          <w:sz w:val="32"/>
          <w:szCs w:val="32"/>
        </w:rPr>
        <w:t>．公司控股股东及其</w:t>
      </w:r>
      <w:r>
        <w:rPr>
          <w:rFonts w:hint="eastAsia" w:ascii="仿宋" w:hAnsi="仿宋" w:eastAsia="仿宋"/>
          <w:sz w:val="32"/>
          <w:szCs w:val="32"/>
        </w:rPr>
        <w:t>他关联方</w:t>
      </w:r>
      <w:r>
        <w:rPr>
          <w:rFonts w:ascii="仿宋" w:hAnsi="仿宋" w:eastAsia="仿宋"/>
          <w:sz w:val="32"/>
          <w:szCs w:val="32"/>
        </w:rPr>
        <w:t>占用资金情况</w:t>
      </w:r>
      <w:r>
        <w:rPr>
          <w:rFonts w:hint="eastAsia" w:ascii="仿宋" w:hAnsi="仿宋" w:eastAsia="仿宋"/>
          <w:sz w:val="32"/>
          <w:szCs w:val="32"/>
        </w:rPr>
        <w:t>专项公告。公告内容包括会计师事务所</w:t>
      </w:r>
      <w:r>
        <w:rPr>
          <w:rFonts w:ascii="仿宋" w:hAnsi="仿宋" w:eastAsia="仿宋"/>
          <w:sz w:val="32"/>
          <w:szCs w:val="32"/>
        </w:rPr>
        <w:t>对公司控股股东及其</w:t>
      </w:r>
      <w:r>
        <w:rPr>
          <w:rFonts w:hint="eastAsia" w:ascii="仿宋" w:hAnsi="仿宋" w:eastAsia="仿宋"/>
          <w:sz w:val="32"/>
          <w:szCs w:val="32"/>
        </w:rPr>
        <w:t>他关联方</w:t>
      </w:r>
      <w:r>
        <w:rPr>
          <w:rFonts w:ascii="仿宋" w:hAnsi="仿宋" w:eastAsia="仿宋"/>
          <w:sz w:val="32"/>
          <w:szCs w:val="32"/>
        </w:rPr>
        <w:t>占用资金情况的专项说明</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8．募集资金存放与使用情况专项报告。内容包括董事会关于募集资金存放与使用情况的专项报告、会计师事务所出具的鉴证报告（如适用）、保荐机构或独立财务顾问出具的专项核查报告（如适用）。</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9．非标准审计意见专项报告（如适用）。公告内容包括董事会对非标准审计意见涉及事项的专项说明、会计师事务所专项说明、监事会意见。</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10．会计师事务所对非经常性损益披露的真实性、准确性、完整性出具的专项核查意见（如适用）。根据本指南第一章第三节有关规定，对营业收入低于1亿元但净利润为正值的公司，会计师事务所应当对其非经常性损益披露的真实性、准确性、完整性出具专项核查意见。</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11．公司或相关资产业绩承诺实现情况的专项报告（如适用）。公告内容包括公司或相关资产业绩承诺实现情况、会计师事务所审核意见、保荐机构审核意见、财务顾问审核意见。</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12．营业收入扣除专项意见（如适用）。公司年度报告经审计的扣除非经常性损益前后的净利润孰低者为负值的，应当披露会计师事务所就公司营业收入扣除事项是否符合相关规定及扣除后的营业收入金额所出具的专项审核意见。</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13．证券与衍生品投资情况的专项报告（如适用）。公告内容包括董事会关于证券与衍生品投资情况的专项说明，保荐机构或财务顾问的核查意见。</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14</w:t>
      </w:r>
      <w:r>
        <w:rPr>
          <w:rFonts w:ascii="仿宋" w:hAnsi="仿宋" w:eastAsia="仿宋"/>
          <w:sz w:val="32"/>
          <w:szCs w:val="32"/>
        </w:rPr>
        <w:t>．其他相关文件（如有）。根据本所《创业板上市规则》的规定，因年度报告相关事项导致公司出现有关情形，公司应当发布退市风险提示公告的，或者公司股票及其衍生品种、公司债券可能被终止上市的，公司还应当提交相关公告，并与年度报告同时披露。</w:t>
      </w:r>
    </w:p>
    <w:p>
      <w:pPr>
        <w:autoSpaceDE w:val="0"/>
        <w:autoSpaceDN w:val="0"/>
        <w:adjustRightInd w:val="0"/>
        <w:spacing w:line="560" w:lineRule="exact"/>
        <w:ind w:firstLine="640" w:firstLineChars="200"/>
        <w:rPr>
          <w:rFonts w:ascii="楷体" w:hAnsi="楷体" w:eastAsia="楷体"/>
          <w:sz w:val="32"/>
          <w:szCs w:val="32"/>
        </w:rPr>
      </w:pPr>
      <w:r>
        <w:rPr>
          <w:rFonts w:ascii="楷体" w:hAnsi="楷体" w:eastAsia="楷体"/>
          <w:sz w:val="32"/>
          <w:szCs w:val="32"/>
        </w:rPr>
        <w:t>（二）报备文件</w:t>
      </w:r>
    </w:p>
    <w:p>
      <w:pPr>
        <w:autoSpaceDE w:val="0"/>
        <w:autoSpaceDN w:val="0"/>
        <w:adjustRightInd w:val="0"/>
        <w:spacing w:line="560" w:lineRule="exact"/>
        <w:ind w:firstLine="640" w:firstLineChars="200"/>
        <w:rPr>
          <w:rFonts w:ascii="仿宋" w:hAnsi="仿宋" w:eastAsia="仿宋"/>
          <w:sz w:val="32"/>
          <w:szCs w:val="32"/>
        </w:rPr>
      </w:pPr>
      <w:r>
        <w:rPr>
          <w:rFonts w:ascii="仿宋" w:hAnsi="仿宋" w:eastAsia="仿宋"/>
          <w:sz w:val="32"/>
          <w:szCs w:val="32"/>
        </w:rPr>
        <w:t>1．董事会决议</w:t>
      </w:r>
      <w:r>
        <w:rPr>
          <w:rFonts w:hint="eastAsia" w:ascii="仿宋" w:hAnsi="仿宋" w:eastAsia="仿宋"/>
          <w:sz w:val="32"/>
          <w:szCs w:val="32"/>
        </w:rPr>
        <w:t>签字页</w:t>
      </w:r>
      <w:r>
        <w:rPr>
          <w:rFonts w:ascii="仿宋" w:hAnsi="仿宋" w:eastAsia="仿宋"/>
          <w:sz w:val="32"/>
          <w:szCs w:val="32"/>
        </w:rPr>
        <w:t>、监事会决议</w:t>
      </w:r>
      <w:r>
        <w:rPr>
          <w:rFonts w:hint="eastAsia" w:ascii="仿宋" w:hAnsi="仿宋" w:eastAsia="仿宋"/>
          <w:sz w:val="32"/>
          <w:szCs w:val="32"/>
        </w:rPr>
        <w:t>签字页</w:t>
      </w:r>
      <w:r>
        <w:rPr>
          <w:rFonts w:ascii="仿宋" w:hAnsi="仿宋" w:eastAsia="仿宋"/>
          <w:sz w:val="32"/>
          <w:szCs w:val="32"/>
        </w:rPr>
        <w:t>、董事</w:t>
      </w:r>
      <w:r>
        <w:rPr>
          <w:rFonts w:hint="eastAsia" w:ascii="仿宋" w:hAnsi="仿宋" w:eastAsia="仿宋"/>
          <w:sz w:val="32"/>
          <w:szCs w:val="32"/>
        </w:rPr>
        <w:t>、监事和</w:t>
      </w:r>
      <w:r>
        <w:rPr>
          <w:rFonts w:ascii="仿宋" w:hAnsi="仿宋" w:eastAsia="仿宋"/>
          <w:sz w:val="32"/>
          <w:szCs w:val="32"/>
        </w:rPr>
        <w:t>高级管理人员对年度报告的书面确认意见、</w:t>
      </w:r>
      <w:r>
        <w:rPr>
          <w:rFonts w:hint="eastAsia" w:ascii="仿宋" w:hAnsi="仿宋" w:eastAsia="仿宋"/>
          <w:sz w:val="32"/>
          <w:szCs w:val="32"/>
        </w:rPr>
        <w:t>审计委员会对财务会计报告及定期报告中的财务信息、内部控制评价报告的审议情况、</w:t>
      </w:r>
      <w:r>
        <w:rPr>
          <w:rFonts w:ascii="仿宋" w:hAnsi="仿宋" w:eastAsia="仿宋"/>
          <w:sz w:val="32"/>
          <w:szCs w:val="32"/>
        </w:rPr>
        <w:t>年度报告内幕信息知情人登记档案</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ascii="仿宋" w:hAnsi="仿宋" w:eastAsia="仿宋"/>
          <w:sz w:val="32"/>
          <w:szCs w:val="32"/>
        </w:rPr>
        <w:t>2．经公司法定代表人签字和公司盖章的年度报告摘要及全文</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ascii="仿宋" w:hAnsi="仿宋" w:eastAsia="仿宋"/>
          <w:sz w:val="32"/>
          <w:szCs w:val="32"/>
        </w:rPr>
        <w:t>3．经公司法定代表人、主管会计工作的负责人、会计机构负责人（会计主管人员）签字并盖章的财务报告</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审计报告</w:t>
      </w:r>
      <w:r>
        <w:rPr>
          <w:rFonts w:hint="eastAsia" w:ascii="仿宋" w:hAnsi="仿宋" w:eastAsia="仿宋"/>
          <w:sz w:val="32"/>
          <w:szCs w:val="32"/>
        </w:rPr>
        <w:t>。根据本指南第一章第三节有关规定，会计师事务所对上市公司出具非标准审计意见涉及收入确认的，应当充分核查并在审计报告中说明非标准审计意见涉及的收入具体金额，出具无法表示意见的除外。</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5．中介机构相关报告文件的原文（含签字盖章页）。</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．财务数据的报送系统生成文件（公司应当使用</w:t>
      </w:r>
      <w:r>
        <w:rPr>
          <w:rFonts w:hint="eastAsia" w:ascii="仿宋" w:hAnsi="仿宋" w:eastAsia="仿宋"/>
          <w:sz w:val="32"/>
          <w:szCs w:val="32"/>
        </w:rPr>
        <w:t>本所</w:t>
      </w:r>
      <w:r>
        <w:rPr>
          <w:rFonts w:ascii="仿宋" w:hAnsi="仿宋" w:eastAsia="仿宋"/>
          <w:sz w:val="32"/>
          <w:szCs w:val="32"/>
        </w:rPr>
        <w:t>定期报告制作系统软件的最新版本制作该文件）</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7</w:t>
      </w:r>
      <w:r>
        <w:rPr>
          <w:rFonts w:ascii="仿宋" w:hAnsi="仿宋" w:eastAsia="仿宋"/>
          <w:sz w:val="32"/>
          <w:szCs w:val="32"/>
        </w:rPr>
        <w:t>．其他必要文件。</w:t>
      </w:r>
    </w:p>
    <w:p>
      <w:pPr>
        <w:ind w:firstLine="640" w:firstLineChars="200"/>
        <w:rPr>
          <w:rFonts w:ascii="黑体" w:hAnsi="黑体" w:eastAsia="黑体"/>
          <w:sz w:val="32"/>
          <w:szCs w:val="32"/>
        </w:rPr>
      </w:pPr>
      <w:r>
        <w:rPr>
          <w:rFonts w:hint="eastAsia" w:ascii="黑体" w:hAnsi="黑体" w:eastAsia="黑体"/>
          <w:sz w:val="32"/>
          <w:szCs w:val="32"/>
        </w:rPr>
        <w:t>二、披露半年度报告应当提交的文件</w:t>
      </w:r>
    </w:p>
    <w:p>
      <w:pPr>
        <w:autoSpaceDE w:val="0"/>
        <w:autoSpaceDN w:val="0"/>
        <w:adjustRightInd w:val="0"/>
        <w:spacing w:line="560" w:lineRule="exact"/>
        <w:ind w:firstLine="640" w:firstLineChars="200"/>
        <w:rPr>
          <w:rFonts w:ascii="楷体" w:hAnsi="楷体" w:eastAsia="楷体"/>
          <w:sz w:val="32"/>
          <w:szCs w:val="32"/>
        </w:rPr>
      </w:pPr>
      <w:r>
        <w:rPr>
          <w:rFonts w:ascii="楷体" w:hAnsi="楷体" w:eastAsia="楷体"/>
          <w:sz w:val="32"/>
          <w:szCs w:val="32"/>
        </w:rPr>
        <w:t>（一）</w:t>
      </w:r>
      <w:r>
        <w:rPr>
          <w:rFonts w:hint="eastAsia" w:ascii="楷体" w:hAnsi="楷体" w:eastAsia="楷体"/>
          <w:sz w:val="32"/>
          <w:szCs w:val="32"/>
        </w:rPr>
        <w:t>公告文件</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半年度报告全文（含</w:t>
      </w:r>
      <w:r>
        <w:rPr>
          <w:rFonts w:hint="eastAsia" w:ascii="仿宋" w:hAnsi="仿宋" w:eastAsia="仿宋"/>
          <w:sz w:val="32"/>
          <w:szCs w:val="32"/>
        </w:rPr>
        <w:t>半年度</w:t>
      </w:r>
      <w:r>
        <w:rPr>
          <w:rFonts w:ascii="仿宋" w:hAnsi="仿宋" w:eastAsia="仿宋"/>
          <w:sz w:val="32"/>
          <w:szCs w:val="32"/>
        </w:rPr>
        <w:t>财务报告）及摘要</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董事会决议</w:t>
      </w:r>
      <w:r>
        <w:rPr>
          <w:rFonts w:hint="eastAsia" w:ascii="仿宋" w:hAnsi="仿宋" w:eastAsia="仿宋"/>
          <w:sz w:val="32"/>
          <w:szCs w:val="32"/>
        </w:rPr>
        <w:t>公告。</w:t>
      </w:r>
      <w:r>
        <w:rPr>
          <w:rFonts w:ascii="仿宋" w:hAnsi="仿宋" w:eastAsia="仿宋"/>
          <w:sz w:val="32"/>
          <w:szCs w:val="32"/>
        </w:rPr>
        <w:t>如董事会仅审议本次半年度报告一项议案且无投反对票或弃权票情形的，可免于公告</w:t>
      </w:r>
      <w:r>
        <w:rPr>
          <w:rFonts w:hint="eastAsia" w:ascii="仿宋" w:hAnsi="仿宋" w:eastAsia="仿宋"/>
          <w:sz w:val="32"/>
          <w:szCs w:val="32"/>
        </w:rPr>
        <w:t>，以报备方式提交。</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3．监事会决议公告。</w:t>
      </w:r>
      <w:r>
        <w:rPr>
          <w:rFonts w:ascii="仿宋" w:hAnsi="仿宋" w:eastAsia="仿宋"/>
          <w:sz w:val="32"/>
          <w:szCs w:val="32"/>
        </w:rPr>
        <w:t>如监事会仅审议本次半年度报告一项议案且无投反对票或弃权票情形的，可免于公告</w:t>
      </w:r>
      <w:r>
        <w:rPr>
          <w:rFonts w:hint="eastAsia" w:ascii="仿宋" w:hAnsi="仿宋" w:eastAsia="仿宋"/>
          <w:sz w:val="32"/>
          <w:szCs w:val="32"/>
        </w:rPr>
        <w:t>，以报备方式提交。</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董事会关于半年度募集资金存放与使用情况的专项报告（如适用）</w:t>
      </w:r>
      <w:r>
        <w:rPr>
          <w:rFonts w:hint="eastAsia" w:ascii="仿宋" w:hAnsi="仿宋" w:eastAsia="仿宋"/>
          <w:sz w:val="32"/>
          <w:szCs w:val="32"/>
        </w:rPr>
        <w:t>。</w:t>
      </w:r>
    </w:p>
    <w:p>
      <w:pPr>
        <w:autoSpaceDE w:val="0"/>
        <w:autoSpaceDN w:val="0"/>
        <w:adjustRightInd w:val="0"/>
        <w:spacing w:line="560" w:lineRule="exact"/>
        <w:ind w:firstLine="640" w:firstLineChars="200"/>
        <w:rPr>
          <w:rFonts w:ascii="楷体" w:hAnsi="楷体" w:eastAsia="楷体"/>
          <w:sz w:val="32"/>
          <w:szCs w:val="32"/>
        </w:rPr>
      </w:pPr>
      <w:r>
        <w:rPr>
          <w:rFonts w:hint="eastAsia" w:ascii="楷体" w:hAnsi="楷体" w:eastAsia="楷体"/>
          <w:sz w:val="32"/>
          <w:szCs w:val="32"/>
        </w:rPr>
        <w:t>（二）报备文件</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董事会决议</w:t>
      </w:r>
      <w:r>
        <w:rPr>
          <w:rFonts w:hint="eastAsia" w:ascii="仿宋" w:hAnsi="仿宋" w:eastAsia="仿宋"/>
          <w:sz w:val="32"/>
          <w:szCs w:val="32"/>
        </w:rPr>
        <w:t>签字页</w:t>
      </w:r>
      <w:r>
        <w:rPr>
          <w:rFonts w:ascii="仿宋" w:hAnsi="仿宋" w:eastAsia="仿宋"/>
          <w:sz w:val="32"/>
          <w:szCs w:val="32"/>
        </w:rPr>
        <w:t>、监事会决议</w:t>
      </w:r>
      <w:r>
        <w:rPr>
          <w:rFonts w:hint="eastAsia" w:ascii="仿宋" w:hAnsi="仿宋" w:eastAsia="仿宋"/>
          <w:sz w:val="32"/>
          <w:szCs w:val="32"/>
        </w:rPr>
        <w:t>签字页</w:t>
      </w:r>
      <w:r>
        <w:rPr>
          <w:rFonts w:ascii="仿宋" w:hAnsi="仿宋" w:eastAsia="仿宋"/>
          <w:sz w:val="32"/>
          <w:szCs w:val="32"/>
        </w:rPr>
        <w:t>、董事</w:t>
      </w:r>
      <w:r>
        <w:rPr>
          <w:rFonts w:hint="eastAsia" w:ascii="仿宋" w:hAnsi="仿宋" w:eastAsia="仿宋"/>
          <w:sz w:val="32"/>
          <w:szCs w:val="32"/>
        </w:rPr>
        <w:t>、监事</w:t>
      </w:r>
      <w:r>
        <w:rPr>
          <w:rFonts w:ascii="仿宋" w:hAnsi="仿宋" w:eastAsia="仿宋"/>
          <w:sz w:val="32"/>
          <w:szCs w:val="32"/>
        </w:rPr>
        <w:t>和高级管理人员对</w:t>
      </w:r>
      <w:r>
        <w:rPr>
          <w:rFonts w:hint="eastAsia" w:ascii="仿宋" w:hAnsi="仿宋" w:eastAsia="仿宋"/>
          <w:sz w:val="32"/>
          <w:szCs w:val="32"/>
        </w:rPr>
        <w:t>半</w:t>
      </w:r>
      <w:r>
        <w:rPr>
          <w:rFonts w:ascii="仿宋" w:hAnsi="仿宋" w:eastAsia="仿宋"/>
          <w:sz w:val="32"/>
          <w:szCs w:val="32"/>
        </w:rPr>
        <w:t>年度报告的书面确认意见、</w:t>
      </w:r>
      <w:r>
        <w:rPr>
          <w:rFonts w:hint="eastAsia" w:ascii="仿宋" w:hAnsi="仿宋" w:eastAsia="仿宋"/>
          <w:sz w:val="32"/>
          <w:szCs w:val="32"/>
        </w:rPr>
        <w:t>审计委员会对财务会计报告及定期报告中的财务信息、半</w:t>
      </w:r>
      <w:r>
        <w:rPr>
          <w:rFonts w:ascii="仿宋" w:hAnsi="仿宋" w:eastAsia="仿宋"/>
          <w:sz w:val="32"/>
          <w:szCs w:val="32"/>
        </w:rPr>
        <w:t>年度报告内幕信息知情人登记档案</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ascii="仿宋" w:hAnsi="仿宋" w:eastAsia="仿宋"/>
          <w:sz w:val="32"/>
          <w:szCs w:val="32"/>
        </w:rPr>
        <w:t>2．经公司法定代表人签字和公司盖章的</w:t>
      </w:r>
      <w:r>
        <w:rPr>
          <w:rFonts w:hint="eastAsia" w:ascii="仿宋" w:hAnsi="仿宋" w:eastAsia="仿宋"/>
          <w:sz w:val="32"/>
          <w:szCs w:val="32"/>
        </w:rPr>
        <w:t>半</w:t>
      </w:r>
      <w:r>
        <w:rPr>
          <w:rFonts w:ascii="仿宋" w:hAnsi="仿宋" w:eastAsia="仿宋"/>
          <w:sz w:val="32"/>
          <w:szCs w:val="32"/>
        </w:rPr>
        <w:t>年度报告摘要及全文</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经公司法定代表人、主管会计工作的负责人、会计机构负责人（会计主管人员）签字并盖章的财务报告或审计报告</w:t>
      </w:r>
      <w:r>
        <w:rPr>
          <w:rFonts w:hint="eastAsia" w:ascii="仿宋" w:hAnsi="仿宋" w:eastAsia="仿宋"/>
          <w:sz w:val="32"/>
          <w:szCs w:val="32"/>
        </w:rPr>
        <w:t>（如经审计）。</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4．中介机构相关报告文件的原文（含签字盖章页）。</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5．</w:t>
      </w:r>
      <w:r>
        <w:rPr>
          <w:rFonts w:ascii="仿宋" w:hAnsi="仿宋" w:eastAsia="仿宋"/>
          <w:sz w:val="32"/>
          <w:szCs w:val="32"/>
        </w:rPr>
        <w:t>财务数据的报送系统生成文件（公司应当使用</w:t>
      </w:r>
      <w:r>
        <w:rPr>
          <w:rFonts w:hint="eastAsia" w:ascii="仿宋" w:hAnsi="仿宋" w:eastAsia="仿宋"/>
          <w:sz w:val="32"/>
          <w:szCs w:val="32"/>
        </w:rPr>
        <w:t>本所</w:t>
      </w:r>
      <w:r>
        <w:rPr>
          <w:rFonts w:ascii="仿宋" w:hAnsi="仿宋" w:eastAsia="仿宋"/>
          <w:sz w:val="32"/>
          <w:szCs w:val="32"/>
        </w:rPr>
        <w:t>定期报告制作系统软件的最新版本制作该文件</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本所要求的其他文件。</w:t>
      </w:r>
    </w:p>
    <w:p>
      <w:pPr>
        <w:ind w:firstLine="640" w:firstLineChars="200"/>
        <w:rPr>
          <w:rFonts w:ascii="黑体" w:hAnsi="黑体" w:eastAsia="黑体"/>
          <w:sz w:val="32"/>
          <w:szCs w:val="32"/>
        </w:rPr>
      </w:pPr>
      <w:r>
        <w:rPr>
          <w:rFonts w:hint="eastAsia" w:ascii="黑体" w:hAnsi="黑体" w:eastAsia="黑体"/>
          <w:sz w:val="32"/>
          <w:szCs w:val="32"/>
        </w:rPr>
        <w:t>三、披露季度报告应当提交的文件</w:t>
      </w:r>
    </w:p>
    <w:p>
      <w:pPr>
        <w:autoSpaceDE w:val="0"/>
        <w:autoSpaceDN w:val="0"/>
        <w:adjustRightInd w:val="0"/>
        <w:spacing w:line="560" w:lineRule="exact"/>
        <w:ind w:firstLine="640" w:firstLineChars="200"/>
        <w:rPr>
          <w:rFonts w:ascii="楷体" w:hAnsi="楷体" w:eastAsia="楷体"/>
          <w:sz w:val="32"/>
          <w:szCs w:val="32"/>
        </w:rPr>
      </w:pPr>
      <w:r>
        <w:rPr>
          <w:rFonts w:ascii="楷体" w:hAnsi="楷体" w:eastAsia="楷体"/>
          <w:sz w:val="32"/>
          <w:szCs w:val="32"/>
        </w:rPr>
        <w:t>（一）</w:t>
      </w:r>
      <w:r>
        <w:rPr>
          <w:rFonts w:hint="eastAsia" w:ascii="楷体" w:hAnsi="楷体" w:eastAsia="楷体"/>
          <w:sz w:val="32"/>
          <w:szCs w:val="32"/>
        </w:rPr>
        <w:t>公告文件</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1．季</w:t>
      </w:r>
      <w:r>
        <w:rPr>
          <w:rFonts w:ascii="仿宋" w:hAnsi="仿宋" w:eastAsia="仿宋"/>
          <w:sz w:val="32"/>
          <w:szCs w:val="32"/>
        </w:rPr>
        <w:t>度报告全文（含</w:t>
      </w:r>
      <w:r>
        <w:rPr>
          <w:rFonts w:hint="eastAsia" w:ascii="仿宋" w:hAnsi="仿宋" w:eastAsia="仿宋"/>
          <w:sz w:val="32"/>
          <w:szCs w:val="32"/>
        </w:rPr>
        <w:t>季度</w:t>
      </w:r>
      <w:r>
        <w:rPr>
          <w:rFonts w:ascii="仿宋" w:hAnsi="仿宋" w:eastAsia="仿宋"/>
          <w:sz w:val="32"/>
          <w:szCs w:val="32"/>
        </w:rPr>
        <w:t>财务报告）</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董事会决议</w:t>
      </w:r>
      <w:r>
        <w:rPr>
          <w:rFonts w:hint="eastAsia" w:ascii="仿宋" w:hAnsi="仿宋" w:eastAsia="仿宋"/>
          <w:sz w:val="32"/>
          <w:szCs w:val="32"/>
        </w:rPr>
        <w:t>公告。</w:t>
      </w:r>
      <w:r>
        <w:rPr>
          <w:rFonts w:ascii="仿宋" w:hAnsi="仿宋" w:eastAsia="仿宋"/>
          <w:sz w:val="32"/>
          <w:szCs w:val="32"/>
        </w:rPr>
        <w:t>如董事会仅审议本次</w:t>
      </w:r>
      <w:r>
        <w:rPr>
          <w:rFonts w:hint="eastAsia" w:ascii="仿宋" w:hAnsi="仿宋" w:eastAsia="仿宋"/>
          <w:sz w:val="32"/>
          <w:szCs w:val="32"/>
        </w:rPr>
        <w:t>季</w:t>
      </w:r>
      <w:r>
        <w:rPr>
          <w:rFonts w:ascii="仿宋" w:hAnsi="仿宋" w:eastAsia="仿宋"/>
          <w:sz w:val="32"/>
          <w:szCs w:val="32"/>
        </w:rPr>
        <w:t>度报告一项议案且无投反对票或弃权票情形的，可免于公告</w:t>
      </w:r>
      <w:r>
        <w:rPr>
          <w:rFonts w:hint="eastAsia" w:ascii="仿宋" w:hAnsi="仿宋" w:eastAsia="仿宋"/>
          <w:sz w:val="32"/>
          <w:szCs w:val="32"/>
        </w:rPr>
        <w:t>，以报备方式提交。</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3．监事会决议公告。</w:t>
      </w:r>
      <w:r>
        <w:rPr>
          <w:rFonts w:ascii="仿宋" w:hAnsi="仿宋" w:eastAsia="仿宋"/>
          <w:sz w:val="32"/>
          <w:szCs w:val="32"/>
        </w:rPr>
        <w:t>如监事会仅审议本次</w:t>
      </w:r>
      <w:r>
        <w:rPr>
          <w:rFonts w:hint="eastAsia" w:ascii="仿宋" w:hAnsi="仿宋" w:eastAsia="仿宋"/>
          <w:sz w:val="32"/>
          <w:szCs w:val="32"/>
        </w:rPr>
        <w:t>季度</w:t>
      </w:r>
      <w:r>
        <w:rPr>
          <w:rFonts w:ascii="仿宋" w:hAnsi="仿宋" w:eastAsia="仿宋"/>
          <w:sz w:val="32"/>
          <w:szCs w:val="32"/>
        </w:rPr>
        <w:t>报告一项议案且无投反对票或弃权票情形的，可免于公告</w:t>
      </w:r>
      <w:r>
        <w:rPr>
          <w:rFonts w:hint="eastAsia" w:ascii="仿宋" w:hAnsi="仿宋" w:eastAsia="仿宋"/>
          <w:sz w:val="32"/>
          <w:szCs w:val="32"/>
        </w:rPr>
        <w:t>，以报备方式提交。</w:t>
      </w:r>
    </w:p>
    <w:p>
      <w:pPr>
        <w:autoSpaceDE w:val="0"/>
        <w:autoSpaceDN w:val="0"/>
        <w:adjustRightInd w:val="0"/>
        <w:spacing w:line="560" w:lineRule="exact"/>
        <w:ind w:firstLine="640" w:firstLineChars="200"/>
        <w:rPr>
          <w:rFonts w:ascii="楷体" w:hAnsi="楷体" w:eastAsia="楷体"/>
          <w:sz w:val="32"/>
          <w:szCs w:val="32"/>
        </w:rPr>
      </w:pPr>
      <w:r>
        <w:rPr>
          <w:rFonts w:ascii="楷体" w:hAnsi="楷体" w:eastAsia="楷体"/>
          <w:sz w:val="32"/>
          <w:szCs w:val="32"/>
        </w:rPr>
        <w:t>（</w:t>
      </w:r>
      <w:r>
        <w:rPr>
          <w:rFonts w:hint="eastAsia" w:ascii="楷体" w:hAnsi="楷体" w:eastAsia="楷体"/>
          <w:sz w:val="32"/>
          <w:szCs w:val="32"/>
        </w:rPr>
        <w:t>二</w:t>
      </w:r>
      <w:r>
        <w:rPr>
          <w:rFonts w:ascii="楷体" w:hAnsi="楷体" w:eastAsia="楷体"/>
          <w:sz w:val="32"/>
          <w:szCs w:val="32"/>
        </w:rPr>
        <w:t>）</w:t>
      </w:r>
      <w:r>
        <w:rPr>
          <w:rFonts w:hint="eastAsia" w:ascii="楷体" w:hAnsi="楷体" w:eastAsia="楷体"/>
          <w:sz w:val="32"/>
          <w:szCs w:val="32"/>
        </w:rPr>
        <w:t>报备文件</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董事会决议</w:t>
      </w:r>
      <w:r>
        <w:rPr>
          <w:rFonts w:hint="eastAsia" w:ascii="仿宋" w:hAnsi="仿宋" w:eastAsia="仿宋"/>
          <w:sz w:val="32"/>
          <w:szCs w:val="32"/>
        </w:rPr>
        <w:t>签字页</w:t>
      </w:r>
      <w:r>
        <w:rPr>
          <w:rFonts w:ascii="仿宋" w:hAnsi="仿宋" w:eastAsia="仿宋"/>
          <w:sz w:val="32"/>
          <w:szCs w:val="32"/>
        </w:rPr>
        <w:t>、监事会决议</w:t>
      </w:r>
      <w:r>
        <w:rPr>
          <w:rFonts w:hint="eastAsia" w:ascii="仿宋" w:hAnsi="仿宋" w:eastAsia="仿宋"/>
          <w:sz w:val="32"/>
          <w:szCs w:val="32"/>
        </w:rPr>
        <w:t>签字页</w:t>
      </w:r>
      <w:r>
        <w:rPr>
          <w:rFonts w:ascii="仿宋" w:hAnsi="仿宋" w:eastAsia="仿宋"/>
          <w:sz w:val="32"/>
          <w:szCs w:val="32"/>
        </w:rPr>
        <w:t>、董事</w:t>
      </w:r>
      <w:r>
        <w:rPr>
          <w:rFonts w:hint="eastAsia" w:ascii="仿宋" w:hAnsi="仿宋" w:eastAsia="仿宋"/>
          <w:sz w:val="32"/>
          <w:szCs w:val="32"/>
        </w:rPr>
        <w:t>、监事</w:t>
      </w:r>
      <w:r>
        <w:rPr>
          <w:rFonts w:ascii="仿宋" w:hAnsi="仿宋" w:eastAsia="仿宋"/>
          <w:sz w:val="32"/>
          <w:szCs w:val="32"/>
        </w:rPr>
        <w:t>和高级管理人员</w:t>
      </w:r>
      <w:r>
        <w:rPr>
          <w:rFonts w:hint="eastAsia" w:ascii="仿宋" w:hAnsi="仿宋" w:eastAsia="仿宋"/>
          <w:sz w:val="32"/>
          <w:szCs w:val="32"/>
        </w:rPr>
        <w:t>对季度</w:t>
      </w:r>
      <w:r>
        <w:rPr>
          <w:rFonts w:ascii="仿宋" w:hAnsi="仿宋" w:eastAsia="仿宋"/>
          <w:sz w:val="32"/>
          <w:szCs w:val="32"/>
        </w:rPr>
        <w:t>报告的书面确认意见、</w:t>
      </w:r>
      <w:r>
        <w:rPr>
          <w:rFonts w:hint="eastAsia" w:ascii="仿宋" w:hAnsi="仿宋" w:eastAsia="仿宋"/>
          <w:sz w:val="32"/>
          <w:szCs w:val="32"/>
        </w:rPr>
        <w:t>季度</w:t>
      </w:r>
      <w:r>
        <w:rPr>
          <w:rFonts w:ascii="仿宋" w:hAnsi="仿宋" w:eastAsia="仿宋"/>
          <w:sz w:val="32"/>
          <w:szCs w:val="32"/>
        </w:rPr>
        <w:t>报告内幕信息知情人登记档案</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ascii="仿宋" w:hAnsi="仿宋" w:eastAsia="仿宋"/>
          <w:sz w:val="32"/>
          <w:szCs w:val="32"/>
        </w:rPr>
        <w:t>2．经公司法定代表人签字和公司盖章的</w:t>
      </w:r>
      <w:r>
        <w:rPr>
          <w:rFonts w:hint="eastAsia" w:ascii="仿宋" w:hAnsi="仿宋" w:eastAsia="仿宋"/>
          <w:sz w:val="32"/>
          <w:szCs w:val="32"/>
        </w:rPr>
        <w:t>季度</w:t>
      </w:r>
      <w:r>
        <w:rPr>
          <w:rFonts w:ascii="仿宋" w:hAnsi="仿宋" w:eastAsia="仿宋"/>
          <w:sz w:val="32"/>
          <w:szCs w:val="32"/>
        </w:rPr>
        <w:t>报告全文</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经公司法定代表人、主管会计工作的负责人、会计机构负责人（会计主管人员）签字并盖章的财务报</w:t>
      </w:r>
      <w:r>
        <w:rPr>
          <w:rFonts w:hint="eastAsia" w:ascii="仿宋" w:hAnsi="仿宋" w:eastAsia="仿宋"/>
          <w:sz w:val="32"/>
          <w:szCs w:val="32"/>
        </w:rPr>
        <w:t>表</w:t>
      </w:r>
      <w:r>
        <w:rPr>
          <w:rFonts w:ascii="仿宋" w:hAnsi="仿宋" w:eastAsia="仿宋"/>
          <w:sz w:val="32"/>
          <w:szCs w:val="32"/>
        </w:rPr>
        <w:t>或审计报告</w:t>
      </w:r>
      <w:r>
        <w:rPr>
          <w:rFonts w:hint="eastAsia" w:ascii="仿宋" w:hAnsi="仿宋" w:eastAsia="仿宋"/>
          <w:sz w:val="32"/>
          <w:szCs w:val="32"/>
        </w:rPr>
        <w:t>（如经审计）。</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4．中介机构相关报告文件的原文（含签字盖章页）。</w:t>
      </w:r>
    </w:p>
    <w:p>
      <w:pPr>
        <w:autoSpaceDE w:val="0"/>
        <w:autoSpaceDN w:val="0"/>
        <w:adjustRightInd w:val="0"/>
        <w:spacing w:line="560" w:lineRule="exact"/>
        <w:ind w:firstLine="640" w:firstLineChars="200"/>
        <w:rPr>
          <w:rFonts w:ascii="仿宋" w:hAnsi="仿宋" w:eastAsia="仿宋"/>
          <w:sz w:val="32"/>
          <w:szCs w:val="32"/>
        </w:rPr>
      </w:pPr>
      <w:r>
        <w:rPr>
          <w:rFonts w:hint="eastAsia" w:ascii="仿宋" w:hAnsi="仿宋" w:eastAsia="仿宋"/>
          <w:sz w:val="32"/>
          <w:szCs w:val="32"/>
        </w:rPr>
        <w:t>5．</w:t>
      </w:r>
      <w:r>
        <w:rPr>
          <w:rFonts w:ascii="仿宋" w:hAnsi="仿宋" w:eastAsia="仿宋"/>
          <w:sz w:val="32"/>
          <w:szCs w:val="32"/>
        </w:rPr>
        <w:t>财务数据的报送系统生成文件（公司应当使用</w:t>
      </w:r>
      <w:r>
        <w:rPr>
          <w:rFonts w:hint="eastAsia" w:ascii="仿宋" w:hAnsi="仿宋" w:eastAsia="仿宋"/>
          <w:sz w:val="32"/>
          <w:szCs w:val="32"/>
        </w:rPr>
        <w:t>本所</w:t>
      </w:r>
      <w:r>
        <w:rPr>
          <w:rFonts w:ascii="仿宋" w:hAnsi="仿宋" w:eastAsia="仿宋"/>
          <w:sz w:val="32"/>
          <w:szCs w:val="32"/>
        </w:rPr>
        <w:t>定期报告制作系统软件的最新版本制作该文件</w:t>
      </w:r>
      <w:r>
        <w:rPr>
          <w:rFonts w:hint="eastAsia" w:ascii="仿宋" w:hAnsi="仿宋" w:eastAsia="仿宋"/>
          <w:sz w:val="32"/>
          <w:szCs w:val="32"/>
        </w:rPr>
        <w:t>）。</w:t>
      </w:r>
    </w:p>
    <w:p>
      <w:pPr>
        <w:autoSpaceDE w:val="0"/>
        <w:autoSpaceDN w:val="0"/>
        <w:adjustRightInd w:val="0"/>
        <w:spacing w:line="560" w:lineRule="exact"/>
        <w:ind w:firstLine="640" w:firstLineChars="200"/>
        <w:rPr>
          <w:rFonts w:ascii="仿宋" w:hAnsi="仿宋" w:eastAsia="仿宋"/>
          <w:sz w:val="32"/>
          <w:szCs w:val="32"/>
        </w:rPr>
        <w:sectPr>
          <w:pgSz w:w="11906" w:h="16838"/>
          <w:pgMar w:top="1440" w:right="1800" w:bottom="1440" w:left="1800" w:header="851" w:footer="992" w:gutter="0"/>
          <w:cols w:space="720" w:num="1"/>
          <w:docGrid w:type="lines" w:linePitch="312" w:charSpace="0"/>
        </w:sectPr>
      </w:pPr>
      <w:r>
        <w:rPr>
          <w:rFonts w:hint="eastAsia" w:ascii="仿宋" w:hAnsi="仿宋" w:eastAsia="仿宋"/>
          <w:sz w:val="32"/>
          <w:szCs w:val="32"/>
        </w:rPr>
        <w:t>6．</w:t>
      </w:r>
      <w:r>
        <w:rPr>
          <w:rFonts w:ascii="仿宋" w:hAnsi="仿宋" w:eastAsia="仿宋"/>
          <w:sz w:val="32"/>
          <w:szCs w:val="32"/>
        </w:rPr>
        <w:t>本所要求的其他文件。</w:t>
      </w:r>
    </w:p>
    <w:p>
      <w:pPr>
        <w:spacing w:line="560" w:lineRule="exact"/>
        <w:rPr>
          <w:rFonts w:ascii="黑体" w:hAnsi="黑体" w:eastAsia="黑体"/>
          <w:sz w:val="32"/>
          <w:szCs w:val="20"/>
        </w:rPr>
      </w:pPr>
      <w:r>
        <w:rPr>
          <w:rFonts w:ascii="黑体" w:hAnsi="黑体" w:eastAsia="黑体"/>
          <w:sz w:val="32"/>
          <w:szCs w:val="20"/>
        </w:rPr>
        <w:t>附件</w:t>
      </w:r>
      <w:r>
        <w:rPr>
          <w:rFonts w:hint="eastAsia" w:ascii="黑体" w:hAnsi="黑体" w:eastAsia="黑体"/>
          <w:sz w:val="32"/>
          <w:szCs w:val="20"/>
        </w:rPr>
        <w:t>6</w:t>
      </w:r>
    </w:p>
    <w:p>
      <w:pPr>
        <w:spacing w:line="560" w:lineRule="exact"/>
        <w:ind w:firstLine="640" w:firstLineChars="200"/>
        <w:rPr>
          <w:rFonts w:ascii="仿宋" w:hAnsi="仿宋" w:eastAsia="仿宋"/>
          <w:sz w:val="32"/>
          <w:szCs w:val="32"/>
        </w:rPr>
      </w:pPr>
    </w:p>
    <w:p>
      <w:pPr>
        <w:spacing w:line="560" w:lineRule="exact"/>
        <w:jc w:val="center"/>
        <w:rPr>
          <w:rFonts w:ascii="Times New Roman" w:hAnsi="Times New Roman" w:eastAsia="仿宋"/>
          <w:kern w:val="0"/>
          <w:sz w:val="44"/>
          <w:szCs w:val="44"/>
          <w:lang w:val="zh-CN"/>
        </w:rPr>
      </w:pPr>
      <w:r>
        <w:rPr>
          <w:rFonts w:hint="eastAsia" w:ascii="Times New Roman" w:hAnsi="Times New Roman" w:eastAsia="方正小标宋简体"/>
          <w:kern w:val="0"/>
          <w:sz w:val="44"/>
          <w:szCs w:val="44"/>
          <w:lang w:val="zh-CN"/>
        </w:rPr>
        <w:t>独立董事年度述职报告模板</w:t>
      </w:r>
    </w:p>
    <w:p>
      <w:pPr>
        <w:widowControl/>
        <w:adjustRightInd w:val="0"/>
        <w:snapToGrid w:val="0"/>
        <w:rPr>
          <w:rFonts w:ascii="黑体" w:hAnsi="黑体" w:eastAsia="黑体"/>
          <w:sz w:val="32"/>
          <w:szCs w:val="32"/>
        </w:rPr>
      </w:pPr>
    </w:p>
    <w:p>
      <w:pPr>
        <w:tabs>
          <w:tab w:val="left" w:pos="1080"/>
          <w:tab w:val="left" w:pos="2340"/>
        </w:tabs>
        <w:spacing w:line="560" w:lineRule="exact"/>
        <w:ind w:firstLine="643" w:firstLineChars="200"/>
        <w:rPr>
          <w:rFonts w:ascii="仿宋" w:hAnsi="仿宋" w:eastAsia="仿宋"/>
          <w:b/>
          <w:sz w:val="32"/>
          <w:szCs w:val="32"/>
        </w:rPr>
      </w:pPr>
      <w:r>
        <w:rPr>
          <w:rFonts w:hint="eastAsia" w:ascii="仿宋" w:hAnsi="仿宋" w:eastAsia="仿宋"/>
          <w:b/>
          <w:sz w:val="32"/>
          <w:szCs w:val="32"/>
        </w:rPr>
        <w:t>编制说明：</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1.独立董事应当按照本格式指引编制年度述职报告。报告要如实、充分地说明独立董事当年的履职情况以及其履行职责时重点关注的事项。</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2、独立董事可以单独或者共同编制年度述职报告，并在报告正文后签名确认。</w:t>
      </w:r>
    </w:p>
    <w:p>
      <w:pPr>
        <w:ind w:firstLine="640" w:firstLineChars="200"/>
        <w:rPr>
          <w:rFonts w:ascii="仿宋" w:hAnsi="仿宋" w:eastAsia="仿宋"/>
          <w:b/>
          <w:sz w:val="32"/>
          <w:szCs w:val="32"/>
        </w:rPr>
      </w:pPr>
      <w:r>
        <w:rPr>
          <w:rFonts w:hint="eastAsia" w:ascii="黑体" w:hAnsi="黑体" w:eastAsia="黑体"/>
          <w:sz w:val="32"/>
          <w:szCs w:val="32"/>
        </w:rPr>
        <w:t>一、独立董事的基本情况</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介绍个人工作履历、专业背景以及兼职情况，并就是否存在影响独立性的情况进行说明。</w:t>
      </w:r>
    </w:p>
    <w:p>
      <w:pPr>
        <w:ind w:firstLine="640" w:firstLineChars="200"/>
        <w:rPr>
          <w:rFonts w:ascii="黑体" w:hAnsi="黑体" w:eastAsia="黑体"/>
          <w:sz w:val="32"/>
          <w:szCs w:val="32"/>
        </w:rPr>
      </w:pPr>
      <w:r>
        <w:rPr>
          <w:rFonts w:hint="eastAsia" w:ascii="黑体" w:hAnsi="黑体" w:eastAsia="黑体"/>
          <w:sz w:val="32"/>
          <w:szCs w:val="32"/>
        </w:rPr>
        <w:t>二、独立董事年度履职概况</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说明本年度出席董事会次数、方式及投票情况，出席股东大会次数，参与董事会专门委员会、独立董事专门会议工作情况，行使独立董事职权的情况，与内部审计机构及承办上市公司审计业务的会计师事务所就公司财务、业务状况进行沟通的情况，与中小股东的沟通交流情况，在上市公司现场工作的时间、内容等情况，以及上市公司配合独立董事工作的情况等。</w:t>
      </w:r>
    </w:p>
    <w:p>
      <w:pPr>
        <w:ind w:firstLine="640" w:firstLineChars="200"/>
        <w:rPr>
          <w:rFonts w:ascii="仿宋" w:hAnsi="仿宋" w:eastAsia="仿宋"/>
          <w:b/>
          <w:sz w:val="32"/>
          <w:szCs w:val="32"/>
        </w:rPr>
      </w:pPr>
      <w:r>
        <w:rPr>
          <w:rFonts w:hint="eastAsia" w:ascii="黑体" w:hAnsi="黑体" w:eastAsia="黑体"/>
          <w:sz w:val="32"/>
          <w:szCs w:val="32"/>
        </w:rPr>
        <w:t>三、独立董事年度履职重点关注事项的情况</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充分说明相关的决策、执行以及披露情况，对相关事项是否合法合规作出独立明确的判断，对上市公司与控股股东、实际控制人、董事、高级管理人员之间对潜在重大利益冲突事项进行监督的情况。</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（一）应当披露的关联交易；</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（二）上市公司及相关方变更或者豁免承诺的方案；</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（三）被收购上市公司董事会针对收购所作出的决策及采取的措施；</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（四）披露财务会计报告及定期报告中的财务信息、内部控制评价报告；</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（五）聘用、解聘承办上市公司审计业务的会计师事务所；</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（六）聘任或者解聘上市公司财务负责人；</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（七）因会计准则变更以外的原因作出会计政策、会计估计或者重大会计差错更正；</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（八）提名或者任免董事，聘任或者解聘高级管理人员；</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（九）董事、高级管理人员的薪酬，制定或者变更股权激励计划、员工持股计划，激励对象获授权益、行使权益条件成就，董事、高级管理人员在拟分拆所属子公司安排持股计划。</w:t>
      </w:r>
    </w:p>
    <w:p>
      <w:pPr>
        <w:ind w:firstLine="640" w:firstLineChars="200"/>
        <w:rPr>
          <w:rFonts w:ascii="黑体" w:hAnsi="黑体" w:eastAsia="黑体"/>
          <w:sz w:val="32"/>
          <w:szCs w:val="32"/>
        </w:rPr>
      </w:pPr>
      <w:r>
        <w:rPr>
          <w:rFonts w:hint="eastAsia" w:ascii="黑体" w:hAnsi="黑体" w:eastAsia="黑体"/>
          <w:sz w:val="32"/>
          <w:szCs w:val="32"/>
        </w:rPr>
        <w:t>四、总体评价和建议</w:t>
      </w: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独立董事对自己是否忠实勤勉履职作出总体评价，并可提出独立董事下一年度改进相关工作的建议。</w:t>
      </w:r>
    </w:p>
    <w:p>
      <w:pPr>
        <w:tabs>
          <w:tab w:val="left" w:pos="1080"/>
          <w:tab w:val="left" w:pos="2340"/>
        </w:tabs>
        <w:spacing w:line="560" w:lineRule="exact"/>
        <w:ind w:firstLine="640" w:firstLineChars="200"/>
        <w:rPr>
          <w:rFonts w:ascii="仿宋" w:hAnsi="仿宋" w:eastAsia="仿宋"/>
          <w:sz w:val="32"/>
          <w:szCs w:val="32"/>
        </w:rPr>
      </w:pPr>
    </w:p>
    <w:p>
      <w:pPr>
        <w:tabs>
          <w:tab w:val="left" w:pos="1080"/>
          <w:tab w:val="left" w:pos="2340"/>
        </w:tabs>
        <w:spacing w:line="560" w:lineRule="exact"/>
        <w:ind w:firstLine="640" w:firstLineChars="200"/>
        <w:rPr>
          <w:rFonts w:ascii="仿宋" w:hAnsi="仿宋" w:eastAsia="仿宋"/>
          <w:sz w:val="32"/>
          <w:szCs w:val="32"/>
        </w:rPr>
      </w:pPr>
    </w:p>
    <w:p>
      <w:pPr>
        <w:tabs>
          <w:tab w:val="left" w:pos="1080"/>
          <w:tab w:val="left" w:pos="2340"/>
        </w:tabs>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                                签名：</w:t>
      </w:r>
    </w:p>
    <w:p/>
    <w:p>
      <w:pPr>
        <w:rPr>
          <w:rFonts w:ascii="Times New Roman" w:hAnsi="Times New Roman"/>
        </w:rPr>
      </w:pPr>
    </w:p>
    <w:p>
      <w:pPr>
        <w:pStyle w:val="162"/>
        <w:ind w:firstLine="0" w:firstLineChars="0"/>
        <w:outlineLvl w:val="1"/>
        <w:rPr>
          <w:rFonts w:ascii="Times New Roman" w:hAnsi="Times New Roman" w:eastAsia="方正仿宋简体"/>
          <w:b/>
        </w:rPr>
      </w:pPr>
      <w:r>
        <w:rPr>
          <w:rFonts w:ascii="Times New Roman" w:hAnsi="Times New Roman" w:eastAsia="方正仿宋简体"/>
          <w:b/>
          <w:szCs w:val="28"/>
        </w:rPr>
        <w:br w:type="page"/>
      </w:r>
      <w:bookmarkStart w:id="9" w:name="_Toc141954523"/>
      <w:bookmarkStart w:id="10" w:name="_Toc13963"/>
      <w:bookmarkStart w:id="11" w:name="_Toc129272519"/>
      <w:r>
        <w:rPr>
          <w:rFonts w:hint="eastAsia" w:hAnsi="黑体"/>
          <w:sz w:val="32"/>
          <w:szCs w:val="32"/>
        </w:rPr>
        <w:t>第三节 营业收入扣除相关事项</w:t>
      </w:r>
      <w:bookmarkEnd w:id="9"/>
      <w:bookmarkEnd w:id="10"/>
      <w:bookmarkEnd w:id="11"/>
    </w:p>
    <w:p>
      <w:pPr>
        <w:topLinePunct/>
        <w:adjustRightInd w:val="0"/>
        <w:snapToGrid w:val="0"/>
        <w:spacing w:line="560" w:lineRule="exact"/>
        <w:ind w:firstLine="643" w:firstLineChars="200"/>
        <w:outlineLvl w:val="2"/>
        <w:rPr>
          <w:rFonts w:ascii="黑体" w:hAnsi="黑体" w:eastAsia="黑体"/>
          <w:b/>
          <w:color w:val="000000"/>
          <w:sz w:val="32"/>
          <w:szCs w:val="32"/>
        </w:rPr>
      </w:pPr>
      <w:r>
        <w:rPr>
          <w:rFonts w:hint="eastAsia" w:ascii="黑体" w:hAnsi="黑体" w:eastAsia="黑体"/>
          <w:b/>
          <w:color w:val="000000"/>
          <w:sz w:val="32"/>
          <w:szCs w:val="32"/>
        </w:rPr>
        <w:t>一、总体要求</w:t>
      </w:r>
    </w:p>
    <w:p>
      <w:pPr>
        <w:tabs>
          <w:tab w:val="left" w:pos="540"/>
        </w:tabs>
        <w:spacing w:line="560" w:lineRule="exact"/>
        <w:ind w:firstLine="566" w:firstLineChars="177"/>
        <w:jc w:val="left"/>
        <w:rPr>
          <w:rFonts w:ascii="仿宋" w:hAnsi="仿宋" w:eastAsia="仿宋"/>
          <w:sz w:val="32"/>
          <w:szCs w:val="32"/>
        </w:rPr>
      </w:pPr>
      <w:r>
        <w:rPr>
          <w:rFonts w:hint="eastAsia" w:ascii="仿宋" w:hAnsi="仿宋" w:eastAsia="仿宋"/>
          <w:sz w:val="32"/>
          <w:szCs w:val="32"/>
        </w:rPr>
        <w:t>（一）</w:t>
      </w:r>
      <w:r>
        <w:rPr>
          <w:rFonts w:hint="eastAsia" w:ascii="仿宋" w:hAnsi="仿宋" w:eastAsia="仿宋"/>
          <w:color w:val="000000"/>
          <w:kern w:val="0"/>
          <w:sz w:val="32"/>
          <w:szCs w:val="32"/>
          <w:lang w:bidi="hi-IN"/>
        </w:rPr>
        <w:t>根据</w:t>
      </w:r>
      <w:r>
        <w:rPr>
          <w:rFonts w:hint="eastAsia" w:ascii="仿宋" w:hAnsi="仿宋" w:eastAsia="仿宋"/>
          <w:sz w:val="32"/>
          <w:szCs w:val="32"/>
        </w:rPr>
        <w:t>《创业板上市规则》的</w:t>
      </w:r>
      <w:r>
        <w:rPr>
          <w:rFonts w:hint="eastAsia" w:ascii="仿宋" w:hAnsi="仿宋" w:eastAsia="仿宋"/>
          <w:color w:val="000000"/>
          <w:kern w:val="0"/>
          <w:sz w:val="32"/>
          <w:szCs w:val="32"/>
          <w:lang w:bidi="hi-IN"/>
        </w:rPr>
        <w:t>规定，</w:t>
      </w:r>
      <w:r>
        <w:rPr>
          <w:rFonts w:ascii="仿宋" w:hAnsi="仿宋" w:eastAsia="仿宋"/>
          <w:sz w:val="32"/>
          <w:szCs w:val="32"/>
        </w:rPr>
        <w:t>最近一个会计年度经审计</w:t>
      </w:r>
      <w:r>
        <w:rPr>
          <w:rFonts w:hint="eastAsia" w:ascii="仿宋" w:hAnsi="仿宋" w:eastAsia="仿宋"/>
          <w:sz w:val="32"/>
          <w:szCs w:val="32"/>
        </w:rPr>
        <w:t>归属于母公司所有者的</w:t>
      </w:r>
      <w:r>
        <w:rPr>
          <w:rFonts w:ascii="仿宋" w:hAnsi="仿宋" w:eastAsia="仿宋"/>
          <w:sz w:val="32"/>
          <w:szCs w:val="32"/>
        </w:rPr>
        <w:t>净利润</w:t>
      </w:r>
      <w:r>
        <w:rPr>
          <w:rFonts w:hint="eastAsia" w:ascii="仿宋" w:hAnsi="仿宋" w:eastAsia="仿宋"/>
          <w:sz w:val="32"/>
          <w:szCs w:val="32"/>
        </w:rPr>
        <w:t>（</w:t>
      </w:r>
      <w:r>
        <w:rPr>
          <w:rFonts w:ascii="仿宋" w:hAnsi="仿宋" w:eastAsia="仿宋"/>
          <w:sz w:val="32"/>
          <w:szCs w:val="32"/>
        </w:rPr>
        <w:t>以扣除非经常性损益前后孰低者为准</w:t>
      </w:r>
      <w:r>
        <w:rPr>
          <w:rFonts w:hint="eastAsia" w:ascii="仿宋" w:hAnsi="仿宋" w:eastAsia="仿宋"/>
          <w:sz w:val="32"/>
          <w:szCs w:val="32"/>
        </w:rPr>
        <w:t>，以下简称净利润）</w:t>
      </w:r>
      <w:r>
        <w:rPr>
          <w:rFonts w:ascii="仿宋" w:hAnsi="仿宋" w:eastAsia="仿宋"/>
          <w:sz w:val="32"/>
          <w:szCs w:val="32"/>
        </w:rPr>
        <w:t>为负值的公司，应当在年度报告中披露营业收入扣除情况及扣除后的营业收入金额</w:t>
      </w:r>
      <w:r>
        <w:rPr>
          <w:rFonts w:hint="eastAsia" w:ascii="仿宋" w:hAnsi="仿宋" w:eastAsia="仿宋"/>
          <w:sz w:val="32"/>
          <w:szCs w:val="32"/>
        </w:rPr>
        <w:t>；</w:t>
      </w:r>
      <w:r>
        <w:rPr>
          <w:rFonts w:ascii="仿宋" w:hAnsi="仿宋" w:eastAsia="仿宋"/>
          <w:sz w:val="32"/>
          <w:szCs w:val="32"/>
        </w:rPr>
        <w:t>负责审计的会计师事务所应当就公司营业收入扣除事项是否</w:t>
      </w:r>
      <w:r>
        <w:rPr>
          <w:rFonts w:hint="eastAsia" w:ascii="仿宋" w:hAnsi="仿宋" w:eastAsia="仿宋"/>
          <w:sz w:val="32"/>
          <w:szCs w:val="32"/>
        </w:rPr>
        <w:t>合规</w:t>
      </w:r>
      <w:r>
        <w:rPr>
          <w:rFonts w:ascii="仿宋" w:hAnsi="仿宋" w:eastAsia="仿宋"/>
          <w:sz w:val="32"/>
          <w:szCs w:val="32"/>
        </w:rPr>
        <w:t>及扣除后的营业收入金额出具专项核查意见。</w:t>
      </w:r>
    </w:p>
    <w:p>
      <w:pPr>
        <w:tabs>
          <w:tab w:val="left" w:pos="540"/>
        </w:tabs>
        <w:spacing w:line="560" w:lineRule="exact"/>
        <w:ind w:firstLine="566" w:firstLineChars="177"/>
        <w:jc w:val="left"/>
        <w:rPr>
          <w:rFonts w:ascii="仿宋" w:hAnsi="仿宋" w:eastAsia="仿宋"/>
          <w:color w:val="000000"/>
          <w:kern w:val="0"/>
          <w:sz w:val="32"/>
          <w:szCs w:val="32"/>
          <w:lang w:bidi="hi-IN"/>
        </w:rPr>
      </w:pPr>
      <w:r>
        <w:rPr>
          <w:rFonts w:hint="eastAsia" w:ascii="仿宋" w:hAnsi="仿宋" w:eastAsia="仿宋"/>
          <w:sz w:val="32"/>
          <w:szCs w:val="32"/>
        </w:rPr>
        <w:t>（二）</w:t>
      </w:r>
      <w:r>
        <w:rPr>
          <w:rFonts w:hint="eastAsia" w:ascii="仿宋" w:hAnsi="仿宋" w:eastAsia="仿宋"/>
          <w:color w:val="000000"/>
          <w:kern w:val="0"/>
          <w:sz w:val="32"/>
          <w:szCs w:val="32"/>
          <w:lang w:bidi="hi-IN"/>
        </w:rPr>
        <w:t>上市公司应当确保营业</w:t>
      </w:r>
      <w:r>
        <w:rPr>
          <w:rFonts w:hint="eastAsia" w:ascii="仿宋" w:hAnsi="仿宋" w:eastAsia="仿宋"/>
          <w:sz w:val="32"/>
          <w:szCs w:val="32"/>
        </w:rPr>
        <w:t>收入确认的合规性、真实性、准确性、完整性以及</w:t>
      </w:r>
      <w:r>
        <w:rPr>
          <w:rFonts w:hint="eastAsia" w:ascii="仿宋" w:hAnsi="仿宋" w:eastAsia="仿宋"/>
          <w:color w:val="000000"/>
          <w:kern w:val="0"/>
          <w:sz w:val="32"/>
          <w:szCs w:val="32"/>
          <w:lang w:bidi="hi-IN"/>
        </w:rPr>
        <w:t>非经常性损益披露</w:t>
      </w:r>
      <w:r>
        <w:rPr>
          <w:rFonts w:hint="eastAsia" w:ascii="仿宋" w:hAnsi="仿宋" w:eastAsia="仿宋"/>
          <w:sz w:val="32"/>
          <w:szCs w:val="32"/>
        </w:rPr>
        <w:t>的真实性、</w:t>
      </w:r>
      <w:r>
        <w:rPr>
          <w:rFonts w:hint="eastAsia" w:ascii="仿宋" w:hAnsi="仿宋" w:eastAsia="仿宋"/>
          <w:color w:val="000000"/>
          <w:kern w:val="0"/>
          <w:sz w:val="32"/>
          <w:szCs w:val="32"/>
          <w:lang w:bidi="hi-IN"/>
        </w:rPr>
        <w:t>准确性、完整性;</w:t>
      </w:r>
      <w:r>
        <w:rPr>
          <w:rFonts w:hint="eastAsia" w:ascii="仿宋" w:hAnsi="仿宋" w:eastAsia="仿宋"/>
          <w:sz w:val="32"/>
          <w:szCs w:val="32"/>
        </w:rPr>
        <w:t>会计师事务所</w:t>
      </w:r>
      <w:r>
        <w:rPr>
          <w:rFonts w:hint="eastAsia" w:ascii="仿宋" w:hAnsi="仿宋" w:eastAsia="仿宋"/>
          <w:color w:val="000000"/>
          <w:kern w:val="0"/>
          <w:sz w:val="32"/>
          <w:szCs w:val="32"/>
          <w:lang w:bidi="hi-IN"/>
        </w:rPr>
        <w:t>应当重点关注上市公司</w:t>
      </w:r>
      <w:r>
        <w:rPr>
          <w:rFonts w:hint="eastAsia" w:ascii="仿宋" w:hAnsi="仿宋" w:eastAsia="仿宋"/>
          <w:sz w:val="32"/>
          <w:szCs w:val="32"/>
        </w:rPr>
        <w:t>收入和非经常性损益的合规性、真实性、准确性、完整性，避免公司通过调节收入或</w:t>
      </w:r>
      <w:r>
        <w:rPr>
          <w:rFonts w:hint="eastAsia" w:ascii="仿宋" w:hAnsi="仿宋" w:eastAsia="仿宋"/>
          <w:color w:val="000000"/>
          <w:kern w:val="0"/>
          <w:sz w:val="32"/>
          <w:szCs w:val="32"/>
          <w:lang w:bidi="hi-IN"/>
        </w:rPr>
        <w:t>非经常性损益规避执行</w:t>
      </w:r>
      <w:r>
        <w:rPr>
          <w:rFonts w:hint="eastAsia" w:ascii="仿宋" w:hAnsi="仿宋" w:eastAsia="仿宋"/>
          <w:sz w:val="32"/>
          <w:szCs w:val="32"/>
        </w:rPr>
        <w:t>《创业板上市规则》的</w:t>
      </w:r>
      <w:r>
        <w:rPr>
          <w:rFonts w:hint="eastAsia" w:ascii="仿宋" w:hAnsi="仿宋" w:eastAsia="仿宋"/>
          <w:color w:val="000000"/>
          <w:kern w:val="0"/>
          <w:sz w:val="32"/>
          <w:szCs w:val="32"/>
          <w:lang w:bidi="hi-IN"/>
        </w:rPr>
        <w:t>规定。</w:t>
      </w:r>
    </w:p>
    <w:p>
      <w:pPr>
        <w:tabs>
          <w:tab w:val="left" w:pos="540"/>
        </w:tabs>
        <w:spacing w:line="560" w:lineRule="exact"/>
        <w:ind w:firstLine="566" w:firstLineChars="177"/>
        <w:jc w:val="left"/>
        <w:rPr>
          <w:rFonts w:ascii="仿宋" w:hAnsi="仿宋" w:eastAsia="仿宋"/>
          <w:sz w:val="32"/>
          <w:szCs w:val="32"/>
        </w:rPr>
      </w:pPr>
      <w:r>
        <w:rPr>
          <w:rFonts w:hint="eastAsia" w:ascii="仿宋" w:hAnsi="仿宋" w:eastAsia="仿宋"/>
          <w:color w:val="000000"/>
          <w:kern w:val="0"/>
          <w:sz w:val="32"/>
          <w:szCs w:val="32"/>
          <w:lang w:bidi="hi-IN"/>
        </w:rPr>
        <w:t>（三）</w:t>
      </w:r>
      <w:r>
        <w:rPr>
          <w:rFonts w:hint="eastAsia" w:ascii="仿宋" w:hAnsi="仿宋" w:eastAsia="仿宋"/>
          <w:sz w:val="32"/>
          <w:szCs w:val="32"/>
        </w:rPr>
        <w:t>根据规定应当扣除相关营业收入的上市公司，需结合行业特点、自身经营模式等因素，基于业务与主营业务的关联程度和对交易商业实质的判断，对本节“二、营业收入具体扣除项”所述具体项目予以扣除；会计师事务所应当勤勉尽责、审慎执业，重点核查上市公司收入的真实性，在合理保证上市公司未确认不具备商业实质收入的基础上，核查营业收入扣除的合规性、准确性、完整性。</w:t>
      </w:r>
    </w:p>
    <w:p>
      <w:pPr>
        <w:tabs>
          <w:tab w:val="left" w:pos="540"/>
        </w:tabs>
        <w:spacing w:line="560" w:lineRule="exact"/>
        <w:ind w:firstLine="566" w:firstLineChars="177"/>
        <w:jc w:val="left"/>
        <w:rPr>
          <w:rFonts w:ascii="仿宋" w:hAnsi="仿宋" w:eastAsia="仿宋"/>
          <w:sz w:val="32"/>
          <w:szCs w:val="32"/>
        </w:rPr>
      </w:pPr>
      <w:r>
        <w:rPr>
          <w:rFonts w:hint="eastAsia" w:ascii="仿宋" w:hAnsi="仿宋" w:eastAsia="仿宋"/>
          <w:sz w:val="32"/>
          <w:szCs w:val="32"/>
        </w:rPr>
        <w:t>（四）上市公司应当根据附件格式，按项目逐一列示营业收入扣除的具体情况及扣除后的营业收入金额；会计师事务所应当对上市公司披露内容的合规性、真实性、准确性、完整性进行核实。</w:t>
      </w:r>
    </w:p>
    <w:p>
      <w:pPr>
        <w:topLinePunct/>
        <w:adjustRightInd w:val="0"/>
        <w:snapToGrid w:val="0"/>
        <w:spacing w:line="560" w:lineRule="exact"/>
        <w:ind w:firstLine="640" w:firstLineChars="200"/>
        <w:outlineLvl w:val="2"/>
        <w:rPr>
          <w:rFonts w:ascii="黑体" w:hAnsi="黑体" w:eastAsia="黑体"/>
          <w:color w:val="000000"/>
          <w:sz w:val="32"/>
          <w:szCs w:val="32"/>
        </w:rPr>
      </w:pPr>
      <w:r>
        <w:rPr>
          <w:rFonts w:hint="eastAsia" w:ascii="黑体" w:hAnsi="黑体" w:eastAsia="黑体"/>
          <w:color w:val="000000"/>
          <w:sz w:val="32"/>
          <w:szCs w:val="32"/>
        </w:rPr>
        <w:t>二、</w:t>
      </w:r>
      <w:r>
        <w:rPr>
          <w:rFonts w:ascii="黑体" w:hAnsi="黑体" w:eastAsia="黑体"/>
          <w:color w:val="000000"/>
          <w:sz w:val="32"/>
          <w:szCs w:val="32"/>
        </w:rPr>
        <w:t>营业收入</w:t>
      </w:r>
      <w:r>
        <w:rPr>
          <w:rFonts w:hint="eastAsia" w:ascii="黑体" w:hAnsi="黑体" w:eastAsia="黑体"/>
          <w:color w:val="000000"/>
          <w:sz w:val="32"/>
          <w:szCs w:val="32"/>
        </w:rPr>
        <w:t>具体</w:t>
      </w:r>
      <w:r>
        <w:rPr>
          <w:rFonts w:ascii="黑体" w:hAnsi="黑体" w:eastAsia="黑体"/>
          <w:color w:val="000000"/>
          <w:sz w:val="32"/>
          <w:szCs w:val="32"/>
        </w:rPr>
        <w:t>扣除</w:t>
      </w:r>
      <w:r>
        <w:rPr>
          <w:rFonts w:hint="eastAsia" w:ascii="黑体" w:hAnsi="黑体" w:eastAsia="黑体"/>
          <w:color w:val="000000"/>
          <w:sz w:val="32"/>
          <w:szCs w:val="32"/>
        </w:rPr>
        <w:t>项</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营业收入扣除项包括与主营业务无关的业务收入和不具备商业实质的收入。</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（一）与主营业务无关的业务收入是指与上市公司正常经营业务无直接关系，</w:t>
      </w:r>
      <w:r>
        <w:rPr>
          <w:rFonts w:ascii="仿宋" w:hAnsi="仿宋" w:eastAsia="仿宋"/>
          <w:sz w:val="32"/>
          <w:szCs w:val="32"/>
        </w:rPr>
        <w:t>或者</w:t>
      </w:r>
      <w:r>
        <w:rPr>
          <w:rFonts w:hint="eastAsia" w:ascii="仿宋" w:hAnsi="仿宋" w:eastAsia="仿宋"/>
          <w:sz w:val="32"/>
          <w:szCs w:val="32"/>
        </w:rPr>
        <w:t>虽与正常经营业务相关，但由于其性质特殊</w:t>
      </w:r>
      <w:r>
        <w:rPr>
          <w:rFonts w:ascii="仿宋" w:hAnsi="仿宋" w:eastAsia="仿宋"/>
          <w:sz w:val="32"/>
          <w:szCs w:val="32"/>
        </w:rPr>
        <w:t>、具有</w:t>
      </w:r>
      <w:r>
        <w:rPr>
          <w:rFonts w:hint="eastAsia" w:ascii="仿宋" w:hAnsi="仿宋" w:eastAsia="仿宋"/>
          <w:sz w:val="32"/>
          <w:szCs w:val="32"/>
        </w:rPr>
        <w:t>偶发性</w:t>
      </w:r>
      <w:r>
        <w:rPr>
          <w:rFonts w:ascii="仿宋" w:hAnsi="仿宋" w:eastAsia="仿宋"/>
          <w:sz w:val="32"/>
          <w:szCs w:val="32"/>
        </w:rPr>
        <w:t>和</w:t>
      </w:r>
      <w:r>
        <w:rPr>
          <w:rFonts w:hint="eastAsia" w:ascii="仿宋" w:hAnsi="仿宋" w:eastAsia="仿宋"/>
          <w:sz w:val="32"/>
          <w:szCs w:val="32"/>
        </w:rPr>
        <w:t>临时性，影响报表使用</w:t>
      </w:r>
      <w:r>
        <w:rPr>
          <w:rFonts w:ascii="仿宋" w:hAnsi="仿宋" w:eastAsia="仿宋"/>
          <w:sz w:val="32"/>
          <w:szCs w:val="32"/>
        </w:rPr>
        <w:t>者</w:t>
      </w:r>
      <w:r>
        <w:rPr>
          <w:rFonts w:hint="eastAsia" w:ascii="仿宋" w:hAnsi="仿宋" w:eastAsia="仿宋"/>
          <w:sz w:val="32"/>
          <w:szCs w:val="32"/>
        </w:rPr>
        <w:t>对公司持续经营能力做出正常判断的各项收入。</w:t>
      </w:r>
      <w:r>
        <w:rPr>
          <w:rFonts w:ascii="仿宋" w:hAnsi="仿宋" w:eastAsia="仿宋"/>
          <w:sz w:val="32"/>
          <w:szCs w:val="32"/>
        </w:rPr>
        <w:t>包括但不限于以下项目：</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1．正常经营之外的其他业务收入。如出租固定资产、无形资产、包装物，销售材料，用材料进行非货币性资产交换</w:t>
      </w:r>
      <w:r>
        <w:rPr>
          <w:rFonts w:ascii="仿宋" w:hAnsi="仿宋" w:eastAsia="仿宋"/>
          <w:sz w:val="32"/>
          <w:szCs w:val="32"/>
        </w:rPr>
        <w:t>，</w:t>
      </w:r>
      <w:r>
        <w:rPr>
          <w:rFonts w:hint="eastAsia" w:ascii="仿宋" w:hAnsi="仿宋" w:eastAsia="仿宋"/>
          <w:sz w:val="32"/>
          <w:szCs w:val="32"/>
        </w:rPr>
        <w:t>经营受托管理业务等实现的收入，以及虽计入主营业务收入，但属于上市公司正常经营之外的收入。</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2．不具备资质的类金融业务收入，如拆出资金利息收入；本会计年度以及上一会计年度新增的类金融业务所产生的收入，如担保、商业保理、小额贷款、融资租赁、典当等业务形成的收入，为销售主营产品而开展的融资租赁业务除外。</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3．本会计年度以及上一会计年度</w:t>
      </w:r>
      <w:r>
        <w:rPr>
          <w:rFonts w:ascii="仿宋" w:hAnsi="仿宋" w:eastAsia="仿宋"/>
          <w:sz w:val="32"/>
          <w:szCs w:val="32"/>
        </w:rPr>
        <w:t>新增</w:t>
      </w:r>
      <w:r>
        <w:rPr>
          <w:rFonts w:hint="eastAsia" w:ascii="仿宋" w:hAnsi="仿宋" w:eastAsia="仿宋"/>
          <w:sz w:val="32"/>
          <w:szCs w:val="32"/>
        </w:rPr>
        <w:t>贸易业务所</w:t>
      </w:r>
      <w:r>
        <w:rPr>
          <w:rFonts w:ascii="仿宋" w:hAnsi="仿宋" w:eastAsia="仿宋"/>
          <w:sz w:val="32"/>
          <w:szCs w:val="32"/>
        </w:rPr>
        <w:t>产生</w:t>
      </w:r>
      <w:r>
        <w:rPr>
          <w:rFonts w:hint="eastAsia" w:ascii="仿宋" w:hAnsi="仿宋" w:eastAsia="仿宋"/>
          <w:sz w:val="32"/>
          <w:szCs w:val="32"/>
        </w:rPr>
        <w:t>的收入。</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4．与上市公司现有正常经营业务无关的关联交易产生的收入。</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5．同一控制下企业合并的子公司期初至合并日的收入</w:t>
      </w:r>
      <w:r>
        <w:rPr>
          <w:rFonts w:ascii="仿宋" w:hAnsi="仿宋" w:eastAsia="仿宋"/>
          <w:sz w:val="32"/>
          <w:szCs w:val="32"/>
        </w:rPr>
        <w:t>。</w:t>
      </w:r>
    </w:p>
    <w:p>
      <w:pPr>
        <w:spacing w:line="560" w:lineRule="exact"/>
        <w:ind w:firstLine="640" w:firstLineChars="200"/>
        <w:jc w:val="left"/>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w:t>
      </w:r>
      <w:r>
        <w:rPr>
          <w:rFonts w:ascii="仿宋" w:hAnsi="仿宋" w:eastAsia="仿宋"/>
          <w:sz w:val="32"/>
          <w:szCs w:val="32"/>
        </w:rPr>
        <w:t>未形成</w:t>
      </w:r>
      <w:r>
        <w:rPr>
          <w:rFonts w:hint="eastAsia" w:ascii="仿宋" w:hAnsi="仿宋" w:eastAsia="仿宋"/>
          <w:sz w:val="32"/>
          <w:szCs w:val="32"/>
        </w:rPr>
        <w:t>或难以形成稳定业务模式的业务所产生的</w:t>
      </w:r>
      <w:r>
        <w:rPr>
          <w:rFonts w:ascii="仿宋" w:hAnsi="仿宋" w:eastAsia="仿宋"/>
          <w:sz w:val="32"/>
          <w:szCs w:val="32"/>
        </w:rPr>
        <w:t>收入。</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（二）不具备商业实质的收入是指未导致未来现金流发生显著变化等不具有商业合理性的各项交易和事项产生的收入。</w:t>
      </w:r>
      <w:r>
        <w:rPr>
          <w:rFonts w:ascii="仿宋" w:hAnsi="仿宋" w:eastAsia="仿宋"/>
          <w:sz w:val="32"/>
          <w:szCs w:val="32"/>
        </w:rPr>
        <w:t>包括但不限于以下项目：</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1．未显著改变企业未来现金流量的风险、时间分布或金额的交易或事项产生的收入。</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2．不具有真实业务的交易产生的</w:t>
      </w:r>
      <w:r>
        <w:rPr>
          <w:rFonts w:ascii="仿宋" w:hAnsi="仿宋" w:eastAsia="仿宋"/>
          <w:sz w:val="32"/>
          <w:szCs w:val="32"/>
        </w:rPr>
        <w:t>收入</w:t>
      </w:r>
      <w:r>
        <w:rPr>
          <w:rFonts w:hint="eastAsia" w:ascii="仿宋" w:hAnsi="仿宋" w:eastAsia="仿宋"/>
          <w:sz w:val="32"/>
          <w:szCs w:val="32"/>
        </w:rPr>
        <w:t>。如以自我交易的方式实现的虚假收入，利用互联网技术手段或其他方法构造交易产生的</w:t>
      </w:r>
      <w:r>
        <w:rPr>
          <w:rFonts w:ascii="仿宋" w:hAnsi="仿宋" w:eastAsia="仿宋"/>
          <w:sz w:val="32"/>
          <w:szCs w:val="32"/>
        </w:rPr>
        <w:t>虚假</w:t>
      </w:r>
      <w:r>
        <w:rPr>
          <w:rFonts w:hint="eastAsia" w:ascii="仿宋" w:hAnsi="仿宋" w:eastAsia="仿宋"/>
          <w:sz w:val="32"/>
          <w:szCs w:val="32"/>
        </w:rPr>
        <w:t>收入等。</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3．交易价格显失公允的业务产生的</w:t>
      </w:r>
      <w:r>
        <w:rPr>
          <w:rFonts w:ascii="仿宋" w:hAnsi="仿宋" w:eastAsia="仿宋"/>
          <w:sz w:val="32"/>
          <w:szCs w:val="32"/>
        </w:rPr>
        <w:t>收入</w:t>
      </w:r>
      <w:r>
        <w:rPr>
          <w:rFonts w:hint="eastAsia" w:ascii="仿宋" w:hAnsi="仿宋" w:eastAsia="仿宋"/>
          <w:sz w:val="32"/>
          <w:szCs w:val="32"/>
        </w:rPr>
        <w:t>。</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4．本会计年度</w:t>
      </w:r>
      <w:r>
        <w:rPr>
          <w:rFonts w:hint="eastAsia" w:ascii="仿宋" w:hAnsi="仿宋" w:eastAsia="仿宋"/>
          <w:color w:val="000000"/>
          <w:kern w:val="0"/>
          <w:sz w:val="32"/>
          <w:szCs w:val="32"/>
          <w:lang w:bidi="hi-IN"/>
        </w:rPr>
        <w:t>以显失公允的对价或非交易方式取得的企业合并的子公司或业务产生的收入。</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5．审计意见中非</w:t>
      </w:r>
      <w:r>
        <w:rPr>
          <w:rFonts w:ascii="仿宋" w:hAnsi="仿宋" w:eastAsia="仿宋"/>
          <w:sz w:val="32"/>
          <w:szCs w:val="32"/>
        </w:rPr>
        <w:t>标准</w:t>
      </w:r>
      <w:r>
        <w:rPr>
          <w:rFonts w:hint="eastAsia" w:ascii="仿宋" w:hAnsi="仿宋" w:eastAsia="仿宋"/>
          <w:sz w:val="32"/>
          <w:szCs w:val="32"/>
        </w:rPr>
        <w:t>审计意见涉及的</w:t>
      </w:r>
      <w:r>
        <w:rPr>
          <w:rFonts w:ascii="仿宋" w:hAnsi="仿宋" w:eastAsia="仿宋"/>
          <w:sz w:val="32"/>
          <w:szCs w:val="32"/>
        </w:rPr>
        <w:t>收入</w:t>
      </w:r>
      <w:r>
        <w:rPr>
          <w:rFonts w:hint="eastAsia" w:ascii="仿宋" w:hAnsi="仿宋" w:eastAsia="仿宋"/>
          <w:sz w:val="32"/>
          <w:szCs w:val="32"/>
        </w:rPr>
        <w:t>。</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其他不具有商业合理性的交易或事项产生的收入。</w:t>
      </w:r>
    </w:p>
    <w:p>
      <w:pPr>
        <w:topLinePunct/>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（三）与主营业务无关</w:t>
      </w:r>
      <w:r>
        <w:rPr>
          <w:rFonts w:ascii="仿宋" w:hAnsi="仿宋" w:eastAsia="仿宋"/>
          <w:sz w:val="32"/>
          <w:szCs w:val="32"/>
        </w:rPr>
        <w:t>或</w:t>
      </w:r>
      <w:r>
        <w:rPr>
          <w:rFonts w:hint="eastAsia" w:ascii="仿宋" w:hAnsi="仿宋" w:eastAsia="仿宋"/>
          <w:sz w:val="32"/>
          <w:szCs w:val="32"/>
        </w:rPr>
        <w:t>不具备商业实质的</w:t>
      </w:r>
      <w:r>
        <w:rPr>
          <w:rFonts w:ascii="仿宋" w:hAnsi="仿宋" w:eastAsia="仿宋"/>
          <w:sz w:val="32"/>
          <w:szCs w:val="32"/>
        </w:rPr>
        <w:t>其他</w:t>
      </w:r>
      <w:r>
        <w:rPr>
          <w:rFonts w:hint="eastAsia" w:ascii="仿宋" w:hAnsi="仿宋" w:eastAsia="仿宋"/>
          <w:sz w:val="32"/>
          <w:szCs w:val="32"/>
        </w:rPr>
        <w:t>收入。</w:t>
      </w:r>
    </w:p>
    <w:p>
      <w:pPr>
        <w:topLinePunct/>
        <w:adjustRightInd w:val="0"/>
        <w:snapToGrid w:val="0"/>
        <w:spacing w:line="560" w:lineRule="exact"/>
        <w:ind w:firstLine="640" w:firstLineChars="200"/>
        <w:outlineLvl w:val="2"/>
        <w:rPr>
          <w:rFonts w:ascii="黑体" w:hAnsi="黑体" w:eastAsia="黑体"/>
          <w:color w:val="000000"/>
          <w:sz w:val="32"/>
          <w:szCs w:val="32"/>
        </w:rPr>
      </w:pPr>
      <w:r>
        <w:rPr>
          <w:rFonts w:hint="eastAsia" w:ascii="黑体" w:hAnsi="黑体" w:eastAsia="黑体"/>
          <w:color w:val="000000"/>
          <w:sz w:val="32"/>
          <w:szCs w:val="32"/>
        </w:rPr>
        <w:t>三、中介机构核查要求</w:t>
      </w:r>
    </w:p>
    <w:p>
      <w:pPr>
        <w:adjustRightInd w:val="0"/>
        <w:snapToGrid w:val="0"/>
        <w:spacing w:line="560" w:lineRule="exact"/>
        <w:ind w:firstLine="640"/>
        <w:jc w:val="left"/>
        <w:rPr>
          <w:rFonts w:ascii="仿宋" w:hAnsi="仿宋" w:eastAsia="仿宋"/>
          <w:sz w:val="32"/>
          <w:szCs w:val="32"/>
        </w:rPr>
      </w:pPr>
      <w:r>
        <w:rPr>
          <w:rFonts w:hint="eastAsia" w:ascii="仿宋" w:hAnsi="仿宋" w:eastAsia="仿宋"/>
          <w:sz w:val="32"/>
          <w:szCs w:val="32"/>
        </w:rPr>
        <w:t>（一）会计师事务所应充分关注公司收入确认的合规性，特别是上市公司是否存在以总额法代替净额法核算等情形。对于收入确认方法存疑的，本所可提请会计师事务所核查收入确认的合规性、合理性并出具专项意见。</w:t>
      </w:r>
    </w:p>
    <w:p>
      <w:pPr>
        <w:adjustRightInd w:val="0"/>
        <w:snapToGrid w:val="0"/>
        <w:spacing w:line="560" w:lineRule="exact"/>
        <w:ind w:firstLine="640"/>
        <w:jc w:val="left"/>
        <w:rPr>
          <w:rFonts w:ascii="仿宋" w:hAnsi="仿宋" w:eastAsia="仿宋"/>
          <w:sz w:val="32"/>
          <w:szCs w:val="32"/>
        </w:rPr>
      </w:pPr>
      <w:r>
        <w:rPr>
          <w:rFonts w:hint="eastAsia" w:ascii="仿宋" w:hAnsi="仿宋" w:eastAsia="仿宋"/>
          <w:sz w:val="32"/>
          <w:szCs w:val="32"/>
        </w:rPr>
        <w:t>（二）会计师事务所在出具审计报告时，应当对非经常性损益项目、金额和附注予以充分关注。对营业收入低于1亿元但净利润为正值的公司，会计师事务所应当对其非经常性损益披露的真实性、准确性、完整性出具专项核查意见。对于非经常性损益披露存疑的，本所可提请会计师事务所核查非经常性损益披露的合规性、合理性并出具专项意见。</w:t>
      </w:r>
    </w:p>
    <w:p>
      <w:pPr>
        <w:adjustRightInd w:val="0"/>
        <w:snapToGrid w:val="0"/>
        <w:spacing w:line="560" w:lineRule="exact"/>
        <w:ind w:firstLine="640"/>
        <w:jc w:val="left"/>
        <w:rPr>
          <w:rFonts w:ascii="仿宋" w:hAnsi="仿宋" w:eastAsia="仿宋"/>
          <w:sz w:val="32"/>
          <w:szCs w:val="32"/>
        </w:rPr>
      </w:pPr>
      <w:r>
        <w:rPr>
          <w:rFonts w:hint="eastAsia" w:ascii="仿宋" w:hAnsi="仿宋" w:eastAsia="仿宋"/>
          <w:sz w:val="32"/>
          <w:szCs w:val="32"/>
        </w:rPr>
        <w:t>（三）会计师事务所对上市公司出具非标准审计意见涉及收入确认的，应当充分核查并在审计报告中说明非标准审计意见涉及的收入具体金额，出具无法表示意见的除外。营业收入扣除项目中出现不具备商业实质的收入，但会计师事务所出具标准无保留审计意见的，会计师事务所应当结合相关收入确认是否存在明显错报等情况充分说明审计意见出具的合规性、合理性，以及与收入扣除专项核查意见是否存在冲突及理由。</w:t>
      </w:r>
    </w:p>
    <w:p>
      <w:pPr>
        <w:adjustRightInd w:val="0"/>
        <w:snapToGrid w:val="0"/>
        <w:spacing w:line="560" w:lineRule="exact"/>
        <w:ind w:firstLine="640"/>
        <w:jc w:val="left"/>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四）会计师事务所在判断是否形成稳定业务模式时，至少应当关注以下内容：该项业务是否具有完整的投入、加工处理过程和产出能力，是否能够独立计算其成本费用以及所产生的收入；该项业务模式下公司能否对产品或服务提供加工或转换活动，从而实现产品或服务的价值提升；该项业务是否对客户、供应商存在重大依赖，是否具有可持续性；公司对该项业务是否已有一定规模的投入，公司是否具备相关业务经验</w:t>
      </w:r>
      <w:r>
        <w:rPr>
          <w:rFonts w:ascii="仿宋" w:hAnsi="仿宋" w:eastAsia="仿宋"/>
          <w:color w:val="000000"/>
          <w:kern w:val="0"/>
          <w:sz w:val="32"/>
          <w:szCs w:val="32"/>
          <w:lang w:bidi="hi-IN"/>
        </w:rPr>
        <w:t>。</w:t>
      </w:r>
    </w:p>
    <w:p>
      <w:pPr>
        <w:adjustRightInd w:val="0"/>
        <w:snapToGrid w:val="0"/>
        <w:spacing w:line="560" w:lineRule="exact"/>
        <w:ind w:firstLine="640"/>
        <w:jc w:val="left"/>
        <w:rPr>
          <w:rFonts w:ascii="仿宋" w:hAnsi="仿宋" w:eastAsia="仿宋"/>
          <w:color w:val="000000"/>
          <w:kern w:val="0"/>
          <w:sz w:val="32"/>
          <w:szCs w:val="32"/>
          <w:lang w:bidi="hi-IN"/>
        </w:rPr>
      </w:pPr>
    </w:p>
    <w:p>
      <w:pPr>
        <w:adjustRightInd w:val="0"/>
        <w:snapToGrid w:val="0"/>
        <w:spacing w:line="560" w:lineRule="exact"/>
        <w:ind w:firstLine="640"/>
        <w:jc w:val="left"/>
        <w:rPr>
          <w:rFonts w:ascii="仿宋" w:hAnsi="仿宋" w:eastAsia="仿宋"/>
          <w:color w:val="000000"/>
          <w:kern w:val="0"/>
          <w:sz w:val="32"/>
          <w:szCs w:val="32"/>
          <w:lang w:bidi="hi-IN"/>
        </w:rPr>
      </w:pPr>
    </w:p>
    <w:p>
      <w:pPr>
        <w:adjustRightInd w:val="0"/>
        <w:snapToGrid w:val="0"/>
        <w:spacing w:line="560" w:lineRule="exact"/>
        <w:jc w:val="left"/>
        <w:rPr>
          <w:rFonts w:ascii="黑体" w:hAnsi="黑体" w:eastAsia="黑体"/>
          <w:sz w:val="32"/>
          <w:szCs w:val="20"/>
        </w:rPr>
      </w:pPr>
      <w:r>
        <w:rPr>
          <w:rFonts w:ascii="仿宋" w:hAnsi="仿宋" w:eastAsia="仿宋"/>
          <w:color w:val="000000"/>
          <w:kern w:val="0"/>
          <w:sz w:val="32"/>
          <w:szCs w:val="32"/>
          <w:lang w:bidi="hi-IN"/>
        </w:rPr>
        <w:br w:type="page"/>
      </w:r>
      <w:r>
        <w:rPr>
          <w:rFonts w:hint="eastAsia" w:ascii="黑体" w:hAnsi="黑体" w:eastAsia="黑体"/>
          <w:sz w:val="32"/>
          <w:szCs w:val="20"/>
        </w:rPr>
        <w:t>附件</w:t>
      </w:r>
    </w:p>
    <w:p>
      <w:pPr>
        <w:adjustRightInd w:val="0"/>
        <w:snapToGrid w:val="0"/>
        <w:spacing w:line="560" w:lineRule="exact"/>
        <w:ind w:firstLine="640"/>
        <w:jc w:val="left"/>
        <w:rPr>
          <w:rFonts w:ascii="仿宋" w:hAnsi="仿宋" w:eastAsia="仿宋"/>
          <w:color w:val="000000"/>
          <w:kern w:val="0"/>
          <w:sz w:val="32"/>
          <w:szCs w:val="32"/>
          <w:lang w:bidi="hi-IN"/>
        </w:rPr>
      </w:pPr>
    </w:p>
    <w:p>
      <w:pPr>
        <w:jc w:val="center"/>
        <w:rPr>
          <w:rFonts w:ascii="方正小标宋简体" w:hAnsi="黑体" w:eastAsia="方正小标宋简体"/>
          <w:bCs/>
          <w:color w:val="000000"/>
          <w:sz w:val="32"/>
          <w:szCs w:val="32"/>
        </w:rPr>
      </w:pPr>
      <w:r>
        <w:rPr>
          <w:rFonts w:hint="eastAsia" w:ascii="方正小标宋简体" w:hAnsi="黑体" w:eastAsia="方正小标宋简体"/>
          <w:bCs/>
          <w:color w:val="000000"/>
          <w:sz w:val="32"/>
          <w:szCs w:val="32"/>
        </w:rPr>
        <w:t>XX公司20XX年度营业收入扣除情况表</w:t>
      </w:r>
    </w:p>
    <w:p>
      <w:pPr>
        <w:jc w:val="center"/>
        <w:rPr>
          <w:rFonts w:ascii="方正小标宋简体" w:hAnsi="黑体" w:eastAsia="方正小标宋简体"/>
          <w:bCs/>
          <w:color w:val="000000"/>
          <w:sz w:val="32"/>
          <w:szCs w:val="32"/>
        </w:rPr>
      </w:pP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7"/>
        <w:gridCol w:w="1366"/>
        <w:gridCol w:w="851"/>
        <w:gridCol w:w="1134"/>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vAlign w:val="center"/>
          </w:tcPr>
          <w:p>
            <w:pPr>
              <w:jc w:val="center"/>
              <w:rPr>
                <w:rFonts w:ascii="宋体" w:hAnsi="宋体"/>
                <w:b/>
                <w:kern w:val="0"/>
                <w:szCs w:val="21"/>
              </w:rPr>
            </w:pPr>
            <w:r>
              <w:rPr>
                <w:rFonts w:hint="eastAsia" w:ascii="宋体" w:hAnsi="宋体"/>
                <w:b/>
                <w:kern w:val="0"/>
                <w:szCs w:val="21"/>
              </w:rPr>
              <w:t>项目</w:t>
            </w:r>
          </w:p>
        </w:tc>
        <w:tc>
          <w:tcPr>
            <w:tcW w:w="1366" w:type="dxa"/>
            <w:vAlign w:val="center"/>
          </w:tcPr>
          <w:p>
            <w:pPr>
              <w:jc w:val="center"/>
              <w:rPr>
                <w:rFonts w:ascii="宋体" w:hAnsi="宋体"/>
                <w:b/>
                <w:kern w:val="0"/>
                <w:szCs w:val="21"/>
              </w:rPr>
            </w:pPr>
            <w:r>
              <w:rPr>
                <w:rFonts w:hint="eastAsia" w:ascii="宋体" w:hAnsi="宋体"/>
                <w:b/>
                <w:kern w:val="0"/>
                <w:szCs w:val="21"/>
              </w:rPr>
              <w:t>本年度</w:t>
            </w:r>
          </w:p>
          <w:p>
            <w:pPr>
              <w:jc w:val="center"/>
              <w:rPr>
                <w:rFonts w:ascii="宋体" w:hAnsi="宋体"/>
                <w:b/>
                <w:kern w:val="0"/>
                <w:szCs w:val="21"/>
              </w:rPr>
            </w:pPr>
            <w:r>
              <w:rPr>
                <w:rFonts w:hint="eastAsia" w:ascii="宋体" w:hAnsi="宋体"/>
                <w:b/>
                <w:kern w:val="0"/>
                <w:szCs w:val="21"/>
              </w:rPr>
              <w:t>（万元）</w:t>
            </w:r>
          </w:p>
        </w:tc>
        <w:tc>
          <w:tcPr>
            <w:tcW w:w="851" w:type="dxa"/>
          </w:tcPr>
          <w:p>
            <w:pPr>
              <w:jc w:val="center"/>
              <w:rPr>
                <w:rFonts w:ascii="宋体" w:hAnsi="宋体"/>
                <w:b/>
                <w:kern w:val="0"/>
                <w:szCs w:val="21"/>
              </w:rPr>
            </w:pPr>
            <w:r>
              <w:rPr>
                <w:rFonts w:hint="eastAsia" w:ascii="宋体" w:hAnsi="宋体"/>
                <w:b/>
                <w:kern w:val="0"/>
                <w:szCs w:val="21"/>
              </w:rPr>
              <w:t>具体扣除情况</w:t>
            </w:r>
          </w:p>
        </w:tc>
        <w:tc>
          <w:tcPr>
            <w:tcW w:w="1134" w:type="dxa"/>
            <w:vAlign w:val="center"/>
          </w:tcPr>
          <w:p>
            <w:pPr>
              <w:jc w:val="center"/>
              <w:rPr>
                <w:rFonts w:ascii="宋体" w:hAnsi="宋体"/>
                <w:b/>
                <w:kern w:val="0"/>
                <w:szCs w:val="21"/>
              </w:rPr>
            </w:pPr>
            <w:r>
              <w:rPr>
                <w:rFonts w:hint="eastAsia" w:ascii="宋体" w:hAnsi="宋体"/>
                <w:b/>
                <w:kern w:val="0"/>
                <w:szCs w:val="21"/>
              </w:rPr>
              <w:t>上年度</w:t>
            </w:r>
          </w:p>
          <w:p>
            <w:pPr>
              <w:jc w:val="center"/>
              <w:rPr>
                <w:rFonts w:ascii="宋体" w:hAnsi="宋体"/>
                <w:b/>
                <w:kern w:val="0"/>
                <w:szCs w:val="21"/>
              </w:rPr>
            </w:pPr>
            <w:r>
              <w:rPr>
                <w:rFonts w:hint="eastAsia" w:ascii="宋体" w:hAnsi="宋体"/>
                <w:b/>
                <w:kern w:val="0"/>
                <w:szCs w:val="21"/>
              </w:rPr>
              <w:t>（万元）</w:t>
            </w:r>
          </w:p>
        </w:tc>
        <w:tc>
          <w:tcPr>
            <w:tcW w:w="850" w:type="dxa"/>
            <w:vAlign w:val="center"/>
          </w:tcPr>
          <w:p>
            <w:pPr>
              <w:jc w:val="center"/>
              <w:rPr>
                <w:rFonts w:ascii="宋体" w:hAnsi="宋体"/>
                <w:b/>
                <w:kern w:val="0"/>
                <w:szCs w:val="21"/>
              </w:rPr>
            </w:pPr>
            <w:r>
              <w:rPr>
                <w:rFonts w:hint="eastAsia" w:ascii="宋体" w:hAnsi="宋体"/>
                <w:b/>
                <w:kern w:val="0"/>
                <w:szCs w:val="21"/>
              </w:rPr>
              <w:t>具体扣除情况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Pr>
          <w:p>
            <w:pPr>
              <w:jc w:val="left"/>
              <w:rPr>
                <w:rFonts w:ascii="宋体" w:hAnsi="宋体"/>
                <w:kern w:val="0"/>
                <w:szCs w:val="21"/>
              </w:rPr>
            </w:pPr>
            <w:r>
              <w:rPr>
                <w:rFonts w:hint="eastAsia" w:ascii="宋体" w:hAnsi="宋体"/>
                <w:kern w:val="0"/>
                <w:szCs w:val="21"/>
              </w:rPr>
              <w:t>营业收入金额</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hint="eastAsia" w:ascii="宋体" w:hAnsi="宋体"/>
                <w:kern w:val="0"/>
                <w:szCs w:val="21"/>
              </w:rPr>
              <w:t>营业收入扣除项目合计金额</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hint="eastAsia" w:ascii="宋体" w:hAnsi="宋体"/>
                <w:kern w:val="0"/>
                <w:szCs w:val="21"/>
              </w:rPr>
              <w:t>营业收入扣除项目合计金额占营业收入的比重</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rPr>
                <w:rFonts w:ascii="宋体" w:hAnsi="宋体"/>
                <w:kern w:val="0"/>
                <w:szCs w:val="21"/>
              </w:rPr>
            </w:pPr>
            <w:r>
              <w:rPr>
                <w:rFonts w:hint="eastAsia" w:ascii="宋体" w:hAnsi="宋体"/>
                <w:b/>
                <w:kern w:val="0"/>
                <w:szCs w:val="21"/>
              </w:rPr>
              <w:t>一、与主营业务无关的业务收入</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hint="eastAsia" w:ascii="宋体" w:hAnsi="宋体"/>
                <w:kern w:val="0"/>
                <w:szCs w:val="21"/>
              </w:rPr>
              <w:t>1．正常经营之外的其他业务收入。如出租固定资产、无形资产、包装物，销售材料，用材料进行非货币性资产交换</w:t>
            </w:r>
            <w:r>
              <w:rPr>
                <w:rFonts w:ascii="宋体" w:hAnsi="宋体"/>
                <w:kern w:val="0"/>
                <w:szCs w:val="21"/>
              </w:rPr>
              <w:t>，</w:t>
            </w:r>
            <w:r>
              <w:rPr>
                <w:rFonts w:hint="eastAsia" w:ascii="宋体" w:hAnsi="宋体"/>
                <w:kern w:val="0"/>
                <w:szCs w:val="21"/>
              </w:rPr>
              <w:t>经营受托管理业务等实现的收入，以及虽计入主营业务收入，但属于上市公司正常经营之外的收入。</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ascii="宋体" w:hAnsi="宋体"/>
                <w:kern w:val="0"/>
                <w:szCs w:val="21"/>
              </w:rPr>
              <w:t xml:space="preserve">2． </w:t>
            </w:r>
            <w:r>
              <w:rPr>
                <w:rFonts w:hint="eastAsia" w:ascii="宋体" w:hAnsi="宋体"/>
                <w:kern w:val="0"/>
                <w:szCs w:val="21"/>
              </w:rPr>
              <w:t>不具备资质的类金融业务收入，如拆出资金利息收入；本会计年度以及上一会计年度新增的类金融业务所产生的收入，如担保、商业保理、小额贷款、融资租赁、典当等业务形成的收入，为销售主营产品而开展的融资租赁业务除外。</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ascii="宋体" w:hAnsi="宋体"/>
                <w:kern w:val="0"/>
                <w:szCs w:val="21"/>
              </w:rPr>
              <w:t xml:space="preserve">3． </w:t>
            </w:r>
            <w:r>
              <w:rPr>
                <w:rFonts w:hint="eastAsia" w:ascii="宋体" w:hAnsi="宋体"/>
                <w:kern w:val="0"/>
                <w:szCs w:val="21"/>
              </w:rPr>
              <w:t>本会计年度以及上一会计年度</w:t>
            </w:r>
            <w:r>
              <w:rPr>
                <w:rFonts w:ascii="宋体" w:hAnsi="宋体"/>
                <w:kern w:val="0"/>
                <w:szCs w:val="21"/>
              </w:rPr>
              <w:t>新增</w:t>
            </w:r>
            <w:r>
              <w:rPr>
                <w:rFonts w:hint="eastAsia" w:ascii="宋体" w:hAnsi="宋体"/>
                <w:kern w:val="0"/>
                <w:szCs w:val="21"/>
              </w:rPr>
              <w:t>贸易业务所</w:t>
            </w:r>
            <w:r>
              <w:rPr>
                <w:rFonts w:ascii="宋体" w:hAnsi="宋体"/>
                <w:kern w:val="0"/>
                <w:szCs w:val="21"/>
              </w:rPr>
              <w:t>产生</w:t>
            </w:r>
            <w:r>
              <w:rPr>
                <w:rFonts w:hint="eastAsia" w:ascii="宋体" w:hAnsi="宋体"/>
                <w:kern w:val="0"/>
                <w:szCs w:val="21"/>
              </w:rPr>
              <w:t>的收入。</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ascii="宋体" w:hAnsi="宋体"/>
                <w:kern w:val="0"/>
                <w:szCs w:val="21"/>
              </w:rPr>
              <w:t>4．</w:t>
            </w:r>
            <w:r>
              <w:rPr>
                <w:rFonts w:hint="eastAsia" w:ascii="宋体" w:hAnsi="宋体"/>
                <w:kern w:val="0"/>
                <w:szCs w:val="21"/>
              </w:rPr>
              <w:t xml:space="preserve"> 与上市公司现有正常经营业务无关的关联交易产生的收入。</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hint="eastAsia" w:ascii="宋体" w:hAnsi="宋体"/>
                <w:kern w:val="0"/>
                <w:szCs w:val="21"/>
              </w:rPr>
              <w:t>5．同一控制下企业合并的子公司期初至合并日的收入</w:t>
            </w:r>
            <w:r>
              <w:rPr>
                <w:rFonts w:ascii="宋体" w:hAnsi="宋体"/>
                <w:kern w:val="0"/>
                <w:szCs w:val="21"/>
              </w:rPr>
              <w:t>。</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ascii="宋体" w:hAnsi="宋体"/>
                <w:kern w:val="0"/>
                <w:szCs w:val="21"/>
              </w:rPr>
              <w:t>6．未形成</w:t>
            </w:r>
            <w:r>
              <w:rPr>
                <w:rFonts w:hint="eastAsia" w:ascii="宋体" w:hAnsi="宋体"/>
                <w:kern w:val="0"/>
                <w:szCs w:val="21"/>
              </w:rPr>
              <w:t>或难以形成稳定业务模式的业务所产生的</w:t>
            </w:r>
            <w:r>
              <w:rPr>
                <w:rFonts w:ascii="宋体" w:hAnsi="宋体"/>
                <w:kern w:val="0"/>
                <w:szCs w:val="21"/>
              </w:rPr>
              <w:t>收入。</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rPr>
                <w:rFonts w:ascii="宋体" w:hAnsi="宋体"/>
                <w:b/>
                <w:kern w:val="0"/>
                <w:szCs w:val="21"/>
              </w:rPr>
            </w:pPr>
            <w:r>
              <w:rPr>
                <w:rFonts w:hint="eastAsia" w:ascii="宋体" w:hAnsi="宋体"/>
                <w:b/>
                <w:kern w:val="0"/>
                <w:szCs w:val="21"/>
              </w:rPr>
              <w:t>与主营业务无关的业务收入小计</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rPr>
                <w:rFonts w:ascii="宋体" w:hAnsi="宋体"/>
                <w:b/>
                <w:kern w:val="0"/>
                <w:szCs w:val="21"/>
              </w:rPr>
            </w:pPr>
            <w:r>
              <w:rPr>
                <w:rFonts w:hint="eastAsia" w:ascii="宋体" w:hAnsi="宋体"/>
                <w:b/>
                <w:kern w:val="0"/>
                <w:szCs w:val="21"/>
              </w:rPr>
              <w:t>二、不具备商业实质的收入</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hint="eastAsia" w:ascii="宋体" w:hAnsi="宋体"/>
                <w:kern w:val="0"/>
                <w:szCs w:val="21"/>
              </w:rPr>
              <w:t>1． 未显著改变企业未来现金流量的风险、时间分布或金额的交易或事项产生的收入。</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hint="eastAsia" w:ascii="宋体" w:hAnsi="宋体"/>
                <w:kern w:val="0"/>
                <w:szCs w:val="21"/>
              </w:rPr>
              <w:t>2．不具有真实业务的交易产生的</w:t>
            </w:r>
            <w:r>
              <w:rPr>
                <w:rFonts w:ascii="宋体" w:hAnsi="宋体"/>
                <w:kern w:val="0"/>
                <w:szCs w:val="21"/>
              </w:rPr>
              <w:t>收入</w:t>
            </w:r>
            <w:r>
              <w:rPr>
                <w:rFonts w:hint="eastAsia" w:ascii="宋体" w:hAnsi="宋体"/>
                <w:kern w:val="0"/>
                <w:szCs w:val="21"/>
              </w:rPr>
              <w:t>。如以自我交易的方式实现的虚假收入，利用互联网技术手段或其他方法构造交易产生的</w:t>
            </w:r>
            <w:r>
              <w:rPr>
                <w:rFonts w:ascii="宋体" w:hAnsi="宋体"/>
                <w:kern w:val="0"/>
                <w:szCs w:val="21"/>
              </w:rPr>
              <w:t>虚假</w:t>
            </w:r>
            <w:r>
              <w:rPr>
                <w:rFonts w:hint="eastAsia" w:ascii="宋体" w:hAnsi="宋体"/>
                <w:kern w:val="0"/>
                <w:szCs w:val="21"/>
              </w:rPr>
              <w:t>收入等。</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hint="eastAsia" w:ascii="宋体" w:hAnsi="宋体"/>
                <w:kern w:val="0"/>
                <w:szCs w:val="21"/>
              </w:rPr>
              <w:t>3． 交易价格显失公允的业务产生的</w:t>
            </w:r>
            <w:r>
              <w:rPr>
                <w:rFonts w:ascii="宋体" w:hAnsi="宋体"/>
                <w:kern w:val="0"/>
                <w:szCs w:val="21"/>
              </w:rPr>
              <w:t>收入</w:t>
            </w:r>
            <w:r>
              <w:rPr>
                <w:rFonts w:hint="eastAsia" w:ascii="宋体" w:hAnsi="宋体"/>
                <w:kern w:val="0"/>
                <w:szCs w:val="21"/>
              </w:rPr>
              <w:t>。</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hint="eastAsia" w:ascii="宋体" w:hAnsi="宋体"/>
                <w:kern w:val="0"/>
                <w:szCs w:val="21"/>
              </w:rPr>
              <w:t>4． 本会计年度以显失公允的对价或非交易方式取得的企业合并的子公司或业务产生的收入。</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hint="eastAsia" w:ascii="宋体" w:hAnsi="宋体"/>
                <w:kern w:val="0"/>
                <w:szCs w:val="21"/>
              </w:rPr>
              <w:t>5． 审计意见中非</w:t>
            </w:r>
            <w:r>
              <w:rPr>
                <w:rFonts w:ascii="宋体" w:hAnsi="宋体"/>
                <w:kern w:val="0"/>
                <w:szCs w:val="21"/>
              </w:rPr>
              <w:t>标准</w:t>
            </w:r>
            <w:r>
              <w:rPr>
                <w:rFonts w:hint="eastAsia" w:ascii="宋体" w:hAnsi="宋体"/>
                <w:kern w:val="0"/>
                <w:szCs w:val="21"/>
              </w:rPr>
              <w:t>审计意见涉及的</w:t>
            </w:r>
            <w:r>
              <w:rPr>
                <w:rFonts w:ascii="宋体" w:hAnsi="宋体"/>
                <w:kern w:val="0"/>
                <w:szCs w:val="21"/>
              </w:rPr>
              <w:t>收入</w:t>
            </w:r>
            <w:r>
              <w:rPr>
                <w:rFonts w:hint="eastAsia" w:ascii="宋体" w:hAnsi="宋体"/>
                <w:kern w:val="0"/>
                <w:szCs w:val="21"/>
              </w:rPr>
              <w:t>。</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kern w:val="0"/>
                <w:szCs w:val="21"/>
              </w:rPr>
            </w:pPr>
            <w:r>
              <w:rPr>
                <w:rFonts w:hint="eastAsia" w:ascii="宋体" w:hAnsi="宋体"/>
                <w:kern w:val="0"/>
                <w:szCs w:val="21"/>
              </w:rPr>
              <w:t xml:space="preserve">6． </w:t>
            </w:r>
            <w:r>
              <w:rPr>
                <w:rFonts w:ascii="宋体" w:hAnsi="宋体"/>
                <w:kern w:val="0"/>
                <w:szCs w:val="21"/>
              </w:rPr>
              <w:t>其他不具有商业合理性的交易或事项产生的收入。</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rPr>
                <w:rFonts w:ascii="宋体" w:hAnsi="宋体"/>
                <w:b/>
                <w:kern w:val="0"/>
                <w:szCs w:val="21"/>
              </w:rPr>
            </w:pPr>
            <w:r>
              <w:rPr>
                <w:rFonts w:hint="eastAsia" w:ascii="宋体" w:hAnsi="宋体"/>
                <w:b/>
                <w:kern w:val="0"/>
                <w:szCs w:val="21"/>
              </w:rPr>
              <w:t>不具备商业实质的收入小计</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Borders>
              <w:bottom w:val="single" w:color="auto" w:sz="4" w:space="0"/>
            </w:tcBorders>
          </w:tcPr>
          <w:p>
            <w:pPr>
              <w:jc w:val="left"/>
              <w:rPr>
                <w:rFonts w:ascii="宋体" w:hAnsi="宋体"/>
                <w:b/>
                <w:kern w:val="0"/>
                <w:szCs w:val="21"/>
              </w:rPr>
            </w:pPr>
            <w:r>
              <w:rPr>
                <w:rFonts w:hint="eastAsia" w:ascii="宋体" w:hAnsi="宋体"/>
                <w:b/>
                <w:kern w:val="0"/>
                <w:szCs w:val="21"/>
              </w:rPr>
              <w:t>三、与主营业务无关</w:t>
            </w:r>
            <w:r>
              <w:rPr>
                <w:rFonts w:ascii="宋体" w:hAnsi="宋体"/>
                <w:b/>
                <w:kern w:val="0"/>
                <w:szCs w:val="21"/>
              </w:rPr>
              <w:t>或</w:t>
            </w:r>
            <w:r>
              <w:rPr>
                <w:rFonts w:hint="eastAsia" w:ascii="宋体" w:hAnsi="宋体"/>
                <w:b/>
                <w:kern w:val="0"/>
                <w:szCs w:val="21"/>
              </w:rPr>
              <w:t>不具备商业实质的</w:t>
            </w:r>
            <w:r>
              <w:rPr>
                <w:rFonts w:ascii="宋体" w:hAnsi="宋体"/>
                <w:b/>
                <w:kern w:val="0"/>
                <w:szCs w:val="21"/>
              </w:rPr>
              <w:t>其他</w:t>
            </w:r>
            <w:r>
              <w:rPr>
                <w:rFonts w:hint="eastAsia" w:ascii="宋体" w:hAnsi="宋体"/>
                <w:b/>
                <w:kern w:val="0"/>
                <w:szCs w:val="21"/>
              </w:rPr>
              <w:t>收入</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7" w:type="dxa"/>
          </w:tcPr>
          <w:p>
            <w:pPr>
              <w:rPr>
                <w:rFonts w:ascii="宋体" w:hAnsi="宋体"/>
                <w:kern w:val="0"/>
                <w:szCs w:val="21"/>
              </w:rPr>
            </w:pPr>
            <w:r>
              <w:rPr>
                <w:rFonts w:hint="eastAsia" w:ascii="宋体" w:hAnsi="宋体"/>
                <w:kern w:val="0"/>
                <w:szCs w:val="21"/>
              </w:rPr>
              <w:t>营业收入扣除后金额</w:t>
            </w:r>
          </w:p>
        </w:tc>
        <w:tc>
          <w:tcPr>
            <w:tcW w:w="1366" w:type="dxa"/>
          </w:tcPr>
          <w:p>
            <w:pPr>
              <w:rPr>
                <w:rFonts w:ascii="宋体" w:hAnsi="宋体"/>
                <w:kern w:val="0"/>
                <w:szCs w:val="21"/>
              </w:rPr>
            </w:pPr>
          </w:p>
        </w:tc>
        <w:tc>
          <w:tcPr>
            <w:tcW w:w="851" w:type="dxa"/>
          </w:tcPr>
          <w:p>
            <w:pPr>
              <w:rPr>
                <w:rFonts w:ascii="宋体" w:hAnsi="宋体"/>
                <w:kern w:val="0"/>
                <w:szCs w:val="21"/>
              </w:rPr>
            </w:pPr>
          </w:p>
        </w:tc>
        <w:tc>
          <w:tcPr>
            <w:tcW w:w="1134" w:type="dxa"/>
          </w:tcPr>
          <w:p>
            <w:pPr>
              <w:rPr>
                <w:rFonts w:ascii="宋体" w:hAnsi="宋体"/>
                <w:kern w:val="0"/>
                <w:szCs w:val="21"/>
              </w:rPr>
            </w:pPr>
          </w:p>
        </w:tc>
        <w:tc>
          <w:tcPr>
            <w:tcW w:w="850" w:type="dxa"/>
          </w:tcPr>
          <w:p>
            <w:pPr>
              <w:rPr>
                <w:rFonts w:ascii="宋体" w:hAnsi="宋体"/>
                <w:kern w:val="0"/>
                <w:szCs w:val="21"/>
              </w:rPr>
            </w:pPr>
          </w:p>
        </w:tc>
      </w:tr>
    </w:tbl>
    <w:p>
      <w:pPr>
        <w:widowControl/>
        <w:jc w:val="left"/>
        <w:rPr>
          <w:rFonts w:ascii="宋体" w:hAnsi="宋体" w:cs="Mangal"/>
          <w:szCs w:val="21"/>
        </w:rPr>
      </w:pPr>
      <w:r>
        <w:rPr>
          <w:rFonts w:hint="eastAsia" w:ascii="宋体" w:hAnsi="宋体" w:cs="Mangal"/>
          <w:szCs w:val="21"/>
        </w:rPr>
        <w:t>注：不存在应扣除营业收入（扣除金额填0）的，也应当简要说明。判断依据篇幅过长的，可索引年度报告正文披露内容。</w:t>
      </w:r>
    </w:p>
    <w:p>
      <w:pPr>
        <w:pStyle w:val="162"/>
        <w:ind w:firstLine="0" w:firstLineChars="0"/>
        <w:outlineLvl w:val="1"/>
        <w:rPr>
          <w:rFonts w:hAnsi="黑体"/>
          <w:sz w:val="32"/>
          <w:szCs w:val="32"/>
        </w:rPr>
      </w:pPr>
      <w:r>
        <w:rPr>
          <w:rFonts w:ascii="Times New Roman" w:hAnsi="Times New Roman" w:eastAsia="仿宋" w:cs="Mangal"/>
          <w:szCs w:val="21"/>
        </w:rPr>
        <w:br w:type="page"/>
      </w:r>
      <w:bookmarkStart w:id="12" w:name="_Toc129272520"/>
      <w:bookmarkStart w:id="13" w:name="_Toc6557"/>
      <w:bookmarkStart w:id="14" w:name="_Toc141954524"/>
      <w:bookmarkStart w:id="15" w:name="_Toc89356982"/>
      <w:r>
        <w:rPr>
          <w:rFonts w:hint="eastAsia" w:hAnsi="黑体"/>
          <w:sz w:val="32"/>
          <w:szCs w:val="32"/>
        </w:rPr>
        <w:t xml:space="preserve">第四节 </w:t>
      </w:r>
      <w:r>
        <w:rPr>
          <w:rFonts w:hAnsi="黑体"/>
          <w:sz w:val="32"/>
          <w:szCs w:val="32"/>
        </w:rPr>
        <w:t>限售股份解除限售</w:t>
      </w:r>
      <w:bookmarkEnd w:id="12"/>
      <w:bookmarkEnd w:id="13"/>
      <w:bookmarkEnd w:id="14"/>
    </w:p>
    <w:p>
      <w:pPr>
        <w:topLinePunct/>
        <w:adjustRightInd w:val="0"/>
        <w:snapToGrid w:val="0"/>
        <w:spacing w:line="560" w:lineRule="exact"/>
        <w:ind w:firstLine="643" w:firstLineChars="200"/>
        <w:outlineLvl w:val="2"/>
        <w:rPr>
          <w:rFonts w:ascii="黑体" w:hAnsi="黑体" w:eastAsia="黑体"/>
          <w:b/>
          <w:color w:val="000000"/>
          <w:sz w:val="32"/>
          <w:szCs w:val="32"/>
        </w:rPr>
      </w:pPr>
      <w:r>
        <w:rPr>
          <w:rFonts w:ascii="黑体" w:hAnsi="黑体" w:eastAsia="黑体"/>
          <w:b/>
          <w:color w:val="000000"/>
          <w:sz w:val="32"/>
          <w:szCs w:val="32"/>
        </w:rPr>
        <w:t>一、申请对限售股份解除限售应当满足的条件</w:t>
      </w:r>
    </w:p>
    <w:p>
      <w:pPr>
        <w:pStyle w:val="36"/>
        <w:spacing w:line="560" w:lineRule="exact"/>
        <w:ind w:firstLine="614"/>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申请解除限售的股份限售期届满；</w:t>
      </w:r>
    </w:p>
    <w:p>
      <w:pPr>
        <w:pStyle w:val="36"/>
        <w:spacing w:line="560" w:lineRule="exact"/>
        <w:ind w:firstLine="614"/>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．股东</w:t>
      </w:r>
      <w:r>
        <w:rPr>
          <w:rFonts w:ascii="仿宋" w:hAnsi="仿宋" w:eastAsia="仿宋"/>
          <w:sz w:val="32"/>
          <w:szCs w:val="32"/>
        </w:rPr>
        <w:t>申请解除限售不违反</w:t>
      </w:r>
      <w:r>
        <w:rPr>
          <w:rFonts w:hint="eastAsia" w:ascii="仿宋" w:hAnsi="仿宋" w:eastAsia="仿宋"/>
          <w:sz w:val="32"/>
          <w:szCs w:val="32"/>
        </w:rPr>
        <w:t>其作出的有关</w:t>
      </w:r>
      <w:r>
        <w:rPr>
          <w:rFonts w:ascii="仿宋" w:hAnsi="仿宋" w:eastAsia="仿宋"/>
          <w:sz w:val="32"/>
          <w:szCs w:val="32"/>
        </w:rPr>
        <w:t>承诺；</w:t>
      </w:r>
    </w:p>
    <w:p>
      <w:pPr>
        <w:pStyle w:val="36"/>
        <w:spacing w:line="560" w:lineRule="exact"/>
        <w:ind w:firstLine="614"/>
        <w:rPr>
          <w:rFonts w:ascii="仿宋" w:hAnsi="仿宋" w:eastAsia="仿宋"/>
          <w:sz w:val="32"/>
          <w:szCs w:val="32"/>
        </w:rPr>
      </w:pPr>
      <w:r>
        <w:rPr>
          <w:rFonts w:hint="eastAsia" w:ascii="仿宋" w:hAnsi="仿宋" w:eastAsia="仿宋"/>
          <w:sz w:val="32"/>
          <w:szCs w:val="32"/>
        </w:rPr>
        <w:t>3．申请解除限售的股东不存在对上市公司资金占用或上市公司对该股东的违规担保等损害上市公司利益的行为；</w:t>
      </w:r>
    </w:p>
    <w:p>
      <w:pPr>
        <w:pStyle w:val="36"/>
        <w:spacing w:line="560" w:lineRule="exact"/>
        <w:ind w:firstLine="614"/>
        <w:rPr>
          <w:rFonts w:ascii="仿宋" w:hAnsi="仿宋" w:eastAsia="仿宋"/>
          <w:sz w:val="32"/>
          <w:szCs w:val="32"/>
        </w:rPr>
      </w:pPr>
      <w:r>
        <w:rPr>
          <w:rFonts w:hint="eastAsia" w:ascii="仿宋" w:hAnsi="仿宋" w:eastAsia="仿宋"/>
          <w:sz w:val="32"/>
          <w:szCs w:val="32"/>
        </w:rPr>
        <w:t>4．申请解除限售的股份不存在因法律法规或者本所业务规则等规定的限制转让情形。</w:t>
      </w:r>
    </w:p>
    <w:p>
      <w:pPr>
        <w:pStyle w:val="36"/>
        <w:spacing w:line="560" w:lineRule="exact"/>
        <w:ind w:firstLine="614"/>
        <w:rPr>
          <w:rFonts w:ascii="仿宋" w:hAnsi="仿宋" w:eastAsia="仿宋"/>
          <w:sz w:val="32"/>
          <w:szCs w:val="32"/>
        </w:rPr>
      </w:pPr>
      <w:r>
        <w:rPr>
          <w:rFonts w:ascii="仿宋" w:hAnsi="仿宋" w:eastAsia="仿宋"/>
          <w:sz w:val="32"/>
          <w:szCs w:val="32"/>
        </w:rPr>
        <w:t>股东按照业绩补偿协议向其他股东赠与股份，该部分赠与的限售股份解除限售不适用上述</w:t>
      </w:r>
      <w:r>
        <w:rPr>
          <w:rFonts w:hint="eastAsia" w:ascii="仿宋" w:hAnsi="仿宋" w:eastAsia="仿宋"/>
          <w:sz w:val="32"/>
          <w:szCs w:val="32"/>
        </w:rPr>
        <w:t>关于股份解除限售条件的</w:t>
      </w:r>
      <w:r>
        <w:rPr>
          <w:rFonts w:ascii="仿宋" w:hAnsi="仿宋" w:eastAsia="仿宋"/>
          <w:sz w:val="32"/>
          <w:szCs w:val="32"/>
        </w:rPr>
        <w:t>要求。</w:t>
      </w:r>
    </w:p>
    <w:p>
      <w:pPr>
        <w:pStyle w:val="36"/>
        <w:spacing w:line="560" w:lineRule="exact"/>
        <w:ind w:firstLine="614"/>
        <w:outlineLvl w:val="2"/>
        <w:rPr>
          <w:rFonts w:eastAsia="方正黑体简体"/>
          <w:color w:val="000000"/>
          <w:sz w:val="32"/>
          <w:szCs w:val="32"/>
        </w:rPr>
      </w:pPr>
      <w:r>
        <w:rPr>
          <w:rFonts w:eastAsia="方正黑体简体"/>
          <w:color w:val="000000"/>
          <w:sz w:val="32"/>
          <w:szCs w:val="32"/>
        </w:rPr>
        <w:t>二、申请对限售股份解除限售的流程</w:t>
      </w:r>
    </w:p>
    <w:p>
      <w:pPr>
        <w:pStyle w:val="36"/>
        <w:spacing w:line="560" w:lineRule="exact"/>
        <w:ind w:firstLine="614"/>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上市公司董事会向中国证券登记结算有限责任公司深圳分公司（以下简称结算公司）申请查询并下载上市公司股本结构表、限售股份明细清单；</w:t>
      </w:r>
    </w:p>
    <w:p>
      <w:pPr>
        <w:pStyle w:val="36"/>
        <w:spacing w:line="560" w:lineRule="exact"/>
        <w:ind w:firstLine="614"/>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上市公司董事会按照本指南的规定向本所提交申请材料，本所审查无异议后，将业务表单传递至结算公司；</w:t>
      </w:r>
    </w:p>
    <w:p>
      <w:pPr>
        <w:pStyle w:val="36"/>
        <w:spacing w:line="560" w:lineRule="exact"/>
        <w:ind w:firstLine="614"/>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上市公司按照结算公司的相关规定向结算公司提交申请材料；</w:t>
      </w:r>
    </w:p>
    <w:p>
      <w:pPr>
        <w:pStyle w:val="36"/>
        <w:spacing w:line="560" w:lineRule="exact"/>
        <w:ind w:firstLine="614"/>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w:t>
      </w:r>
      <w:r>
        <w:rPr>
          <w:rFonts w:ascii="仿宋" w:hAnsi="仿宋" w:eastAsia="仿宋"/>
          <w:sz w:val="32"/>
          <w:szCs w:val="32"/>
        </w:rPr>
        <w:t>本所收悉结算公司对申请材料审查无异议的回复后，通知上市公司董事会及时进行信息披露。</w:t>
      </w:r>
    </w:p>
    <w:p>
      <w:pPr>
        <w:pStyle w:val="36"/>
        <w:spacing w:line="560" w:lineRule="exact"/>
        <w:ind w:firstLine="614"/>
        <w:outlineLvl w:val="2"/>
        <w:rPr>
          <w:rFonts w:eastAsia="方正黑体简体"/>
          <w:color w:val="000000"/>
          <w:sz w:val="32"/>
          <w:szCs w:val="32"/>
        </w:rPr>
      </w:pPr>
      <w:r>
        <w:rPr>
          <w:rFonts w:eastAsia="方正黑体简体"/>
          <w:color w:val="000000"/>
          <w:sz w:val="32"/>
          <w:szCs w:val="32"/>
        </w:rPr>
        <w:t>三、申请对限售股份解除限售时应当提交的材料</w:t>
      </w:r>
    </w:p>
    <w:p>
      <w:pPr>
        <w:pStyle w:val="36"/>
        <w:spacing w:line="560" w:lineRule="exact"/>
        <w:ind w:firstLine="614"/>
        <w:rPr>
          <w:rFonts w:ascii="仿宋" w:hAnsi="仿宋" w:eastAsia="仿宋"/>
          <w:sz w:val="32"/>
          <w:szCs w:val="32"/>
        </w:rPr>
      </w:pPr>
      <w:r>
        <w:rPr>
          <w:rFonts w:ascii="仿宋" w:hAnsi="仿宋" w:eastAsia="仿宋"/>
          <w:sz w:val="32"/>
          <w:szCs w:val="32"/>
        </w:rPr>
        <w:t>上市公司股东可在满足解除限售相关条件时，委托上市公司董事会在拟申请解除限售日五个交易日前向本所申请办理对其所持股份解除限售的有关手续。上市公司董事会应当向本所提交以下材料：</w:t>
      </w:r>
    </w:p>
    <w:p>
      <w:pPr>
        <w:pStyle w:val="36"/>
        <w:spacing w:line="560" w:lineRule="exact"/>
        <w:ind w:firstLine="614"/>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结算公司出具的上市公司股本结构表、限售股份明细清单；</w:t>
      </w:r>
    </w:p>
    <w:p>
      <w:pPr>
        <w:pStyle w:val="36"/>
        <w:spacing w:line="560" w:lineRule="exact"/>
        <w:ind w:firstLine="614"/>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上市公司董事会出具的《上市公司限售股份解除限售申请表》（见附件）和限售股份上市流通申请书；</w:t>
      </w:r>
    </w:p>
    <w:p>
      <w:pPr>
        <w:pStyle w:val="36"/>
        <w:spacing w:line="560" w:lineRule="exact"/>
        <w:ind w:firstLine="614"/>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保荐机构或者独立财务顾问关于限售股份解除限售的核查意见（如适用）；</w:t>
      </w:r>
    </w:p>
    <w:p>
      <w:pPr>
        <w:pStyle w:val="36"/>
        <w:spacing w:line="560" w:lineRule="exact"/>
        <w:ind w:firstLine="614"/>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w:t>
      </w:r>
      <w:r>
        <w:rPr>
          <w:rFonts w:ascii="仿宋" w:hAnsi="仿宋" w:eastAsia="仿宋"/>
          <w:sz w:val="32"/>
          <w:szCs w:val="32"/>
        </w:rPr>
        <w:t>上市公司董事会出具的限售股份上市流通提示性公告；</w:t>
      </w:r>
    </w:p>
    <w:p>
      <w:pPr>
        <w:pStyle w:val="36"/>
        <w:spacing w:line="560" w:lineRule="exact"/>
        <w:ind w:firstLine="614"/>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w:t>
      </w:r>
      <w:r>
        <w:rPr>
          <w:rFonts w:ascii="仿宋" w:hAnsi="仿宋" w:eastAsia="仿宋"/>
          <w:sz w:val="32"/>
          <w:szCs w:val="32"/>
        </w:rPr>
        <w:t>本所要求的其他文件。</w:t>
      </w:r>
    </w:p>
    <w:p>
      <w:pPr>
        <w:pStyle w:val="36"/>
        <w:spacing w:line="560" w:lineRule="exact"/>
        <w:ind w:firstLine="614"/>
        <w:rPr>
          <w:rFonts w:ascii="仿宋" w:hAnsi="仿宋" w:eastAsia="仿宋"/>
          <w:sz w:val="32"/>
          <w:szCs w:val="32"/>
        </w:rPr>
      </w:pPr>
      <w:r>
        <w:rPr>
          <w:rFonts w:ascii="仿宋" w:hAnsi="仿宋" w:eastAsia="仿宋"/>
          <w:sz w:val="32"/>
          <w:szCs w:val="32"/>
        </w:rPr>
        <w:t>限售股份上市流通申请书应当至少包括下列内容：</w:t>
      </w:r>
    </w:p>
    <w:p>
      <w:pPr>
        <w:pStyle w:val="36"/>
        <w:spacing w:line="560" w:lineRule="exact"/>
        <w:ind w:firstLine="614"/>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相关股东持股情况说明及托管情况；</w:t>
      </w:r>
    </w:p>
    <w:p>
      <w:pPr>
        <w:pStyle w:val="36"/>
        <w:spacing w:line="560" w:lineRule="exact"/>
        <w:ind w:firstLine="614"/>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本次申请解除限售股份的股份总数、各股东解除限售股份数量及上市流通时间</w:t>
      </w:r>
      <w:r>
        <w:rPr>
          <w:rFonts w:hint="eastAsia" w:ascii="仿宋" w:hAnsi="仿宋" w:eastAsia="仿宋"/>
          <w:sz w:val="32"/>
          <w:szCs w:val="32"/>
        </w:rPr>
        <w:t>；</w:t>
      </w:r>
    </w:p>
    <w:p>
      <w:pPr>
        <w:pStyle w:val="36"/>
        <w:spacing w:line="560" w:lineRule="exact"/>
        <w:ind w:firstLine="614"/>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相关股东作出的全部承诺（含股东在发行上市文件中作出的承诺、在公司收购及权益变动过程中作出的承诺及其他追加承诺）及其履行情况；</w:t>
      </w:r>
    </w:p>
    <w:p>
      <w:pPr>
        <w:pStyle w:val="36"/>
        <w:spacing w:line="560" w:lineRule="exact"/>
        <w:ind w:firstLine="614"/>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w:t>
      </w:r>
      <w:r>
        <w:rPr>
          <w:rFonts w:ascii="仿宋" w:hAnsi="仿宋" w:eastAsia="仿宋"/>
          <w:sz w:val="32"/>
          <w:szCs w:val="32"/>
        </w:rPr>
        <w:t>相关股东是否占用公司资金，公司是否违规为其提供担保。</w:t>
      </w:r>
    </w:p>
    <w:p>
      <w:pPr>
        <w:pStyle w:val="36"/>
        <w:spacing w:line="560" w:lineRule="exact"/>
        <w:ind w:firstLine="614"/>
        <w:outlineLvl w:val="2"/>
        <w:rPr>
          <w:rFonts w:eastAsia="方正黑体简体"/>
          <w:color w:val="000000"/>
          <w:sz w:val="32"/>
          <w:szCs w:val="32"/>
        </w:rPr>
      </w:pPr>
      <w:r>
        <w:rPr>
          <w:rFonts w:eastAsia="方正黑体简体"/>
          <w:color w:val="000000"/>
          <w:sz w:val="32"/>
          <w:szCs w:val="32"/>
        </w:rPr>
        <w:t>四、限售股份解除限售的信息披露</w:t>
      </w:r>
    </w:p>
    <w:p>
      <w:pPr>
        <w:pStyle w:val="36"/>
        <w:spacing w:line="560" w:lineRule="exact"/>
        <w:ind w:firstLine="614"/>
        <w:rPr>
          <w:rFonts w:ascii="仿宋" w:hAnsi="仿宋" w:eastAsia="仿宋"/>
          <w:sz w:val="32"/>
          <w:szCs w:val="32"/>
        </w:rPr>
      </w:pPr>
      <w:r>
        <w:rPr>
          <w:rFonts w:ascii="仿宋" w:hAnsi="仿宋" w:eastAsia="仿宋"/>
          <w:sz w:val="32"/>
          <w:szCs w:val="32"/>
        </w:rPr>
        <w:t>上市公司董事会应当在限售股份解除限售日前三个交易日内披露股份解除限售的提示性公告，公告日不得晚于限售股份日解除限售日前一交易日，公告应当包括以下内容：</w:t>
      </w:r>
    </w:p>
    <w:p>
      <w:pPr>
        <w:pStyle w:val="36"/>
        <w:spacing w:line="560" w:lineRule="exact"/>
        <w:ind w:firstLine="614"/>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本次解除限售前公司限售股份概况；</w:t>
      </w:r>
    </w:p>
    <w:p>
      <w:pPr>
        <w:pStyle w:val="36"/>
        <w:spacing w:line="560" w:lineRule="exact"/>
        <w:ind w:firstLine="614"/>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本次解除限售的股份总数、本次解除限售股份占上市公司总股本的比例、股东可以解除限售股份数量及解除限售上市流通时间；</w:t>
      </w:r>
    </w:p>
    <w:p>
      <w:pPr>
        <w:pStyle w:val="36"/>
        <w:spacing w:line="560" w:lineRule="exact"/>
        <w:ind w:firstLine="614"/>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本次解除限售后上市公司的股本结构；</w:t>
      </w:r>
    </w:p>
    <w:p>
      <w:pPr>
        <w:pStyle w:val="36"/>
        <w:spacing w:line="560" w:lineRule="exact"/>
        <w:ind w:firstLine="614"/>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w:t>
      </w:r>
      <w:r>
        <w:rPr>
          <w:rFonts w:ascii="仿宋" w:hAnsi="仿宋" w:eastAsia="仿宋"/>
          <w:sz w:val="32"/>
          <w:szCs w:val="32"/>
        </w:rPr>
        <w:t>相关股东是否严格履行其作出的全部承诺，是否占用公司资金，公司是否违规为其提供担保；</w:t>
      </w:r>
    </w:p>
    <w:p>
      <w:pPr>
        <w:pStyle w:val="36"/>
        <w:spacing w:line="560" w:lineRule="exact"/>
        <w:ind w:firstLine="614"/>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w:t>
      </w:r>
      <w:r>
        <w:rPr>
          <w:rFonts w:ascii="仿宋" w:hAnsi="仿宋" w:eastAsia="仿宋"/>
          <w:sz w:val="32"/>
          <w:szCs w:val="32"/>
        </w:rPr>
        <w:t>保荐机构或者独立财务顾问核查的结论性意见（如适用）；</w:t>
      </w:r>
    </w:p>
    <w:p>
      <w:pPr>
        <w:pStyle w:val="36"/>
        <w:spacing w:line="560" w:lineRule="exact"/>
        <w:ind w:firstLine="614"/>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w:t>
      </w:r>
      <w:r>
        <w:rPr>
          <w:rFonts w:ascii="仿宋" w:hAnsi="仿宋" w:eastAsia="仿宋"/>
          <w:sz w:val="32"/>
          <w:szCs w:val="32"/>
        </w:rPr>
        <w:t>本所要求披露的其他内容。</w:t>
      </w:r>
    </w:p>
    <w:p>
      <w:pPr>
        <w:pStyle w:val="36"/>
        <w:spacing w:line="560" w:lineRule="exact"/>
        <w:ind w:firstLine="614"/>
        <w:outlineLvl w:val="2"/>
        <w:rPr>
          <w:rFonts w:eastAsia="方正黑体简体"/>
          <w:color w:val="000000"/>
          <w:sz w:val="32"/>
          <w:szCs w:val="32"/>
        </w:rPr>
      </w:pPr>
      <w:r>
        <w:rPr>
          <w:rFonts w:eastAsia="方正黑体简体"/>
          <w:color w:val="000000"/>
          <w:sz w:val="32"/>
          <w:szCs w:val="32"/>
        </w:rPr>
        <w:t>五、其他事项</w:t>
      </w:r>
    </w:p>
    <w:p>
      <w:pPr>
        <w:pStyle w:val="36"/>
        <w:spacing w:line="560" w:lineRule="exact"/>
        <w:ind w:firstLine="614"/>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解除股份限售手续应当由相关股东委托上市公司董事会代为申请办理，本所不接受股东直接申请。上市公司董事会不得无故拒绝股东的申请解除限售委托。</w:t>
      </w:r>
    </w:p>
    <w:p>
      <w:pPr>
        <w:pStyle w:val="36"/>
        <w:spacing w:line="560" w:lineRule="exact"/>
        <w:ind w:firstLine="614"/>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两名以上股东所持限售股份拟申请在同一日解除限售上市流通的，上市公司董事会应当集中办理申请解除股份限售手续。</w:t>
      </w:r>
    </w:p>
    <w:p>
      <w:pPr>
        <w:pStyle w:val="36"/>
        <w:spacing w:line="560" w:lineRule="exact"/>
        <w:ind w:firstLine="614"/>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上市公司股权激励获得股份解除限售的，适用</w:t>
      </w:r>
      <w:r>
        <w:rPr>
          <w:rFonts w:hint="eastAsia" w:ascii="仿宋" w:hAnsi="仿宋" w:eastAsia="仿宋"/>
          <w:sz w:val="32"/>
          <w:szCs w:val="32"/>
        </w:rPr>
        <w:t>本指南第二章“股权激励”</w:t>
      </w:r>
      <w:r>
        <w:rPr>
          <w:rFonts w:ascii="仿宋" w:hAnsi="仿宋" w:eastAsia="仿宋"/>
          <w:sz w:val="32"/>
          <w:szCs w:val="32"/>
        </w:rPr>
        <w:t>的相关规定。</w:t>
      </w:r>
    </w:p>
    <w:p>
      <w:pPr>
        <w:pStyle w:val="36"/>
        <w:spacing w:line="560" w:lineRule="exact"/>
        <w:ind w:firstLine="576"/>
        <w:rPr>
          <w:rFonts w:eastAsia="方正仿宋简体"/>
          <w:sz w:val="30"/>
          <w:szCs w:val="30"/>
        </w:rPr>
      </w:pPr>
    </w:p>
    <w:p>
      <w:pPr>
        <w:rPr>
          <w:rFonts w:ascii="Times New Roman" w:hAnsi="Times New Roman"/>
        </w:rPr>
      </w:pPr>
    </w:p>
    <w:p>
      <w:pPr>
        <w:rPr>
          <w:rFonts w:ascii="Times New Roman" w:hAnsi="Times New Roman"/>
        </w:rPr>
        <w:sectPr>
          <w:pgSz w:w="11906" w:h="16838"/>
          <w:pgMar w:top="1440" w:right="1800" w:bottom="1440" w:left="1800" w:header="851" w:footer="992" w:gutter="0"/>
          <w:cols w:space="720" w:num="1"/>
          <w:docGrid w:type="lines" w:linePitch="312" w:charSpace="0"/>
        </w:sectPr>
      </w:pPr>
    </w:p>
    <w:p>
      <w:pPr>
        <w:spacing w:line="560" w:lineRule="exact"/>
        <w:rPr>
          <w:rFonts w:ascii="黑体" w:hAnsi="黑体" w:eastAsia="黑体"/>
          <w:sz w:val="32"/>
          <w:szCs w:val="20"/>
        </w:rPr>
      </w:pPr>
      <w:r>
        <w:rPr>
          <w:rFonts w:ascii="黑体" w:hAnsi="黑体" w:eastAsia="黑体"/>
          <w:sz w:val="32"/>
          <w:szCs w:val="20"/>
        </w:rPr>
        <w:t>附件</w:t>
      </w:r>
    </w:p>
    <w:p>
      <w:pPr>
        <w:spacing w:line="560" w:lineRule="exact"/>
        <w:rPr>
          <w:rFonts w:ascii="黑体" w:hAnsi="黑体" w:eastAsia="黑体"/>
          <w:sz w:val="32"/>
          <w:szCs w:val="20"/>
        </w:rPr>
      </w:pPr>
    </w:p>
    <w:p>
      <w:pPr>
        <w:jc w:val="center"/>
        <w:rPr>
          <w:rFonts w:ascii="方正小标宋简体" w:hAnsi="黑体" w:eastAsia="方正小标宋简体"/>
          <w:bCs/>
          <w:color w:val="000000"/>
          <w:sz w:val="32"/>
          <w:szCs w:val="32"/>
        </w:rPr>
      </w:pPr>
      <w:r>
        <w:rPr>
          <w:rFonts w:hint="eastAsia" w:ascii="方正小标宋简体" w:hAnsi="黑体" w:eastAsia="方正小标宋简体"/>
          <w:bCs/>
          <w:color w:val="000000"/>
          <w:sz w:val="32"/>
          <w:szCs w:val="32"/>
        </w:rPr>
        <w:t>上市公司限售股份解除限售申请表</w:t>
      </w:r>
    </w:p>
    <w:p>
      <w:pPr>
        <w:jc w:val="center"/>
        <w:rPr>
          <w:rFonts w:ascii="Times New Roman" w:hAnsi="Times New Roman"/>
          <w:color w:val="000000"/>
          <w:sz w:val="24"/>
          <w:szCs w:val="24"/>
        </w:rPr>
      </w:pPr>
    </w:p>
    <w:tbl>
      <w:tblPr>
        <w:tblStyle w:val="56"/>
        <w:tblW w:w="0" w:type="auto"/>
        <w:tblInd w:w="0" w:type="dxa"/>
        <w:tblLayout w:type="fixed"/>
        <w:tblCellMar>
          <w:top w:w="0" w:type="dxa"/>
          <w:left w:w="108" w:type="dxa"/>
          <w:bottom w:w="0" w:type="dxa"/>
          <w:right w:w="108" w:type="dxa"/>
        </w:tblCellMar>
      </w:tblPr>
      <w:tblGrid>
        <w:gridCol w:w="620"/>
        <w:gridCol w:w="1019"/>
        <w:gridCol w:w="983"/>
        <w:gridCol w:w="983"/>
        <w:gridCol w:w="1064"/>
        <w:gridCol w:w="1140"/>
        <w:gridCol w:w="747"/>
        <w:gridCol w:w="983"/>
        <w:gridCol w:w="983"/>
      </w:tblGrid>
      <w:tr>
        <w:tblPrEx>
          <w:tblCellMar>
            <w:top w:w="0" w:type="dxa"/>
            <w:left w:w="108" w:type="dxa"/>
            <w:bottom w:w="0" w:type="dxa"/>
            <w:right w:w="108" w:type="dxa"/>
          </w:tblCellMar>
        </w:tblPrEx>
        <w:trPr>
          <w:trHeight w:val="444" w:hRule="atLeast"/>
        </w:trPr>
        <w:tc>
          <w:tcPr>
            <w:tcW w:w="1639"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证券代码</w:t>
            </w:r>
          </w:p>
        </w:tc>
        <w:tc>
          <w:tcPr>
            <w:tcW w:w="1966"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220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证券简称</w:t>
            </w:r>
          </w:p>
        </w:tc>
        <w:tc>
          <w:tcPr>
            <w:tcW w:w="2713" w:type="dxa"/>
            <w:gridSpan w:val="3"/>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50" w:hRule="atLeast"/>
        </w:trPr>
        <w:tc>
          <w:tcPr>
            <w:tcW w:w="1639"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公司全称</w:t>
            </w:r>
          </w:p>
        </w:tc>
        <w:tc>
          <w:tcPr>
            <w:tcW w:w="1966"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220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股份拟解除限售日期</w:t>
            </w:r>
          </w:p>
        </w:tc>
        <w:tc>
          <w:tcPr>
            <w:tcW w:w="2713" w:type="dxa"/>
            <w:gridSpan w:val="3"/>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年  月  日</w:t>
            </w:r>
          </w:p>
        </w:tc>
      </w:tr>
      <w:tr>
        <w:tblPrEx>
          <w:tblCellMar>
            <w:top w:w="0" w:type="dxa"/>
            <w:left w:w="108" w:type="dxa"/>
            <w:bottom w:w="0" w:type="dxa"/>
            <w:right w:w="108" w:type="dxa"/>
          </w:tblCellMar>
        </w:tblPrEx>
        <w:trPr>
          <w:trHeight w:val="450" w:hRule="atLeast"/>
        </w:trPr>
        <w:tc>
          <w:tcPr>
            <w:tcW w:w="1639" w:type="dxa"/>
            <w:gridSpan w:val="2"/>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经办人姓名</w:t>
            </w:r>
          </w:p>
        </w:tc>
        <w:tc>
          <w:tcPr>
            <w:tcW w:w="1966"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2204" w:type="dxa"/>
            <w:gridSpan w:val="2"/>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rPr>
            </w:pPr>
            <w:r>
              <w:rPr>
                <w:rFonts w:hint="eastAsia" w:ascii="宋体" w:hAnsi="宋体" w:cs="宋体"/>
                <w:kern w:val="0"/>
                <w:szCs w:val="21"/>
              </w:rPr>
              <w:t>经办人电话</w:t>
            </w:r>
          </w:p>
        </w:tc>
        <w:tc>
          <w:tcPr>
            <w:tcW w:w="2713" w:type="dxa"/>
            <w:gridSpan w:val="3"/>
            <w:tcBorders>
              <w:top w:val="single" w:color="auto" w:sz="8" w:space="0"/>
              <w:left w:val="nil"/>
              <w:bottom w:val="single" w:color="auto" w:sz="8" w:space="0"/>
              <w:right w:val="single" w:color="auto" w:sz="8" w:space="0"/>
            </w:tcBorders>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300" w:hRule="atLeast"/>
        </w:trPr>
        <w:tc>
          <w:tcPr>
            <w:tcW w:w="620"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b/>
                <w:kern w:val="0"/>
                <w:szCs w:val="21"/>
              </w:rPr>
            </w:pPr>
            <w:r>
              <w:rPr>
                <w:rFonts w:hint="eastAsia" w:ascii="宋体" w:hAnsi="宋体" w:cs="宋体"/>
                <w:b/>
                <w:kern w:val="0"/>
                <w:szCs w:val="21"/>
              </w:rPr>
              <w:t>序号</w:t>
            </w:r>
          </w:p>
        </w:tc>
        <w:tc>
          <w:tcPr>
            <w:tcW w:w="1019"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rPr>
            </w:pPr>
            <w:r>
              <w:rPr>
                <w:rFonts w:hint="eastAsia" w:ascii="宋体" w:hAnsi="宋体" w:cs="宋体"/>
                <w:b/>
                <w:kern w:val="0"/>
                <w:szCs w:val="21"/>
              </w:rPr>
              <w:t>股东</w:t>
            </w:r>
          </w:p>
          <w:p>
            <w:pPr>
              <w:widowControl/>
              <w:jc w:val="center"/>
              <w:rPr>
                <w:rFonts w:ascii="宋体" w:hAnsi="宋体" w:cs="宋体"/>
                <w:b/>
                <w:kern w:val="0"/>
                <w:szCs w:val="21"/>
              </w:rPr>
            </w:pPr>
            <w:r>
              <w:rPr>
                <w:rFonts w:hint="eastAsia" w:ascii="宋体" w:hAnsi="宋体" w:cs="宋体"/>
                <w:b/>
                <w:kern w:val="0"/>
                <w:szCs w:val="21"/>
              </w:rPr>
              <w:t>代码</w:t>
            </w: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rPr>
            </w:pPr>
            <w:r>
              <w:rPr>
                <w:rFonts w:hint="eastAsia" w:ascii="宋体" w:hAnsi="宋体" w:cs="宋体"/>
                <w:b/>
                <w:kern w:val="0"/>
                <w:szCs w:val="21"/>
              </w:rPr>
              <w:t>证件</w:t>
            </w:r>
          </w:p>
          <w:p>
            <w:pPr>
              <w:widowControl/>
              <w:jc w:val="center"/>
              <w:rPr>
                <w:rFonts w:ascii="宋体" w:hAnsi="宋体" w:cs="宋体"/>
                <w:b/>
                <w:kern w:val="0"/>
                <w:szCs w:val="21"/>
              </w:rPr>
            </w:pPr>
            <w:r>
              <w:rPr>
                <w:rFonts w:hint="eastAsia" w:ascii="宋体" w:hAnsi="宋体" w:cs="宋体"/>
                <w:b/>
                <w:kern w:val="0"/>
                <w:szCs w:val="21"/>
              </w:rPr>
              <w:t>号码</w:t>
            </w: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rPr>
            </w:pPr>
            <w:r>
              <w:rPr>
                <w:rFonts w:hint="eastAsia" w:ascii="宋体" w:hAnsi="宋体" w:cs="宋体"/>
                <w:b/>
                <w:kern w:val="0"/>
                <w:szCs w:val="21"/>
              </w:rPr>
              <w:t>股东</w:t>
            </w:r>
          </w:p>
          <w:p>
            <w:pPr>
              <w:widowControl/>
              <w:jc w:val="center"/>
              <w:rPr>
                <w:rFonts w:ascii="宋体" w:hAnsi="宋体" w:cs="宋体"/>
                <w:b/>
                <w:kern w:val="0"/>
                <w:szCs w:val="21"/>
              </w:rPr>
            </w:pPr>
            <w:r>
              <w:rPr>
                <w:rFonts w:hint="eastAsia" w:ascii="宋体" w:hAnsi="宋体" w:cs="宋体"/>
                <w:b/>
                <w:kern w:val="0"/>
                <w:szCs w:val="21"/>
              </w:rPr>
              <w:t>名称</w:t>
            </w:r>
          </w:p>
        </w:tc>
        <w:tc>
          <w:tcPr>
            <w:tcW w:w="1064"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rPr>
            </w:pPr>
            <w:r>
              <w:rPr>
                <w:rFonts w:hint="eastAsia" w:ascii="宋体" w:hAnsi="宋体" w:cs="宋体"/>
                <w:b/>
                <w:kern w:val="0"/>
                <w:szCs w:val="21"/>
              </w:rPr>
              <w:t>所持限售条件股份总数</w:t>
            </w:r>
          </w:p>
        </w:tc>
        <w:tc>
          <w:tcPr>
            <w:tcW w:w="1140"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rPr>
            </w:pPr>
            <w:r>
              <w:rPr>
                <w:rFonts w:hint="eastAsia" w:ascii="宋体" w:hAnsi="宋体" w:cs="宋体"/>
                <w:b/>
                <w:kern w:val="0"/>
                <w:szCs w:val="21"/>
              </w:rPr>
              <w:t>本次申请解除限售数量</w:t>
            </w:r>
          </w:p>
        </w:tc>
        <w:tc>
          <w:tcPr>
            <w:tcW w:w="747"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rPr>
            </w:pPr>
            <w:r>
              <w:rPr>
                <w:rFonts w:hint="eastAsia" w:ascii="宋体" w:hAnsi="宋体" w:cs="宋体"/>
                <w:b/>
                <w:kern w:val="0"/>
                <w:szCs w:val="21"/>
              </w:rPr>
              <w:t>是否基于高管身份申请锁定</w:t>
            </w: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b/>
                <w:kern w:val="0"/>
                <w:szCs w:val="21"/>
              </w:rPr>
            </w:pPr>
            <w:r>
              <w:rPr>
                <w:rFonts w:hint="eastAsia" w:ascii="宋体" w:hAnsi="宋体" w:cs="宋体"/>
                <w:b/>
                <w:kern w:val="0"/>
                <w:szCs w:val="21"/>
              </w:rPr>
              <w:t>股份是否存在质押、冻结情况</w:t>
            </w:r>
          </w:p>
        </w:tc>
        <w:tc>
          <w:tcPr>
            <w:tcW w:w="983" w:type="dxa"/>
            <w:tcBorders>
              <w:top w:val="nil"/>
              <w:left w:val="nil"/>
              <w:bottom w:val="single" w:color="auto" w:sz="8" w:space="0"/>
              <w:right w:val="single" w:color="auto" w:sz="8" w:space="0"/>
            </w:tcBorders>
          </w:tcPr>
          <w:p>
            <w:pPr>
              <w:widowControl/>
              <w:jc w:val="center"/>
              <w:rPr>
                <w:rFonts w:ascii="宋体" w:hAnsi="宋体" w:cs="宋体"/>
                <w:b/>
                <w:kern w:val="0"/>
                <w:szCs w:val="21"/>
              </w:rPr>
            </w:pPr>
            <w:r>
              <w:rPr>
                <w:rFonts w:hint="eastAsia" w:ascii="宋体" w:hAnsi="宋体" w:cs="宋体"/>
                <w:b/>
                <w:kern w:val="0"/>
                <w:szCs w:val="21"/>
              </w:rPr>
              <w:t>解除限售是否违反其承诺</w:t>
            </w:r>
          </w:p>
        </w:tc>
      </w:tr>
      <w:tr>
        <w:tblPrEx>
          <w:tblCellMar>
            <w:top w:w="0" w:type="dxa"/>
            <w:left w:w="108" w:type="dxa"/>
            <w:bottom w:w="0" w:type="dxa"/>
            <w:right w:w="108" w:type="dxa"/>
          </w:tblCellMar>
        </w:tblPrEx>
        <w:trPr>
          <w:trHeight w:val="441" w:hRule="atLeast"/>
        </w:trPr>
        <w:tc>
          <w:tcPr>
            <w:tcW w:w="620"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kern w:val="0"/>
                <w:szCs w:val="21"/>
              </w:rPr>
            </w:pPr>
          </w:p>
        </w:tc>
        <w:tc>
          <w:tcPr>
            <w:tcW w:w="1019"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1064"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1140"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747"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983" w:type="dxa"/>
            <w:tcBorders>
              <w:top w:val="nil"/>
              <w:left w:val="nil"/>
              <w:bottom w:val="single" w:color="auto" w:sz="8" w:space="0"/>
              <w:right w:val="single" w:color="auto" w:sz="8" w:space="0"/>
            </w:tcBorders>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60" w:hRule="atLeast"/>
        </w:trPr>
        <w:tc>
          <w:tcPr>
            <w:tcW w:w="620" w:type="dxa"/>
            <w:tcBorders>
              <w:top w:val="nil"/>
              <w:left w:val="single" w:color="auto" w:sz="8" w:space="0"/>
              <w:bottom w:val="single" w:color="auto" w:sz="8" w:space="0"/>
              <w:right w:val="single" w:color="auto" w:sz="8" w:space="0"/>
            </w:tcBorders>
            <w:vAlign w:val="center"/>
          </w:tcPr>
          <w:p>
            <w:pPr>
              <w:widowControl/>
              <w:jc w:val="center"/>
              <w:rPr>
                <w:rFonts w:ascii="宋体" w:hAnsi="宋体" w:cs="宋体"/>
                <w:kern w:val="0"/>
                <w:szCs w:val="21"/>
              </w:rPr>
            </w:pPr>
          </w:p>
        </w:tc>
        <w:tc>
          <w:tcPr>
            <w:tcW w:w="1019"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1064"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1140"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747"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983" w:type="dxa"/>
            <w:tcBorders>
              <w:top w:val="nil"/>
              <w:left w:val="nil"/>
              <w:bottom w:val="single" w:color="auto" w:sz="8" w:space="0"/>
              <w:right w:val="single" w:color="auto" w:sz="8" w:space="0"/>
            </w:tcBorders>
            <w:vAlign w:val="center"/>
          </w:tcPr>
          <w:p>
            <w:pPr>
              <w:widowControl/>
              <w:jc w:val="center"/>
              <w:rPr>
                <w:rFonts w:ascii="宋体" w:hAnsi="宋体" w:cs="宋体"/>
                <w:kern w:val="0"/>
                <w:szCs w:val="21"/>
              </w:rPr>
            </w:pPr>
          </w:p>
        </w:tc>
        <w:tc>
          <w:tcPr>
            <w:tcW w:w="983" w:type="dxa"/>
            <w:tcBorders>
              <w:top w:val="nil"/>
              <w:left w:val="nil"/>
              <w:bottom w:val="single" w:color="auto" w:sz="8" w:space="0"/>
              <w:right w:val="single" w:color="auto" w:sz="8" w:space="0"/>
            </w:tcBorders>
          </w:tcPr>
          <w:p>
            <w:pPr>
              <w:widowControl/>
              <w:jc w:val="center"/>
              <w:rPr>
                <w:rFonts w:ascii="宋体" w:hAnsi="宋体" w:cs="宋体"/>
                <w:kern w:val="0"/>
                <w:szCs w:val="21"/>
              </w:rPr>
            </w:pPr>
          </w:p>
        </w:tc>
      </w:tr>
    </w:tbl>
    <w:p>
      <w:pPr>
        <w:spacing w:line="360" w:lineRule="auto"/>
        <w:ind w:firstLine="480"/>
        <w:contextualSpacing/>
        <w:rPr>
          <w:rFonts w:ascii="Times New Roman" w:hAnsi="Times New Roman"/>
          <w:color w:val="000000"/>
          <w:szCs w:val="21"/>
        </w:rPr>
      </w:pPr>
    </w:p>
    <w:p>
      <w:pPr>
        <w:spacing w:line="560" w:lineRule="exact"/>
        <w:ind w:firstLine="420" w:firstLineChars="200"/>
        <w:contextualSpacing/>
        <w:rPr>
          <w:rFonts w:ascii="Times New Roman" w:hAnsi="Times New Roman"/>
          <w:color w:val="000000"/>
          <w:szCs w:val="21"/>
        </w:rPr>
      </w:pPr>
      <w:r>
        <w:rPr>
          <w:rFonts w:ascii="Times New Roman" w:hAnsi="Times New Roman"/>
          <w:color w:val="000000"/>
          <w:szCs w:val="21"/>
        </w:rPr>
        <w:t>本公司董事会保证上述内容和提交的其他申请材料真实、准确、完整、合法，特向深圳证券交易所、中国证券登记结算有限责任公司深圳分公司申请办理解除股份限售申请事宜。</w:t>
      </w:r>
    </w:p>
    <w:p>
      <w:pPr>
        <w:spacing w:line="560" w:lineRule="exact"/>
        <w:ind w:firstLine="420" w:firstLineChars="200"/>
        <w:contextualSpacing/>
        <w:jc w:val="right"/>
        <w:rPr>
          <w:rFonts w:ascii="Times New Roman" w:hAnsi="Times New Roman"/>
          <w:color w:val="000000"/>
          <w:szCs w:val="21"/>
        </w:rPr>
      </w:pPr>
      <w:r>
        <w:rPr>
          <w:rFonts w:ascii="Times New Roman" w:hAnsi="Times New Roman"/>
          <w:color w:val="000000"/>
          <w:szCs w:val="21"/>
        </w:rPr>
        <w:t>XXX股份有限公司董事会（盖章）</w:t>
      </w:r>
    </w:p>
    <w:p>
      <w:pPr>
        <w:spacing w:line="560" w:lineRule="exact"/>
        <w:ind w:right="233" w:rightChars="111"/>
        <w:jc w:val="right"/>
        <w:rPr>
          <w:rFonts w:ascii="Times New Roman" w:hAnsi="Times New Roman"/>
          <w:color w:val="000000"/>
          <w:szCs w:val="21"/>
        </w:rPr>
      </w:pPr>
      <w:r>
        <w:rPr>
          <w:rFonts w:ascii="Times New Roman" w:hAnsi="Times New Roman"/>
          <w:color w:val="000000"/>
          <w:szCs w:val="21"/>
        </w:rPr>
        <w:t>年    月    日</w:t>
      </w:r>
    </w:p>
    <w:p>
      <w:pPr>
        <w:pStyle w:val="162"/>
        <w:spacing w:before="0" w:after="0"/>
        <w:ind w:firstLine="0" w:firstLineChars="0"/>
        <w:outlineLvl w:val="9"/>
        <w:rPr>
          <w:rFonts w:ascii="Times New Roman" w:hAnsi="Times New Roman"/>
        </w:rPr>
      </w:pPr>
      <w:r>
        <w:rPr>
          <w:rFonts w:ascii="Times New Roman" w:hAnsi="Times New Roman"/>
        </w:rPr>
        <w:br w:type="page"/>
      </w:r>
    </w:p>
    <w:p>
      <w:pPr>
        <w:pStyle w:val="162"/>
        <w:ind w:firstLine="0" w:firstLineChars="0"/>
        <w:outlineLvl w:val="1"/>
        <w:rPr>
          <w:rFonts w:hAnsi="黑体"/>
          <w:sz w:val="32"/>
          <w:szCs w:val="32"/>
        </w:rPr>
      </w:pPr>
      <w:bookmarkStart w:id="16" w:name="_Toc141954525"/>
      <w:bookmarkStart w:id="17" w:name="_Toc129272521"/>
      <w:bookmarkStart w:id="18" w:name="_Toc4629"/>
      <w:r>
        <w:rPr>
          <w:rFonts w:hint="eastAsia" w:hAnsi="黑体"/>
          <w:sz w:val="32"/>
          <w:szCs w:val="32"/>
        </w:rPr>
        <w:t>第五节 变更公司名称</w:t>
      </w:r>
      <w:bookmarkEnd w:id="16"/>
      <w:bookmarkEnd w:id="17"/>
      <w:bookmarkEnd w:id="18"/>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一、变更公司名称</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一）上市公司应当根据实际经营业务情况审慎对公司名称进行变更，不得随意变更。变更后的公司名称应当与公司主营业务相匹配，不得带有误导性内容，不得利用变更名称不当影响公司股价，不得存在其他不良影响。</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（二）上市公司因主营业务变更拟变更公司名称的，原则上应当在主营业务变更完成后进行公司名称变更，并符合以下标准之一：</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1．新业务最近十二个月已实现的营业收入占公司营业收入的比例达到30%以上；</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2．新业务最近十二个月已实现的营业利润占公司营业利润的比例达到30%以上。</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在计算新业务实现的营业收入、营业利润占比时，原则上应当选取公司最近一个会计年度经审计的营业收入、营业利润作为比较基数，如公司因实施完成股权收购、资产注入、重大资产重组等原因导致主营业务发生变化的，为增强可比性，应当选取公司依据交易完成后的资产、业务架构编制的最近一个会计年度经审计或者经审阅的备考财务报表中的营业收入、营业利润作为比较基数。</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（三）上市公司拟变更公司全称的，应当经董事会和股东大会审议通过。公司应当在董事会审议通过后及时披露董事会决议、拟变更公司名称的公告等文件。</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公司拟变更公司全称同时变更证券简称的，应当提前五个交易日向本所提交书面申请，本所自收到有关材料之日起五个交易日内未提出异议的，公司可以发出召开董事会审议变更公司名称（含证券简称）的会议通知，经董事会审议通过后披露。</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（四）上市公司对公司中文全称进行变更的，应当在工商变更登记手续完成后及时披露变更公司名称的公告，中文全称应当以《营业执照》所载名称为准。</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二、变更证券简称</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（一）上市公司证券简称应当来源于公司全称，中文证券简称</w:t>
      </w:r>
      <w:r>
        <w:rPr>
          <w:rFonts w:hint="eastAsia" w:ascii="仿宋" w:hAnsi="仿宋" w:eastAsia="仿宋"/>
          <w:sz w:val="32"/>
          <w:szCs w:val="32"/>
        </w:rPr>
        <w:t>中特殊字符以外的部分原则上不超过四个汉字</w:t>
      </w:r>
      <w:r>
        <w:rPr>
          <w:rFonts w:hint="eastAsia" w:ascii="仿宋" w:hAnsi="仿宋" w:eastAsia="仿宋"/>
          <w:sz w:val="32"/>
          <w:szCs w:val="20"/>
        </w:rPr>
        <w:t>，英文证券简称原则上不得超过二十个英文字符。确有必要的，上市公司可申请不超过八个汉字的中文证券简称。变更后的证券简称不得与其他上市公司及全国中小企业股份转让系统挂牌公司的证券简称相同，不得仅以行业通用名称作为证券简称，不得含有可能误导投资者的内容和文字，不得违反有关法律法规的规定。</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拟变更的证券简称不符合前述规定的，本所可以要求公司纠正，在公司未按要求纠正前，本所不予办理公司证券简称变更事宜。</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二）上市公司办理变更证券简称的，应当提前五个交易日向本所提交《变更公司全称报备、变更证券简称申请表》（见附件），确定新证券简称的启用日期。本所自收到有关材料之日起五个交易日内未提出异议的，公司可以发出召开董事会审议变更证券简称的会议通知，经董事会审议通过后及时披露变更证券简称公告。</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三、披露要求</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（一）上市公司披露拟变更公司名称或证券简称的公告，应当遵守本所《创业板上市公司自律监管指南第2号——公告格式》的相关要求。</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（二）拟变更公司名称（含证券简称）的公告至少应当包含以下内容：</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1．拟变更前后的公司名称（含证券简称）；</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2．拟变更公司名称（含证券简称）的原因；</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3．结合公司主营业务构成及经营情况、未来发展战略等说明变更后的公司名称或证券简称与公司主营业务是否相匹配。</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4．公司拟变更公司名称（含证券简称）已履行及尚需履行的审批流程，如变更公司全称的股东大会届次、工商管理部门登记的情况（如适用）；</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5．本所认为需要说明的其他事项。</w:t>
      </w:r>
    </w:p>
    <w:p>
      <w:pPr>
        <w:spacing w:line="560" w:lineRule="exact"/>
        <w:ind w:left="420" w:leftChars="200"/>
        <w:outlineLvl w:val="2"/>
        <w:rPr>
          <w:rFonts w:ascii="黑体" w:hAnsi="黑体" w:eastAsia="黑体"/>
          <w:sz w:val="32"/>
          <w:szCs w:val="32"/>
        </w:rPr>
      </w:pPr>
      <w:r>
        <w:rPr>
          <w:rFonts w:hint="eastAsia" w:ascii="黑体" w:hAnsi="黑体" w:eastAsia="黑体"/>
          <w:sz w:val="32"/>
          <w:szCs w:val="32"/>
        </w:rPr>
        <w:t>四、其他事项</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（一）上市公司因股票交易被实施或撤销退市风险警示、其他风险警示等变更证券简称的，不适用本指南。</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（二）新上市公司确定证券简称时，应当参照本指南执行。</w:t>
      </w:r>
    </w:p>
    <w:p>
      <w:pPr>
        <w:spacing w:line="560" w:lineRule="exact"/>
        <w:ind w:firstLine="640" w:firstLineChars="200"/>
        <w:rPr>
          <w:rFonts w:ascii="仿宋" w:hAnsi="仿宋" w:eastAsia="仿宋"/>
          <w:sz w:val="32"/>
          <w:szCs w:val="20"/>
        </w:rPr>
      </w:pPr>
    </w:p>
    <w:p>
      <w:pPr>
        <w:spacing w:line="560" w:lineRule="exact"/>
        <w:ind w:firstLine="640" w:firstLineChars="200"/>
        <w:rPr>
          <w:rFonts w:ascii="仿宋" w:hAnsi="仿宋" w:eastAsia="仿宋"/>
          <w:sz w:val="32"/>
          <w:szCs w:val="20"/>
        </w:rPr>
      </w:pPr>
      <w:r>
        <w:rPr>
          <w:rFonts w:hint="eastAsia" w:ascii="仿宋" w:hAnsi="仿宋" w:eastAsia="仿宋"/>
          <w:sz w:val="32"/>
          <w:szCs w:val="20"/>
        </w:rPr>
        <w:t>附件：变更公司全称报备、变更证券简称申请表</w:t>
      </w:r>
    </w:p>
    <w:p>
      <w:pPr>
        <w:spacing w:line="560" w:lineRule="exact"/>
        <w:ind w:firstLine="640" w:firstLineChars="200"/>
        <w:rPr>
          <w:rFonts w:ascii="仿宋" w:hAnsi="仿宋" w:eastAsia="仿宋"/>
          <w:sz w:val="32"/>
          <w:szCs w:val="20"/>
        </w:rPr>
        <w:sectPr>
          <w:pgSz w:w="11906" w:h="16838"/>
          <w:pgMar w:top="1440" w:right="1800" w:bottom="1440" w:left="1800" w:header="851" w:footer="992" w:gutter="0"/>
          <w:cols w:space="425" w:num="1"/>
          <w:docGrid w:type="lines" w:linePitch="435" w:charSpace="0"/>
        </w:sectPr>
      </w:pPr>
    </w:p>
    <w:p>
      <w:pPr>
        <w:spacing w:line="560" w:lineRule="exact"/>
        <w:rPr>
          <w:rFonts w:ascii="黑体" w:hAnsi="黑体" w:eastAsia="黑体"/>
          <w:sz w:val="32"/>
          <w:szCs w:val="20"/>
        </w:rPr>
      </w:pPr>
      <w:r>
        <w:rPr>
          <w:rFonts w:hint="eastAsia" w:ascii="黑体" w:hAnsi="黑体" w:eastAsia="黑体"/>
          <w:sz w:val="32"/>
          <w:szCs w:val="20"/>
        </w:rPr>
        <w:t>附件</w:t>
      </w:r>
    </w:p>
    <w:p>
      <w:pPr>
        <w:snapToGrid w:val="0"/>
        <w:rPr>
          <w:rFonts w:ascii="仿宋" w:hAnsi="仿宋" w:eastAsia="仿宋" w:cstheme="minorBidi"/>
          <w:sz w:val="32"/>
          <w:szCs w:val="32"/>
        </w:rPr>
      </w:pPr>
    </w:p>
    <w:p>
      <w:pPr>
        <w:spacing w:line="560" w:lineRule="exact"/>
        <w:ind w:firstLine="200"/>
        <w:jc w:val="center"/>
        <w:outlineLvl w:val="2"/>
        <w:rPr>
          <w:rFonts w:ascii="方正小标宋简体" w:hAnsi="黑体" w:eastAsia="方正小标宋简体"/>
          <w:kern w:val="0"/>
          <w:sz w:val="44"/>
          <w:szCs w:val="32"/>
        </w:rPr>
      </w:pPr>
      <w:r>
        <w:rPr>
          <w:rFonts w:hint="eastAsia" w:ascii="方正小标宋简体" w:hAnsi="黑体" w:eastAsia="方正小标宋简体"/>
          <w:kern w:val="0"/>
          <w:sz w:val="44"/>
          <w:szCs w:val="32"/>
        </w:rPr>
        <w:t>变更公司全称报备、变更证券简称申请表</w:t>
      </w:r>
    </w:p>
    <w:p>
      <w:pPr>
        <w:spacing w:line="560" w:lineRule="exact"/>
        <w:ind w:firstLine="200"/>
        <w:jc w:val="center"/>
        <w:rPr>
          <w:rFonts w:ascii="黑体" w:hAnsi="黑体" w:eastAsia="黑体"/>
          <w:kern w:val="0"/>
          <w:sz w:val="40"/>
          <w:szCs w:val="32"/>
        </w:rPr>
      </w:pPr>
    </w:p>
    <w:tbl>
      <w:tblPr>
        <w:tblStyle w:val="56"/>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829"/>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本次变更事项</w:t>
            </w:r>
          </w:p>
        </w:tc>
        <w:tc>
          <w:tcPr>
            <w:tcW w:w="5664" w:type="dxa"/>
            <w:gridSpan w:val="2"/>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□变更公司全称</w:t>
            </w:r>
            <w:r>
              <w:rPr>
                <w:rFonts w:ascii="仿宋" w:hAnsi="仿宋" w:eastAsia="仿宋"/>
                <w:kern w:val="0"/>
                <w:sz w:val="24"/>
                <w:szCs w:val="24"/>
              </w:rPr>
              <w:t xml:space="preserve">       </w:t>
            </w:r>
            <w:r>
              <w:rPr>
                <w:rFonts w:hint="eastAsia" w:ascii="仿宋" w:hAnsi="仿宋" w:eastAsia="仿宋"/>
                <w:kern w:val="0"/>
                <w:sz w:val="24"/>
                <w:szCs w:val="24"/>
              </w:rPr>
              <w:t>□变更证券简称</w:t>
            </w:r>
            <w:r>
              <w:rPr>
                <w:rFonts w:ascii="仿宋" w:hAnsi="仿宋" w:eastAsia="仿宋"/>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rPr>
        <w:tc>
          <w:tcPr>
            <w:tcW w:w="2700" w:type="dxa"/>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原公司名称（中文）</w:t>
            </w:r>
          </w:p>
        </w:tc>
        <w:tc>
          <w:tcPr>
            <w:tcW w:w="5664" w:type="dxa"/>
            <w:gridSpan w:val="2"/>
            <w:shd w:val="clear" w:color="auto" w:fill="auto"/>
            <w:vAlign w:val="center"/>
          </w:tcPr>
          <w:p>
            <w:pP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变更后公司名称（中文）</w:t>
            </w:r>
          </w:p>
        </w:tc>
        <w:tc>
          <w:tcPr>
            <w:tcW w:w="5664" w:type="dxa"/>
            <w:gridSpan w:val="2"/>
            <w:shd w:val="clear" w:color="auto" w:fill="auto"/>
            <w:vAlign w:val="center"/>
          </w:tcPr>
          <w:p>
            <w:pP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原公司名称（英文）</w:t>
            </w:r>
          </w:p>
        </w:tc>
        <w:tc>
          <w:tcPr>
            <w:tcW w:w="5664" w:type="dxa"/>
            <w:gridSpan w:val="2"/>
            <w:shd w:val="clear" w:color="auto" w:fill="auto"/>
            <w:vAlign w:val="center"/>
          </w:tcPr>
          <w:p>
            <w:pP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变更后公司名称（英文）</w:t>
            </w:r>
          </w:p>
        </w:tc>
        <w:tc>
          <w:tcPr>
            <w:tcW w:w="5664" w:type="dxa"/>
            <w:gridSpan w:val="2"/>
            <w:shd w:val="clear" w:color="auto" w:fill="auto"/>
            <w:vAlign w:val="center"/>
          </w:tcPr>
          <w:p>
            <w:pP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证券简称变更情况</w:t>
            </w:r>
          </w:p>
        </w:tc>
        <w:tc>
          <w:tcPr>
            <w:tcW w:w="2829" w:type="dxa"/>
            <w:shd w:val="clear" w:color="auto" w:fill="auto"/>
            <w:vAlign w:val="center"/>
          </w:tcPr>
          <w:p>
            <w:pPr>
              <w:jc w:val="center"/>
              <w:rPr>
                <w:rFonts w:ascii="仿宋" w:hAnsi="仿宋" w:eastAsia="仿宋"/>
                <w:kern w:val="0"/>
                <w:sz w:val="24"/>
                <w:szCs w:val="24"/>
              </w:rPr>
            </w:pPr>
            <w:r>
              <w:rPr>
                <w:rFonts w:ascii="仿宋" w:hAnsi="仿宋" w:eastAsia="仿宋"/>
                <w:kern w:val="0"/>
                <w:sz w:val="24"/>
                <w:szCs w:val="24"/>
              </w:rPr>
              <w:t xml:space="preserve">A   </w:t>
            </w:r>
            <w:r>
              <w:rPr>
                <w:rFonts w:hint="eastAsia" w:ascii="仿宋" w:hAnsi="仿宋" w:eastAsia="仿宋"/>
                <w:kern w:val="0"/>
                <w:sz w:val="24"/>
                <w:szCs w:val="24"/>
              </w:rPr>
              <w:t>股</w:t>
            </w:r>
          </w:p>
        </w:tc>
        <w:tc>
          <w:tcPr>
            <w:tcW w:w="2835" w:type="dxa"/>
            <w:shd w:val="clear" w:color="auto" w:fill="auto"/>
            <w:vAlign w:val="center"/>
          </w:tcPr>
          <w:p>
            <w:pPr>
              <w:jc w:val="center"/>
              <w:rPr>
                <w:rFonts w:ascii="仿宋" w:hAnsi="仿宋" w:eastAsia="仿宋"/>
                <w:kern w:val="0"/>
                <w:sz w:val="24"/>
                <w:szCs w:val="24"/>
              </w:rPr>
            </w:pPr>
            <w:r>
              <w:rPr>
                <w:rFonts w:hint="eastAsia" w:ascii="仿宋" w:hAnsi="仿宋" w:eastAsia="仿宋"/>
                <w:kern w:val="0"/>
                <w:sz w:val="24"/>
                <w:szCs w:val="24"/>
              </w:rPr>
              <w:t>其他衍生品种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2700" w:type="dxa"/>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证券代码</w:t>
            </w:r>
          </w:p>
        </w:tc>
        <w:tc>
          <w:tcPr>
            <w:tcW w:w="2829" w:type="dxa"/>
            <w:shd w:val="clear" w:color="auto" w:fill="auto"/>
            <w:vAlign w:val="center"/>
          </w:tcPr>
          <w:p>
            <w:pPr>
              <w:rPr>
                <w:rFonts w:ascii="仿宋" w:hAnsi="仿宋" w:eastAsia="仿宋"/>
                <w:kern w:val="0"/>
                <w:sz w:val="24"/>
                <w:szCs w:val="24"/>
              </w:rPr>
            </w:pPr>
          </w:p>
        </w:tc>
        <w:tc>
          <w:tcPr>
            <w:tcW w:w="2835" w:type="dxa"/>
            <w:shd w:val="clear" w:color="auto" w:fill="auto"/>
            <w:vAlign w:val="center"/>
          </w:tcPr>
          <w:p>
            <w:pP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原证券简称（中文）</w:t>
            </w:r>
          </w:p>
        </w:tc>
        <w:tc>
          <w:tcPr>
            <w:tcW w:w="2829" w:type="dxa"/>
            <w:shd w:val="clear" w:color="auto" w:fill="auto"/>
            <w:vAlign w:val="center"/>
          </w:tcPr>
          <w:p>
            <w:pPr>
              <w:rPr>
                <w:rFonts w:ascii="仿宋" w:hAnsi="仿宋" w:eastAsia="仿宋"/>
                <w:kern w:val="0"/>
                <w:sz w:val="24"/>
                <w:szCs w:val="24"/>
              </w:rPr>
            </w:pPr>
          </w:p>
        </w:tc>
        <w:tc>
          <w:tcPr>
            <w:tcW w:w="2835" w:type="dxa"/>
            <w:shd w:val="clear" w:color="auto" w:fill="auto"/>
            <w:vAlign w:val="center"/>
          </w:tcPr>
          <w:p>
            <w:pP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变更后的证券简称（中文）</w:t>
            </w:r>
          </w:p>
        </w:tc>
        <w:tc>
          <w:tcPr>
            <w:tcW w:w="2829" w:type="dxa"/>
            <w:shd w:val="clear" w:color="auto" w:fill="auto"/>
            <w:vAlign w:val="center"/>
          </w:tcPr>
          <w:p>
            <w:pPr>
              <w:rPr>
                <w:rFonts w:ascii="仿宋" w:hAnsi="仿宋" w:eastAsia="仿宋"/>
                <w:kern w:val="0"/>
                <w:sz w:val="24"/>
                <w:szCs w:val="24"/>
              </w:rPr>
            </w:pPr>
          </w:p>
        </w:tc>
        <w:tc>
          <w:tcPr>
            <w:tcW w:w="2835" w:type="dxa"/>
            <w:shd w:val="clear" w:color="auto" w:fill="auto"/>
            <w:vAlign w:val="center"/>
          </w:tcPr>
          <w:p>
            <w:pP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原证券简称（英文）</w:t>
            </w:r>
          </w:p>
        </w:tc>
        <w:tc>
          <w:tcPr>
            <w:tcW w:w="2829" w:type="dxa"/>
            <w:shd w:val="clear" w:color="auto" w:fill="auto"/>
            <w:vAlign w:val="center"/>
          </w:tcPr>
          <w:p>
            <w:pPr>
              <w:rPr>
                <w:rFonts w:ascii="仿宋" w:hAnsi="仿宋" w:eastAsia="仿宋"/>
                <w:kern w:val="0"/>
                <w:sz w:val="24"/>
                <w:szCs w:val="24"/>
              </w:rPr>
            </w:pPr>
          </w:p>
        </w:tc>
        <w:tc>
          <w:tcPr>
            <w:tcW w:w="2835" w:type="dxa"/>
            <w:shd w:val="clear" w:color="auto" w:fill="auto"/>
            <w:vAlign w:val="center"/>
          </w:tcPr>
          <w:p>
            <w:pP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4" w:hRule="atLeast"/>
        </w:trPr>
        <w:tc>
          <w:tcPr>
            <w:tcW w:w="2700" w:type="dxa"/>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变更后的证券简称（英文）</w:t>
            </w:r>
          </w:p>
        </w:tc>
        <w:tc>
          <w:tcPr>
            <w:tcW w:w="2829" w:type="dxa"/>
            <w:shd w:val="clear" w:color="auto" w:fill="auto"/>
            <w:vAlign w:val="center"/>
          </w:tcPr>
          <w:p>
            <w:pPr>
              <w:rPr>
                <w:rFonts w:ascii="仿宋" w:hAnsi="仿宋" w:eastAsia="仿宋"/>
                <w:kern w:val="0"/>
                <w:sz w:val="24"/>
                <w:szCs w:val="24"/>
              </w:rPr>
            </w:pPr>
          </w:p>
        </w:tc>
        <w:tc>
          <w:tcPr>
            <w:tcW w:w="2835" w:type="dxa"/>
            <w:shd w:val="clear" w:color="auto" w:fill="auto"/>
            <w:vAlign w:val="center"/>
          </w:tcPr>
          <w:p>
            <w:pP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4" w:hRule="exact"/>
        </w:trPr>
        <w:tc>
          <w:tcPr>
            <w:tcW w:w="2700" w:type="dxa"/>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新全称、简称拟启用日期</w:t>
            </w:r>
          </w:p>
        </w:tc>
        <w:tc>
          <w:tcPr>
            <w:tcW w:w="5664" w:type="dxa"/>
            <w:gridSpan w:val="2"/>
            <w:shd w:val="clear" w:color="auto" w:fill="auto"/>
            <w:vAlign w:val="center"/>
          </w:tcPr>
          <w:p>
            <w:pP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00" w:type="dxa"/>
            <w:shd w:val="clear" w:color="auto" w:fill="auto"/>
            <w:vAlign w:val="center"/>
          </w:tcPr>
          <w:p>
            <w:pPr>
              <w:rPr>
                <w:rFonts w:ascii="仿宋" w:hAnsi="仿宋" w:eastAsia="仿宋"/>
                <w:kern w:val="0"/>
                <w:sz w:val="24"/>
                <w:szCs w:val="24"/>
              </w:rPr>
            </w:pPr>
            <w:r>
              <w:rPr>
                <w:rFonts w:hint="eastAsia" w:ascii="仿宋" w:hAnsi="仿宋" w:eastAsia="仿宋"/>
                <w:kern w:val="0"/>
                <w:sz w:val="24"/>
                <w:szCs w:val="24"/>
              </w:rPr>
              <w:t>需报送材料清单</w:t>
            </w:r>
          </w:p>
        </w:tc>
        <w:tc>
          <w:tcPr>
            <w:tcW w:w="5664" w:type="dxa"/>
            <w:gridSpan w:val="2"/>
            <w:shd w:val="clear" w:color="auto" w:fill="auto"/>
          </w:tcPr>
          <w:p>
            <w:pPr>
              <w:rPr>
                <w:rFonts w:ascii="仿宋" w:hAnsi="仿宋" w:eastAsia="仿宋"/>
                <w:kern w:val="0"/>
                <w:sz w:val="24"/>
                <w:szCs w:val="24"/>
              </w:rPr>
            </w:pPr>
            <w:r>
              <w:rPr>
                <w:rFonts w:hint="eastAsia" w:ascii="仿宋" w:hAnsi="仿宋" w:eastAsia="仿宋"/>
                <w:kern w:val="0"/>
                <w:sz w:val="24"/>
                <w:szCs w:val="24"/>
              </w:rPr>
              <w:t>□填写并加盖公章的《上市公司变更公司全称报备、变更证券简称申请表》</w:t>
            </w:r>
          </w:p>
          <w:p>
            <w:pPr>
              <w:rPr>
                <w:rFonts w:ascii="仿宋" w:hAnsi="仿宋" w:eastAsia="仿宋"/>
                <w:kern w:val="0"/>
                <w:sz w:val="24"/>
                <w:szCs w:val="24"/>
              </w:rPr>
            </w:pPr>
            <w:r>
              <w:rPr>
                <w:rFonts w:hint="eastAsia" w:ascii="仿宋" w:hAnsi="仿宋" w:eastAsia="仿宋"/>
                <w:kern w:val="0"/>
                <w:sz w:val="24"/>
                <w:szCs w:val="24"/>
              </w:rPr>
              <w:t>□</w:t>
            </w:r>
            <w:bookmarkStart w:id="19" w:name="OLE_LINK1"/>
            <w:bookmarkStart w:id="20" w:name="OLE_LINK2"/>
            <w:r>
              <w:rPr>
                <w:rFonts w:hint="eastAsia" w:ascii="仿宋" w:hAnsi="仿宋" w:eastAsia="仿宋"/>
                <w:kern w:val="0"/>
                <w:sz w:val="24"/>
                <w:szCs w:val="24"/>
              </w:rPr>
              <w:t>修改公司名称后的《企业法人营业执照》复印件</w:t>
            </w:r>
          </w:p>
          <w:p>
            <w:pPr>
              <w:rPr>
                <w:rFonts w:ascii="仿宋" w:hAnsi="仿宋" w:eastAsia="仿宋"/>
                <w:kern w:val="0"/>
                <w:sz w:val="24"/>
                <w:szCs w:val="24"/>
              </w:rPr>
            </w:pPr>
            <w:r>
              <w:rPr>
                <w:rFonts w:hint="eastAsia" w:ascii="仿宋" w:hAnsi="仿宋" w:eastAsia="仿宋"/>
                <w:kern w:val="0"/>
                <w:sz w:val="24"/>
                <w:szCs w:val="24"/>
              </w:rPr>
              <w:t>□工商管理部门关于公司修改名称的证明材料复印件</w:t>
            </w:r>
          </w:p>
          <w:p>
            <w:pPr>
              <w:rPr>
                <w:rFonts w:ascii="仿宋" w:hAnsi="仿宋" w:eastAsia="仿宋"/>
                <w:kern w:val="0"/>
                <w:sz w:val="24"/>
                <w:szCs w:val="24"/>
              </w:rPr>
            </w:pPr>
            <w:r>
              <w:rPr>
                <w:rFonts w:hint="eastAsia" w:ascii="仿宋" w:hAnsi="仿宋" w:eastAsia="仿宋"/>
                <w:kern w:val="0"/>
                <w:sz w:val="24"/>
                <w:szCs w:val="24"/>
              </w:rPr>
              <w:t>□关于变更公司全称、证券简称的公告</w:t>
            </w:r>
            <w:bookmarkEnd w:id="19"/>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6" w:hRule="exact"/>
        </w:trPr>
        <w:tc>
          <w:tcPr>
            <w:tcW w:w="8364" w:type="dxa"/>
            <w:gridSpan w:val="3"/>
            <w:shd w:val="clear" w:color="auto" w:fill="auto"/>
          </w:tcPr>
          <w:p>
            <w:pPr>
              <w:ind w:firstLine="4200" w:firstLineChars="1750"/>
              <w:rPr>
                <w:rFonts w:ascii="仿宋" w:hAnsi="仿宋" w:eastAsia="仿宋"/>
                <w:kern w:val="0"/>
                <w:sz w:val="24"/>
                <w:szCs w:val="24"/>
              </w:rPr>
            </w:pPr>
          </w:p>
          <w:p>
            <w:pPr>
              <w:ind w:firstLine="278" w:firstLineChars="116"/>
              <w:rPr>
                <w:rFonts w:ascii="仿宋" w:hAnsi="仿宋" w:eastAsia="仿宋"/>
                <w:kern w:val="0"/>
                <w:sz w:val="24"/>
                <w:szCs w:val="24"/>
              </w:rPr>
            </w:pPr>
            <w:r>
              <w:rPr>
                <w:rFonts w:hint="eastAsia" w:ascii="仿宋" w:hAnsi="仿宋" w:eastAsia="仿宋"/>
                <w:kern w:val="0"/>
                <w:sz w:val="24"/>
                <w:szCs w:val="24"/>
              </w:rPr>
              <w:t>经办人：</w:t>
            </w:r>
            <w:r>
              <w:rPr>
                <w:rFonts w:ascii="仿宋" w:hAnsi="仿宋" w:eastAsia="仿宋"/>
                <w:kern w:val="0"/>
                <w:sz w:val="24"/>
                <w:szCs w:val="24"/>
              </w:rPr>
              <w:t xml:space="preserve">               </w:t>
            </w:r>
            <w:r>
              <w:rPr>
                <w:rFonts w:hint="eastAsia" w:ascii="仿宋" w:hAnsi="仿宋" w:eastAsia="仿宋"/>
                <w:kern w:val="0"/>
                <w:sz w:val="24"/>
                <w:szCs w:val="24"/>
              </w:rPr>
              <w:t>日期：</w:t>
            </w:r>
          </w:p>
          <w:p>
            <w:pPr>
              <w:ind w:firstLine="1200" w:firstLineChars="500"/>
              <w:rPr>
                <w:rFonts w:ascii="仿宋" w:hAnsi="仿宋" w:eastAsia="仿宋"/>
                <w:kern w:val="0"/>
                <w:sz w:val="24"/>
                <w:szCs w:val="24"/>
              </w:rPr>
            </w:pPr>
            <w:r>
              <w:rPr>
                <w:rFonts w:hint="eastAsia" w:ascii="仿宋" w:hAnsi="仿宋" w:eastAsia="仿宋"/>
                <w:kern w:val="0"/>
                <w:sz w:val="24"/>
                <w:szCs w:val="24"/>
              </w:rPr>
              <w:t>（加盖公司公章）</w:t>
            </w:r>
          </w:p>
        </w:tc>
      </w:tr>
    </w:tbl>
    <w:p/>
    <w:p/>
    <w:p>
      <w:pPr>
        <w:pStyle w:val="162"/>
        <w:spacing w:before="0" w:after="0" w:line="240" w:lineRule="auto"/>
        <w:ind w:firstLine="0" w:firstLineChars="0"/>
        <w:outlineLvl w:val="9"/>
        <w:rPr>
          <w:rFonts w:hAnsi="黑体"/>
          <w:sz w:val="36"/>
          <w:szCs w:val="36"/>
        </w:rPr>
      </w:pPr>
      <w:bookmarkStart w:id="21" w:name="_Toc141954526"/>
      <w:bookmarkStart w:id="22" w:name="_Toc129272522"/>
      <w:r>
        <w:rPr>
          <w:rFonts w:hAnsi="黑体"/>
          <w:sz w:val="36"/>
          <w:szCs w:val="36"/>
        </w:rPr>
        <w:br w:type="page"/>
      </w:r>
    </w:p>
    <w:p>
      <w:pPr>
        <w:pStyle w:val="162"/>
        <w:spacing w:before="0" w:after="0" w:line="240" w:lineRule="auto"/>
        <w:ind w:firstLine="0" w:firstLineChars="0"/>
        <w:outlineLvl w:val="9"/>
        <w:rPr>
          <w:rFonts w:hAnsi="黑体"/>
          <w:sz w:val="36"/>
          <w:szCs w:val="36"/>
        </w:rPr>
        <w:sectPr>
          <w:footerReference r:id="rId6" w:type="default"/>
          <w:footerReference r:id="rId7" w:type="even"/>
          <w:pgSz w:w="11906" w:h="16838"/>
          <w:pgMar w:top="1440" w:right="1800" w:bottom="1440" w:left="1800" w:header="851" w:footer="992" w:gutter="0"/>
          <w:cols w:space="720" w:num="1"/>
          <w:docGrid w:type="lines" w:linePitch="312" w:charSpace="0"/>
        </w:sectPr>
      </w:pPr>
    </w:p>
    <w:p>
      <w:pPr>
        <w:pStyle w:val="162"/>
        <w:ind w:firstLine="0" w:firstLineChars="0"/>
        <w:outlineLvl w:val="1"/>
        <w:rPr>
          <w:rFonts w:hAnsi="黑体"/>
          <w:sz w:val="32"/>
          <w:szCs w:val="32"/>
        </w:rPr>
      </w:pPr>
      <w:bookmarkStart w:id="23" w:name="_Toc20304"/>
      <w:r>
        <w:rPr>
          <w:rFonts w:hint="eastAsia" w:hAnsi="黑体"/>
          <w:sz w:val="32"/>
          <w:szCs w:val="32"/>
        </w:rPr>
        <w:t>第六节 融资融券、转融通相关事项</w:t>
      </w:r>
      <w:bookmarkEnd w:id="23"/>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一、一般规定</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上市公司股票或者其他证券作为融资融券、转融通业务标的证券，或者作为上述两类业务担保证券的，相关主体的信息披露等事宜适用本指南。</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二、证券交易相关规则适用</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一）投资者及其一致行动人参与融资融券、转融通业务，其普通证券账户、客户信用证券账户所持同一家上市公司股份数量与已通过转融通出借尚未归还的该公司股份数量合计超过公司总股本5%的，其减持该公司股份应当适用本所《上市公司股东及董事、监事、高级管理人员减持股份实施细则》等规则中关于大股东减持的规定。</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（二）持有上市公司5%以上股份的股东未直接或间接增加或减少所持股份数量，仅参与转融通业务在六个月内出借和收回证券的，不适用短线交易的有关规定。</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因参与转融通出借股份导致持有公司股份低于总股本5%的，出借期间买卖股票和其他具有股权性质的证券应当适用短线交易的有关规定。</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（三）上市公司董事、监事、高级管理人员、持有上市公司5%以上股份的股东，不得进行以该上市公司股票为标的证券的融资融券交易。</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因参与转融通出借股份导致持有公司股份低于总股本5%的，适用前款规定。</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三、权益变动和收购相关要求</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一）投资者及其一致行动人因参与融资融券及转融通业务导致其在一家上市公司中拥有表决权的股份增减变动达到规定比例的，应当按照《上市公司收购管理办法》有关权益变动的规则及其他相关信息披露规则的规定，通知上市公司，及时履行公告、报告及其他义务。</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上市公司应当配合投资者履行信息披露等义务。</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二）投资者及其一致行动人应当在其权益变动或收购的公告及报告书中，单独披露其参与融资融券、转融通业务导致拥有权益的股份变动的数量及比例，参与的业务及期限，标的证券、担保证券对应的出席股东大会、提案、表决等股东权利行使的安排，现金分红、送股、转增股份、配股等产生的相关权益归属和补偿的安排，中国证券金融股份有限公司、证券公司、投资者按照相关规定关于违约的约定及其对权益变动的影响等。</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（三）投资者及其一致行动人参与融资融券、转融通业务导致拥有权益的股份比例超过30%的，应当按照《上市公司收购管理办法》履行要约收购义务，属于免于发出要约情形的除外。</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作为转融通业务出借人的投资者及其一致行动人，在出借期间未直接或间接增加拥有权益的股份数量，仅因收回出借股票导致其拥有权益的股份比例重新超过30%的，可免于履行要约收购义务。</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四、定期报告相关要求</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一）上市公司应当在定期报告的“股份变动和股东情况”部分，披露持股5%以上股东、前10名股东及前10名无限售流通股股东在报告期内参与融资融券及转融通业务的具体情况，包括相关股东名称、报告期初持股数量及比例、报告期初转融通出借股份数量及比例、报告期末持股数量及比例、报告期末转融通出借股份数量及比例等。</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二）上市公司前10名股东及前10名无限售流通股股东较前一个定期报告中披露的情况发生变化的，公司应当向相关股东核实变化原因是否涉及股东在报告期内参与转融通业务，如是，公司应当在定期报告“股份变动和股东情况”部分，披露报告期内相关股东以公司证券为标的参与转融通业务的证券数量及占上市公司总股本的比例，以及报告期末该等股东所持该公司股份数量与已通过转融通出借尚未归还的该公司股份数量的合计数及占上市公司总股本的合计比例。</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三）上市公司拟披露参与融资融券及转融通业务相关股东持股情况的，应当根据中国证券登记结算有限责任公司及其深圳分公司（简称中国结算）发布的融资融券、转融通业务有关规定，向中国结算申请取得相关信息。</w:t>
      </w:r>
    </w:p>
    <w:p>
      <w:pPr>
        <w:widowControl/>
        <w:jc w:val="left"/>
        <w:rPr>
          <w:rFonts w:ascii="仿宋" w:hAnsi="仿宋" w:eastAsia="仿宋"/>
          <w:kern w:val="44"/>
          <w:sz w:val="32"/>
          <w:szCs w:val="20"/>
        </w:rPr>
      </w:pPr>
      <w:r>
        <w:rPr>
          <w:rFonts w:ascii="仿宋" w:eastAsia="仿宋"/>
          <w:sz w:val="32"/>
          <w:szCs w:val="20"/>
        </w:rPr>
        <w:br w:type="page"/>
      </w:r>
    </w:p>
    <w:p>
      <w:pPr>
        <w:pStyle w:val="162"/>
        <w:ind w:firstLine="0" w:firstLineChars="0"/>
        <w:outlineLvl w:val="1"/>
        <w:rPr>
          <w:rFonts w:hAnsi="黑体"/>
          <w:sz w:val="32"/>
          <w:szCs w:val="32"/>
        </w:rPr>
      </w:pPr>
      <w:bookmarkStart w:id="24" w:name="_Toc16552"/>
      <w:r>
        <w:rPr>
          <w:rFonts w:hint="eastAsia" w:hAnsi="黑体"/>
          <w:sz w:val="32"/>
          <w:szCs w:val="32"/>
        </w:rPr>
        <w:t>第七节 退市风险公司信息披露</w:t>
      </w:r>
      <w:bookmarkEnd w:id="24"/>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一、总体要求</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（一）股票具有退市风险的上市公司（以下简称退市风险公司）在</w:t>
      </w:r>
      <w:r>
        <w:rPr>
          <w:rFonts w:ascii="仿宋_GB2312" w:hAnsi="仿宋_GB2312" w:eastAsia="仿宋_GB2312" w:cs="仿宋_GB2312"/>
          <w:sz w:val="32"/>
          <w:szCs w:val="32"/>
        </w:rPr>
        <w:t>持续信息披露和定期报告编制过程中，</w:t>
      </w:r>
      <w:r>
        <w:rPr>
          <w:rFonts w:hint="eastAsia" w:ascii="仿宋_GB2312" w:hAnsi="仿宋_GB2312" w:eastAsia="仿宋_GB2312" w:cs="仿宋_GB2312"/>
          <w:sz w:val="32"/>
          <w:szCs w:val="32"/>
        </w:rPr>
        <w:t>应当高度关注可能涉及的退市风险，认真评估是否触及强制退市指标，充分论证相关交易及事项的合规性和商业合理性，依规审议并及时披露年度业绩预告、重大事项及其进展公告和年度报告，充分揭示退市风险。</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（二）退市</w:t>
      </w:r>
      <w:r>
        <w:rPr>
          <w:rFonts w:ascii="仿宋_GB2312" w:hAnsi="仿宋_GB2312" w:eastAsia="仿宋_GB2312" w:cs="仿宋_GB2312"/>
          <w:sz w:val="32"/>
          <w:szCs w:val="32"/>
        </w:rPr>
        <w:t>风险公司</w:t>
      </w:r>
      <w:r>
        <w:rPr>
          <w:rFonts w:hint="eastAsia" w:ascii="仿宋_GB2312" w:hAnsi="仿宋_GB2312" w:eastAsia="仿宋_GB2312" w:cs="仿宋_GB2312"/>
          <w:sz w:val="32"/>
          <w:szCs w:val="32"/>
        </w:rPr>
        <w:t>不得随意披露附有</w:t>
      </w:r>
      <w:r>
        <w:rPr>
          <w:rFonts w:ascii="仿宋_GB2312" w:hAnsi="仿宋_GB2312" w:eastAsia="仿宋_GB2312" w:cs="仿宋_GB2312"/>
          <w:sz w:val="32"/>
          <w:szCs w:val="32"/>
        </w:rPr>
        <w:t>前提条件、存在重大</w:t>
      </w:r>
      <w:r>
        <w:rPr>
          <w:rFonts w:hint="eastAsia" w:ascii="仿宋_GB2312" w:hAnsi="仿宋_GB2312" w:eastAsia="仿宋_GB2312" w:cs="仿宋_GB2312"/>
          <w:sz w:val="32"/>
          <w:szCs w:val="32"/>
        </w:rPr>
        <w:t>不</w:t>
      </w:r>
      <w:r>
        <w:rPr>
          <w:rFonts w:ascii="仿宋_GB2312" w:hAnsi="仿宋_GB2312" w:eastAsia="仿宋_GB2312" w:cs="仿宋_GB2312"/>
          <w:sz w:val="32"/>
          <w:szCs w:val="32"/>
        </w:rPr>
        <w:t>确定性或疑点</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缺乏商业合理性的重大交易</w:t>
      </w:r>
      <w:r>
        <w:rPr>
          <w:rFonts w:hint="eastAsia" w:ascii="仿宋_GB2312" w:hAnsi="仿宋_GB2312" w:eastAsia="仿宋_GB2312" w:cs="仿宋_GB2312"/>
          <w:sz w:val="32"/>
          <w:szCs w:val="32"/>
        </w:rPr>
        <w:t>公告，</w:t>
      </w:r>
      <w:r>
        <w:rPr>
          <w:rFonts w:ascii="仿宋_GB2312" w:hAnsi="仿宋_GB2312" w:eastAsia="仿宋_GB2312" w:cs="仿宋_GB2312"/>
          <w:sz w:val="32"/>
          <w:szCs w:val="32"/>
        </w:rPr>
        <w:t>缺乏可行性的增持</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回购、要约收购、控制权变更等公告</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Cs w:val="32"/>
          <w:highlight w:val="yellow"/>
        </w:rPr>
      </w:pPr>
      <w:r>
        <w:rPr>
          <w:rFonts w:hint="eastAsia" w:ascii="仿宋_GB2312" w:hAnsi="仿宋_GB2312" w:eastAsia="仿宋_GB2312" w:cs="仿宋_GB2312"/>
          <w:sz w:val="32"/>
          <w:szCs w:val="32"/>
        </w:rPr>
        <w:t>（三）退市风险公司的</w:t>
      </w:r>
      <w:r>
        <w:rPr>
          <w:rFonts w:hint="eastAsia" w:ascii="仿宋_GB2312" w:hAnsi="仿宋_GB2312" w:eastAsia="仿宋_GB2312"/>
          <w:sz w:val="32"/>
          <w:szCs w:val="32"/>
        </w:rPr>
        <w:t>董事、监事、高级管理人员（以下简称董监高）</w:t>
      </w:r>
      <w:r>
        <w:rPr>
          <w:rFonts w:hint="eastAsia" w:ascii="仿宋_GB2312" w:hAnsi="仿宋_GB2312" w:eastAsia="仿宋_GB2312" w:cs="仿宋_GB2312"/>
          <w:sz w:val="32"/>
          <w:szCs w:val="32"/>
        </w:rPr>
        <w:t>应当诚实守信、勤勉尽责，做好定期报告编制、审议和披露相关工作，并配合会计师事务所的审计工作,充分</w:t>
      </w:r>
      <w:r>
        <w:rPr>
          <w:rFonts w:ascii="仿宋_GB2312" w:hAnsi="仿宋_GB2312" w:eastAsia="仿宋_GB2312" w:cs="仿宋_GB2312"/>
          <w:sz w:val="32"/>
          <w:szCs w:val="32"/>
        </w:rPr>
        <w:t>考虑重大交易的</w:t>
      </w:r>
      <w:r>
        <w:rPr>
          <w:rFonts w:hint="eastAsia" w:ascii="仿宋_GB2312" w:hAnsi="仿宋_GB2312" w:eastAsia="仿宋_GB2312" w:cs="仿宋_GB2312"/>
          <w:sz w:val="32"/>
          <w:szCs w:val="32"/>
        </w:rPr>
        <w:t>合规</w:t>
      </w:r>
      <w:r>
        <w:rPr>
          <w:rFonts w:ascii="仿宋_GB2312" w:hAnsi="仿宋_GB2312" w:eastAsia="仿宋_GB2312" w:cs="仿宋_GB2312"/>
          <w:sz w:val="32"/>
          <w:szCs w:val="32"/>
        </w:rPr>
        <w:t>合理性</w:t>
      </w:r>
      <w:r>
        <w:rPr>
          <w:rFonts w:hint="eastAsia" w:ascii="仿宋_GB2312" w:hAnsi="仿宋_GB2312" w:eastAsia="仿宋_GB2312" w:cs="仿宋_GB2312"/>
          <w:sz w:val="32"/>
          <w:szCs w:val="32"/>
        </w:rPr>
        <w:t>及</w:t>
      </w:r>
      <w:r>
        <w:rPr>
          <w:rFonts w:ascii="仿宋_GB2312" w:hAnsi="仿宋_GB2312" w:eastAsia="仿宋_GB2312" w:cs="仿宋_GB2312"/>
          <w:sz w:val="32"/>
          <w:szCs w:val="32"/>
        </w:rPr>
        <w:t>对公司的影响</w:t>
      </w:r>
      <w:r>
        <w:rPr>
          <w:rFonts w:hint="eastAsia" w:ascii="仿宋_GB2312" w:hAnsi="仿宋_GB2312" w:eastAsia="仿宋_GB2312" w:cs="仿宋_GB2312"/>
          <w:sz w:val="32"/>
          <w:szCs w:val="32"/>
        </w:rPr>
        <w:t>和潜在</w:t>
      </w:r>
      <w:r>
        <w:rPr>
          <w:rFonts w:ascii="仿宋_GB2312" w:hAnsi="仿宋_GB2312" w:eastAsia="仿宋_GB2312" w:cs="仿宋_GB2312"/>
          <w:sz w:val="32"/>
          <w:szCs w:val="32"/>
        </w:rPr>
        <w:t>的风险，</w:t>
      </w:r>
      <w:r>
        <w:rPr>
          <w:rFonts w:hint="eastAsia" w:ascii="仿宋_GB2312" w:hAnsi="仿宋_GB2312" w:eastAsia="仿宋_GB2312" w:cs="仿宋_GB2312"/>
          <w:sz w:val="32"/>
          <w:szCs w:val="32"/>
        </w:rPr>
        <w:t>以合理审慎的态度</w:t>
      </w:r>
      <w:r>
        <w:rPr>
          <w:rFonts w:ascii="仿宋_GB2312" w:hAnsi="仿宋_GB2312" w:eastAsia="仿宋_GB2312" w:cs="仿宋_GB2312"/>
          <w:sz w:val="32"/>
          <w:szCs w:val="32"/>
        </w:rPr>
        <w:t>充分</w:t>
      </w:r>
      <w:r>
        <w:rPr>
          <w:rFonts w:hint="eastAsia" w:ascii="仿宋_GB2312" w:hAnsi="仿宋_GB2312" w:eastAsia="仿宋_GB2312" w:cs="仿宋_GB2312"/>
          <w:sz w:val="32"/>
          <w:szCs w:val="32"/>
        </w:rPr>
        <w:t>核实后发表</w:t>
      </w:r>
      <w:r>
        <w:rPr>
          <w:rFonts w:ascii="仿宋_GB2312" w:hAnsi="仿宋_GB2312" w:eastAsia="仿宋_GB2312" w:cs="仿宋_GB2312"/>
          <w:sz w:val="32"/>
          <w:szCs w:val="32"/>
        </w:rPr>
        <w:t>明确意见</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（四）会计师事务所应当严格按照审计准则等的要求，勤勉尽责、规范执业，高度关注营业收入及其扣除情况、重大</w:t>
      </w:r>
      <w:r>
        <w:rPr>
          <w:rFonts w:ascii="仿宋_GB2312" w:hAnsi="仿宋_GB2312" w:eastAsia="仿宋_GB2312" w:cs="仿宋_GB2312"/>
          <w:sz w:val="32"/>
          <w:szCs w:val="32"/>
        </w:rPr>
        <w:t>会计</w:t>
      </w:r>
      <w:r>
        <w:rPr>
          <w:rFonts w:hint="eastAsia" w:ascii="仿宋_GB2312" w:hAnsi="仿宋_GB2312" w:eastAsia="仿宋_GB2312" w:cs="仿宋_GB2312"/>
          <w:sz w:val="32"/>
          <w:szCs w:val="32"/>
        </w:rPr>
        <w:t>差错</w:t>
      </w:r>
      <w:r>
        <w:rPr>
          <w:rFonts w:ascii="仿宋_GB2312" w:hAnsi="仿宋_GB2312" w:eastAsia="仿宋_GB2312" w:cs="仿宋_GB2312"/>
          <w:sz w:val="32"/>
          <w:szCs w:val="32"/>
        </w:rPr>
        <w:t>更正</w:t>
      </w:r>
      <w:r>
        <w:rPr>
          <w:rFonts w:hint="eastAsia" w:ascii="仿宋_GB2312" w:hAnsi="仿宋_GB2312" w:eastAsia="仿宋_GB2312" w:cs="仿宋_GB2312"/>
          <w:sz w:val="32"/>
          <w:szCs w:val="32"/>
        </w:rPr>
        <w:t>，以及净利润、非经常性损益、净资产等核心财务数据的真实性、准确性，履行充分、必要的程序，获取充分、适当的证据，发表恰当的专业意见，切实承担起中介机构责任。</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二、财务类退市风险信息披露</w:t>
      </w:r>
    </w:p>
    <w:p>
      <w:pPr>
        <w:widowControl/>
        <w:snapToGrid w:val="0"/>
        <w:spacing w:line="560" w:lineRule="exact"/>
        <w:ind w:firstLine="640" w:firstLineChars="200"/>
        <w:rPr>
          <w:rFonts w:ascii="楷体" w:hAnsi="楷体" w:eastAsia="楷体" w:cs="楷体"/>
          <w:bCs/>
          <w:kern w:val="0"/>
          <w:szCs w:val="32"/>
        </w:rPr>
      </w:pPr>
      <w:r>
        <w:rPr>
          <w:rFonts w:hint="eastAsia" w:ascii="楷体" w:hAnsi="楷体" w:eastAsia="楷体" w:cs="楷体"/>
          <w:bCs/>
          <w:kern w:val="0"/>
          <w:sz w:val="32"/>
          <w:szCs w:val="32"/>
        </w:rPr>
        <w:t>（一）依规披露年度业绩预告</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股票交易</w:t>
      </w:r>
      <w:r>
        <w:rPr>
          <w:rFonts w:hint="eastAsia" w:ascii="仿宋_GB2312" w:hAnsi="仿宋_GB2312" w:eastAsia="仿宋_GB2312"/>
          <w:sz w:val="32"/>
          <w:szCs w:val="32"/>
        </w:rPr>
        <w:t>已被实施财务类退市风险警示的上市公司（以下简称</w:t>
      </w:r>
      <w:r>
        <w:rPr>
          <w:rFonts w:hint="eastAsia" w:ascii="仿宋_GB2312" w:hAnsi="仿宋_GB2312" w:eastAsia="仿宋_GB2312" w:cs="仿宋_GB2312"/>
          <w:sz w:val="32"/>
          <w:szCs w:val="32"/>
        </w:rPr>
        <w:t>财务类退市风险公司）应当按照《</w:t>
      </w:r>
      <w:r>
        <w:rPr>
          <w:rFonts w:hint="eastAsia" w:ascii="仿宋" w:hAnsi="仿宋" w:eastAsia="仿宋"/>
          <w:color w:val="000000"/>
          <w:sz w:val="32"/>
          <w:szCs w:val="32"/>
        </w:rPr>
        <w:t>创业板上市规则</w:t>
      </w:r>
      <w:r>
        <w:rPr>
          <w:rFonts w:hint="eastAsia" w:ascii="仿宋_GB2312" w:hAnsi="仿宋_GB2312" w:eastAsia="仿宋_GB2312" w:cs="仿宋_GB2312"/>
          <w:sz w:val="32"/>
          <w:szCs w:val="32"/>
        </w:rPr>
        <w:t>》第6.2.3条的规定，在会计年度结束后一个月内预告全年营业收入、扣除与主营业务无关的业务收入和不具备商业实质的收入后的营业收入、净利润、扣除非经常性损益后的净利润和期末净资产。</w:t>
      </w:r>
    </w:p>
    <w:p>
      <w:pPr>
        <w:widowControl/>
        <w:snapToGrid w:val="0"/>
        <w:spacing w:line="560" w:lineRule="exact"/>
        <w:ind w:firstLine="640" w:firstLineChars="200"/>
        <w:rPr>
          <w:rFonts w:ascii="楷体" w:hAnsi="楷体" w:eastAsia="楷体" w:cs="楷体"/>
          <w:bCs/>
          <w:kern w:val="0"/>
          <w:sz w:val="32"/>
          <w:szCs w:val="32"/>
        </w:rPr>
      </w:pPr>
      <w:r>
        <w:rPr>
          <w:rFonts w:hint="eastAsia" w:ascii="楷体" w:hAnsi="楷体" w:eastAsia="楷体" w:cs="楷体"/>
          <w:bCs/>
          <w:kern w:val="0"/>
          <w:sz w:val="32"/>
          <w:szCs w:val="32"/>
        </w:rPr>
        <w:t>（二）持续做好退市风险提示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财务</w:t>
      </w:r>
      <w:r>
        <w:rPr>
          <w:rFonts w:ascii="仿宋_GB2312" w:hAnsi="仿宋_GB2312" w:eastAsia="仿宋_GB2312" w:cs="仿宋_GB2312"/>
          <w:sz w:val="32"/>
          <w:szCs w:val="32"/>
        </w:rPr>
        <w:t>类</w:t>
      </w:r>
      <w:r>
        <w:rPr>
          <w:rFonts w:hint="eastAsia" w:ascii="仿宋_GB2312" w:hAnsi="仿宋_GB2312" w:eastAsia="仿宋_GB2312" w:cs="仿宋_GB2312"/>
          <w:sz w:val="32"/>
          <w:szCs w:val="32"/>
        </w:rPr>
        <w:t>退市风险公司应当按照《创业板上市规则》第</w:t>
      </w:r>
      <w:r>
        <w:rPr>
          <w:rFonts w:ascii="仿宋_GB2312" w:hAnsi="仿宋_GB2312" w:eastAsia="仿宋_GB2312" w:cs="仿宋_GB2312"/>
          <w:sz w:val="32"/>
          <w:szCs w:val="32"/>
        </w:rPr>
        <w:t>10.3.4</w:t>
      </w:r>
      <w:r>
        <w:rPr>
          <w:rFonts w:hint="eastAsia" w:ascii="仿宋_GB2312" w:hAnsi="仿宋_GB2312" w:eastAsia="仿宋_GB2312" w:cs="仿宋_GB2312"/>
          <w:sz w:val="32"/>
          <w:szCs w:val="32"/>
        </w:rPr>
        <w:t>条的有关规定，在其股票被实施退市风险警示当年的会计年度结束后一个月内，发布股票可能被终止上市的风险提示公告。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为提升风险揭示效果，财务</w:t>
      </w:r>
      <w:r>
        <w:rPr>
          <w:rFonts w:ascii="仿宋_GB2312" w:hAnsi="仿宋_GB2312" w:eastAsia="仿宋_GB2312" w:cs="仿宋_GB2312"/>
          <w:sz w:val="32"/>
          <w:szCs w:val="32"/>
        </w:rPr>
        <w:t>类</w:t>
      </w:r>
      <w:r>
        <w:rPr>
          <w:rFonts w:hint="eastAsia" w:ascii="仿宋_GB2312" w:hAnsi="仿宋_GB2312" w:eastAsia="仿宋_GB2312" w:cs="仿宋_GB2312"/>
          <w:sz w:val="32"/>
          <w:szCs w:val="32"/>
        </w:rPr>
        <w:t>退市风险公司应当在首次风险提示公告披露后至年度报告披露前，每十个交易日披露一次风险提示公告。上述风险提示公告均应当按照《创业板上市公司自律监管指南第2号——公告格式》中终止上市风险提示公告格式的要求，结合自身情况详细分析说明股票可能触及的终止上市情形及其原因，保证风险提示的可读性和有效性。本所可以视情况要求公司增加风险提示公告的披露次数。</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财务类退市风险公司涉及下列情形之一的，应当在风险提示公告中予以重点提示：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1.年度业绩预告预计相关指标将触及《创业板上市规则》第</w:t>
      </w:r>
      <w:r>
        <w:rPr>
          <w:rFonts w:ascii="仿宋_GB2312" w:hAnsi="仿宋_GB2312" w:eastAsia="仿宋_GB2312" w:cs="仿宋_GB2312"/>
          <w:sz w:val="32"/>
          <w:szCs w:val="32"/>
        </w:rPr>
        <w:t>10.3.10</w:t>
      </w:r>
      <w:r>
        <w:rPr>
          <w:rFonts w:hint="eastAsia" w:ascii="仿宋_GB2312" w:hAnsi="仿宋_GB2312" w:eastAsia="仿宋_GB2312" w:cs="仿宋_GB2312"/>
          <w:sz w:val="32"/>
          <w:szCs w:val="32"/>
        </w:rPr>
        <w:t>条规定的任一情形，其股票可能被终止上市；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2.尚未聘请会计师事务所；</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3.年度业绩预告与会计师事务所出具的预审计情况的专项说明或审计进展情况的专项说明中相关内容存在重大差异；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4.在年度报告编制及审计过程中，公司与会计师事务所对影响公司是否触及退市情形的关键事项存在重大分歧；</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5.在法定期限内披露年度报告存在障碍的；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6.影响公司是否触及退市情形的事项尚未核实，且未履行信息披露义务；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7.公司预计退市风险出现重大变化，其股票可能被终止上市；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8.本所要求的其他情形。</w:t>
      </w:r>
    </w:p>
    <w:p>
      <w:pPr>
        <w:widowControl/>
        <w:snapToGrid w:val="0"/>
        <w:spacing w:line="560" w:lineRule="exact"/>
        <w:ind w:firstLine="640" w:firstLineChars="200"/>
        <w:rPr>
          <w:rFonts w:ascii="楷体" w:hAnsi="楷体" w:eastAsia="楷体" w:cs="楷体"/>
          <w:bCs/>
          <w:kern w:val="0"/>
          <w:szCs w:val="32"/>
        </w:rPr>
      </w:pPr>
      <w:r>
        <w:rPr>
          <w:rFonts w:hint="eastAsia" w:ascii="楷体" w:hAnsi="楷体" w:eastAsia="楷体" w:cs="楷体"/>
          <w:bCs/>
          <w:kern w:val="0"/>
          <w:sz w:val="32"/>
          <w:szCs w:val="32"/>
        </w:rPr>
        <w:t>（三）强化年度报告进展披露</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财务类退市风险公司应当分别在年度报告预约披露日前二十</w:t>
      </w:r>
      <w:r>
        <w:rPr>
          <w:rFonts w:ascii="仿宋_GB2312" w:hAnsi="仿宋_GB2312" w:eastAsia="仿宋_GB2312" w:cs="仿宋_GB2312"/>
          <w:sz w:val="32"/>
          <w:szCs w:val="32"/>
        </w:rPr>
        <w:t>个交易日和</w:t>
      </w:r>
      <w:r>
        <w:rPr>
          <w:rFonts w:hint="eastAsia" w:ascii="仿宋_GB2312" w:hAnsi="仿宋_GB2312" w:eastAsia="仿宋_GB2312" w:cs="仿宋_GB2312"/>
          <w:sz w:val="32"/>
          <w:szCs w:val="32"/>
        </w:rPr>
        <w:t>十</w:t>
      </w:r>
      <w:r>
        <w:rPr>
          <w:rFonts w:ascii="仿宋_GB2312" w:hAnsi="仿宋_GB2312" w:eastAsia="仿宋_GB2312" w:cs="仿宋_GB2312"/>
          <w:sz w:val="32"/>
          <w:szCs w:val="32"/>
        </w:rPr>
        <w:t>个交易日，披露年度报告编制及最新审计进展情况，说明是否存在可能导致财务会计报告被出具非无保留意见的事项及具体情况；上一年度被出具非无保留意见的，应当说明涉及事项是否消除，仍未消除的应当说明具体情况；在重大会计处理、关键审计事项、审计意见类型、审计报告出具时间安排等事项上是否与会计师事务所存在重大分歧。会计师事务所在前述事项上与公司存在重大分歧的，可以向</w:t>
      </w:r>
      <w:r>
        <w:rPr>
          <w:rFonts w:hint="eastAsia" w:ascii="仿宋_GB2312" w:hAnsi="仿宋_GB2312" w:eastAsia="仿宋_GB2312" w:cs="仿宋_GB2312"/>
          <w:sz w:val="32"/>
          <w:szCs w:val="32"/>
        </w:rPr>
        <w:t>本所报告并出具专项说明文件，说明具体分歧及最新审计进展情况，并可根据需要说明公司上一年度非无保留意见消除情况（如有）、是否存在可能对</w:t>
      </w:r>
      <w:r>
        <w:rPr>
          <w:rFonts w:ascii="仿宋_GB2312" w:hAnsi="仿宋_GB2312" w:eastAsia="仿宋_GB2312" w:cs="仿宋_GB2312"/>
          <w:sz w:val="32"/>
          <w:szCs w:val="32"/>
        </w:rPr>
        <w:t>年度财务会计报告出具非无保留意见的情形及其原因等</w:t>
      </w:r>
      <w:r>
        <w:rPr>
          <w:rFonts w:hint="eastAsia" w:ascii="仿宋_GB2312" w:hAnsi="仿宋_GB2312" w:eastAsia="仿宋_GB2312" w:cs="仿宋_GB2312"/>
          <w:sz w:val="32"/>
          <w:szCs w:val="32"/>
        </w:rPr>
        <w:t>。</w:t>
      </w:r>
    </w:p>
    <w:p>
      <w:pPr>
        <w:widowControl/>
        <w:snapToGrid w:val="0"/>
        <w:spacing w:line="560" w:lineRule="exact"/>
        <w:ind w:firstLine="640" w:firstLineChars="200"/>
        <w:rPr>
          <w:rFonts w:ascii="楷体" w:hAnsi="楷体" w:eastAsia="楷体" w:cs="楷体"/>
          <w:bCs/>
          <w:kern w:val="0"/>
          <w:sz w:val="32"/>
          <w:szCs w:val="32"/>
        </w:rPr>
      </w:pPr>
      <w:r>
        <w:rPr>
          <w:rFonts w:hint="eastAsia" w:ascii="楷体" w:hAnsi="楷体" w:eastAsia="楷体" w:cs="楷体"/>
          <w:bCs/>
          <w:kern w:val="0"/>
          <w:sz w:val="32"/>
          <w:szCs w:val="32"/>
        </w:rPr>
        <w:t>（四）依法披露年度报告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财务类退市风险公司应当及时组织人员合理制定</w:t>
      </w:r>
      <w:r>
        <w:rPr>
          <w:rFonts w:ascii="仿宋_GB2312" w:hAnsi="仿宋_GB2312" w:eastAsia="仿宋_GB2312" w:cs="仿宋_GB2312"/>
          <w:sz w:val="32"/>
          <w:szCs w:val="32"/>
        </w:rPr>
        <w:t>年度报告的编制、审议、披露程序，明确重要时间节点及工作计划，确保于</w:t>
      </w:r>
      <w:r>
        <w:rPr>
          <w:rFonts w:hint="eastAsia" w:ascii="仿宋_GB2312" w:hAnsi="仿宋_GB2312" w:eastAsia="仿宋_GB2312" w:cs="仿宋_GB2312"/>
          <w:sz w:val="32"/>
          <w:szCs w:val="32"/>
        </w:rPr>
        <w:t>会计年度结束之日起四个月内</w:t>
      </w:r>
      <w:r>
        <w:rPr>
          <w:rFonts w:ascii="仿宋_GB2312" w:hAnsi="仿宋_GB2312" w:eastAsia="仿宋_GB2312" w:cs="仿宋_GB2312"/>
          <w:sz w:val="32"/>
          <w:szCs w:val="32"/>
        </w:rPr>
        <w:t>完成年度报告的披露工作。未</w:t>
      </w:r>
      <w:r>
        <w:rPr>
          <w:rFonts w:hint="eastAsia" w:ascii="仿宋_GB2312" w:hAnsi="仿宋_GB2312" w:eastAsia="仿宋_GB2312" w:cs="仿宋_GB2312"/>
          <w:sz w:val="32"/>
          <w:szCs w:val="32"/>
        </w:rPr>
        <w:t>在法定期限</w:t>
      </w:r>
      <w:r>
        <w:rPr>
          <w:rFonts w:ascii="仿宋_GB2312" w:hAnsi="仿宋_GB2312" w:eastAsia="仿宋_GB2312" w:cs="仿宋_GB2312"/>
          <w:sz w:val="32"/>
          <w:szCs w:val="32"/>
        </w:rPr>
        <w:t>内披露过半数董事保证真实、准确、完整的年度报告</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触及《</w:t>
      </w:r>
      <w:r>
        <w:rPr>
          <w:rFonts w:hint="eastAsia" w:ascii="仿宋_GB2312" w:hAnsi="仿宋_GB2312" w:eastAsia="仿宋_GB2312" w:cs="仿宋_GB2312"/>
          <w:sz w:val="32"/>
          <w:szCs w:val="32"/>
        </w:rPr>
        <w:t>创业板上市规则</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第</w:t>
      </w:r>
      <w:r>
        <w:rPr>
          <w:rFonts w:ascii="仿宋_GB2312" w:hAnsi="仿宋_GB2312" w:eastAsia="仿宋_GB2312" w:cs="仿宋_GB2312"/>
          <w:sz w:val="32"/>
          <w:szCs w:val="32"/>
        </w:rPr>
        <w:t>10.3.10</w:t>
      </w:r>
      <w:r>
        <w:rPr>
          <w:rFonts w:hint="eastAsia" w:ascii="仿宋_GB2312" w:hAnsi="仿宋_GB2312" w:eastAsia="仿宋_GB2312" w:cs="仿宋_GB2312"/>
          <w:sz w:val="32"/>
          <w:szCs w:val="32"/>
        </w:rPr>
        <w:t>条</w:t>
      </w:r>
      <w:r>
        <w:rPr>
          <w:rFonts w:ascii="仿宋_GB2312" w:hAnsi="仿宋_GB2312" w:eastAsia="仿宋_GB2312" w:cs="仿宋_GB2312"/>
          <w:sz w:val="32"/>
          <w:szCs w:val="32"/>
        </w:rPr>
        <w:t>对应情形的，本所将依规</w:t>
      </w:r>
      <w:r>
        <w:rPr>
          <w:rFonts w:hint="eastAsia" w:ascii="仿宋_GB2312" w:hAnsi="仿宋_GB2312" w:eastAsia="仿宋_GB2312" w:cs="仿宋_GB2312"/>
          <w:sz w:val="32"/>
          <w:szCs w:val="32"/>
        </w:rPr>
        <w:t>作出股票终止上市决定。</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三、财务类退市风险重点核实事项</w:t>
      </w:r>
    </w:p>
    <w:p>
      <w:pPr>
        <w:widowControl/>
        <w:snapToGrid w:val="0"/>
        <w:spacing w:line="560" w:lineRule="exact"/>
        <w:ind w:firstLine="640" w:firstLineChars="200"/>
        <w:rPr>
          <w:rFonts w:ascii="楷体" w:hAnsi="楷体" w:eastAsia="楷体" w:cs="楷体"/>
          <w:bCs/>
          <w:kern w:val="0"/>
          <w:szCs w:val="32"/>
        </w:rPr>
      </w:pPr>
      <w:r>
        <w:rPr>
          <w:rFonts w:hint="eastAsia" w:ascii="楷体" w:hAnsi="楷体" w:eastAsia="楷体" w:cs="楷体"/>
          <w:bCs/>
          <w:kern w:val="0"/>
          <w:sz w:val="32"/>
          <w:szCs w:val="32"/>
        </w:rPr>
        <w:t>（一）营业收入扣除</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1.年度</w:t>
      </w:r>
      <w:r>
        <w:rPr>
          <w:rFonts w:ascii="仿宋_GB2312" w:hAnsi="仿宋_GB2312" w:eastAsia="仿宋_GB2312" w:cs="仿宋_GB2312"/>
          <w:sz w:val="32"/>
          <w:szCs w:val="32"/>
        </w:rPr>
        <w:t>报告</w:t>
      </w:r>
      <w:r>
        <w:rPr>
          <w:rFonts w:hint="eastAsia" w:ascii="仿宋_GB2312" w:hAnsi="仿宋_GB2312" w:eastAsia="仿宋_GB2312" w:cs="仿宋_GB2312"/>
          <w:sz w:val="32"/>
          <w:szCs w:val="32"/>
        </w:rPr>
        <w:t>经审计扣除非经常性损益前后的净利润孰低者为负值的公司，应当按照本指南第一章第三部分“营业收入扣除相关事项”的要求，在年度报告中按项目逐一列示营业收入扣除的具体情况及扣除后的营业收入金额。</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2.财务类退市风险公司应当确保营业收入确认的合规性、真实性、准确性及完整性，综合考虑相关收入同公司正常经营业务的关联程度以及可持续性，结合自身行业特点、经营模式等做出谨慎判断，依规进行营业收入扣除。</w:t>
      </w:r>
    </w:p>
    <w:p>
      <w:pPr>
        <w:widowControl/>
        <w:snapToGrid w:val="0"/>
        <w:spacing w:line="560" w:lineRule="exact"/>
        <w:ind w:firstLine="640" w:firstLineChars="200"/>
        <w:rPr>
          <w:rFonts w:ascii="楷体" w:hAnsi="楷体" w:eastAsia="楷体" w:cs="楷体"/>
          <w:bCs/>
          <w:kern w:val="0"/>
          <w:szCs w:val="32"/>
        </w:rPr>
      </w:pPr>
      <w:r>
        <w:rPr>
          <w:rFonts w:hint="eastAsia" w:ascii="楷体" w:hAnsi="楷体" w:eastAsia="楷体" w:cs="楷体"/>
          <w:bCs/>
          <w:kern w:val="0"/>
          <w:sz w:val="32"/>
          <w:szCs w:val="32"/>
        </w:rPr>
        <w:t>（二）非经常性损益认定</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1.财务类退市风险公司应当严格按照《公开发行证券的公司信息披露解释性公告第1号——非经常性损益》中定义及列举的具体项目认定非经常性损益。在认定过程中应当重点考虑三个要素，即“与正常经营业务的相关性”“性质特殊和偶发性”和“体现公司正常的经营业绩和盈利能力”，并遵循三项判断原则，即“基于交易和事项的经济性质”“结合行业特点和业务模式”和“遵循重要性原则”。</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2.财务类退市风险公司应当综合考虑相关损益同公司正常经营业务的关联程度、可持续性及发生频次，结合自身业务实际情况以及对报表使用者决策的影响做出合理判断，并在年度报告中予以充分披露，不应简单把规则列举的项目认定为非经常性损益，未列举项目即认定为经常性损益。</w:t>
      </w:r>
    </w:p>
    <w:p>
      <w:pPr>
        <w:widowControl/>
        <w:snapToGrid w:val="0"/>
        <w:spacing w:line="560" w:lineRule="exact"/>
        <w:ind w:firstLine="640" w:firstLineChars="200"/>
        <w:rPr>
          <w:rFonts w:ascii="楷体" w:hAnsi="楷体" w:eastAsia="楷体" w:cs="楷体"/>
          <w:bCs/>
          <w:kern w:val="0"/>
          <w:szCs w:val="32"/>
        </w:rPr>
      </w:pPr>
      <w:r>
        <w:rPr>
          <w:rFonts w:hint="eastAsia" w:ascii="楷体" w:hAnsi="楷体" w:eastAsia="楷体" w:cs="楷体"/>
          <w:bCs/>
          <w:kern w:val="0"/>
          <w:sz w:val="32"/>
          <w:szCs w:val="32"/>
        </w:rPr>
        <w:t>（三）重大交易事项</w:t>
      </w:r>
    </w:p>
    <w:p>
      <w:pPr>
        <w:spacing w:line="560" w:lineRule="exact"/>
        <w:ind w:firstLine="640" w:firstLineChars="200"/>
        <w:rPr>
          <w:rFonts w:ascii="仿宋_GB2312" w:hAnsi="仿宋_GB2312" w:eastAsia="仿宋_GB2312" w:cs="仿宋_GB231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财务类退市风险公司实施债务重组</w:t>
      </w:r>
      <w:r>
        <w:rPr>
          <w:rFonts w:ascii="仿宋_GB2312" w:hAnsi="仿宋_GB2312" w:eastAsia="仿宋_GB2312" w:cs="仿宋_GB2312"/>
          <w:sz w:val="32"/>
          <w:szCs w:val="32"/>
        </w:rPr>
        <w:t>、资产</w:t>
      </w:r>
      <w:r>
        <w:rPr>
          <w:rFonts w:hint="eastAsia" w:ascii="仿宋_GB2312" w:hAnsi="仿宋_GB2312" w:eastAsia="仿宋_GB2312" w:cs="仿宋_GB2312"/>
          <w:sz w:val="32"/>
          <w:szCs w:val="32"/>
        </w:rPr>
        <w:t>捐赠</w:t>
      </w:r>
      <w:r>
        <w:rPr>
          <w:rFonts w:ascii="仿宋_GB2312" w:hAnsi="仿宋_GB2312" w:eastAsia="仿宋_GB2312" w:cs="仿宋_GB2312"/>
          <w:sz w:val="32"/>
          <w:szCs w:val="32"/>
        </w:rPr>
        <w:t>或其他重大交易，应当</w:t>
      </w:r>
      <w:r>
        <w:rPr>
          <w:rFonts w:hint="eastAsia" w:ascii="仿宋_GB2312" w:hAnsi="仿宋_GB2312" w:eastAsia="仿宋_GB2312" w:cs="仿宋_GB2312"/>
          <w:sz w:val="32"/>
          <w:szCs w:val="32"/>
        </w:rPr>
        <w:t>在</w:t>
      </w:r>
      <w:r>
        <w:rPr>
          <w:rFonts w:ascii="仿宋_GB2312" w:hAnsi="仿宋_GB2312" w:eastAsia="仿宋_GB2312" w:cs="仿宋_GB2312"/>
          <w:sz w:val="32"/>
          <w:szCs w:val="32"/>
        </w:rPr>
        <w:t>披露前充分核实是否</w:t>
      </w:r>
      <w:r>
        <w:rPr>
          <w:rFonts w:hint="eastAsia" w:ascii="仿宋_GB2312" w:hAnsi="仿宋_GB2312" w:eastAsia="仿宋_GB2312" w:cs="仿宋_GB2312"/>
          <w:sz w:val="32"/>
          <w:szCs w:val="32"/>
        </w:rPr>
        <w:t>附有前提条件，是否属于可</w:t>
      </w:r>
      <w:r>
        <w:rPr>
          <w:rFonts w:ascii="仿宋_GB2312" w:hAnsi="仿宋_GB2312" w:eastAsia="仿宋_GB2312" w:cs="仿宋_GB2312"/>
          <w:sz w:val="32"/>
          <w:szCs w:val="32"/>
        </w:rPr>
        <w:t>撤销情形，是否</w:t>
      </w:r>
      <w:r>
        <w:rPr>
          <w:rFonts w:hint="eastAsia" w:ascii="仿宋_GB2312" w:hAnsi="仿宋_GB2312" w:eastAsia="仿宋_GB2312" w:cs="仿宋_GB2312"/>
          <w:sz w:val="32"/>
          <w:szCs w:val="32"/>
        </w:rPr>
        <w:t>明显缺乏商业合理性，</w:t>
      </w:r>
      <w:r>
        <w:rPr>
          <w:rFonts w:ascii="仿宋_GB2312" w:hAnsi="仿宋_GB2312" w:eastAsia="仿宋_GB2312" w:cs="仿宋_GB2312"/>
          <w:sz w:val="32"/>
          <w:szCs w:val="32"/>
        </w:rPr>
        <w:t>是否存在重大不确定性</w:t>
      </w:r>
      <w:r>
        <w:rPr>
          <w:rFonts w:hint="eastAsia" w:ascii="仿宋_GB2312" w:hAnsi="仿宋_GB2312" w:eastAsia="仿宋_GB2312" w:cs="仿宋_GB2312"/>
          <w:sz w:val="32"/>
          <w:szCs w:val="32"/>
        </w:rPr>
        <w:t>或待</w:t>
      </w:r>
      <w:r>
        <w:rPr>
          <w:rFonts w:ascii="仿宋_GB2312" w:hAnsi="仿宋_GB2312" w:eastAsia="仿宋_GB2312" w:cs="仿宋_GB2312"/>
          <w:sz w:val="32"/>
          <w:szCs w:val="32"/>
        </w:rPr>
        <w:t>核实的重大</w:t>
      </w:r>
      <w:r>
        <w:rPr>
          <w:rFonts w:hint="eastAsia" w:ascii="仿宋_GB2312" w:hAnsi="仿宋_GB2312" w:eastAsia="仿宋_GB2312" w:cs="仿宋_GB2312"/>
          <w:sz w:val="32"/>
          <w:szCs w:val="32"/>
        </w:rPr>
        <w:t>疑点。在</w:t>
      </w:r>
      <w:r>
        <w:rPr>
          <w:rFonts w:ascii="仿宋_GB2312" w:hAnsi="仿宋_GB2312" w:eastAsia="仿宋_GB2312" w:cs="仿宋_GB2312"/>
          <w:sz w:val="32"/>
          <w:szCs w:val="32"/>
        </w:rPr>
        <w:t>前述事项尚未</w:t>
      </w:r>
      <w:r>
        <w:rPr>
          <w:rFonts w:hint="eastAsia" w:ascii="仿宋_GB2312" w:hAnsi="仿宋_GB2312" w:eastAsia="仿宋_GB2312" w:cs="仿宋_GB2312"/>
          <w:sz w:val="32"/>
          <w:szCs w:val="32"/>
        </w:rPr>
        <w:t>消除</w:t>
      </w:r>
      <w:r>
        <w:rPr>
          <w:rFonts w:ascii="仿宋_GB2312" w:hAnsi="仿宋_GB2312" w:eastAsia="仿宋_GB2312" w:cs="仿宋_GB2312"/>
          <w:sz w:val="32"/>
          <w:szCs w:val="32"/>
        </w:rPr>
        <w:t>或充分论证前，</w:t>
      </w:r>
      <w:r>
        <w:rPr>
          <w:rFonts w:hint="eastAsia" w:ascii="仿宋_GB2312" w:hAnsi="仿宋_GB2312" w:eastAsia="仿宋_GB2312" w:cs="仿宋_GB2312"/>
          <w:sz w:val="32"/>
          <w:szCs w:val="32"/>
        </w:rPr>
        <w:t>财务类</w:t>
      </w:r>
      <w:r>
        <w:rPr>
          <w:rFonts w:ascii="仿宋_GB2312" w:hAnsi="仿宋_GB2312" w:eastAsia="仿宋_GB2312" w:cs="仿宋_GB2312"/>
          <w:sz w:val="32"/>
          <w:szCs w:val="32"/>
        </w:rPr>
        <w:t>退市风险公司不得随意</w:t>
      </w:r>
      <w:r>
        <w:rPr>
          <w:rFonts w:hint="eastAsia" w:ascii="仿宋_GB2312" w:hAnsi="仿宋_GB2312" w:eastAsia="仿宋_GB2312" w:cs="仿宋_GB2312"/>
          <w:sz w:val="32"/>
          <w:szCs w:val="32"/>
        </w:rPr>
        <w:t>对外</w:t>
      </w:r>
      <w:r>
        <w:rPr>
          <w:rFonts w:ascii="仿宋_GB2312" w:hAnsi="仿宋_GB2312" w:eastAsia="仿宋_GB2312" w:cs="仿宋_GB2312"/>
          <w:sz w:val="32"/>
          <w:szCs w:val="32"/>
        </w:rPr>
        <w:t>披露</w:t>
      </w:r>
      <w:r>
        <w:rPr>
          <w:rFonts w:hint="eastAsia" w:ascii="仿宋_GB2312" w:hAnsi="仿宋_GB2312" w:eastAsia="仿宋_GB2312" w:cs="仿宋_GB2312"/>
          <w:sz w:val="32"/>
          <w:szCs w:val="32"/>
        </w:rPr>
        <w:t>债务重组</w:t>
      </w:r>
      <w:r>
        <w:rPr>
          <w:rFonts w:ascii="仿宋_GB2312" w:hAnsi="仿宋_GB2312" w:eastAsia="仿宋_GB2312" w:cs="仿宋_GB2312"/>
          <w:sz w:val="32"/>
          <w:szCs w:val="32"/>
        </w:rPr>
        <w:t>、资产</w:t>
      </w:r>
      <w:r>
        <w:rPr>
          <w:rFonts w:hint="eastAsia" w:ascii="仿宋_GB2312" w:hAnsi="仿宋_GB2312" w:eastAsia="仿宋_GB2312" w:cs="仿宋_GB2312"/>
          <w:sz w:val="32"/>
          <w:szCs w:val="32"/>
        </w:rPr>
        <w:t>捐赠</w:t>
      </w:r>
      <w:r>
        <w:rPr>
          <w:rFonts w:ascii="仿宋_GB2312" w:hAnsi="仿宋_GB2312" w:eastAsia="仿宋_GB2312" w:cs="仿宋_GB2312"/>
          <w:sz w:val="32"/>
          <w:szCs w:val="32"/>
        </w:rPr>
        <w:t>或其他重大交易</w:t>
      </w:r>
      <w:r>
        <w:rPr>
          <w:rFonts w:hint="eastAsia" w:ascii="仿宋_GB2312" w:hAnsi="仿宋_GB2312" w:eastAsia="仿宋_GB2312" w:cs="仿宋_GB2312"/>
          <w:sz w:val="32"/>
          <w:szCs w:val="32"/>
        </w:rPr>
        <w:t>等公告</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避免</w:t>
      </w:r>
      <w:r>
        <w:rPr>
          <w:rFonts w:ascii="仿宋_GB2312" w:hAnsi="仿宋_GB2312" w:eastAsia="仿宋_GB2312" w:cs="仿宋_GB2312"/>
          <w:sz w:val="32"/>
          <w:szCs w:val="32"/>
        </w:rPr>
        <w:t>误导投资者。</w:t>
      </w:r>
    </w:p>
    <w:p>
      <w:pPr>
        <w:spacing w:line="560" w:lineRule="exact"/>
        <w:ind w:firstLine="640" w:firstLineChars="200"/>
        <w:rPr>
          <w:bCs/>
        </w:rPr>
      </w:pPr>
      <w:r>
        <w:rPr>
          <w:rFonts w:hint="eastAsia" w:ascii="仿宋_GB2312" w:hAnsi="仿宋_GB2312" w:eastAsia="仿宋_GB2312" w:cs="仿宋_GB2312"/>
          <w:sz w:val="32"/>
          <w:szCs w:val="32"/>
        </w:rPr>
        <w:t>2.财务类退市风险公司发生的交易达到《创业板上市规则》第7.1.3条的规定标准，交易标的为公司股权的，应当同时披露标的资产经会计师事务所审计的最近一年又一期财务会计报告和由资产评估机构出具的标的资产评估报告。会计师事务所发表的审计意见应当为标准无保留</w:t>
      </w:r>
      <w:r>
        <w:rPr>
          <w:rFonts w:hint="eastAsia" w:ascii="仿宋_GB2312" w:hAnsi="仿宋_GB2312" w:eastAsia="仿宋_GB2312" w:cs="仿宋_GB2312"/>
          <w:sz w:val="32"/>
          <w:szCs w:val="32"/>
          <w:lang w:eastAsia="zh-CN"/>
        </w:rPr>
        <w:t>意见</w:t>
      </w:r>
      <w:r>
        <w:rPr>
          <w:rFonts w:hint="eastAsia" w:ascii="仿宋_GB2312" w:hAnsi="仿宋_GB2312" w:eastAsia="仿宋_GB2312" w:cs="仿宋_GB2312"/>
          <w:sz w:val="32"/>
          <w:szCs w:val="32"/>
        </w:rPr>
        <w:t>。</w:t>
      </w:r>
    </w:p>
    <w:p>
      <w:pPr>
        <w:widowControl/>
        <w:snapToGrid w:val="0"/>
        <w:spacing w:line="560" w:lineRule="exact"/>
        <w:ind w:firstLine="640" w:firstLineChars="200"/>
        <w:rPr>
          <w:rFonts w:ascii="楷体" w:hAnsi="楷体" w:eastAsia="楷体" w:cs="楷体"/>
          <w:bCs/>
          <w:kern w:val="0"/>
          <w:szCs w:val="32"/>
        </w:rPr>
      </w:pPr>
      <w:r>
        <w:rPr>
          <w:rFonts w:hint="eastAsia" w:ascii="楷体" w:hAnsi="楷体" w:eastAsia="楷体" w:cs="楷体"/>
          <w:bCs/>
          <w:kern w:val="0"/>
          <w:sz w:val="32"/>
          <w:szCs w:val="32"/>
        </w:rPr>
        <w:t>（四）非标审计意见涉及事项</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1.财务类退市风险公司应当高度关注上一年度非标准审计意见涉及事项在本报告期的进展情况，以及可能导致本期财务报告被出具非标准审计意见的新增事项，依法依规采取措施消除相关事项影响，配合会计师事务所的工作，尊重其独立判断和发表的审计意见，禁止通过年末突击变更会计师事务所等方式“购买”审计意见以规避退市。</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2.对于上一年度为非标准审计意见而本报告期为标准无保留审计意见的财务类退市风险公司，董事会应当出具专项说明，披露上一年度非标审计意见事项的具体内容、消除上一年度非标审计意见事项的具体措施和相关事项影响在本报告期是否已切实消除，公司全体董事应当就该事项逐一发表明确意见。</w:t>
      </w:r>
    </w:p>
    <w:p>
      <w:pPr>
        <w:widowControl/>
        <w:snapToGrid w:val="0"/>
        <w:spacing w:line="560" w:lineRule="exact"/>
        <w:ind w:firstLine="640" w:firstLineChars="200"/>
        <w:rPr>
          <w:rFonts w:ascii="楷体" w:hAnsi="楷体" w:eastAsia="楷体" w:cs="楷体"/>
          <w:bCs/>
          <w:kern w:val="0"/>
          <w:szCs w:val="32"/>
        </w:rPr>
      </w:pPr>
      <w:r>
        <w:rPr>
          <w:rFonts w:hint="eastAsia" w:ascii="楷体" w:hAnsi="楷体" w:eastAsia="楷体" w:cs="楷体"/>
          <w:bCs/>
          <w:kern w:val="0"/>
          <w:sz w:val="32"/>
          <w:szCs w:val="32"/>
        </w:rPr>
        <w:t>（五）会计处理事项</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1.财务类退市风险公司应当切实采取有效措施，改善公司基本面，提高持续经营能力，严格按照《企业会计准则》《监管规则适用指引——会计类第1号》《监管规则适用指引——会计类第2号》等规则进行会计处理。</w:t>
      </w:r>
    </w:p>
    <w:p>
      <w:pPr>
        <w:spacing w:line="560" w:lineRule="exact"/>
        <w:ind w:firstLine="640" w:firstLineChars="200"/>
      </w:pPr>
      <w:r>
        <w:rPr>
          <w:rFonts w:hint="eastAsia" w:ascii="仿宋_GB2312" w:hAnsi="仿宋_GB2312" w:eastAsia="仿宋_GB2312" w:cs="仿宋_GB2312"/>
          <w:sz w:val="32"/>
          <w:szCs w:val="32"/>
        </w:rPr>
        <w:t>2.财务类退市风险公司不得通过构造交易或关联交易虚增或提前确认收入；不得通过缺乏商业实质的大额资产交易或不当资本运作增加净利润或净资产；不得随意计提或转回大额资产减值；不得滥用会计差错更正、会计政策变更或会计估计等方式虚增净利润或净资产；不得突击达成明显缺乏商业合理性、可能附有前提条件的债务豁免或者资产捐赠，实现净资产或净利润转正。</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3.财务类退市</w:t>
      </w:r>
      <w:r>
        <w:rPr>
          <w:rFonts w:ascii="仿宋_GB2312" w:hAnsi="仿宋_GB2312" w:eastAsia="仿宋_GB2312" w:cs="仿宋_GB2312"/>
          <w:sz w:val="32"/>
          <w:szCs w:val="32"/>
        </w:rPr>
        <w:t>风险公司</w:t>
      </w:r>
      <w:r>
        <w:rPr>
          <w:rFonts w:hint="eastAsia" w:ascii="仿宋_GB2312" w:hAnsi="仿宋_GB2312" w:eastAsia="仿宋_GB2312" w:cs="仿宋_GB2312"/>
          <w:sz w:val="32"/>
          <w:szCs w:val="32"/>
        </w:rPr>
        <w:t>不得在破产重整或债务重组方案实施的重大不确定性消除前，提前确认债务重组收益。公司应当充分核实债务重组协议执行过程及结果是否存在重大不确定性。</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四、交易类退市风险信息披露</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股票收盘价</w:t>
      </w:r>
      <w:r>
        <w:rPr>
          <w:rFonts w:ascii="仿宋_GB2312" w:hAnsi="仿宋_GB2312" w:eastAsia="仿宋_GB2312" w:cs="仿宋_GB2312"/>
          <w:sz w:val="32"/>
          <w:szCs w:val="32"/>
        </w:rPr>
        <w:t>低于1元的上市公司</w:t>
      </w:r>
      <w:r>
        <w:rPr>
          <w:rFonts w:hint="eastAsia" w:ascii="仿宋_GB2312" w:hAnsi="仿宋_GB2312" w:eastAsia="仿宋_GB2312" w:cs="仿宋_GB2312"/>
          <w:sz w:val="32"/>
          <w:szCs w:val="32"/>
        </w:rPr>
        <w:t>应当严格遵守信息披露规则，不得利用信息披露不当影响公司股票及其衍生品种价格、误导投资者，并按照下列要求进行信息披露：</w:t>
      </w:r>
    </w:p>
    <w:p>
      <w:pPr>
        <w:spacing w:line="560" w:lineRule="exact"/>
        <w:ind w:firstLine="640" w:firstLineChars="200"/>
        <w:rPr>
          <w:rFonts w:ascii="仿宋_GB2312" w:hAnsi="仿宋_GB2312" w:eastAsia="仿宋_GB2312" w:cs="仿宋_GB2312"/>
          <w:szCs w:val="32"/>
        </w:rPr>
      </w:pPr>
      <w:r>
        <w:rPr>
          <w:rFonts w:ascii="仿宋_GB2312" w:hAnsi="仿宋_GB2312" w:eastAsia="仿宋_GB2312" w:cs="仿宋_GB2312"/>
          <w:sz w:val="32"/>
          <w:szCs w:val="32"/>
        </w:rPr>
        <w:t>1.发布大股东或</w:t>
      </w:r>
      <w:r>
        <w:rPr>
          <w:rFonts w:hint="eastAsia" w:ascii="仿宋_GB2312" w:hAnsi="仿宋_GB2312" w:eastAsia="仿宋_GB2312" w:cs="仿宋_GB2312"/>
          <w:sz w:val="32"/>
          <w:szCs w:val="32"/>
        </w:rPr>
        <w:t>董监高增持计划公告，相关增持主体应同步说明是否具备履行能力。本所可以要求相关方提供证明性文件。</w:t>
      </w:r>
    </w:p>
    <w:p>
      <w:pPr>
        <w:spacing w:line="560" w:lineRule="exact"/>
        <w:ind w:firstLine="640" w:firstLineChars="200"/>
        <w:rPr>
          <w:rFonts w:ascii="仿宋_GB2312" w:hAnsi="仿宋_GB2312" w:eastAsia="仿宋_GB2312" w:cs="仿宋_GB2312"/>
          <w:szCs w:val="32"/>
        </w:rPr>
      </w:pPr>
      <w:r>
        <w:rPr>
          <w:rFonts w:ascii="仿宋_GB2312" w:hAnsi="仿宋_GB2312" w:eastAsia="仿宋_GB2312" w:cs="仿宋_GB2312"/>
          <w:sz w:val="32"/>
          <w:szCs w:val="32"/>
        </w:rPr>
        <w:t>2.发布回购方案公告，</w:t>
      </w:r>
      <w:r>
        <w:rPr>
          <w:rFonts w:hint="eastAsia" w:ascii="仿宋_GB2312" w:hAnsi="仿宋_GB2312" w:eastAsia="仿宋_GB2312" w:cs="仿宋_GB2312"/>
          <w:sz w:val="32"/>
          <w:szCs w:val="32"/>
        </w:rPr>
        <w:t>公司应充分说明自身是否具备履行能力和持续经营能力，回购规模和回购资金等是否与公司的实际财务状况相匹配。本所可以要求公司提供证明性文件，</w:t>
      </w:r>
      <w:r>
        <w:rPr>
          <w:rFonts w:ascii="仿宋_GB2312" w:hAnsi="仿宋_GB2312" w:eastAsia="仿宋_GB2312" w:cs="仿宋_GB2312"/>
          <w:sz w:val="32"/>
          <w:szCs w:val="32"/>
        </w:rPr>
        <w:t>或要求</w:t>
      </w:r>
      <w:r>
        <w:rPr>
          <w:rFonts w:hint="eastAsia" w:ascii="仿宋_GB2312" w:hAnsi="仿宋_GB2312" w:eastAsia="仿宋_GB2312" w:cs="仿宋_GB2312"/>
          <w:sz w:val="32"/>
          <w:szCs w:val="32"/>
        </w:rPr>
        <w:t>中介机构针对公司资金状况、回购方案合理性等发表意见。</w:t>
      </w:r>
    </w:p>
    <w:p>
      <w:pPr>
        <w:spacing w:line="560" w:lineRule="exact"/>
        <w:ind w:firstLine="640" w:firstLineChars="200"/>
        <w:rPr>
          <w:rFonts w:ascii="仿宋_GB2312" w:hAnsi="仿宋_GB2312" w:eastAsia="仿宋_GB2312" w:cs="仿宋_GB2312"/>
          <w:szCs w:val="32"/>
        </w:rPr>
      </w:pPr>
      <w:r>
        <w:rPr>
          <w:rFonts w:ascii="仿宋_GB2312" w:hAnsi="仿宋_GB2312" w:eastAsia="仿宋_GB2312" w:cs="仿宋_GB2312"/>
          <w:sz w:val="32"/>
          <w:szCs w:val="32"/>
        </w:rPr>
        <w:t>3.发布要约收购提示性公告，</w:t>
      </w:r>
      <w:r>
        <w:rPr>
          <w:rFonts w:hint="eastAsia" w:ascii="仿宋_GB2312" w:hAnsi="仿宋_GB2312" w:eastAsia="仿宋_GB2312" w:cs="仿宋_GB2312"/>
          <w:sz w:val="32"/>
          <w:szCs w:val="32"/>
        </w:rPr>
        <w:t>收购人应同步提供具备履行能力的证明性文件，财务顾问应就本次要约收购是否合法合规、收购人是否具备实际履行能力发表意见。</w:t>
      </w:r>
    </w:p>
    <w:p>
      <w:pPr>
        <w:spacing w:line="560" w:lineRule="exact"/>
        <w:ind w:firstLine="640" w:firstLineChars="200"/>
        <w:rPr>
          <w:rFonts w:ascii="仿宋_GB2312" w:hAnsi="仿宋_GB2312" w:eastAsia="仿宋_GB2312" w:cs="仿宋_GB2312"/>
          <w:szCs w:val="32"/>
        </w:rPr>
      </w:pPr>
      <w:r>
        <w:rPr>
          <w:rFonts w:ascii="仿宋_GB2312" w:hAnsi="仿宋_GB2312" w:eastAsia="仿宋_GB2312" w:cs="仿宋_GB2312"/>
          <w:sz w:val="32"/>
          <w:szCs w:val="32"/>
        </w:rPr>
        <w:t>4.发布控制权变更公告，权益变动相关方应当充分说明相关股份是否存在高比例质押、股权冻结等明显阻碍控制权变动的情形，是否已取得相关质权人或债权人同意；股权受让方应</w:t>
      </w:r>
      <w:r>
        <w:rPr>
          <w:rFonts w:hint="eastAsia" w:ascii="仿宋_GB2312" w:hAnsi="仿宋_GB2312" w:eastAsia="仿宋_GB2312" w:cs="仿宋_GB2312"/>
          <w:sz w:val="32"/>
          <w:szCs w:val="32"/>
        </w:rPr>
        <w:t>说明</w:t>
      </w:r>
      <w:r>
        <w:rPr>
          <w:rFonts w:ascii="仿宋_GB2312" w:hAnsi="仿宋_GB2312" w:eastAsia="仿宋_GB2312" w:cs="仿宋_GB2312"/>
          <w:sz w:val="32"/>
          <w:szCs w:val="32"/>
        </w:rPr>
        <w:t>自身</w:t>
      </w:r>
      <w:r>
        <w:rPr>
          <w:rFonts w:hint="eastAsia" w:ascii="仿宋_GB2312" w:hAnsi="仿宋_GB2312" w:eastAsia="仿宋_GB2312" w:cs="仿宋_GB2312"/>
          <w:sz w:val="32"/>
          <w:szCs w:val="32"/>
        </w:rPr>
        <w:t>是否</w:t>
      </w:r>
      <w:r>
        <w:rPr>
          <w:rFonts w:ascii="仿宋_GB2312" w:hAnsi="仿宋_GB2312" w:eastAsia="仿宋_GB2312" w:cs="仿宋_GB2312"/>
          <w:sz w:val="32"/>
          <w:szCs w:val="32"/>
        </w:rPr>
        <w:t>具备履约能力</w:t>
      </w:r>
      <w:r>
        <w:rPr>
          <w:rFonts w:hint="eastAsia" w:ascii="仿宋_GB2312" w:hAnsi="仿宋_GB2312" w:eastAsia="仿宋_GB2312" w:cs="仿宋_GB2312"/>
          <w:sz w:val="32"/>
          <w:szCs w:val="32"/>
        </w:rPr>
        <w:t>，同时充分披露股权转让方和受让方是否存在一致行动关系或其他一揽子交易安排。本所可以要求相关方提供证明性文件。</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本所可以要求股票收盘价接近</w:t>
      </w:r>
      <w:r>
        <w:rPr>
          <w:rFonts w:ascii="仿宋_GB2312" w:hAnsi="仿宋_GB2312" w:eastAsia="仿宋_GB2312" w:cs="仿宋_GB2312"/>
          <w:sz w:val="32"/>
          <w:szCs w:val="32"/>
        </w:rPr>
        <w:t>1元的公司</w:t>
      </w:r>
      <w:r>
        <w:rPr>
          <w:rFonts w:hint="eastAsia" w:ascii="仿宋_GB2312" w:hAnsi="仿宋_GB2312" w:eastAsia="仿宋_GB2312" w:cs="仿宋_GB2312"/>
          <w:sz w:val="32"/>
          <w:szCs w:val="32"/>
        </w:rPr>
        <w:t>参照上述要求进行信息披露。</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五、重大违法类退市风险信息披露</w:t>
      </w:r>
    </w:p>
    <w:p>
      <w:pPr>
        <w:spacing w:line="560" w:lineRule="exact"/>
        <w:ind w:firstLine="640" w:firstLineChars="200"/>
        <w:rPr>
          <w:rFonts w:ascii="仿宋_GB2312" w:hAnsi="仿宋_GB2312" w:eastAsia="仿宋_GB2312" w:cs="仿宋_GB231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上市公司可能触及重大违法强制退市情形的，应当在知悉被相关行政机关立案调查或者被人民检察院提起公诉时及时对外披露，并在其后每月披露一次风险提示公告，说明相关情况进展，并就其股票可能被实施重大违法强制退市进行风险提示。本所可以视情况要求公司增加风险提示公告的披露次数。</w:t>
      </w:r>
    </w:p>
    <w:p>
      <w:pPr>
        <w:spacing w:line="560" w:lineRule="exact"/>
        <w:ind w:firstLine="640" w:firstLineChars="200"/>
        <w:rPr>
          <w:rFonts w:ascii="仿宋_GB2312" w:hAnsi="仿宋_GB2312" w:eastAsia="仿宋_GB2312" w:cs="仿宋_GB231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上市公司知悉相关行政机关向其送达行政处罚事先告知书或者知悉人民法院作出司法裁判后，如相关违法违规事实涉及的财务指标可能导致公司触及重大违法类强制退市情形的，应当及时披露相关事实触及重大违法类强制退市的具体情况。</w:t>
      </w:r>
    </w:p>
    <w:p>
      <w:pPr>
        <w:spacing w:line="560" w:lineRule="exact"/>
        <w:ind w:firstLine="640" w:firstLineChars="200"/>
        <w:rPr>
          <w:rFonts w:ascii="仿宋_GB2312" w:hAnsi="仿宋_GB2312" w:eastAsia="仿宋_GB2312" w:cs="仿宋_GB2312"/>
          <w:szCs w:val="32"/>
        </w:rPr>
      </w:pPr>
      <w:r>
        <w:rPr>
          <w:rFonts w:ascii="仿宋_GB2312" w:hAnsi="仿宋_GB2312" w:eastAsia="仿宋_GB2312" w:cs="仿宋_GB2312"/>
          <w:sz w:val="32"/>
          <w:szCs w:val="32"/>
        </w:rPr>
        <w:t>3.公司股票因可能触及重大违法类强制退市情形被实施退</w:t>
      </w:r>
      <w:r>
        <w:rPr>
          <w:rFonts w:hint="eastAsia" w:ascii="仿宋_GB2312" w:hAnsi="仿宋_GB2312" w:eastAsia="仿宋_GB2312" w:cs="仿宋_GB2312"/>
          <w:sz w:val="32"/>
          <w:szCs w:val="32"/>
        </w:rPr>
        <w:t>市风险警示期间，公司应当每五</w:t>
      </w:r>
      <w:r>
        <w:rPr>
          <w:rFonts w:ascii="仿宋_GB2312" w:hAnsi="仿宋_GB2312" w:eastAsia="仿宋_GB2312" w:cs="仿宋_GB2312"/>
          <w:sz w:val="32"/>
          <w:szCs w:val="32"/>
        </w:rPr>
        <w:t>个交易日披露</w:t>
      </w:r>
      <w:r>
        <w:rPr>
          <w:rFonts w:hint="eastAsia" w:ascii="仿宋_GB2312" w:hAnsi="仿宋_GB2312" w:eastAsia="仿宋_GB2312" w:cs="仿宋_GB2312"/>
          <w:sz w:val="32"/>
          <w:szCs w:val="32"/>
        </w:rPr>
        <w:t>一</w:t>
      </w:r>
      <w:r>
        <w:rPr>
          <w:rFonts w:ascii="仿宋_GB2312" w:hAnsi="仿宋_GB2312" w:eastAsia="仿宋_GB2312" w:cs="仿宋_GB2312"/>
          <w:sz w:val="32"/>
          <w:szCs w:val="32"/>
        </w:rPr>
        <w:t>次相关事项进展情况，并就公司股票可能被实施重大违法类强制退市进行特别风险提示。</w:t>
      </w:r>
      <w:r>
        <w:rPr>
          <w:rFonts w:hint="eastAsia" w:ascii="仿宋_GB2312" w:hAnsi="仿宋_GB2312" w:eastAsia="仿宋_GB2312" w:cs="仿宋_GB2312"/>
          <w:sz w:val="32"/>
          <w:szCs w:val="32"/>
        </w:rPr>
        <w:t>本所可以视情况要求公司增加风险提示公告的披露次数。</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六、董监高履职要求</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一）退市风险公司董监高应当忠实、勤勉履职，对年度报告编制及披露事项予以高度重视和持续关注，深入了解公司的生产经营和资本运作情况，重点关注公司财务数据是否存在异常迹象、上一年度非标准审计意见涉及事项在本报告期的进展情况和公司是否存在资金占用、违规担保、不当关联交易等违法违规事项。在审议过程中对相关事项存在疑问的，应当主动调查，获取充分、全面的决策依据信息，督促公司就重大不确定事项及时履行信息披露义务，充分提示风险。</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（二）退市风险公司董监高应当督促公司依法依规履行信息披露义务，</w:t>
      </w:r>
      <w:r>
        <w:rPr>
          <w:rFonts w:ascii="仿宋_GB2312" w:hAnsi="仿宋_GB2312" w:eastAsia="仿宋_GB2312" w:cs="仿宋_GB2312"/>
          <w:sz w:val="32"/>
          <w:szCs w:val="32"/>
        </w:rPr>
        <w:t>审慎地发布</w:t>
      </w:r>
      <w:r>
        <w:rPr>
          <w:rFonts w:hint="eastAsia" w:ascii="仿宋_GB2312" w:hAnsi="仿宋_GB2312" w:eastAsia="仿宋_GB2312" w:cs="仿宋_GB2312"/>
          <w:sz w:val="32"/>
          <w:szCs w:val="32"/>
        </w:rPr>
        <w:t>影响公司</w:t>
      </w:r>
      <w:r>
        <w:rPr>
          <w:rFonts w:ascii="仿宋_GB2312" w:hAnsi="仿宋_GB2312" w:eastAsia="仿宋_GB2312" w:cs="仿宋_GB2312"/>
          <w:sz w:val="32"/>
          <w:szCs w:val="32"/>
        </w:rPr>
        <w:t>上市地位相关</w:t>
      </w:r>
      <w:r>
        <w:rPr>
          <w:rFonts w:hint="eastAsia" w:ascii="仿宋_GB2312" w:hAnsi="仿宋_GB2312" w:eastAsia="仿宋_GB2312" w:cs="仿宋_GB2312"/>
          <w:sz w:val="32"/>
          <w:szCs w:val="32"/>
        </w:rPr>
        <w:t>的信息，确保相关信息真实、准确、完整，并充分提示风险，</w:t>
      </w:r>
      <w:r>
        <w:rPr>
          <w:rFonts w:ascii="仿宋_GB2312" w:hAnsi="仿宋_GB2312" w:eastAsia="仿宋_GB2312" w:cs="仿宋_GB2312"/>
          <w:sz w:val="32"/>
          <w:szCs w:val="32"/>
        </w:rPr>
        <w:t>避免对投资者</w:t>
      </w:r>
      <w:r>
        <w:rPr>
          <w:rFonts w:hint="eastAsia" w:ascii="仿宋_GB2312" w:hAnsi="仿宋_GB2312" w:eastAsia="仿宋_GB2312" w:cs="仿宋_GB2312"/>
          <w:sz w:val="32"/>
          <w:szCs w:val="32"/>
        </w:rPr>
        <w:t>决策</w:t>
      </w:r>
      <w:r>
        <w:rPr>
          <w:rFonts w:ascii="仿宋_GB2312" w:hAnsi="仿宋_GB2312" w:eastAsia="仿宋_GB2312" w:cs="仿宋_GB2312"/>
          <w:sz w:val="32"/>
          <w:szCs w:val="32"/>
        </w:rPr>
        <w:t>产生误导</w:t>
      </w:r>
      <w:r>
        <w:rPr>
          <w:rFonts w:hint="eastAsia" w:ascii="仿宋_GB2312" w:hAnsi="仿宋_GB2312" w:eastAsia="仿宋_GB2312" w:cs="仿宋_GB2312"/>
          <w:sz w:val="32"/>
          <w:szCs w:val="32"/>
        </w:rPr>
        <w:t>，及时纠正和报告公司的违规行为，维护上市公司和全体股东利益。</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三）退市风险公司审计委员会应当重点关注财务会计报告及定期报告中财务信息的真实性、准确性、完整性；关注财务会计报告的重大会计和审计问题；关注会计师事务所的专业胜任能力、投资者保护能力、独立性和诚信状况，在年度报告编制及披露的全过程加强与会计师事务所的沟通，对其审计工作进行持续性监督及审查。</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四）退市风险公司董监高应当合理使用异议权，存在履职受限情形或发现违法违规行为线索的，应当及时提出纠正、改正意见，督促公司采取措施予以解决并及时履行信息披露义务，同时向本所报告，必要时可履行相应程序后独立聘请专业机构出具意见作为决策参考。在年度报告审议时存在异议的，应当详细说明异议原因及前期履职情况，不得以会计师事务所等中介机构意见代替其作出独立判断和发表针对性意见，不得仅以不了解情况为由拒绝发表相关意见。</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七、中介机构核查要求</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会计师事务所应当结合退</w:t>
      </w:r>
      <w:r>
        <w:rPr>
          <w:rFonts w:hint="eastAsia" w:ascii="仿宋_GB2312" w:hAnsi="仿宋_GB2312" w:eastAsia="仿宋_GB2312" w:cs="仿宋_GB2312"/>
          <w:sz w:val="32"/>
          <w:szCs w:val="32"/>
        </w:rPr>
        <w:t>市风险公司特点，提升风险合规意识，总所应当将本所承接的退市风险公司项目统筹列为重点审计项目，加强审计执业质量控制。会计师事务所应高度关注与退市风险相关的重大错报风险，增加必要的真实性穿透核查。签字注册会计师及相关成员应当与总所项目质量控制及复核人员保持密切沟通，在会计师事务所内部就公司重大会计处理、关键审计事项、审计意见类型等尽早达成共识。会计师事务所应当发表恰当的审计意见，不得以“带强调事项段的无保留意见”代替“保留意见”等其他非标审计意见类型。退市风险公司变更会计师事务所的，新任会计师事务所应当充分了解公司情况，制定有针对性的审计计划和审计程序，做好前后任会计师沟通，对前任会计师与公司存在重大分歧的事项予以特别关注。</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（二）</w:t>
      </w:r>
      <w:r>
        <w:rPr>
          <w:rFonts w:ascii="仿宋_GB2312" w:hAnsi="仿宋_GB2312" w:eastAsia="仿宋_GB2312" w:cs="仿宋_GB2312"/>
          <w:sz w:val="32"/>
          <w:szCs w:val="32"/>
        </w:rPr>
        <w:t>会计师事务所应当结合退</w:t>
      </w:r>
      <w:r>
        <w:rPr>
          <w:rFonts w:hint="eastAsia" w:ascii="仿宋_GB2312" w:hAnsi="仿宋_GB2312" w:eastAsia="仿宋_GB2312" w:cs="仿宋_GB2312"/>
          <w:sz w:val="32"/>
          <w:szCs w:val="32"/>
        </w:rPr>
        <w:t>市风险公司新增业务模式、历史经营情况等因素，核查公司营业收入扣除事项是否符合相关规定，就公司营业收入扣除事项是否合规及扣除后的营业收入金额出具专项核查意见；同时，应当充分关注公司收入确认的合规性，特别是上市公司是否存在以总额法代替净额法核算等情形；出具非标准审计意见涉及收入确认的，应当充分核查并在审计报告中说明非标准审计意见涉及的收入具体金额（出具无法表示意见的除外）。</w:t>
      </w:r>
    </w:p>
    <w:p>
      <w:pPr>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（三）</w:t>
      </w:r>
      <w:r>
        <w:rPr>
          <w:rFonts w:ascii="仿宋_GB2312" w:hAnsi="仿宋_GB2312" w:eastAsia="仿宋_GB2312" w:cs="仿宋_GB2312"/>
          <w:sz w:val="32"/>
          <w:szCs w:val="32"/>
        </w:rPr>
        <w:t>会计师事务所应当高度关注退</w:t>
      </w:r>
      <w:r>
        <w:rPr>
          <w:rFonts w:hint="eastAsia" w:ascii="仿宋_GB2312" w:hAnsi="仿宋_GB2312" w:eastAsia="仿宋_GB2312" w:cs="仿宋_GB2312"/>
          <w:sz w:val="32"/>
          <w:szCs w:val="32"/>
        </w:rPr>
        <w:t>市风险公司非经常性损益的认定情况，针对最近一个会计年度</w:t>
      </w:r>
      <w:r>
        <w:rPr>
          <w:rFonts w:ascii="仿宋_GB2312" w:hAnsi="仿宋_GB2312" w:eastAsia="仿宋_GB2312" w:cs="仿宋_GB2312"/>
          <w:sz w:val="32"/>
          <w:szCs w:val="32"/>
        </w:rPr>
        <w:t>经审计营业收入低于1亿元但净利润为正值的公司，应当对其非经常性损益披露的真实性、准确性、完整性出具专项核查意见。在认定过程中，如核查发现公司从事的相关业务不具备可持续的经营和盈利模式，无法体现正常的经营业绩和盈利能力，应当审慎考虑将相关损益计入经常性损益。</w:t>
      </w:r>
    </w:p>
    <w:p>
      <w:pPr>
        <w:widowControl/>
        <w:spacing w:line="560" w:lineRule="exact"/>
        <w:ind w:firstLine="640" w:firstLineChars="200"/>
        <w:rPr>
          <w:rFonts w:ascii="仿宋_GB2312" w:hAnsi="仿宋_GB2312" w:eastAsia="仿宋_GB2312" w:cs="仿宋_GB2312"/>
          <w:szCs w:val="32"/>
        </w:rPr>
      </w:pPr>
      <w:r>
        <w:rPr>
          <w:rFonts w:hint="eastAsia" w:ascii="仿宋_GB2312" w:hAnsi="仿宋_GB2312" w:eastAsia="仿宋_GB2312" w:cs="仿宋_GB2312"/>
          <w:sz w:val="32"/>
          <w:szCs w:val="32"/>
        </w:rPr>
        <w:t>（四）</w:t>
      </w:r>
      <w:r>
        <w:rPr>
          <w:rFonts w:ascii="仿宋_GB2312" w:hAnsi="仿宋_GB2312" w:eastAsia="仿宋_GB2312" w:cs="仿宋_GB2312"/>
          <w:sz w:val="32"/>
          <w:szCs w:val="32"/>
        </w:rPr>
        <w:t>会计师事务所应当详细核实前期非标准审计意见涉及事项在本期是否取得重要进展，恰当判断相关事项对本期财务报表的影响，审慎发表意见；同时，应当按照《公开发行证券的公司信息披露编报规则14号——非标准审计意见及其涉及事项的处理</w:t>
      </w:r>
      <w:r>
        <w:rPr>
          <w:rFonts w:hint="eastAsia" w:ascii="仿宋_GB2312" w:hAnsi="仿宋_GB2312" w:eastAsia="仿宋_GB2312" w:cs="仿宋_GB2312"/>
          <w:sz w:val="32"/>
          <w:szCs w:val="32"/>
        </w:rPr>
        <w:t>》《监管规则适用指引——审计类第</w:t>
      </w:r>
      <w:r>
        <w:rPr>
          <w:rFonts w:ascii="仿宋_GB2312" w:hAnsi="仿宋_GB2312" w:eastAsia="仿宋_GB2312" w:cs="仿宋_GB2312"/>
          <w:sz w:val="32"/>
          <w:szCs w:val="32"/>
        </w:rPr>
        <w:t>1号》</w:t>
      </w:r>
      <w:r>
        <w:rPr>
          <w:rFonts w:hint="eastAsia" w:ascii="仿宋_GB2312" w:hAnsi="仿宋_GB2312" w:eastAsia="仿宋_GB2312" w:cs="仿宋_GB2312"/>
          <w:sz w:val="32"/>
          <w:szCs w:val="32"/>
        </w:rPr>
        <w:t>等要求，针对审计意见中涉及的相关事项出具专项说明，充分披露“错报”“受限”、重要性水平、广泛性、上一年度非标事项在本报告期的情况等。</w:t>
      </w:r>
    </w:p>
    <w:p>
      <w:pPr>
        <w:widowControl/>
        <w:jc w:val="left"/>
        <w:rPr>
          <w:rFonts w:ascii="方正小标宋简体" w:hAnsi="仿宋" w:eastAsia="方正小标宋简体"/>
          <w:kern w:val="44"/>
          <w:sz w:val="44"/>
        </w:rPr>
      </w:pPr>
    </w:p>
    <w:p>
      <w:pPr>
        <w:pStyle w:val="162"/>
        <w:spacing w:before="0" w:after="0" w:line="240" w:lineRule="auto"/>
        <w:ind w:firstLine="0" w:firstLineChars="0"/>
        <w:outlineLvl w:val="9"/>
        <w:rPr>
          <w:rFonts w:hAnsi="黑体"/>
          <w:sz w:val="36"/>
          <w:szCs w:val="36"/>
        </w:rPr>
        <w:sectPr>
          <w:pgSz w:w="11906" w:h="16838"/>
          <w:pgMar w:top="1440" w:right="1800" w:bottom="1440" w:left="1800" w:header="851" w:footer="992" w:gutter="0"/>
          <w:cols w:space="720" w:num="1"/>
          <w:docGrid w:type="lines" w:linePitch="312" w:charSpace="0"/>
        </w:sectPr>
      </w:pPr>
    </w:p>
    <w:p>
      <w:pPr>
        <w:pStyle w:val="162"/>
        <w:spacing w:before="0" w:after="0" w:line="240" w:lineRule="auto"/>
        <w:ind w:firstLine="0" w:firstLineChars="0"/>
        <w:outlineLvl w:val="0"/>
        <w:rPr>
          <w:rFonts w:hAnsi="黑体"/>
          <w:sz w:val="36"/>
          <w:szCs w:val="36"/>
        </w:rPr>
      </w:pPr>
      <w:bookmarkStart w:id="25" w:name="_Toc23221"/>
      <w:r>
        <w:rPr>
          <w:rFonts w:hint="eastAsia" w:hAnsi="黑体"/>
          <w:sz w:val="36"/>
          <w:szCs w:val="36"/>
        </w:rPr>
        <w:t>第二</w:t>
      </w:r>
      <w:bookmarkEnd w:id="15"/>
      <w:r>
        <w:rPr>
          <w:rFonts w:hint="eastAsia" w:hAnsi="黑体"/>
          <w:sz w:val="36"/>
          <w:szCs w:val="36"/>
        </w:rPr>
        <w:t>章  公司治理</w:t>
      </w:r>
      <w:bookmarkEnd w:id="21"/>
      <w:bookmarkEnd w:id="22"/>
      <w:bookmarkEnd w:id="25"/>
    </w:p>
    <w:p>
      <w:pPr>
        <w:pStyle w:val="162"/>
        <w:spacing w:before="0" w:after="0"/>
        <w:ind w:firstLine="0" w:firstLineChars="0"/>
        <w:outlineLvl w:val="9"/>
      </w:pPr>
    </w:p>
    <w:p>
      <w:pPr>
        <w:pStyle w:val="162"/>
        <w:ind w:firstLine="0" w:firstLineChars="0"/>
        <w:outlineLvl w:val="1"/>
        <w:rPr>
          <w:rFonts w:hAnsi="黑体"/>
          <w:sz w:val="32"/>
          <w:szCs w:val="32"/>
        </w:rPr>
      </w:pPr>
      <w:bookmarkStart w:id="26" w:name="_Toc18107"/>
      <w:bookmarkStart w:id="27" w:name="_Toc141954527"/>
      <w:bookmarkStart w:id="28" w:name="_Toc129272523"/>
      <w:r>
        <w:rPr>
          <w:rFonts w:hint="eastAsia" w:hAnsi="黑体"/>
          <w:sz w:val="32"/>
          <w:szCs w:val="32"/>
        </w:rPr>
        <w:t xml:space="preserve">第一节 </w:t>
      </w:r>
      <w:r>
        <w:rPr>
          <w:rFonts w:hAnsi="黑体"/>
          <w:sz w:val="32"/>
          <w:szCs w:val="32"/>
        </w:rPr>
        <w:t>股东大会</w:t>
      </w:r>
      <w:bookmarkEnd w:id="26"/>
      <w:bookmarkEnd w:id="27"/>
      <w:bookmarkEnd w:id="28"/>
    </w:p>
    <w:p>
      <w:pPr>
        <w:spacing w:line="560" w:lineRule="exact"/>
        <w:ind w:firstLine="640" w:firstLineChars="200"/>
        <w:outlineLvl w:val="2"/>
        <w:rPr>
          <w:rFonts w:ascii="黑体" w:hAnsi="黑体" w:eastAsia="黑体"/>
          <w:sz w:val="32"/>
          <w:szCs w:val="32"/>
        </w:rPr>
      </w:pPr>
      <w:r>
        <w:rPr>
          <w:rFonts w:ascii="黑体" w:hAnsi="黑体" w:eastAsia="黑体"/>
          <w:sz w:val="32"/>
          <w:szCs w:val="32"/>
        </w:rPr>
        <w:t>一、股东大会的召集</w:t>
      </w:r>
    </w:p>
    <w:p>
      <w:pPr>
        <w:spacing w:line="560" w:lineRule="exact"/>
        <w:ind w:firstLine="640" w:firstLineChars="200"/>
        <w:rPr>
          <w:rFonts w:ascii="仿宋" w:hAnsi="仿宋" w:eastAsia="仿宋"/>
          <w:sz w:val="32"/>
          <w:szCs w:val="32"/>
        </w:rPr>
      </w:pPr>
      <w:r>
        <w:rPr>
          <w:rFonts w:ascii="仿宋" w:hAnsi="仿宋" w:eastAsia="仿宋"/>
          <w:sz w:val="32"/>
          <w:szCs w:val="32"/>
        </w:rPr>
        <w:t>（一）上市公司董事会、监事会在收到召开股东大会的提案时，应当充分保障相关主体提议或者请求召开股东大会的权利，履行相应的职责：</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上市公司董事会在收到独立董事关于召开股东大会的提议时，应当及时公告，并在收到提议后十日内提出同意或者不同意召开临时股东大会的书面反馈意见。</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董事会同意召开临时股东大会的，应当在作出董事会决议后的五日内发出召开股东大会的通知；</w:t>
      </w:r>
      <w:r>
        <w:rPr>
          <w:rFonts w:ascii="仿宋" w:hAnsi="仿宋" w:eastAsia="仿宋"/>
          <w:sz w:val="32"/>
          <w:szCs w:val="32"/>
        </w:rPr>
        <w:t>董事会不同意召开股东大会的，应当说明理由并及时公告，聘请律师事务所对相关理由及其合法合规性出具法律意见并公告。</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上市公司董事会在收到监事会以书面形式提出的召开股东大会的提议时，应当及时公告，并在收到提议后十日内提出同意或者不同意召开临时股东大会的书面反馈意见。</w:t>
      </w:r>
    </w:p>
    <w:p>
      <w:pPr>
        <w:spacing w:line="560" w:lineRule="exact"/>
        <w:ind w:firstLine="640" w:firstLineChars="200"/>
        <w:rPr>
          <w:rFonts w:ascii="仿宋" w:hAnsi="仿宋" w:eastAsia="仿宋"/>
          <w:sz w:val="32"/>
          <w:szCs w:val="32"/>
        </w:rPr>
      </w:pPr>
      <w:r>
        <w:rPr>
          <w:rFonts w:ascii="仿宋" w:hAnsi="仿宋" w:eastAsia="仿宋"/>
          <w:sz w:val="32"/>
          <w:szCs w:val="32"/>
        </w:rPr>
        <w:t>董事会同意召开临时股东大会的，应当在作出董事会决议后的五日内发出召开股东大会的通知，通知中对原提议的变更，应当征得监事会的同意。</w:t>
      </w:r>
    </w:p>
    <w:p>
      <w:pPr>
        <w:spacing w:line="560" w:lineRule="exact"/>
        <w:ind w:firstLine="640" w:firstLineChars="200"/>
        <w:rPr>
          <w:rFonts w:ascii="仿宋" w:hAnsi="仿宋" w:eastAsia="仿宋"/>
          <w:sz w:val="32"/>
          <w:szCs w:val="32"/>
        </w:rPr>
      </w:pPr>
      <w:r>
        <w:rPr>
          <w:rFonts w:ascii="仿宋" w:hAnsi="仿宋" w:eastAsia="仿宋"/>
          <w:sz w:val="32"/>
          <w:szCs w:val="32"/>
        </w:rPr>
        <w:t>董事会不同意召开股东大会的，</w:t>
      </w:r>
      <w:r>
        <w:rPr>
          <w:rFonts w:hint="eastAsia" w:ascii="仿宋" w:hAnsi="仿宋" w:eastAsia="仿宋"/>
          <w:sz w:val="32"/>
          <w:szCs w:val="32"/>
        </w:rPr>
        <w:t>或未在期限内反馈的，视为董事会不能履行或者不履行召集股东大会会议职责，监事会可以自行召集和主持。董事会不同意召开的，</w:t>
      </w:r>
      <w:r>
        <w:rPr>
          <w:rFonts w:ascii="仿宋" w:hAnsi="仿宋" w:eastAsia="仿宋"/>
          <w:sz w:val="32"/>
          <w:szCs w:val="32"/>
        </w:rPr>
        <w:t>应当</w:t>
      </w:r>
      <w:r>
        <w:rPr>
          <w:rFonts w:hint="eastAsia" w:ascii="仿宋" w:hAnsi="仿宋" w:eastAsia="仿宋"/>
          <w:sz w:val="32"/>
          <w:szCs w:val="32"/>
        </w:rPr>
        <w:t>说明理由并</w:t>
      </w:r>
      <w:r>
        <w:rPr>
          <w:rFonts w:ascii="仿宋" w:hAnsi="仿宋" w:eastAsia="仿宋"/>
          <w:sz w:val="32"/>
          <w:szCs w:val="32"/>
        </w:rPr>
        <w:t>及时公告，聘请律师事务所对相关理由及其合法合规性出具法律意见并公告，同时应当配合监事会自行召集股东大会，不得无故拖延或者拒绝履行配合披露等义务。</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上市公司董事会、监事会在收到股东以书面形式提出的召开股东大会的请求时，应当及时公告，并在收到提议后十日内提出同意或者不同意召开临时股东大会的书面反馈意见。</w:t>
      </w:r>
    </w:p>
    <w:p>
      <w:pPr>
        <w:spacing w:line="560" w:lineRule="exact"/>
        <w:ind w:firstLine="640" w:firstLineChars="200"/>
        <w:rPr>
          <w:rFonts w:ascii="仿宋" w:hAnsi="仿宋" w:eastAsia="仿宋"/>
          <w:sz w:val="32"/>
          <w:szCs w:val="32"/>
        </w:rPr>
      </w:pPr>
      <w:r>
        <w:rPr>
          <w:rFonts w:ascii="仿宋" w:hAnsi="仿宋" w:eastAsia="仿宋"/>
          <w:sz w:val="32"/>
          <w:szCs w:val="32"/>
        </w:rPr>
        <w:t>董事会同意召开临时股东大会的，应当在作出董事会决议后的五日内发出召开股东大会的通知，通知中对原提议的变更，应当征得相关股东的同意。</w:t>
      </w:r>
    </w:p>
    <w:p>
      <w:pPr>
        <w:spacing w:line="560" w:lineRule="exact"/>
        <w:ind w:firstLine="640" w:firstLineChars="200"/>
        <w:rPr>
          <w:rFonts w:ascii="仿宋" w:hAnsi="仿宋" w:eastAsia="仿宋"/>
          <w:sz w:val="32"/>
          <w:szCs w:val="32"/>
        </w:rPr>
      </w:pPr>
      <w:r>
        <w:rPr>
          <w:rFonts w:ascii="仿宋" w:hAnsi="仿宋" w:eastAsia="仿宋"/>
          <w:sz w:val="32"/>
          <w:szCs w:val="32"/>
        </w:rPr>
        <w:t>监事会同意召开临时股东大会的，应当在收到请求五日内发出召开股东大会的通知，通知中对原提议的变更，应当征得相关股东的同意。</w:t>
      </w:r>
    </w:p>
    <w:p>
      <w:pPr>
        <w:spacing w:line="560" w:lineRule="exact"/>
        <w:ind w:firstLine="640" w:firstLineChars="200"/>
        <w:rPr>
          <w:rFonts w:ascii="仿宋" w:hAnsi="仿宋" w:eastAsia="仿宋"/>
          <w:sz w:val="32"/>
          <w:szCs w:val="32"/>
        </w:rPr>
      </w:pPr>
      <w:r>
        <w:rPr>
          <w:rFonts w:ascii="仿宋" w:hAnsi="仿宋" w:eastAsia="仿宋"/>
          <w:sz w:val="32"/>
          <w:szCs w:val="32"/>
        </w:rPr>
        <w:t>董事会、监事会不同意召开股东大会的，应当及时公告并说明理由，聘请律师事务所对相关理由及其合法合规性出具法律意见并公告，同时应当配合股东自行召集股东大会，不得无故拖延或者拒绝履行配合披露等义务。</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股东自行召集股东大会的，应当按照本所相关规定办理，在发出股东大会通知前书面通知上市公司董事会并将有关文件报送本所。上市公司董事会和董事会秘书应当配合股东行使合法权利，提供必要的支持，并及时履行信息披露义务。</w:t>
      </w:r>
    </w:p>
    <w:p>
      <w:pPr>
        <w:spacing w:line="560" w:lineRule="exact"/>
        <w:ind w:firstLine="640" w:firstLineChars="200"/>
        <w:rPr>
          <w:rFonts w:ascii="仿宋" w:hAnsi="仿宋" w:eastAsia="仿宋"/>
          <w:sz w:val="32"/>
          <w:szCs w:val="32"/>
        </w:rPr>
      </w:pPr>
      <w:r>
        <w:rPr>
          <w:rFonts w:ascii="仿宋" w:hAnsi="仿宋" w:eastAsia="仿宋"/>
          <w:sz w:val="32"/>
          <w:szCs w:val="32"/>
        </w:rPr>
        <w:t>（二）股东大会召集人在发布股东大会通知公告时，应当向本所提供该次股东大会的召集符合法律法规、本所</w:t>
      </w:r>
      <w:r>
        <w:rPr>
          <w:rFonts w:hint="eastAsia" w:ascii="仿宋" w:hAnsi="仿宋" w:eastAsia="仿宋"/>
          <w:sz w:val="32"/>
          <w:szCs w:val="32"/>
        </w:rPr>
        <w:t>业务</w:t>
      </w:r>
      <w:r>
        <w:rPr>
          <w:rFonts w:ascii="仿宋" w:hAnsi="仿宋" w:eastAsia="仿宋"/>
          <w:sz w:val="32"/>
          <w:szCs w:val="32"/>
        </w:rPr>
        <w:t>规则和公司章程等规定的证明文件，包括但不限于：</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董事会召集股东大会的，应当提供董事会决议并公告；</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监事会召集股东大会的，应当提供曾向董事会提议召开股东大会但董事会不同意召开或者不履行召集股东大会职责的证明文件，以及召集该次股东大会的监事会决议并公告；</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股东召集股东大会的，应当提供连续九十日以上单独或者合计持有公司10%以上已发行有表决权股份的证明文件，以及曾向董事会、监事会请求召开股东大会但董事会、监事会不同意召开或者不履行召集股东大会职责的</w:t>
      </w:r>
      <w:r>
        <w:rPr>
          <w:rFonts w:hint="eastAsia" w:ascii="仿宋" w:hAnsi="仿宋" w:eastAsia="仿宋"/>
          <w:sz w:val="32"/>
          <w:szCs w:val="32"/>
        </w:rPr>
        <w:t>相关</w:t>
      </w:r>
      <w:r>
        <w:rPr>
          <w:rFonts w:ascii="仿宋" w:hAnsi="仿宋" w:eastAsia="仿宋"/>
          <w:sz w:val="32"/>
          <w:szCs w:val="32"/>
        </w:rPr>
        <w:t>证明文件。</w:t>
      </w:r>
    </w:p>
    <w:p>
      <w:pPr>
        <w:spacing w:line="560" w:lineRule="exact"/>
        <w:ind w:firstLine="640" w:firstLineChars="200"/>
        <w:outlineLvl w:val="2"/>
        <w:rPr>
          <w:rFonts w:ascii="黑体" w:hAnsi="黑体" w:eastAsia="黑体"/>
          <w:sz w:val="32"/>
          <w:szCs w:val="32"/>
        </w:rPr>
      </w:pPr>
      <w:r>
        <w:rPr>
          <w:rFonts w:ascii="黑体" w:hAnsi="黑体" w:eastAsia="黑体"/>
          <w:sz w:val="32"/>
          <w:szCs w:val="32"/>
        </w:rPr>
        <w:t>二、股东大会的提案</w:t>
      </w:r>
    </w:p>
    <w:p>
      <w:pPr>
        <w:spacing w:line="560" w:lineRule="exact"/>
        <w:ind w:firstLine="640" w:firstLineChars="200"/>
        <w:rPr>
          <w:rFonts w:ascii="仿宋" w:hAnsi="仿宋" w:eastAsia="仿宋"/>
          <w:sz w:val="32"/>
          <w:szCs w:val="32"/>
        </w:rPr>
      </w:pPr>
      <w:r>
        <w:rPr>
          <w:rFonts w:ascii="仿宋" w:hAnsi="仿宋" w:eastAsia="仿宋"/>
          <w:sz w:val="32"/>
          <w:szCs w:val="32"/>
        </w:rPr>
        <w:t>（一）股东提出临时提案的，应当向召集人提供单独或者合计持有公司3%以上已发行有表决权股份的证明文件。股东通过委托方式联合提出提案的，委托股东应当向被委托股东出具书面授权文件。</w:t>
      </w:r>
    </w:p>
    <w:p>
      <w:pPr>
        <w:spacing w:line="560" w:lineRule="exact"/>
        <w:ind w:firstLine="640" w:firstLineChars="200"/>
        <w:rPr>
          <w:rFonts w:ascii="仿宋" w:hAnsi="仿宋" w:eastAsia="仿宋"/>
          <w:sz w:val="32"/>
          <w:szCs w:val="32"/>
        </w:rPr>
      </w:pPr>
      <w:r>
        <w:rPr>
          <w:rFonts w:ascii="仿宋" w:hAnsi="仿宋" w:eastAsia="仿宋"/>
          <w:sz w:val="32"/>
          <w:szCs w:val="32"/>
        </w:rPr>
        <w:t>提出临时提案的股东或者其授权代理人应当将提案函、授权委托书、表明股东身份的有效证件等相关文件在规定期限内送达召集人。</w:t>
      </w:r>
    </w:p>
    <w:p>
      <w:pPr>
        <w:spacing w:line="560" w:lineRule="exact"/>
        <w:ind w:firstLine="640" w:firstLineChars="200"/>
        <w:rPr>
          <w:rFonts w:ascii="仿宋" w:hAnsi="仿宋" w:eastAsia="仿宋"/>
          <w:sz w:val="32"/>
          <w:szCs w:val="32"/>
        </w:rPr>
      </w:pPr>
      <w:r>
        <w:rPr>
          <w:rFonts w:ascii="仿宋" w:hAnsi="仿宋" w:eastAsia="仿宋"/>
          <w:sz w:val="32"/>
          <w:szCs w:val="32"/>
        </w:rPr>
        <w:t>临时提案的提案函内容应当包括：提案名称、提案具体内容、提案人关于提案符合</w:t>
      </w:r>
      <w:r>
        <w:rPr>
          <w:rFonts w:hint="eastAsia" w:ascii="仿宋" w:hAnsi="仿宋" w:eastAsia="仿宋"/>
          <w:sz w:val="32"/>
          <w:szCs w:val="32"/>
        </w:rPr>
        <w:t>《上市公司股东大会规则》（以下简称《股东大会规则》）、《创业板规范运作指引》和本所相关</w:t>
      </w:r>
      <w:r>
        <w:rPr>
          <w:rFonts w:ascii="仿宋" w:hAnsi="仿宋" w:eastAsia="仿宋"/>
          <w:sz w:val="32"/>
          <w:szCs w:val="32"/>
        </w:rPr>
        <w:t>规定的声明以及提案人保证所提供持股证明文件和授权委托书真实性的声明。</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上市公司董事会、独立董事、持有1%以上股份的股东、依照法律法规设立的投资者保护机构作为征集人公开请求上市公司股东委托其代为行使提案权的，征集人应当通过上市公司披露征集公告等文件，上市公司应当予以配合。征集公告中应当明确披露股东作出授权委托所必需的信息，包括拟提案内容以及股东对拟提案作出合理判断所需要的资料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股东接受公开征集并将提案权委托征集人代为行使的，应当将其所持全部股份对应的提案权委托同一征集人代为行使。</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征集人应当在截止最近一期股东大会召开前十日向召集人报送征集结果并公告，公告内容应当包括征集获得的股东人数、合计持股数量及持股比例、征集结果是否满足行使提案权的持股比例要求。</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征集结果满足法定行使提案权持股比例要求的，征集人应当及时披露征集结果公告，并在最近一期股东大会召开十日前将临时提案书面提交召集人。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征集人在征集期间新增提案应当视为一次新的提案权征集。删除部分前期已公告征集提案的，其他提案征集仍视为有效。</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提案权征集结束前股东大会延期或取消的，征集人可发布补充公告延长征集时限。提案权征集结束后发生股东大会延期或取消的，征集人应当在最近一期股东大会召开十日前将临时提案书面提交召集人。</w:t>
      </w:r>
    </w:p>
    <w:p>
      <w:pPr>
        <w:spacing w:line="56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三</w:t>
      </w:r>
      <w:r>
        <w:rPr>
          <w:rFonts w:ascii="仿宋" w:hAnsi="仿宋" w:eastAsia="仿宋"/>
          <w:sz w:val="32"/>
          <w:szCs w:val="32"/>
        </w:rPr>
        <w:t>）召集人认定临时提案不符合《股东大会规则》第十三条规定，进而认定股东大会不得对该临时提案进行表决并</w:t>
      </w:r>
      <w:r>
        <w:rPr>
          <w:rFonts w:hint="eastAsia" w:ascii="仿宋" w:hAnsi="仿宋" w:eastAsia="仿宋"/>
          <w:sz w:val="32"/>
          <w:szCs w:val="32"/>
        </w:rPr>
        <w:t>作出</w:t>
      </w:r>
      <w:r>
        <w:rPr>
          <w:rFonts w:ascii="仿宋" w:hAnsi="仿宋" w:eastAsia="仿宋"/>
          <w:sz w:val="32"/>
          <w:szCs w:val="32"/>
        </w:rPr>
        <w:t>决议的，应当在收到提案后两日内公告相关股东临时提案的内容，以及</w:t>
      </w:r>
      <w:r>
        <w:rPr>
          <w:rFonts w:hint="eastAsia" w:ascii="仿宋" w:hAnsi="仿宋" w:eastAsia="仿宋"/>
          <w:sz w:val="32"/>
          <w:szCs w:val="32"/>
        </w:rPr>
        <w:t>作出</w:t>
      </w:r>
      <w:r>
        <w:rPr>
          <w:rFonts w:ascii="仿宋" w:hAnsi="仿宋" w:eastAsia="仿宋"/>
          <w:sz w:val="32"/>
          <w:szCs w:val="32"/>
        </w:rPr>
        <w:t>前述决定的详细依据及合法合规性，同时聘请律师事务所对相关理由及其合法合规性出具法律意见并公告。</w:t>
      </w:r>
    </w:p>
    <w:p>
      <w:pPr>
        <w:spacing w:line="56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四</w:t>
      </w:r>
      <w:r>
        <w:rPr>
          <w:rFonts w:ascii="仿宋" w:hAnsi="仿宋" w:eastAsia="仿宋"/>
          <w:sz w:val="32"/>
          <w:szCs w:val="32"/>
        </w:rPr>
        <w:t>）召集人应当充分、完整披露所有提案的具体内容，以及为使股东对有关提案作出合理判断所需的全部资料或者解释。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公司应当在不晚于发出股东大会通知时披露为使股东对拟讨论的事项作出合理决策所需的全部资料。如需对股东大会会议资料进行补充，应当不晚于股东大会召开日予以披露。有关提案需要中介机构发表意见的，最迟应当在发出股东大会通知时披露相关意见。</w:t>
      </w:r>
    </w:p>
    <w:p>
      <w:pPr>
        <w:spacing w:line="56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五</w:t>
      </w:r>
      <w:r>
        <w:rPr>
          <w:rFonts w:ascii="仿宋" w:hAnsi="仿宋" w:eastAsia="仿宋"/>
          <w:sz w:val="32"/>
          <w:szCs w:val="32"/>
        </w:rPr>
        <w:t>）提案内容篇幅较长的，应当单独公告并在股东大会通知和补充通知中进行索引。</w:t>
      </w:r>
    </w:p>
    <w:p>
      <w:pPr>
        <w:spacing w:line="560" w:lineRule="exact"/>
        <w:ind w:firstLine="640" w:firstLineChars="200"/>
        <w:rPr>
          <w:rFonts w:ascii="仿宋" w:hAnsi="仿宋" w:eastAsia="仿宋"/>
          <w:sz w:val="32"/>
          <w:szCs w:val="32"/>
        </w:rPr>
      </w:pPr>
      <w:r>
        <w:rPr>
          <w:rFonts w:ascii="仿宋" w:hAnsi="仿宋" w:eastAsia="仿宋"/>
          <w:sz w:val="32"/>
          <w:szCs w:val="32"/>
        </w:rPr>
        <w:t>提案内容涉及其他临时公告的，公告应当符合《创业板上市规则》和《公告格式》等规定的内容和格式要求。</w:t>
      </w:r>
    </w:p>
    <w:p>
      <w:pPr>
        <w:spacing w:line="560" w:lineRule="exact"/>
        <w:ind w:firstLine="640" w:firstLineChars="200"/>
        <w:rPr>
          <w:rFonts w:ascii="仿宋" w:hAnsi="仿宋" w:eastAsia="仿宋"/>
          <w:sz w:val="32"/>
          <w:szCs w:val="32"/>
        </w:rPr>
      </w:pPr>
      <w:r>
        <w:rPr>
          <w:rFonts w:ascii="仿宋" w:hAnsi="仿宋" w:eastAsia="仿宋"/>
          <w:sz w:val="32"/>
          <w:szCs w:val="32"/>
        </w:rPr>
        <w:t>提案内容在股东大会通知发布前已经公告的，应当在股东大会通知和补充通知中索引披露时间、披露媒体和公告名称。</w:t>
      </w:r>
    </w:p>
    <w:p>
      <w:pPr>
        <w:spacing w:line="56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六</w:t>
      </w:r>
      <w:r>
        <w:rPr>
          <w:rFonts w:ascii="仿宋" w:hAnsi="仿宋" w:eastAsia="仿宋"/>
          <w:sz w:val="32"/>
          <w:szCs w:val="32"/>
        </w:rPr>
        <w:t>）股东大会选举董事、监事的，相关提案中应当充分披露董事、监事候选人的详细资料，至少包括以下内容：</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是否存在不得提名为董事、监事的情形；是否符合法律法规及本所</w:t>
      </w:r>
      <w:r>
        <w:rPr>
          <w:rFonts w:hint="eastAsia" w:ascii="仿宋" w:hAnsi="仿宋" w:eastAsia="仿宋"/>
          <w:sz w:val="32"/>
          <w:szCs w:val="32"/>
        </w:rPr>
        <w:t>业务</w:t>
      </w:r>
      <w:r>
        <w:rPr>
          <w:rFonts w:ascii="仿宋" w:hAnsi="仿宋" w:eastAsia="仿宋"/>
          <w:sz w:val="32"/>
          <w:szCs w:val="32"/>
        </w:rPr>
        <w:t>规则和公司章程等要求的任职资格；</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教育背景、工作经历、兼职等情况，应当特别说明在持有公司5%以上有表决权股份的股东、实际控制人及关联方单位的工作情况以及最近五年在其他机构担任董事、监事、高级管理人员的情况；</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与公司或者其控股股东及实际控制人是否存在关联关系，与持有公司5%以上有表决权股份的股东及其实际控制人是否存在关联关系，与公司其他董事、监事和高级管理人员是否存在关联关系；</w:t>
      </w:r>
    </w:p>
    <w:p>
      <w:pPr>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w:t>
      </w:r>
      <w:r>
        <w:rPr>
          <w:rFonts w:ascii="仿宋" w:hAnsi="仿宋" w:eastAsia="仿宋"/>
          <w:sz w:val="32"/>
          <w:szCs w:val="32"/>
        </w:rPr>
        <w:t>持有上市公司股份数量；</w:t>
      </w:r>
    </w:p>
    <w:p>
      <w:pPr>
        <w:spacing w:line="560" w:lineRule="exact"/>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w:t>
      </w:r>
      <w:r>
        <w:rPr>
          <w:rFonts w:ascii="仿宋" w:hAnsi="仿宋" w:eastAsia="仿宋"/>
          <w:sz w:val="32"/>
          <w:szCs w:val="32"/>
        </w:rPr>
        <w:t>最近三年内是否受到中国证监会行政处罚和证券交易所公开谴责或者三次以上通报批评，是否因涉嫌犯罪被司法机关立案侦查或者涉嫌违法违规被中国证监会立案调查，尚未有明确结论。如是，召集人应当披露该候选人前述情况的具体情形，推举该候选人的原因，是否对上市公司规范运作和公司治理等产生影响及公司的应对措施；</w:t>
      </w:r>
    </w:p>
    <w:p>
      <w:pPr>
        <w:spacing w:line="560" w:lineRule="exact"/>
        <w:ind w:firstLine="640" w:firstLineChars="200"/>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w:t>
      </w:r>
      <w:r>
        <w:rPr>
          <w:rFonts w:ascii="仿宋" w:hAnsi="仿宋" w:eastAsia="仿宋"/>
          <w:sz w:val="32"/>
          <w:szCs w:val="32"/>
        </w:rPr>
        <w:t>候选人是否被中国证监会在证券期货市场违法失信信息公开查询平台公示或者被人民法院纳入失信被执行人名单。如是，召集人应当披露该候选人失信的具体情形，推举该候选人的原因，是否对上市公司规范运作和公司治理产生影响及公司的应对措施。</w:t>
      </w:r>
    </w:p>
    <w:p>
      <w:pPr>
        <w:pStyle w:val="54"/>
        <w:widowControl w:val="0"/>
        <w:shd w:val="clear" w:color="auto" w:fill="FFFFFF"/>
        <w:snapToGrid w:val="0"/>
        <w:spacing w:before="0" w:beforeAutospacing="0" w:after="0" w:afterAutospacing="0" w:line="560" w:lineRule="exact"/>
        <w:ind w:firstLine="640" w:firstLineChars="200"/>
        <w:jc w:val="both"/>
        <w:rPr>
          <w:rFonts w:ascii="仿宋" w:hAnsi="仿宋" w:eastAsia="仿宋" w:cs="仿宋_GB2312"/>
          <w:sz w:val="32"/>
          <w:szCs w:val="32"/>
        </w:rPr>
      </w:pPr>
      <w:r>
        <w:rPr>
          <w:rFonts w:hint="eastAsia" w:ascii="仿宋" w:hAnsi="仿宋" w:eastAsia="仿宋" w:cs="仿宋_GB2312"/>
          <w:sz w:val="32"/>
          <w:szCs w:val="32"/>
        </w:rPr>
        <w:t>股东提名董事、监事候选人的，候选人应当自查是否符合任职条件，并作出书面承诺，同意接受提名，承诺提供的资料真实、准确、完整及符合任职条件，保证当选后切实履行职责。提名股东应对候选人是否符合任职资格及候选人提供的详细资料予以核查。</w:t>
      </w:r>
    </w:p>
    <w:p>
      <w:pPr>
        <w:autoSpaceDE w:val="0"/>
        <w:autoSpaceDN w:val="0"/>
        <w:adjustRightInd w:val="0"/>
        <w:snapToGrid w:val="0"/>
        <w:spacing w:line="560" w:lineRule="exact"/>
        <w:ind w:firstLine="640" w:firstLineChars="200"/>
        <w:jc w:val="left"/>
        <w:rPr>
          <w:rFonts w:ascii="仿宋" w:hAnsi="仿宋" w:eastAsia="仿宋"/>
          <w:sz w:val="32"/>
          <w:szCs w:val="32"/>
        </w:rPr>
      </w:pPr>
      <w:r>
        <w:rPr>
          <w:rFonts w:hint="eastAsia" w:ascii="仿宋" w:hAnsi="仿宋" w:eastAsia="仿宋" w:cs="仿宋_GB2312"/>
          <w:kern w:val="0"/>
          <w:sz w:val="32"/>
          <w:szCs w:val="32"/>
        </w:rPr>
        <w:t>公司董事会、监事会不得以需要审查候选人是否符合任职条件为由拒绝股东的相关提案。</w:t>
      </w:r>
    </w:p>
    <w:p>
      <w:pPr>
        <w:spacing w:line="56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七</w:t>
      </w:r>
      <w:r>
        <w:rPr>
          <w:rFonts w:ascii="仿宋" w:hAnsi="仿宋" w:eastAsia="仿宋"/>
          <w:sz w:val="32"/>
          <w:szCs w:val="32"/>
        </w:rPr>
        <w:t>）</w:t>
      </w:r>
      <w:r>
        <w:rPr>
          <w:rFonts w:hint="eastAsia" w:ascii="仿宋" w:hAnsi="仿宋" w:eastAsia="仿宋"/>
          <w:sz w:val="32"/>
          <w:szCs w:val="32"/>
        </w:rPr>
        <w:t>上市公司应当在董事、监事选举时实行累积投票制度，选举一名董事或监事的情形除外</w:t>
      </w:r>
      <w:r>
        <w:rPr>
          <w:rFonts w:ascii="仿宋" w:hAnsi="仿宋" w:eastAsia="仿宋"/>
          <w:sz w:val="32"/>
          <w:szCs w:val="32"/>
        </w:rPr>
        <w:t>。</w:t>
      </w:r>
    </w:p>
    <w:p>
      <w:pPr>
        <w:spacing w:line="560" w:lineRule="exact"/>
        <w:ind w:firstLine="640" w:firstLineChars="200"/>
        <w:rPr>
          <w:rFonts w:ascii="仿宋" w:hAnsi="仿宋" w:eastAsia="仿宋"/>
          <w:sz w:val="32"/>
          <w:szCs w:val="32"/>
        </w:rPr>
      </w:pPr>
      <w:r>
        <w:rPr>
          <w:rFonts w:ascii="仿宋" w:hAnsi="仿宋" w:eastAsia="仿宋"/>
          <w:sz w:val="32"/>
          <w:szCs w:val="32"/>
        </w:rPr>
        <w:t>采取累积投票方式选举董事的，独立董事和非独立董事的表决应当分别进行。</w:t>
      </w:r>
      <w:r>
        <w:rPr>
          <w:rFonts w:hint="eastAsia" w:ascii="仿宋" w:hAnsi="仿宋" w:eastAsia="仿宋"/>
          <w:sz w:val="32"/>
          <w:szCs w:val="32"/>
        </w:rPr>
        <w:t>不采取累积投票方式选举董事、监事的，每位董事、监事候选人应当以单项提案提出。</w:t>
      </w:r>
    </w:p>
    <w:p>
      <w:pPr>
        <w:spacing w:line="56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八</w:t>
      </w:r>
      <w:r>
        <w:rPr>
          <w:rFonts w:ascii="仿宋" w:hAnsi="仿宋" w:eastAsia="仿宋"/>
          <w:sz w:val="32"/>
          <w:szCs w:val="32"/>
        </w:rPr>
        <w:t>）召集人应当合理设置股东大会提案，保证同一事项的提案表决结果是明确的。</w:t>
      </w:r>
      <w:r>
        <w:rPr>
          <w:rFonts w:hint="eastAsia" w:ascii="仿宋" w:hAnsi="仿宋" w:eastAsia="仿宋"/>
          <w:sz w:val="32"/>
          <w:szCs w:val="32"/>
        </w:rPr>
        <w:t>股东大会提案存在歧义、遗漏或提案内容可能造成上市公司董事会、监事会构成不符合法律规定的，原则上不应提交股东大会进行表决。</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提案的内容应当属于股东大会职权范围，有明确议题和具体决议事项，符合法律、行政法规和公司章程的有关规定。</w:t>
      </w:r>
    </w:p>
    <w:p>
      <w:pPr>
        <w:spacing w:line="560" w:lineRule="exact"/>
        <w:ind w:firstLine="640" w:firstLineChars="200"/>
        <w:rPr>
          <w:rFonts w:ascii="仿宋" w:hAnsi="仿宋" w:eastAsia="仿宋"/>
          <w:sz w:val="32"/>
          <w:szCs w:val="32"/>
        </w:rPr>
      </w:pPr>
      <w:r>
        <w:rPr>
          <w:rFonts w:ascii="仿宋" w:hAnsi="仿宋" w:eastAsia="仿宋"/>
          <w:sz w:val="32"/>
          <w:szCs w:val="32"/>
        </w:rPr>
        <w:t>在一次股东大会上表决的提案中，一项提案生效是其他提案生效的前提的，召集人应当在股东大会通知中明确披露相关前提条件，并就作为前提的提案表决通过是后续提案表决结果生效的前提进行特别提示。</w:t>
      </w:r>
    </w:p>
    <w:p>
      <w:pPr>
        <w:spacing w:line="560" w:lineRule="exact"/>
        <w:ind w:firstLine="640" w:firstLineChars="200"/>
        <w:rPr>
          <w:rFonts w:ascii="仿宋" w:hAnsi="仿宋" w:eastAsia="仿宋"/>
          <w:sz w:val="32"/>
          <w:szCs w:val="32"/>
        </w:rPr>
      </w:pPr>
      <w:r>
        <w:rPr>
          <w:rFonts w:ascii="仿宋" w:hAnsi="仿宋" w:eastAsia="仿宋"/>
          <w:sz w:val="32"/>
          <w:szCs w:val="32"/>
        </w:rPr>
        <w:t>股东大会对同一事项提出不同提案的（即互斥提案，例如董事会先就年度利润分配提出方案——提案A，单独或者合计持有公司3%以上已发行有表决权股份的股东又提出另外的年度利润分配方案——提案B），提案A与提案B应当按照提出的时间顺序排列表决顺序；股东或者其代理人不得对提案A与提案B同时投同意票；股东大会通知中应当特别提示：提案A与提案B互斥，股东或者其代理人对提案A与提案B同时投同意票的，对提案A与提案B的投票均不视为有效投票。</w:t>
      </w:r>
    </w:p>
    <w:p>
      <w:pPr>
        <w:spacing w:line="560" w:lineRule="exact"/>
        <w:ind w:firstLine="640" w:firstLineChars="200"/>
        <w:rPr>
          <w:rFonts w:ascii="仿宋" w:hAnsi="仿宋" w:eastAsia="仿宋"/>
          <w:sz w:val="32"/>
          <w:szCs w:val="32"/>
        </w:rPr>
      </w:pPr>
      <w:r>
        <w:rPr>
          <w:rFonts w:ascii="仿宋" w:hAnsi="仿宋" w:eastAsia="仿宋"/>
          <w:sz w:val="32"/>
          <w:szCs w:val="32"/>
        </w:rPr>
        <w:t>提案不能在一次股东大会上进行表决的，应当分次提交股东大会表决。</w:t>
      </w:r>
    </w:p>
    <w:p>
      <w:pPr>
        <w:spacing w:line="560" w:lineRule="exact"/>
        <w:ind w:firstLine="640" w:firstLineChars="200"/>
        <w:rPr>
          <w:rFonts w:ascii="仿宋" w:hAnsi="仿宋" w:eastAsia="仿宋"/>
          <w:sz w:val="32"/>
          <w:szCs w:val="32"/>
        </w:rPr>
      </w:pPr>
      <w:r>
        <w:rPr>
          <w:rFonts w:ascii="仿宋" w:hAnsi="仿宋" w:eastAsia="仿宋"/>
          <w:sz w:val="32"/>
          <w:szCs w:val="32"/>
        </w:rPr>
        <w:t>提案人应当在提案函等载有提案内容的文件中明确说明提案间的关系，并明确相关提案是否提交同一次股东大会表决，并就表决方式的选取原因及合法合规性进行说明。</w:t>
      </w:r>
    </w:p>
    <w:p>
      <w:pPr>
        <w:spacing w:line="56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九</w:t>
      </w:r>
      <w:r>
        <w:rPr>
          <w:rFonts w:ascii="仿宋" w:hAnsi="仿宋" w:eastAsia="仿宋"/>
          <w:sz w:val="32"/>
          <w:szCs w:val="32"/>
        </w:rPr>
        <w:t>）除单独或者合计持有公司3%以上已发行有表决权股份的股东提出临时提案情形外，发出股东大会通知后不得修改股东大会通知中已列明的提案或者增加新的提案。</w:t>
      </w:r>
    </w:p>
    <w:p>
      <w:pPr>
        <w:spacing w:line="560" w:lineRule="exact"/>
        <w:ind w:firstLine="640" w:firstLineChars="200"/>
        <w:rPr>
          <w:rFonts w:ascii="仿宋" w:hAnsi="仿宋" w:eastAsia="仿宋"/>
          <w:sz w:val="32"/>
          <w:szCs w:val="32"/>
        </w:rPr>
      </w:pPr>
      <w:r>
        <w:rPr>
          <w:rFonts w:ascii="仿宋" w:hAnsi="仿宋" w:eastAsia="仿宋"/>
          <w:sz w:val="32"/>
          <w:szCs w:val="32"/>
        </w:rPr>
        <w:t>召集人根据规定需对提案披露内容进行补充或者更正的，不得实质性修改提案，且相关补充或者更正公告应当在股东大会网络投票开始前发布，与股东大会决议同时披露的法律意见书中应当包含律师对提案披露内容的补充、更正是否构成提案实质性修改出具的明确意见。</w:t>
      </w:r>
    </w:p>
    <w:p>
      <w:pPr>
        <w:spacing w:line="56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十</w:t>
      </w:r>
      <w:r>
        <w:rPr>
          <w:rFonts w:ascii="仿宋" w:hAnsi="仿宋" w:eastAsia="仿宋"/>
          <w:sz w:val="32"/>
          <w:szCs w:val="32"/>
        </w:rPr>
        <w:t>） 发出股东大会通知后，无正当理由，股东大会通知中列明的提案不得取消。</w:t>
      </w:r>
    </w:p>
    <w:p>
      <w:pPr>
        <w:spacing w:line="560" w:lineRule="exact"/>
        <w:ind w:firstLine="640" w:firstLineChars="200"/>
        <w:rPr>
          <w:rFonts w:ascii="Times New Roman" w:hAnsi="Times New Roman" w:eastAsia="方正仿宋简体"/>
          <w:sz w:val="32"/>
          <w:szCs w:val="32"/>
        </w:rPr>
      </w:pPr>
      <w:r>
        <w:rPr>
          <w:rFonts w:ascii="仿宋" w:hAnsi="仿宋" w:eastAsia="仿宋"/>
          <w:sz w:val="32"/>
          <w:szCs w:val="32"/>
        </w:rPr>
        <w:t>提案确需取消的，召集人应当在会议召开日前至少两个</w:t>
      </w:r>
      <w:r>
        <w:rPr>
          <w:rFonts w:hint="eastAsia" w:ascii="仿宋" w:hAnsi="仿宋" w:eastAsia="仿宋"/>
          <w:sz w:val="32"/>
          <w:szCs w:val="32"/>
        </w:rPr>
        <w:t>交易日</w:t>
      </w:r>
      <w:r>
        <w:rPr>
          <w:rFonts w:ascii="仿宋" w:hAnsi="仿宋" w:eastAsia="仿宋"/>
          <w:sz w:val="32"/>
          <w:szCs w:val="32"/>
        </w:rPr>
        <w:t>公告并说明原因。</w:t>
      </w:r>
    </w:p>
    <w:p>
      <w:pPr>
        <w:spacing w:line="560" w:lineRule="exact"/>
        <w:ind w:firstLine="640" w:firstLineChars="200"/>
        <w:outlineLvl w:val="2"/>
        <w:rPr>
          <w:rFonts w:ascii="黑体" w:hAnsi="黑体" w:eastAsia="黑体"/>
          <w:sz w:val="32"/>
          <w:szCs w:val="32"/>
        </w:rPr>
      </w:pPr>
      <w:r>
        <w:rPr>
          <w:rFonts w:ascii="黑体" w:hAnsi="黑体" w:eastAsia="黑体"/>
          <w:sz w:val="32"/>
          <w:szCs w:val="32"/>
        </w:rPr>
        <w:t>三、股东大会通知</w:t>
      </w:r>
    </w:p>
    <w:p>
      <w:pPr>
        <w:spacing w:line="560" w:lineRule="exact"/>
        <w:ind w:firstLine="640" w:firstLineChars="200"/>
        <w:rPr>
          <w:rFonts w:ascii="仿宋" w:hAnsi="仿宋" w:eastAsia="仿宋"/>
          <w:sz w:val="32"/>
          <w:szCs w:val="32"/>
        </w:rPr>
      </w:pPr>
      <w:r>
        <w:rPr>
          <w:rFonts w:ascii="仿宋" w:hAnsi="仿宋" w:eastAsia="仿宋"/>
          <w:sz w:val="32"/>
          <w:szCs w:val="32"/>
        </w:rPr>
        <w:t>（一）上市公司以公告方式发出股东大会通知时，股东大会通知公告应当单独发布，不得夹带在其他公告中发布，也不得作为其他公告的附件进行披露。</w:t>
      </w:r>
    </w:p>
    <w:p>
      <w:pPr>
        <w:spacing w:line="560" w:lineRule="exact"/>
        <w:ind w:firstLine="640" w:firstLineChars="200"/>
        <w:rPr>
          <w:rFonts w:ascii="仿宋" w:hAnsi="仿宋" w:eastAsia="仿宋"/>
          <w:sz w:val="32"/>
          <w:szCs w:val="32"/>
        </w:rPr>
      </w:pPr>
      <w:r>
        <w:rPr>
          <w:rFonts w:ascii="仿宋" w:hAnsi="仿宋" w:eastAsia="仿宋"/>
          <w:sz w:val="32"/>
          <w:szCs w:val="32"/>
        </w:rPr>
        <w:t>股东大会通知公告应当符合《公告格式》等规定的内容和格式要求。</w:t>
      </w:r>
    </w:p>
    <w:p>
      <w:pPr>
        <w:spacing w:line="560" w:lineRule="exact"/>
        <w:ind w:firstLine="640" w:firstLineChars="200"/>
        <w:rPr>
          <w:rFonts w:ascii="仿宋" w:hAnsi="仿宋" w:eastAsia="仿宋"/>
          <w:sz w:val="32"/>
          <w:szCs w:val="32"/>
        </w:rPr>
      </w:pPr>
      <w:r>
        <w:rPr>
          <w:rFonts w:ascii="仿宋" w:hAnsi="仿宋" w:eastAsia="仿宋"/>
          <w:sz w:val="32"/>
          <w:szCs w:val="32"/>
        </w:rPr>
        <w:t>发行优先股的公司，股东大会通知公告应当包括《</w:t>
      </w:r>
      <w:r>
        <w:rPr>
          <w:rFonts w:hint="eastAsia" w:ascii="仿宋" w:hAnsi="仿宋" w:eastAsia="仿宋"/>
          <w:sz w:val="32"/>
          <w:szCs w:val="32"/>
        </w:rPr>
        <w:t>上市公司</w:t>
      </w:r>
      <w:r>
        <w:rPr>
          <w:rFonts w:ascii="仿宋" w:hAnsi="仿宋" w:eastAsia="仿宋"/>
          <w:sz w:val="32"/>
          <w:szCs w:val="32"/>
        </w:rPr>
        <w:t>章程指引》《股东大会规则》等规定的优先股及优先股股东的相关内容。</w:t>
      </w:r>
    </w:p>
    <w:p>
      <w:pPr>
        <w:spacing w:line="560" w:lineRule="exact"/>
        <w:ind w:firstLine="640" w:firstLineChars="200"/>
        <w:rPr>
          <w:rFonts w:ascii="仿宋" w:hAnsi="仿宋" w:eastAsia="仿宋"/>
          <w:sz w:val="32"/>
          <w:szCs w:val="32"/>
        </w:rPr>
      </w:pPr>
      <w:r>
        <w:rPr>
          <w:rFonts w:ascii="仿宋" w:hAnsi="仿宋" w:eastAsia="仿宋"/>
          <w:sz w:val="32"/>
          <w:szCs w:val="32"/>
        </w:rPr>
        <w:t>设置表决权差异安排的公司，股东大会通知公告应当列明持有特别表决权股份的股东、所持特别表决权股份数量及对应的表决权数量等相关内容。</w:t>
      </w:r>
    </w:p>
    <w:p>
      <w:pPr>
        <w:spacing w:line="560" w:lineRule="exact"/>
        <w:ind w:firstLine="640" w:firstLineChars="200"/>
        <w:rPr>
          <w:rFonts w:ascii="仿宋" w:hAnsi="仿宋" w:eastAsia="仿宋"/>
          <w:sz w:val="32"/>
          <w:szCs w:val="32"/>
        </w:rPr>
      </w:pPr>
      <w:r>
        <w:rPr>
          <w:rFonts w:ascii="仿宋" w:hAnsi="仿宋" w:eastAsia="仿宋"/>
          <w:sz w:val="32"/>
          <w:szCs w:val="32"/>
        </w:rPr>
        <w:t>（二）上市公司通过业务专区发布股东大会通知公告时，应当选取“股东大会通知”公告类别，公告的电子文档名应当包含“股东大会通知”字样，公告标题应当包含“股东大会通知”字样，公告内容应当与标题相符。</w:t>
      </w:r>
    </w:p>
    <w:p>
      <w:pPr>
        <w:spacing w:line="560" w:lineRule="exact"/>
        <w:ind w:firstLine="640" w:firstLineChars="200"/>
        <w:rPr>
          <w:rFonts w:ascii="仿宋" w:hAnsi="仿宋" w:eastAsia="仿宋"/>
          <w:sz w:val="32"/>
          <w:szCs w:val="32"/>
        </w:rPr>
      </w:pPr>
      <w:r>
        <w:rPr>
          <w:rFonts w:ascii="仿宋" w:hAnsi="仿宋" w:eastAsia="仿宋"/>
          <w:sz w:val="32"/>
          <w:szCs w:val="32"/>
        </w:rPr>
        <w:t>（三）股东大会的现场会议日期和股权登记日都应当为交易日。股权登记日和会议召开日之间的间隔应当不少于两个工作日且不多于七个工作日。股权登记日一旦确定，不得变更。</w:t>
      </w:r>
    </w:p>
    <w:p>
      <w:pPr>
        <w:spacing w:line="560" w:lineRule="exact"/>
        <w:ind w:firstLine="640" w:firstLineChars="200"/>
        <w:rPr>
          <w:rFonts w:ascii="仿宋" w:hAnsi="仿宋" w:eastAsia="仿宋"/>
          <w:sz w:val="32"/>
          <w:szCs w:val="32"/>
        </w:rPr>
      </w:pPr>
      <w:r>
        <w:rPr>
          <w:rFonts w:ascii="仿宋" w:hAnsi="仿宋" w:eastAsia="仿宋"/>
          <w:sz w:val="32"/>
          <w:szCs w:val="32"/>
        </w:rPr>
        <w:t>发出股东大会通知后，股东大会因故需要延期的，召集人应当在原定现场会议召开日前至少两个</w:t>
      </w:r>
      <w:r>
        <w:rPr>
          <w:rFonts w:hint="eastAsia" w:ascii="仿宋" w:hAnsi="仿宋" w:eastAsia="仿宋"/>
          <w:sz w:val="32"/>
          <w:szCs w:val="32"/>
        </w:rPr>
        <w:t>交易</w:t>
      </w:r>
      <w:r>
        <w:rPr>
          <w:rFonts w:ascii="仿宋" w:hAnsi="仿宋" w:eastAsia="仿宋"/>
          <w:sz w:val="32"/>
          <w:szCs w:val="32"/>
        </w:rPr>
        <w:t>日公告并说明原因。股东大会延期的，股权登记日仍为原股东大会通知中确定的日期、不得变更，且延期后的现场会议日期仍需遵守与股权登记日之间的间隔不多于七个工作日的规定。</w:t>
      </w:r>
    </w:p>
    <w:p>
      <w:pPr>
        <w:spacing w:line="560" w:lineRule="exact"/>
        <w:ind w:firstLine="640" w:firstLineChars="200"/>
        <w:rPr>
          <w:rFonts w:ascii="仿宋" w:hAnsi="仿宋" w:eastAsia="仿宋"/>
          <w:sz w:val="32"/>
          <w:szCs w:val="32"/>
        </w:rPr>
      </w:pPr>
      <w:r>
        <w:rPr>
          <w:rFonts w:ascii="仿宋" w:hAnsi="仿宋" w:eastAsia="仿宋"/>
          <w:sz w:val="32"/>
          <w:szCs w:val="32"/>
        </w:rPr>
        <w:t>在计算股东大会通知公告日期与现场会议召开日之间的间隔时，股东大会现场会议召开当日不计算在间隔期内。股东大会通知于早间或者午间发布的，从公告发布当日计算间隔期；股东大会通知于晚间发布的，从次日开始计算间隔期。</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（四）</w:t>
      </w:r>
      <w:r>
        <w:rPr>
          <w:rFonts w:ascii="仿宋" w:hAnsi="仿宋" w:eastAsia="仿宋"/>
          <w:sz w:val="32"/>
          <w:szCs w:val="32"/>
        </w:rPr>
        <w:t>上市公司应当在股东大会通知中明确披露股东大会现场会议的具体地点。</w:t>
      </w:r>
    </w:p>
    <w:p>
      <w:pPr>
        <w:spacing w:line="560" w:lineRule="exact"/>
        <w:ind w:firstLine="640" w:firstLineChars="200"/>
        <w:rPr>
          <w:rFonts w:ascii="仿宋" w:hAnsi="仿宋" w:eastAsia="仿宋"/>
          <w:sz w:val="32"/>
          <w:szCs w:val="32"/>
        </w:rPr>
      </w:pPr>
      <w:r>
        <w:rPr>
          <w:rFonts w:ascii="仿宋" w:hAnsi="仿宋" w:eastAsia="仿宋"/>
          <w:sz w:val="32"/>
          <w:szCs w:val="32"/>
        </w:rPr>
        <w:t>发出股东大会通知后，无正当理由，股东大会现场会议召开地点不得变更。确需变更的，召集人应当在现场会议召开日前至少两个</w:t>
      </w:r>
      <w:r>
        <w:rPr>
          <w:rFonts w:hint="eastAsia" w:ascii="仿宋" w:hAnsi="仿宋" w:eastAsia="仿宋"/>
          <w:sz w:val="32"/>
          <w:szCs w:val="32"/>
        </w:rPr>
        <w:t>交易</w:t>
      </w:r>
      <w:r>
        <w:rPr>
          <w:rFonts w:ascii="仿宋" w:hAnsi="仿宋" w:eastAsia="仿宋"/>
          <w:sz w:val="32"/>
          <w:szCs w:val="32"/>
        </w:rPr>
        <w:t>日公告并说明原因，变更后的召开地点应当仍符合公司章程的规定。</w:t>
      </w:r>
    </w:p>
    <w:p>
      <w:pPr>
        <w:spacing w:line="560" w:lineRule="exact"/>
        <w:ind w:firstLine="640" w:firstLineChars="200"/>
        <w:rPr>
          <w:rFonts w:ascii="仿宋" w:hAnsi="仿宋" w:eastAsia="仿宋"/>
          <w:sz w:val="32"/>
          <w:szCs w:val="32"/>
        </w:rPr>
      </w:pPr>
      <w:r>
        <w:rPr>
          <w:rFonts w:ascii="仿宋" w:hAnsi="仿宋" w:eastAsia="仿宋"/>
          <w:sz w:val="32"/>
          <w:szCs w:val="32"/>
        </w:rPr>
        <w:t>（五）发出股东大会通知后，股东大会因故需要取消的，召集人应当在现场会议召开日前至少两个</w:t>
      </w:r>
      <w:r>
        <w:rPr>
          <w:rFonts w:hint="eastAsia" w:ascii="仿宋" w:hAnsi="仿宋" w:eastAsia="仿宋"/>
          <w:sz w:val="32"/>
          <w:szCs w:val="32"/>
        </w:rPr>
        <w:t>交易</w:t>
      </w:r>
      <w:r>
        <w:rPr>
          <w:rFonts w:ascii="仿宋" w:hAnsi="仿宋" w:eastAsia="仿宋"/>
          <w:sz w:val="32"/>
          <w:szCs w:val="32"/>
        </w:rPr>
        <w:t>日公告并说明原因。召集人为董事会或者监事会的，董事会或者监事会应当召开会议审议取消股东大会事项。</w:t>
      </w:r>
    </w:p>
    <w:p>
      <w:pPr>
        <w:spacing w:line="560" w:lineRule="exact"/>
        <w:ind w:firstLine="640" w:firstLineChars="200"/>
        <w:rPr>
          <w:rFonts w:ascii="仿宋" w:hAnsi="仿宋" w:eastAsia="仿宋"/>
          <w:sz w:val="32"/>
          <w:szCs w:val="32"/>
        </w:rPr>
      </w:pPr>
      <w:r>
        <w:rPr>
          <w:rFonts w:ascii="仿宋" w:hAnsi="仿宋" w:eastAsia="仿宋"/>
          <w:sz w:val="32"/>
          <w:szCs w:val="32"/>
        </w:rPr>
        <w:t>提案名称、内容未发生变化，召集人后续准备重新发出股东大会通知将其提交新一次股东大会审议的，相关提案无需董事会或者监事会再次审议，可直接提交新一次股东大会，但董事会或者监事会需就提议召开新一次股东大会、相关提案提交该次股东大会等事项作出相应决议。</w:t>
      </w:r>
    </w:p>
    <w:p>
      <w:pPr>
        <w:spacing w:line="560" w:lineRule="exact"/>
        <w:ind w:firstLine="640" w:firstLineChars="200"/>
        <w:rPr>
          <w:rFonts w:ascii="仿宋" w:hAnsi="仿宋" w:eastAsia="仿宋"/>
          <w:sz w:val="32"/>
          <w:szCs w:val="32"/>
        </w:rPr>
      </w:pPr>
      <w:r>
        <w:rPr>
          <w:rFonts w:ascii="仿宋" w:hAnsi="仿宋" w:eastAsia="仿宋"/>
          <w:sz w:val="32"/>
          <w:szCs w:val="32"/>
        </w:rPr>
        <w:t>（六）股东大会拟审议的提案中存在以下情形之一的，应当在股东大会通知公告中予以特别</w:t>
      </w:r>
      <w:r>
        <w:rPr>
          <w:rFonts w:hint="eastAsia" w:ascii="仿宋" w:hAnsi="仿宋" w:eastAsia="仿宋"/>
          <w:sz w:val="32"/>
          <w:szCs w:val="32"/>
        </w:rPr>
        <w:t>说明</w:t>
      </w:r>
      <w:r>
        <w:rPr>
          <w:rFonts w:ascii="仿宋" w:hAnsi="仿宋" w:eastAsia="仿宋"/>
          <w:sz w:val="32"/>
          <w:szCs w:val="32"/>
        </w:rPr>
        <w:t>：</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提案需逐项表决的；</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提案需分类表决的，需同时</w:t>
      </w:r>
      <w:r>
        <w:rPr>
          <w:rFonts w:hint="eastAsia" w:ascii="仿宋" w:hAnsi="仿宋" w:eastAsia="仿宋"/>
          <w:sz w:val="32"/>
          <w:szCs w:val="32"/>
        </w:rPr>
        <w:t>说明</w:t>
      </w:r>
      <w:r>
        <w:rPr>
          <w:rFonts w:ascii="仿宋" w:hAnsi="仿宋" w:eastAsia="仿宋"/>
          <w:sz w:val="32"/>
          <w:szCs w:val="32"/>
        </w:rPr>
        <w:t>类别股东情况；</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提案须经出席会议的股东所持表决权的三分之二以上通过的；</w:t>
      </w:r>
    </w:p>
    <w:p>
      <w:pPr>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w:t>
      </w:r>
      <w:r>
        <w:rPr>
          <w:rFonts w:ascii="仿宋" w:hAnsi="仿宋" w:eastAsia="仿宋"/>
          <w:sz w:val="32"/>
          <w:szCs w:val="32"/>
        </w:rPr>
        <w:t>提案属于优先股股东有权参与表决的事项；</w:t>
      </w:r>
    </w:p>
    <w:p>
      <w:pPr>
        <w:spacing w:line="560" w:lineRule="exact"/>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w:t>
      </w:r>
      <w:r>
        <w:rPr>
          <w:rFonts w:ascii="仿宋" w:hAnsi="仿宋" w:eastAsia="仿宋"/>
          <w:sz w:val="32"/>
          <w:szCs w:val="32"/>
        </w:rPr>
        <w:t>提案属于每一特别表决权股份享有的表决权数量与每一普通股份的表决权数量相同的事项；</w:t>
      </w:r>
    </w:p>
    <w:p>
      <w:pPr>
        <w:spacing w:line="560" w:lineRule="exact"/>
        <w:ind w:firstLine="640" w:firstLineChars="200"/>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w:t>
      </w:r>
      <w:r>
        <w:rPr>
          <w:rFonts w:ascii="仿宋" w:hAnsi="仿宋" w:eastAsia="仿宋"/>
          <w:sz w:val="32"/>
          <w:szCs w:val="32"/>
        </w:rPr>
        <w:t>提案属于影响中小投资者利益的重大事项；</w:t>
      </w:r>
    </w:p>
    <w:p>
      <w:pPr>
        <w:spacing w:line="560" w:lineRule="exact"/>
        <w:ind w:firstLine="640" w:firstLineChars="200"/>
        <w:rPr>
          <w:rFonts w:ascii="仿宋" w:hAnsi="仿宋" w:eastAsia="仿宋"/>
          <w:sz w:val="32"/>
          <w:szCs w:val="32"/>
        </w:rPr>
      </w:pPr>
      <w:r>
        <w:rPr>
          <w:rFonts w:ascii="仿宋" w:hAnsi="仿宋" w:eastAsia="仿宋"/>
          <w:sz w:val="32"/>
          <w:szCs w:val="32"/>
        </w:rPr>
        <w:t>7</w:t>
      </w:r>
      <w:r>
        <w:rPr>
          <w:rFonts w:hint="eastAsia" w:ascii="仿宋" w:hAnsi="仿宋" w:eastAsia="仿宋"/>
          <w:sz w:val="32"/>
          <w:szCs w:val="32"/>
        </w:rPr>
        <w:t>．</w:t>
      </w:r>
      <w:r>
        <w:rPr>
          <w:rFonts w:ascii="仿宋" w:hAnsi="仿宋" w:eastAsia="仿宋"/>
          <w:sz w:val="32"/>
          <w:szCs w:val="32"/>
        </w:rPr>
        <w:t>提案属于关联交易事项；</w:t>
      </w:r>
    </w:p>
    <w:p>
      <w:pPr>
        <w:spacing w:line="560" w:lineRule="exact"/>
        <w:ind w:firstLine="640" w:firstLineChars="200"/>
        <w:rPr>
          <w:rFonts w:ascii="仿宋" w:hAnsi="仿宋" w:eastAsia="仿宋"/>
          <w:sz w:val="32"/>
          <w:szCs w:val="32"/>
        </w:rPr>
      </w:pPr>
      <w:r>
        <w:rPr>
          <w:rFonts w:ascii="仿宋" w:hAnsi="仿宋" w:eastAsia="仿宋"/>
          <w:sz w:val="32"/>
          <w:szCs w:val="32"/>
        </w:rPr>
        <w:t>8</w:t>
      </w:r>
      <w:r>
        <w:rPr>
          <w:rFonts w:hint="eastAsia" w:ascii="仿宋" w:hAnsi="仿宋" w:eastAsia="仿宋"/>
          <w:sz w:val="32"/>
          <w:szCs w:val="32"/>
        </w:rPr>
        <w:t>．</w:t>
      </w:r>
      <w:r>
        <w:rPr>
          <w:rFonts w:ascii="仿宋" w:hAnsi="仿宋" w:eastAsia="仿宋"/>
          <w:sz w:val="32"/>
          <w:szCs w:val="32"/>
        </w:rPr>
        <w:t>提案为采取累积投票方式选举董事或者股东代表监事；</w:t>
      </w:r>
    </w:p>
    <w:p>
      <w:pPr>
        <w:spacing w:line="560" w:lineRule="exact"/>
        <w:ind w:firstLine="640" w:firstLineChars="200"/>
        <w:rPr>
          <w:rFonts w:ascii="仿宋" w:hAnsi="仿宋" w:eastAsia="仿宋"/>
          <w:sz w:val="32"/>
          <w:szCs w:val="32"/>
        </w:rPr>
      </w:pPr>
      <w:r>
        <w:rPr>
          <w:rFonts w:ascii="仿宋" w:hAnsi="仿宋" w:eastAsia="仿宋"/>
          <w:sz w:val="32"/>
          <w:szCs w:val="32"/>
        </w:rPr>
        <w:t>9</w:t>
      </w:r>
      <w:r>
        <w:rPr>
          <w:rFonts w:hint="eastAsia" w:ascii="仿宋" w:hAnsi="仿宋" w:eastAsia="仿宋"/>
          <w:sz w:val="32"/>
          <w:szCs w:val="32"/>
        </w:rPr>
        <w:t>．</w:t>
      </w:r>
      <w:r>
        <w:rPr>
          <w:rFonts w:ascii="仿宋" w:hAnsi="仿宋" w:eastAsia="仿宋"/>
          <w:sz w:val="32"/>
          <w:szCs w:val="32"/>
        </w:rPr>
        <w:t>本所要求的其他情形。</w:t>
      </w:r>
    </w:p>
    <w:p>
      <w:pPr>
        <w:spacing w:line="560" w:lineRule="exact"/>
        <w:ind w:firstLine="640" w:firstLineChars="200"/>
        <w:rPr>
          <w:rFonts w:ascii="仿宋" w:hAnsi="仿宋" w:eastAsia="仿宋"/>
          <w:sz w:val="32"/>
          <w:szCs w:val="32"/>
        </w:rPr>
      </w:pPr>
      <w:r>
        <w:rPr>
          <w:rFonts w:ascii="仿宋" w:hAnsi="仿宋" w:eastAsia="仿宋"/>
          <w:sz w:val="32"/>
          <w:szCs w:val="32"/>
        </w:rPr>
        <w:t>（七）以下事项必须经出席股东大会的股东所持表决权的三分之二以上通过：</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修改公司章程</w:t>
      </w:r>
      <w:r>
        <w:rPr>
          <w:rFonts w:hint="eastAsia" w:ascii="仿宋" w:hAnsi="仿宋" w:eastAsia="仿宋"/>
          <w:sz w:val="32"/>
          <w:szCs w:val="32"/>
        </w:rPr>
        <w:t>及其附件（包括股东大会议事规则、董事会议事规则及监事会议事规则）</w:t>
      </w:r>
      <w:r>
        <w:rPr>
          <w:rFonts w:ascii="仿宋" w:hAnsi="仿宋" w:eastAsia="仿宋"/>
          <w:sz w:val="32"/>
          <w:szCs w:val="32"/>
        </w:rPr>
        <w:t>；</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增加或者减少注册资本；</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公司合并、分立、解散或者变更公司形式；</w:t>
      </w:r>
    </w:p>
    <w:p>
      <w:pPr>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．分拆所属子公司上市</w:t>
      </w:r>
      <w:r>
        <w:rPr>
          <w:rFonts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5. </w:t>
      </w:r>
      <w:r>
        <w:rPr>
          <w:rFonts w:ascii="仿宋" w:hAnsi="仿宋" w:eastAsia="仿宋"/>
          <w:sz w:val="32"/>
          <w:szCs w:val="32"/>
        </w:rPr>
        <w:t>连续十二个月内购买、出售重大资产或者提供担保金额超过公司资产总额30%；</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发行股票、可转换公司债券、优先股以及中国证监会认可的其他证券品种；</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7．</w:t>
      </w:r>
      <w:r>
        <w:rPr>
          <w:rFonts w:ascii="仿宋" w:hAnsi="仿宋" w:eastAsia="仿宋"/>
          <w:sz w:val="32"/>
          <w:szCs w:val="32"/>
        </w:rPr>
        <w:t>回购股份用于</w:t>
      </w:r>
      <w:r>
        <w:rPr>
          <w:rFonts w:hint="eastAsia" w:ascii="仿宋" w:hAnsi="仿宋" w:eastAsia="仿宋"/>
          <w:sz w:val="32"/>
          <w:szCs w:val="32"/>
        </w:rPr>
        <w:t>减少注册资本</w:t>
      </w:r>
      <w:r>
        <w:rPr>
          <w:rFonts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8．</w:t>
      </w:r>
      <w:r>
        <w:rPr>
          <w:rFonts w:ascii="仿宋" w:hAnsi="仿宋" w:eastAsia="仿宋"/>
          <w:sz w:val="32"/>
          <w:szCs w:val="32"/>
        </w:rPr>
        <w:t>重大资产重组；</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9．</w:t>
      </w:r>
      <w:r>
        <w:rPr>
          <w:rFonts w:ascii="仿宋" w:hAnsi="仿宋" w:eastAsia="仿宋"/>
          <w:sz w:val="32"/>
          <w:szCs w:val="32"/>
        </w:rPr>
        <w:t>股权激励计划；</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10．</w:t>
      </w:r>
      <w:r>
        <w:rPr>
          <w:rFonts w:ascii="仿宋" w:hAnsi="仿宋" w:eastAsia="仿宋"/>
          <w:sz w:val="32"/>
          <w:szCs w:val="32"/>
        </w:rPr>
        <w:t>上市公司股东大会决议主动撤回其股票在本所上市交易、并决定不再在交易所交易或者转而申请在其他交易场所交易或者转让；</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1．</w:t>
      </w:r>
      <w:r>
        <w:rPr>
          <w:rFonts w:ascii="仿宋" w:hAnsi="仿宋" w:eastAsia="仿宋"/>
          <w:sz w:val="32"/>
          <w:szCs w:val="32"/>
        </w:rPr>
        <w:t>股东大会以普通决议认定会对公司产生重大影响、需要以特别决议通过的其他事项；</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2．</w:t>
      </w:r>
      <w:r>
        <w:rPr>
          <w:rFonts w:ascii="仿宋" w:hAnsi="仿宋" w:eastAsia="仿宋"/>
          <w:sz w:val="32"/>
          <w:szCs w:val="32"/>
        </w:rPr>
        <w:t>法律</w:t>
      </w:r>
      <w:r>
        <w:rPr>
          <w:rFonts w:hint="eastAsia" w:ascii="仿宋" w:hAnsi="仿宋" w:eastAsia="仿宋"/>
          <w:sz w:val="32"/>
          <w:szCs w:val="32"/>
        </w:rPr>
        <w:t>法规</w:t>
      </w:r>
      <w:r>
        <w:rPr>
          <w:rFonts w:ascii="仿宋" w:hAnsi="仿宋" w:eastAsia="仿宋"/>
          <w:sz w:val="32"/>
          <w:szCs w:val="32"/>
        </w:rPr>
        <w:t>、本所</w:t>
      </w:r>
      <w:r>
        <w:rPr>
          <w:rFonts w:hint="eastAsia" w:ascii="仿宋" w:hAnsi="仿宋" w:eastAsia="仿宋"/>
          <w:sz w:val="32"/>
          <w:szCs w:val="32"/>
        </w:rPr>
        <w:t>业务</w:t>
      </w:r>
      <w:r>
        <w:rPr>
          <w:rFonts w:ascii="仿宋" w:hAnsi="仿宋" w:eastAsia="仿宋"/>
          <w:sz w:val="32"/>
          <w:szCs w:val="32"/>
        </w:rPr>
        <w:t>规则、公司章程或者股东大会议事规则规定的其他需要以特别决议通过的事项。</w:t>
      </w:r>
    </w:p>
    <w:p>
      <w:pPr>
        <w:spacing w:line="560" w:lineRule="exact"/>
        <w:ind w:firstLine="640" w:firstLineChars="200"/>
        <w:rPr>
          <w:rFonts w:ascii="仿宋" w:hAnsi="仿宋" w:eastAsia="仿宋"/>
          <w:sz w:val="32"/>
          <w:szCs w:val="32"/>
        </w:rPr>
      </w:pPr>
      <w:r>
        <w:rPr>
          <w:rFonts w:ascii="仿宋" w:hAnsi="仿宋" w:eastAsia="仿宋"/>
          <w:sz w:val="32"/>
          <w:szCs w:val="32"/>
        </w:rPr>
        <w:t>前款第</w:t>
      </w:r>
      <w:r>
        <w:rPr>
          <w:rFonts w:hint="eastAsia" w:ascii="仿宋" w:hAnsi="仿宋" w:eastAsia="仿宋"/>
          <w:sz w:val="32"/>
          <w:szCs w:val="32"/>
        </w:rPr>
        <w:t>4、10</w:t>
      </w:r>
      <w:r>
        <w:rPr>
          <w:rFonts w:ascii="仿宋" w:hAnsi="仿宋" w:eastAsia="仿宋"/>
          <w:sz w:val="32"/>
          <w:szCs w:val="32"/>
        </w:rPr>
        <w:t>项所述提案，除应当经出席股东大会的股东所持表决权的三分之二以上通过外，还应当经出席会议的除上市公司董事、监事、高级管理人员和单独或者合计持有上市公司5%以上股份的股东以外的其他股东所持表决权的三分之二以上通过。</w:t>
      </w:r>
    </w:p>
    <w:p>
      <w:pPr>
        <w:spacing w:line="560" w:lineRule="exact"/>
        <w:ind w:firstLine="640" w:firstLineChars="200"/>
        <w:rPr>
          <w:rFonts w:ascii="仿宋" w:hAnsi="仿宋" w:eastAsia="仿宋"/>
          <w:sz w:val="32"/>
          <w:szCs w:val="32"/>
        </w:rPr>
      </w:pPr>
      <w:r>
        <w:rPr>
          <w:rFonts w:ascii="仿宋" w:hAnsi="仿宋" w:eastAsia="仿宋"/>
          <w:sz w:val="32"/>
          <w:szCs w:val="32"/>
        </w:rPr>
        <w:t>上市公司章程的相应条款应当符合前两款的规定。</w:t>
      </w:r>
    </w:p>
    <w:p>
      <w:pPr>
        <w:spacing w:line="560" w:lineRule="exact"/>
        <w:ind w:firstLine="640" w:firstLineChars="200"/>
        <w:rPr>
          <w:rFonts w:ascii="仿宋" w:hAnsi="仿宋" w:eastAsia="仿宋"/>
          <w:sz w:val="32"/>
          <w:szCs w:val="32"/>
        </w:rPr>
      </w:pPr>
      <w:r>
        <w:rPr>
          <w:rFonts w:ascii="仿宋" w:hAnsi="仿宋" w:eastAsia="仿宋"/>
          <w:sz w:val="32"/>
          <w:szCs w:val="32"/>
        </w:rPr>
        <w:t>（八）设置表决权差异安排的公司，在对以下事项进行表决时，每一特别表决权股份享有的表决权数量应当与每一普通股份的表决权数量相同：</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修改公司章程；</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 xml:space="preserve">改变特别表决权股份享有的表决权数量； </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聘请或者解聘独立董事；</w:t>
      </w:r>
    </w:p>
    <w:p>
      <w:pPr>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w:t>
      </w:r>
      <w:r>
        <w:rPr>
          <w:rFonts w:ascii="仿宋" w:hAnsi="仿宋" w:eastAsia="仿宋"/>
          <w:sz w:val="32"/>
          <w:szCs w:val="32"/>
        </w:rPr>
        <w:t>聘请或者解聘监事；</w:t>
      </w:r>
    </w:p>
    <w:p>
      <w:pPr>
        <w:spacing w:line="560" w:lineRule="exact"/>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w:t>
      </w:r>
      <w:r>
        <w:rPr>
          <w:rFonts w:ascii="仿宋" w:hAnsi="仿宋" w:eastAsia="仿宋"/>
          <w:sz w:val="32"/>
          <w:szCs w:val="32"/>
        </w:rPr>
        <w:t>聘请或者解聘为上市公司定期报告出具审计意见的会计师事务所；</w:t>
      </w:r>
    </w:p>
    <w:p>
      <w:pPr>
        <w:spacing w:line="560" w:lineRule="exact"/>
        <w:ind w:firstLine="640" w:firstLineChars="200"/>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w:t>
      </w:r>
      <w:r>
        <w:rPr>
          <w:rFonts w:ascii="仿宋" w:hAnsi="仿宋" w:eastAsia="仿宋"/>
          <w:sz w:val="32"/>
          <w:szCs w:val="32"/>
        </w:rPr>
        <w:t>公司合并、分立、解散或者变更公司形式。</w:t>
      </w:r>
    </w:p>
    <w:p>
      <w:pPr>
        <w:spacing w:line="560" w:lineRule="exact"/>
        <w:ind w:firstLine="640" w:firstLineChars="200"/>
        <w:rPr>
          <w:rFonts w:ascii="仿宋" w:hAnsi="仿宋" w:eastAsia="仿宋"/>
          <w:sz w:val="32"/>
          <w:szCs w:val="32"/>
        </w:rPr>
      </w:pPr>
      <w:r>
        <w:rPr>
          <w:rFonts w:ascii="仿宋" w:hAnsi="仿宋" w:eastAsia="仿宋"/>
          <w:sz w:val="32"/>
          <w:szCs w:val="32"/>
        </w:rPr>
        <w:t>前款第1、2、6项所述提案，应当经出席股东大会的股东所持表决权的三分之二以上通过。</w:t>
      </w:r>
    </w:p>
    <w:p>
      <w:pPr>
        <w:spacing w:line="560" w:lineRule="exact"/>
        <w:ind w:firstLine="640" w:firstLineChars="200"/>
        <w:rPr>
          <w:rFonts w:ascii="仿宋" w:hAnsi="仿宋" w:eastAsia="仿宋"/>
          <w:sz w:val="32"/>
          <w:szCs w:val="32"/>
        </w:rPr>
      </w:pPr>
      <w:r>
        <w:rPr>
          <w:rFonts w:ascii="仿宋" w:hAnsi="仿宋" w:eastAsia="仿宋"/>
          <w:sz w:val="32"/>
          <w:szCs w:val="32"/>
        </w:rPr>
        <w:t>上市公司章程的相应条款应当符合前两款的规定。</w:t>
      </w:r>
    </w:p>
    <w:p>
      <w:pPr>
        <w:spacing w:line="560" w:lineRule="exact"/>
        <w:ind w:firstLine="640" w:firstLineChars="200"/>
        <w:rPr>
          <w:rFonts w:ascii="仿宋" w:hAnsi="仿宋" w:eastAsia="仿宋"/>
          <w:sz w:val="32"/>
          <w:szCs w:val="32"/>
        </w:rPr>
      </w:pPr>
      <w:r>
        <w:rPr>
          <w:rFonts w:ascii="仿宋" w:hAnsi="仿宋" w:eastAsia="仿宋"/>
          <w:sz w:val="32"/>
          <w:szCs w:val="32"/>
        </w:rPr>
        <w:t>（九）存在股东需在股东大会上回避表决或者承诺放弃表决权情形的，召集人应当在股东大会通知中明确披露相关情况，</w:t>
      </w:r>
      <w:r>
        <w:rPr>
          <w:rFonts w:hint="eastAsia" w:ascii="仿宋" w:hAnsi="仿宋" w:eastAsia="仿宋"/>
          <w:sz w:val="32"/>
          <w:szCs w:val="32"/>
        </w:rPr>
        <w:t>索引</w:t>
      </w:r>
      <w:r>
        <w:rPr>
          <w:rFonts w:ascii="仿宋" w:hAnsi="仿宋" w:eastAsia="仿宋"/>
          <w:sz w:val="32"/>
          <w:szCs w:val="32"/>
        </w:rPr>
        <w:t>披露股东需回避表决或者承诺放弃表决权理由的相关公告，同时应当就该等股东可否接受其他股东委托进行投票做出说明，并进行特别提示。</w:t>
      </w:r>
    </w:p>
    <w:p>
      <w:pPr>
        <w:spacing w:line="560" w:lineRule="exact"/>
        <w:ind w:firstLine="640" w:firstLineChars="200"/>
        <w:rPr>
          <w:rFonts w:ascii="仿宋" w:hAnsi="仿宋" w:eastAsia="仿宋"/>
          <w:sz w:val="32"/>
          <w:szCs w:val="32"/>
        </w:rPr>
      </w:pPr>
      <w:r>
        <w:rPr>
          <w:rFonts w:ascii="仿宋" w:hAnsi="仿宋" w:eastAsia="仿宋"/>
          <w:sz w:val="32"/>
          <w:szCs w:val="32"/>
        </w:rPr>
        <w:t>（十）上市公司在员工持股计划方案等公告中明确了员工持股计划所持股份在股东大会审议相关提案时需回避表决的，应当在审议该等提案的股东大会的通知公告中进行特别提示。股东大会通知中未明确的，应当在股东大会决议和与股东大会决议同时披露的法律意见书中披露员工持股计划是否需回避表决及其理由。</w:t>
      </w:r>
    </w:p>
    <w:p>
      <w:pPr>
        <w:spacing w:line="560" w:lineRule="exact"/>
        <w:ind w:firstLine="640" w:firstLineChars="200"/>
        <w:rPr>
          <w:rFonts w:ascii="仿宋" w:hAnsi="仿宋" w:eastAsia="仿宋"/>
          <w:sz w:val="32"/>
          <w:szCs w:val="32"/>
        </w:rPr>
      </w:pPr>
      <w:r>
        <w:rPr>
          <w:rFonts w:ascii="仿宋" w:hAnsi="仿宋" w:eastAsia="仿宋"/>
          <w:sz w:val="32"/>
          <w:szCs w:val="32"/>
        </w:rPr>
        <w:t>上市公司股东如</w:t>
      </w:r>
      <w:r>
        <w:rPr>
          <w:rFonts w:hint="eastAsia" w:ascii="仿宋" w:hAnsi="仿宋" w:eastAsia="仿宋"/>
          <w:sz w:val="32"/>
          <w:szCs w:val="32"/>
        </w:rPr>
        <w:t>为</w:t>
      </w:r>
      <w:r>
        <w:rPr>
          <w:rFonts w:ascii="仿宋" w:hAnsi="仿宋" w:eastAsia="仿宋"/>
          <w:sz w:val="32"/>
          <w:szCs w:val="32"/>
        </w:rPr>
        <w:t>与公司股东及董监高存在关联关系或利益安排的信托计划或者资产管理计划，应当按照前款规定披露相关情况。</w:t>
      </w:r>
    </w:p>
    <w:p>
      <w:pPr>
        <w:spacing w:line="560" w:lineRule="exact"/>
        <w:ind w:firstLine="640" w:firstLineChars="200"/>
        <w:rPr>
          <w:rFonts w:ascii="仿宋" w:hAnsi="仿宋" w:eastAsia="仿宋"/>
          <w:sz w:val="32"/>
          <w:szCs w:val="32"/>
        </w:rPr>
      </w:pPr>
      <w:r>
        <w:rPr>
          <w:rFonts w:ascii="仿宋" w:hAnsi="仿宋" w:eastAsia="仿宋"/>
          <w:sz w:val="32"/>
          <w:szCs w:val="32"/>
        </w:rPr>
        <w:t>（十</w:t>
      </w:r>
      <w:r>
        <w:rPr>
          <w:rFonts w:hint="eastAsia" w:ascii="仿宋" w:hAnsi="仿宋" w:eastAsia="仿宋"/>
          <w:sz w:val="32"/>
          <w:szCs w:val="32"/>
        </w:rPr>
        <w:t>一</w:t>
      </w:r>
      <w:r>
        <w:rPr>
          <w:rFonts w:ascii="仿宋" w:hAnsi="仿宋" w:eastAsia="仿宋"/>
          <w:sz w:val="32"/>
          <w:szCs w:val="32"/>
        </w:rPr>
        <w:t>）股东大会采取累积投票方式选举董事、监事的，召集人应当在股东大会通知中明确披露应选董事、监事的具体人数，同时披露股东所拥有的选举票数为其所持有表决权的股份数量乘以应选人数，并进行特别提示。</w:t>
      </w:r>
    </w:p>
    <w:p>
      <w:pPr>
        <w:spacing w:line="560" w:lineRule="exact"/>
        <w:ind w:firstLine="640" w:firstLineChars="200"/>
        <w:rPr>
          <w:rFonts w:ascii="仿宋" w:hAnsi="仿宋" w:eastAsia="仿宋"/>
          <w:sz w:val="32"/>
          <w:szCs w:val="32"/>
        </w:rPr>
      </w:pPr>
      <w:r>
        <w:rPr>
          <w:rFonts w:ascii="仿宋" w:hAnsi="仿宋" w:eastAsia="仿宋"/>
          <w:sz w:val="32"/>
          <w:szCs w:val="32"/>
        </w:rPr>
        <w:t>（十</w:t>
      </w:r>
      <w:r>
        <w:rPr>
          <w:rFonts w:hint="eastAsia" w:ascii="仿宋" w:hAnsi="仿宋" w:eastAsia="仿宋"/>
          <w:sz w:val="32"/>
          <w:szCs w:val="32"/>
        </w:rPr>
        <w:t>二</w:t>
      </w:r>
      <w:r>
        <w:rPr>
          <w:rFonts w:ascii="仿宋" w:hAnsi="仿宋" w:eastAsia="仿宋"/>
          <w:sz w:val="32"/>
          <w:szCs w:val="32"/>
        </w:rPr>
        <w:t>）董事会、独立董事和</w:t>
      </w:r>
      <w:r>
        <w:rPr>
          <w:rFonts w:hint="eastAsia" w:ascii="仿宋" w:hAnsi="仿宋" w:eastAsia="仿宋"/>
          <w:sz w:val="32"/>
          <w:szCs w:val="32"/>
        </w:rPr>
        <w:t>持有1%以上有表决权股份</w:t>
      </w:r>
      <w:r>
        <w:rPr>
          <w:rFonts w:ascii="仿宋" w:hAnsi="仿宋" w:eastAsia="仿宋"/>
          <w:sz w:val="32"/>
          <w:szCs w:val="32"/>
        </w:rPr>
        <w:t>的股东</w:t>
      </w:r>
      <w:r>
        <w:rPr>
          <w:rFonts w:hint="eastAsia" w:ascii="仿宋" w:hAnsi="仿宋" w:eastAsia="仿宋"/>
          <w:sz w:val="32"/>
          <w:szCs w:val="32"/>
        </w:rPr>
        <w:t>、依照法律法规设立的投资者保护机构</w:t>
      </w:r>
      <w:r>
        <w:rPr>
          <w:rFonts w:ascii="仿宋" w:hAnsi="仿宋" w:eastAsia="仿宋"/>
          <w:sz w:val="32"/>
          <w:szCs w:val="32"/>
        </w:rPr>
        <w:t>对股东大会提案</w:t>
      </w:r>
      <w:r>
        <w:rPr>
          <w:rFonts w:hint="eastAsia" w:ascii="仿宋" w:hAnsi="仿宋" w:eastAsia="仿宋"/>
          <w:sz w:val="32"/>
          <w:szCs w:val="32"/>
        </w:rPr>
        <w:t>公开</w:t>
      </w:r>
      <w:r>
        <w:rPr>
          <w:rFonts w:ascii="仿宋" w:hAnsi="仿宋" w:eastAsia="仿宋"/>
          <w:sz w:val="32"/>
          <w:szCs w:val="32"/>
        </w:rPr>
        <w:t>征集</w:t>
      </w:r>
      <w:r>
        <w:rPr>
          <w:rFonts w:hint="eastAsia" w:ascii="仿宋" w:hAnsi="仿宋" w:eastAsia="仿宋"/>
          <w:sz w:val="32"/>
          <w:szCs w:val="32"/>
        </w:rPr>
        <w:t>表决</w:t>
      </w:r>
      <w:r>
        <w:rPr>
          <w:rFonts w:ascii="仿宋" w:hAnsi="仿宋" w:eastAsia="仿宋"/>
          <w:sz w:val="32"/>
          <w:szCs w:val="32"/>
        </w:rPr>
        <w:t>权的，</w:t>
      </w:r>
      <w:r>
        <w:rPr>
          <w:rFonts w:hint="eastAsia" w:ascii="仿宋" w:hAnsi="仿宋" w:eastAsia="仿宋"/>
          <w:sz w:val="32"/>
          <w:szCs w:val="32"/>
        </w:rPr>
        <w:t>应当向被征集人充分披露具体投票意向等信息，不得接受与其投票意见不一致的委托，但中国证监会另有规定的除外。征集人仅对股东大会部分提案提出投票意见的，应当同时征求股东对于其他提案的投票意见，并按其意见代为表决</w:t>
      </w:r>
      <w:r>
        <w:rPr>
          <w:rFonts w:ascii="仿宋" w:hAnsi="仿宋" w:eastAsia="仿宋"/>
          <w:sz w:val="32"/>
          <w:szCs w:val="32"/>
        </w:rPr>
        <w:t>。</w:t>
      </w:r>
    </w:p>
    <w:p>
      <w:pPr>
        <w:spacing w:line="560" w:lineRule="exact"/>
        <w:ind w:firstLine="640" w:firstLineChars="200"/>
        <w:rPr>
          <w:rFonts w:ascii="仿宋" w:hAnsi="仿宋" w:eastAsia="仿宋"/>
          <w:sz w:val="32"/>
          <w:szCs w:val="32"/>
        </w:rPr>
      </w:pPr>
      <w:r>
        <w:rPr>
          <w:rFonts w:ascii="仿宋" w:hAnsi="仿宋" w:eastAsia="仿宋"/>
          <w:sz w:val="32"/>
          <w:szCs w:val="32"/>
        </w:rPr>
        <w:t>召集人应当在股东大会通知及召开股东大会的提示性公告（如有）中</w:t>
      </w:r>
      <w:r>
        <w:rPr>
          <w:rFonts w:hint="eastAsia" w:ascii="仿宋" w:hAnsi="仿宋" w:eastAsia="仿宋"/>
          <w:sz w:val="32"/>
          <w:szCs w:val="32"/>
        </w:rPr>
        <w:t>索引</w:t>
      </w:r>
      <w:r>
        <w:rPr>
          <w:rFonts w:ascii="仿宋" w:hAnsi="仿宋" w:eastAsia="仿宋"/>
          <w:sz w:val="32"/>
          <w:szCs w:val="32"/>
        </w:rPr>
        <w:t>征集投票权的相关公告。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征集人不得以有偿或者变相有偿的方式征集股东投票权。征集人持有公司股票的，应当承诺在审议征集议案的股东大会决议公告前不转让所持股份。</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股东大会取消的，征集人应当发布表决权征集取消公告，本次表决权征集结束。股东大会延期的，征集人可以调整表决权征集时间并发布表决权征集延期公告。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股东大会召集人在征集期间对征集提案进行实质性修改或者删除的，该提案的表决权征集自动撤销，征集人应当发布该提案表决权征集结束公告。</w:t>
      </w:r>
    </w:p>
    <w:p>
      <w:pPr>
        <w:spacing w:line="560" w:lineRule="exact"/>
        <w:ind w:firstLine="640" w:firstLineChars="200"/>
        <w:rPr>
          <w:rFonts w:ascii="仿宋" w:hAnsi="仿宋" w:eastAsia="仿宋"/>
          <w:sz w:val="32"/>
          <w:szCs w:val="32"/>
        </w:rPr>
      </w:pPr>
      <w:r>
        <w:rPr>
          <w:rFonts w:ascii="仿宋" w:hAnsi="仿宋" w:eastAsia="仿宋"/>
          <w:sz w:val="32"/>
          <w:szCs w:val="32"/>
        </w:rPr>
        <w:t>（十</w:t>
      </w:r>
      <w:r>
        <w:rPr>
          <w:rFonts w:hint="eastAsia" w:ascii="仿宋" w:hAnsi="仿宋" w:eastAsia="仿宋"/>
          <w:sz w:val="32"/>
          <w:szCs w:val="32"/>
        </w:rPr>
        <w:t>三</w:t>
      </w:r>
      <w:r>
        <w:rPr>
          <w:rFonts w:ascii="仿宋" w:hAnsi="仿宋" w:eastAsia="仿宋"/>
          <w:sz w:val="32"/>
          <w:szCs w:val="32"/>
        </w:rPr>
        <w:t>）发出股东大会通知后，召集人需要发布召开股东大会的提示性公告的，应当在股权登记日后三个交易日内、股东大会网络投票开始前发布。</w:t>
      </w:r>
    </w:p>
    <w:p>
      <w:pPr>
        <w:spacing w:line="560" w:lineRule="exact"/>
        <w:ind w:firstLine="640" w:firstLineChars="200"/>
        <w:rPr>
          <w:rFonts w:ascii="仿宋" w:hAnsi="仿宋" w:eastAsia="仿宋"/>
          <w:sz w:val="32"/>
          <w:szCs w:val="32"/>
        </w:rPr>
      </w:pPr>
      <w:r>
        <w:rPr>
          <w:rFonts w:ascii="仿宋" w:hAnsi="仿宋" w:eastAsia="仿宋"/>
          <w:sz w:val="32"/>
          <w:szCs w:val="32"/>
        </w:rPr>
        <w:t>股东大会需审议存在前提关系的多个事项相关提案或者互斥提案的，召集人应当在前款规定时限内发布召开股东大会的提示性公告。</w:t>
      </w:r>
    </w:p>
    <w:p>
      <w:pPr>
        <w:spacing w:line="560" w:lineRule="exact"/>
        <w:ind w:firstLine="640" w:firstLineChars="200"/>
        <w:rPr>
          <w:rFonts w:ascii="仿宋" w:hAnsi="仿宋" w:eastAsia="仿宋"/>
          <w:sz w:val="32"/>
          <w:szCs w:val="32"/>
        </w:rPr>
      </w:pPr>
      <w:r>
        <w:rPr>
          <w:rFonts w:ascii="仿宋" w:hAnsi="仿宋" w:eastAsia="仿宋"/>
          <w:sz w:val="32"/>
          <w:szCs w:val="32"/>
        </w:rPr>
        <w:t>提示性公告除索引股东大会通知披露情况等外，内容应当与此前公告的股东大会通知一致，包括会议召开日期、股权登记日、会议地点、投票方式、审议议案等关键内容。召集人不得以提示性公告代替股东大会通知的补充或者更正公告。</w:t>
      </w:r>
    </w:p>
    <w:p>
      <w:pPr>
        <w:ind w:firstLine="640" w:firstLineChars="200"/>
        <w:outlineLvl w:val="2"/>
        <w:rPr>
          <w:rFonts w:ascii="黑体" w:hAnsi="黑体" w:eastAsia="黑体"/>
          <w:sz w:val="32"/>
          <w:szCs w:val="32"/>
        </w:rPr>
      </w:pPr>
      <w:r>
        <w:rPr>
          <w:rFonts w:ascii="黑体" w:hAnsi="黑体" w:eastAsia="黑体"/>
          <w:sz w:val="32"/>
          <w:szCs w:val="32"/>
        </w:rPr>
        <w:t>四、股东大会的召开</w:t>
      </w:r>
    </w:p>
    <w:p>
      <w:pPr>
        <w:spacing w:line="560" w:lineRule="exact"/>
        <w:ind w:firstLine="640" w:firstLineChars="200"/>
        <w:rPr>
          <w:rFonts w:ascii="仿宋" w:hAnsi="仿宋" w:eastAsia="仿宋"/>
          <w:sz w:val="32"/>
          <w:szCs w:val="32"/>
        </w:rPr>
      </w:pPr>
      <w:r>
        <w:rPr>
          <w:rFonts w:ascii="仿宋" w:hAnsi="仿宋" w:eastAsia="仿宋"/>
          <w:sz w:val="32"/>
          <w:szCs w:val="32"/>
        </w:rPr>
        <w:t>（一）股东应当持股票账户卡、身份证或者其他能够表明其身份的有效证件或者证明出席股东大会现场会议。代理人还应当提交股东授权委托书和个人有效身份证件。</w:t>
      </w:r>
    </w:p>
    <w:p>
      <w:pPr>
        <w:spacing w:line="560" w:lineRule="exact"/>
        <w:ind w:firstLine="640" w:firstLineChars="200"/>
        <w:rPr>
          <w:rFonts w:ascii="仿宋" w:hAnsi="仿宋" w:eastAsia="仿宋"/>
          <w:sz w:val="32"/>
          <w:szCs w:val="32"/>
        </w:rPr>
      </w:pPr>
      <w:r>
        <w:rPr>
          <w:rFonts w:ascii="仿宋" w:hAnsi="仿宋" w:eastAsia="仿宋"/>
          <w:sz w:val="32"/>
          <w:szCs w:val="32"/>
        </w:rPr>
        <w:t>授权委托书应当至少包括以下信息：</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委托人名称、持有上市公司股份的性质和数量；</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受托人姓名、身份证号码；</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对该次股东大会提案的明确投票意见指示，没有明确投票指示的，授权委托书应当注明是否授权由受托人按自己的意思决定；</w:t>
      </w:r>
    </w:p>
    <w:p>
      <w:pPr>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w:t>
      </w:r>
      <w:r>
        <w:rPr>
          <w:rFonts w:ascii="仿宋" w:hAnsi="仿宋" w:eastAsia="仿宋"/>
          <w:sz w:val="32"/>
          <w:szCs w:val="32"/>
        </w:rPr>
        <w:t>授权委托书签发日期和有效期限；</w:t>
      </w:r>
    </w:p>
    <w:p>
      <w:pPr>
        <w:spacing w:line="560" w:lineRule="exact"/>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w:t>
      </w:r>
      <w:r>
        <w:rPr>
          <w:rFonts w:ascii="仿宋" w:hAnsi="仿宋" w:eastAsia="仿宋"/>
          <w:sz w:val="32"/>
          <w:szCs w:val="32"/>
        </w:rPr>
        <w:t>委托人签名（或盖章）。委托人为法人的，应当加盖单位印章。</w:t>
      </w:r>
    </w:p>
    <w:p>
      <w:pPr>
        <w:spacing w:line="560" w:lineRule="exact"/>
        <w:ind w:firstLine="640" w:firstLineChars="200"/>
        <w:rPr>
          <w:rFonts w:ascii="仿宋" w:hAnsi="仿宋" w:eastAsia="仿宋"/>
          <w:sz w:val="32"/>
          <w:szCs w:val="32"/>
        </w:rPr>
      </w:pPr>
      <w:r>
        <w:rPr>
          <w:rFonts w:ascii="仿宋" w:hAnsi="仿宋" w:eastAsia="仿宋"/>
          <w:sz w:val="32"/>
          <w:szCs w:val="32"/>
        </w:rPr>
        <w:t>（二）上市公司召开股东大会，除现场会议投票外，应当向股东提供股东大会网络投票服务，为股东参加股东大会提供便利，并鼓励股东积极参加股东大会行使表决权。上市公司通过本所股东大会网络投票系统向股东提供网络投票服务的，具体业务流程参照《深圳证券交易所上市公司股东大会网络投票实施细则》</w:t>
      </w:r>
      <w:r>
        <w:rPr>
          <w:rFonts w:hint="eastAsia" w:ascii="仿宋" w:hAnsi="仿宋" w:eastAsia="仿宋"/>
          <w:sz w:val="32"/>
          <w:szCs w:val="32"/>
        </w:rPr>
        <w:t>（以下简称《</w:t>
      </w:r>
      <w:r>
        <w:rPr>
          <w:rFonts w:ascii="仿宋" w:hAnsi="仿宋" w:eastAsia="仿宋"/>
          <w:sz w:val="32"/>
          <w:szCs w:val="32"/>
        </w:rPr>
        <w:t>股东大会网络投票实施细则</w:t>
      </w:r>
      <w:r>
        <w:rPr>
          <w:rFonts w:hint="eastAsia" w:ascii="仿宋" w:hAnsi="仿宋" w:eastAsia="仿宋"/>
          <w:sz w:val="32"/>
          <w:szCs w:val="32"/>
        </w:rPr>
        <w:t>》）</w:t>
      </w:r>
      <w:r>
        <w:rPr>
          <w:rFonts w:ascii="仿宋" w:hAnsi="仿宋" w:eastAsia="仿宋"/>
          <w:sz w:val="32"/>
          <w:szCs w:val="32"/>
        </w:rPr>
        <w:t>办理。对于持有特别表决权股份的股东</w:t>
      </w:r>
      <w:r>
        <w:rPr>
          <w:rFonts w:hint="eastAsia" w:ascii="仿宋" w:hAnsi="仿宋" w:eastAsia="仿宋"/>
          <w:sz w:val="32"/>
          <w:szCs w:val="32"/>
        </w:rPr>
        <w:t>、优先股股东</w:t>
      </w:r>
      <w:r>
        <w:rPr>
          <w:rFonts w:ascii="仿宋" w:hAnsi="仿宋" w:eastAsia="仿宋"/>
          <w:sz w:val="32"/>
          <w:szCs w:val="32"/>
        </w:rPr>
        <w:t>的投票情况，本所网络投票系统仅对原始投票数据进行计算，最终表决结果由上市公司在原始计票数据的基础上进行比例折算。</w:t>
      </w:r>
    </w:p>
    <w:p>
      <w:pPr>
        <w:spacing w:line="560" w:lineRule="exact"/>
        <w:ind w:firstLine="640" w:firstLineChars="200"/>
        <w:rPr>
          <w:rFonts w:ascii="仿宋" w:hAnsi="仿宋" w:eastAsia="仿宋"/>
          <w:sz w:val="32"/>
          <w:szCs w:val="32"/>
        </w:rPr>
      </w:pPr>
      <w:r>
        <w:rPr>
          <w:rFonts w:ascii="仿宋" w:hAnsi="仿宋" w:eastAsia="仿宋"/>
          <w:sz w:val="32"/>
          <w:szCs w:val="32"/>
        </w:rPr>
        <w:t>上市公司股东大会现场会议应当在交易日召开，且现场会议结束时间不得早于网络投票结束时间。</w:t>
      </w:r>
    </w:p>
    <w:p>
      <w:pPr>
        <w:spacing w:line="560" w:lineRule="exact"/>
        <w:ind w:firstLine="640" w:firstLineChars="200"/>
        <w:rPr>
          <w:rFonts w:ascii="仿宋" w:hAnsi="仿宋" w:eastAsia="仿宋"/>
          <w:sz w:val="32"/>
          <w:szCs w:val="32"/>
        </w:rPr>
      </w:pPr>
      <w:r>
        <w:rPr>
          <w:rFonts w:ascii="仿宋" w:hAnsi="仿宋" w:eastAsia="仿宋"/>
          <w:sz w:val="32"/>
          <w:szCs w:val="32"/>
        </w:rPr>
        <w:t>（三）持有融资融券客户信用交易担保证券账户的证券公司、持有约定购回式交易专用证券账户的证券公司、持有转融通担保证券账户的中国证券金融股份有限公司、合格境外机构投资者（QFII）、持有深股通股票的香港中央结算有限公司、中国证监会或者本所认定的其他集合类账户持有人或名义持有人，在参加股东大会网络投票时，应当按照</w:t>
      </w:r>
      <w:r>
        <w:rPr>
          <w:rFonts w:hint="eastAsia" w:ascii="仿宋" w:hAnsi="仿宋" w:eastAsia="仿宋"/>
          <w:sz w:val="32"/>
          <w:szCs w:val="32"/>
        </w:rPr>
        <w:t>《</w:t>
      </w:r>
      <w:r>
        <w:rPr>
          <w:rFonts w:ascii="仿宋" w:hAnsi="仿宋" w:eastAsia="仿宋"/>
          <w:sz w:val="32"/>
          <w:szCs w:val="32"/>
        </w:rPr>
        <w:t>股东大会网络投票实施细则</w:t>
      </w:r>
      <w:r>
        <w:rPr>
          <w:rFonts w:hint="eastAsia" w:ascii="仿宋" w:hAnsi="仿宋" w:eastAsia="仿宋"/>
          <w:sz w:val="32"/>
          <w:szCs w:val="32"/>
        </w:rPr>
        <w:t>》</w:t>
      </w:r>
      <w:r>
        <w:rPr>
          <w:rFonts w:ascii="仿宋" w:hAnsi="仿宋" w:eastAsia="仿宋"/>
          <w:sz w:val="32"/>
          <w:szCs w:val="32"/>
        </w:rPr>
        <w:t>等规定通过互联网投票系统投票，不得通过交易系统投票。</w:t>
      </w:r>
    </w:p>
    <w:p>
      <w:pPr>
        <w:spacing w:line="560" w:lineRule="exact"/>
        <w:ind w:firstLine="640" w:firstLineChars="200"/>
        <w:rPr>
          <w:rFonts w:ascii="仿宋" w:hAnsi="仿宋" w:eastAsia="仿宋"/>
          <w:sz w:val="32"/>
          <w:szCs w:val="32"/>
        </w:rPr>
      </w:pPr>
      <w:r>
        <w:rPr>
          <w:rFonts w:ascii="仿宋" w:hAnsi="仿宋" w:eastAsia="仿宋"/>
          <w:sz w:val="32"/>
          <w:szCs w:val="32"/>
        </w:rPr>
        <w:t>前述集合类账户持有人或名义持有人作为受托人，应当在行使股东权利前征求委托人（实际持有人）意见，并根据委托人的委托情况汇总填报受托股份数量，同时对每一提案汇总填报委托人对各类表决意见对应的股份数量。</w:t>
      </w:r>
    </w:p>
    <w:p>
      <w:pPr>
        <w:spacing w:line="560" w:lineRule="exact"/>
        <w:ind w:firstLine="640" w:firstLineChars="200"/>
        <w:rPr>
          <w:rFonts w:ascii="仿宋" w:hAnsi="仿宋" w:eastAsia="仿宋"/>
          <w:sz w:val="32"/>
          <w:szCs w:val="32"/>
        </w:rPr>
      </w:pPr>
      <w:r>
        <w:rPr>
          <w:rFonts w:ascii="仿宋" w:hAnsi="仿宋" w:eastAsia="仿宋"/>
          <w:sz w:val="32"/>
          <w:szCs w:val="32"/>
        </w:rPr>
        <w:t>实际持有人应当及时联系前述集合类账户持有人或名义持有人表达</w:t>
      </w:r>
      <w:r>
        <w:rPr>
          <w:rFonts w:hint="eastAsia" w:ascii="仿宋" w:hAnsi="仿宋" w:eastAsia="仿宋"/>
          <w:sz w:val="32"/>
          <w:szCs w:val="32"/>
        </w:rPr>
        <w:t>投票</w:t>
      </w:r>
      <w:r>
        <w:rPr>
          <w:rFonts w:ascii="仿宋" w:hAnsi="仿宋" w:eastAsia="仿宋"/>
          <w:sz w:val="32"/>
          <w:szCs w:val="32"/>
        </w:rPr>
        <w:t>意见，由集合类账户持有人或名义持有人代为行使投票权。如果实际持有人与提案存在关联关系，相应股份应当回避表决。</w:t>
      </w:r>
    </w:p>
    <w:p>
      <w:pPr>
        <w:spacing w:line="560" w:lineRule="exact"/>
        <w:ind w:firstLine="640" w:firstLineChars="200"/>
        <w:rPr>
          <w:rFonts w:ascii="仿宋" w:hAnsi="仿宋" w:eastAsia="仿宋"/>
          <w:sz w:val="32"/>
          <w:szCs w:val="32"/>
        </w:rPr>
      </w:pPr>
      <w:r>
        <w:rPr>
          <w:rFonts w:ascii="仿宋" w:hAnsi="仿宋" w:eastAsia="仿宋"/>
          <w:sz w:val="32"/>
          <w:szCs w:val="32"/>
        </w:rPr>
        <w:t>（四）除采取累积投票方式选举董事、监事的提案外，股东应当对其他提案发表同意、反对或者弃权意见之一，同一股东所持上市公司有表决权股份不得进行拆分投票，集合类账户持有人或名义持有人按照实际持有人意思表示进行申报的除外。</w:t>
      </w:r>
    </w:p>
    <w:p>
      <w:pPr>
        <w:spacing w:line="560" w:lineRule="exact"/>
        <w:ind w:firstLine="640" w:firstLineChars="200"/>
        <w:rPr>
          <w:rFonts w:ascii="仿宋" w:hAnsi="仿宋" w:eastAsia="仿宋"/>
          <w:sz w:val="32"/>
          <w:szCs w:val="32"/>
        </w:rPr>
      </w:pPr>
      <w:r>
        <w:rPr>
          <w:rFonts w:ascii="仿宋" w:hAnsi="仿宋" w:eastAsia="仿宋"/>
          <w:sz w:val="32"/>
          <w:szCs w:val="32"/>
        </w:rPr>
        <w:t>采取累积投票方式选举董事、监事的，股东可以将所拥有的选举票数以应选人数为限在候选人中任意分配（可以投出零票），但总数不得超过其拥有的选举票数。</w:t>
      </w:r>
    </w:p>
    <w:p>
      <w:pPr>
        <w:spacing w:line="560" w:lineRule="exact"/>
        <w:ind w:firstLine="640" w:firstLineChars="200"/>
        <w:rPr>
          <w:rFonts w:ascii="仿宋" w:hAnsi="仿宋" w:eastAsia="仿宋"/>
          <w:sz w:val="32"/>
          <w:szCs w:val="32"/>
        </w:rPr>
      </w:pPr>
      <w:r>
        <w:rPr>
          <w:rFonts w:ascii="仿宋" w:hAnsi="仿宋" w:eastAsia="仿宋"/>
          <w:sz w:val="32"/>
          <w:szCs w:val="32"/>
        </w:rPr>
        <w:t>（五）股东大会采取累积投票方式选举董事、监事的，独立董事和非独立董事的表决应当分别进行，根据应选董事、监事人数，按照获得的选举票数由多到少的顺序确定本次当选董事、监事。</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（六）股东大会对同一事项有不同提案的，应按照提案提出的时间顺序进行表决，股东或者其代理人不得对同一事项的不同提案同时投同意票。</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（七）征集人行使表决权、提案权的，应当聘请律师对以下事项出具法律意见并披露：</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1．征集人自征集日至行权日期间是否符合征集条件；</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2．征集程序及行权结果是否合法合规；</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3．征集提案权的，征集结果是否满足临时提案的持股比例要求；</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4．其他应征集人或根据中国证监会、本所规定要求说明的事项。</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八）存托凭证的存托人应当合理安排存托凭证持有人权利行使的时间和方式，保障其有足够时间和便利条件行使相应权利，并根据存托协议的约定及时披露存托凭证持有人权利行使的时间、方式、具体要求和权利行使结果。</w:t>
      </w:r>
    </w:p>
    <w:p>
      <w:pPr>
        <w:spacing w:line="560" w:lineRule="exact"/>
        <w:ind w:firstLine="640" w:firstLineChars="200"/>
        <w:rPr>
          <w:rFonts w:ascii="Times New Roman" w:hAnsi="Times New Roman" w:eastAsia="方正仿宋简体"/>
          <w:sz w:val="32"/>
          <w:szCs w:val="32"/>
        </w:rPr>
      </w:pPr>
      <w:r>
        <w:rPr>
          <w:rFonts w:hint="eastAsia" w:ascii="仿宋" w:hAnsi="仿宋" w:eastAsia="仿宋"/>
          <w:sz w:val="32"/>
          <w:szCs w:val="32"/>
        </w:rPr>
        <w:t>公司、存托人通过本所股东大会网络投票系统征集存托凭证持有人投票意愿的，具体业务流程参照《</w:t>
      </w:r>
      <w:r>
        <w:rPr>
          <w:rFonts w:ascii="仿宋" w:hAnsi="仿宋" w:eastAsia="仿宋"/>
          <w:sz w:val="32"/>
          <w:szCs w:val="32"/>
        </w:rPr>
        <w:t>股东大会网络投票实施细则</w:t>
      </w:r>
      <w:r>
        <w:rPr>
          <w:rFonts w:hint="eastAsia" w:ascii="仿宋" w:hAnsi="仿宋" w:eastAsia="仿宋"/>
          <w:sz w:val="32"/>
          <w:szCs w:val="32"/>
        </w:rPr>
        <w:t>》办理，并由公司、存托人按照存托协议的约定向市场公告。</w:t>
      </w:r>
    </w:p>
    <w:p>
      <w:pPr>
        <w:ind w:firstLine="640" w:firstLineChars="200"/>
        <w:outlineLvl w:val="2"/>
        <w:rPr>
          <w:rFonts w:ascii="黑体" w:hAnsi="黑体" w:eastAsia="黑体"/>
          <w:sz w:val="32"/>
          <w:szCs w:val="32"/>
        </w:rPr>
      </w:pPr>
      <w:r>
        <w:rPr>
          <w:rFonts w:ascii="黑体" w:hAnsi="黑体" w:eastAsia="黑体"/>
          <w:sz w:val="32"/>
          <w:szCs w:val="32"/>
        </w:rPr>
        <w:t>五、股东大会决议的披露</w:t>
      </w:r>
    </w:p>
    <w:p>
      <w:pPr>
        <w:spacing w:line="560" w:lineRule="exact"/>
        <w:ind w:firstLine="640" w:firstLineChars="200"/>
        <w:rPr>
          <w:rFonts w:ascii="仿宋" w:hAnsi="仿宋" w:eastAsia="仿宋"/>
          <w:sz w:val="32"/>
          <w:szCs w:val="32"/>
        </w:rPr>
      </w:pPr>
      <w:r>
        <w:rPr>
          <w:rFonts w:ascii="仿宋" w:hAnsi="仿宋" w:eastAsia="仿宋"/>
          <w:sz w:val="32"/>
          <w:szCs w:val="32"/>
        </w:rPr>
        <w:t>（一）上市公司应当在股东大会结束当日向本所申请办理股东大会决议公告相关事宜。股东大会决议公告应当符合《公告格式》等规定的内容和格式要求。</w:t>
      </w:r>
    </w:p>
    <w:p>
      <w:pPr>
        <w:spacing w:line="560" w:lineRule="exact"/>
        <w:ind w:firstLine="640" w:firstLineChars="200"/>
        <w:rPr>
          <w:rFonts w:ascii="仿宋" w:hAnsi="仿宋" w:eastAsia="仿宋"/>
          <w:sz w:val="32"/>
          <w:szCs w:val="32"/>
        </w:rPr>
      </w:pPr>
      <w:r>
        <w:rPr>
          <w:rFonts w:ascii="仿宋" w:hAnsi="仿宋" w:eastAsia="仿宋"/>
          <w:sz w:val="32"/>
          <w:szCs w:val="32"/>
        </w:rPr>
        <w:t>发行优先股的公司，股东大会决议公告应当包括《</w:t>
      </w:r>
      <w:r>
        <w:rPr>
          <w:rFonts w:hint="eastAsia" w:ascii="仿宋" w:hAnsi="仿宋" w:eastAsia="仿宋"/>
          <w:sz w:val="32"/>
          <w:szCs w:val="32"/>
        </w:rPr>
        <w:t>上市公司</w:t>
      </w:r>
      <w:r>
        <w:rPr>
          <w:rFonts w:ascii="仿宋" w:hAnsi="仿宋" w:eastAsia="仿宋"/>
          <w:sz w:val="32"/>
          <w:szCs w:val="32"/>
        </w:rPr>
        <w:t>章程指引》《股东大会规则》等规定的优先股及优先股股东的相关内容。</w:t>
      </w:r>
    </w:p>
    <w:p>
      <w:pPr>
        <w:spacing w:line="560" w:lineRule="exact"/>
        <w:ind w:firstLine="640" w:firstLineChars="200"/>
        <w:rPr>
          <w:rFonts w:ascii="仿宋" w:hAnsi="仿宋" w:eastAsia="仿宋"/>
          <w:sz w:val="32"/>
          <w:szCs w:val="32"/>
        </w:rPr>
      </w:pPr>
      <w:r>
        <w:rPr>
          <w:rFonts w:ascii="仿宋" w:hAnsi="仿宋" w:eastAsia="仿宋"/>
          <w:sz w:val="32"/>
          <w:szCs w:val="32"/>
        </w:rPr>
        <w:t>设置表决权差异安排的公司，股东大会决议公告应当包括持有特别表决权股份的股东、所持特别表决权股份数量及对应的表决权数量等相关内容。</w:t>
      </w:r>
    </w:p>
    <w:p>
      <w:pPr>
        <w:spacing w:line="560" w:lineRule="exact"/>
        <w:ind w:firstLine="640" w:firstLineChars="200"/>
        <w:rPr>
          <w:rFonts w:ascii="仿宋" w:hAnsi="仿宋" w:eastAsia="仿宋"/>
          <w:sz w:val="32"/>
          <w:szCs w:val="32"/>
        </w:rPr>
      </w:pPr>
      <w:r>
        <w:rPr>
          <w:rFonts w:ascii="仿宋" w:hAnsi="仿宋" w:eastAsia="仿宋"/>
          <w:sz w:val="32"/>
          <w:szCs w:val="32"/>
        </w:rPr>
        <w:t>（二）上市公司披露股东大会决议公告时，应当就以下情形进行特别提示：</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提案需逐项表决的，应当披露逐项表决的结果；</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提案需分类表决的，应当披露各类别股东的出席、表决情况和表决结果；</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提案属于优先股股东有权参与表决的，应当披露优先股股东的出席、表决情况和表决结果；</w:t>
      </w:r>
    </w:p>
    <w:p>
      <w:pPr>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w:t>
      </w:r>
      <w:r>
        <w:rPr>
          <w:rFonts w:ascii="仿宋" w:hAnsi="仿宋" w:eastAsia="仿宋"/>
          <w:sz w:val="32"/>
          <w:szCs w:val="32"/>
        </w:rPr>
        <w:t>设置表决权差异安排的公司，应当披露持有特别表决权股份的股东出席、表决情况和表决结果；</w:t>
      </w:r>
    </w:p>
    <w:p>
      <w:pPr>
        <w:spacing w:line="560" w:lineRule="exact"/>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w:t>
      </w:r>
      <w:r>
        <w:rPr>
          <w:rFonts w:ascii="仿宋" w:hAnsi="仿宋" w:eastAsia="仿宋"/>
          <w:sz w:val="32"/>
          <w:szCs w:val="32"/>
        </w:rPr>
        <w:t>提案须经出席会议的股东所持表决权的三分之二以上通过的，应当披露是否获得有效表决权股份总数的三分之二以上通过；</w:t>
      </w:r>
    </w:p>
    <w:p>
      <w:pPr>
        <w:spacing w:line="560" w:lineRule="exact"/>
        <w:ind w:firstLine="640" w:firstLineChars="200"/>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w:t>
      </w:r>
      <w:r>
        <w:rPr>
          <w:rFonts w:ascii="仿宋" w:hAnsi="仿宋" w:eastAsia="仿宋"/>
          <w:sz w:val="32"/>
          <w:szCs w:val="32"/>
        </w:rPr>
        <w:t>提案属于影响中小投资者利益的重大事项，应当单独披露中小投资者对该提案的表决情况和表决结果；</w:t>
      </w:r>
    </w:p>
    <w:p>
      <w:pPr>
        <w:spacing w:line="560" w:lineRule="exact"/>
        <w:ind w:firstLine="640" w:firstLineChars="200"/>
        <w:rPr>
          <w:rFonts w:ascii="仿宋" w:hAnsi="仿宋" w:eastAsia="仿宋"/>
          <w:sz w:val="32"/>
          <w:szCs w:val="32"/>
        </w:rPr>
      </w:pPr>
      <w:r>
        <w:rPr>
          <w:rFonts w:ascii="仿宋" w:hAnsi="仿宋" w:eastAsia="仿宋"/>
          <w:sz w:val="32"/>
          <w:szCs w:val="32"/>
        </w:rPr>
        <w:t>7</w:t>
      </w:r>
      <w:r>
        <w:rPr>
          <w:rFonts w:hint="eastAsia" w:ascii="仿宋" w:hAnsi="仿宋" w:eastAsia="仿宋"/>
          <w:sz w:val="32"/>
          <w:szCs w:val="32"/>
        </w:rPr>
        <w:t>．</w:t>
      </w:r>
      <w:r>
        <w:rPr>
          <w:rFonts w:ascii="仿宋" w:hAnsi="仿宋" w:eastAsia="仿宋"/>
          <w:sz w:val="32"/>
          <w:szCs w:val="32"/>
        </w:rPr>
        <w:t>提案属于关联交易事项，应当披露关联股东名称、存在的关联关系、所持表决权股份数量及其回避表决情况，该提案的表决情况和表决结果；</w:t>
      </w:r>
    </w:p>
    <w:p>
      <w:pPr>
        <w:spacing w:line="560" w:lineRule="exact"/>
        <w:ind w:firstLine="640" w:firstLineChars="200"/>
        <w:rPr>
          <w:rFonts w:ascii="仿宋" w:hAnsi="仿宋" w:eastAsia="仿宋"/>
          <w:sz w:val="32"/>
          <w:szCs w:val="32"/>
        </w:rPr>
      </w:pPr>
      <w:r>
        <w:rPr>
          <w:rFonts w:ascii="仿宋" w:hAnsi="仿宋" w:eastAsia="仿宋"/>
          <w:sz w:val="32"/>
          <w:szCs w:val="32"/>
        </w:rPr>
        <w:t>8</w:t>
      </w:r>
      <w:r>
        <w:rPr>
          <w:rFonts w:hint="eastAsia" w:ascii="仿宋" w:hAnsi="仿宋" w:eastAsia="仿宋"/>
          <w:sz w:val="32"/>
          <w:szCs w:val="32"/>
        </w:rPr>
        <w:t>．</w:t>
      </w:r>
      <w:r>
        <w:rPr>
          <w:rFonts w:ascii="仿宋" w:hAnsi="仿宋" w:eastAsia="仿宋"/>
          <w:sz w:val="32"/>
          <w:szCs w:val="32"/>
        </w:rPr>
        <w:t>提案为采取累积投票方式选举董事或者股东代表监事的，应当披露每名候选人所获得的选举票数以及是否当选；</w:t>
      </w:r>
    </w:p>
    <w:p>
      <w:pPr>
        <w:spacing w:line="560" w:lineRule="exact"/>
        <w:ind w:firstLine="640" w:firstLineChars="200"/>
        <w:rPr>
          <w:rFonts w:ascii="仿宋" w:hAnsi="仿宋" w:eastAsia="仿宋"/>
          <w:sz w:val="32"/>
          <w:szCs w:val="32"/>
        </w:rPr>
      </w:pPr>
      <w:r>
        <w:rPr>
          <w:rFonts w:ascii="仿宋" w:hAnsi="仿宋" w:eastAsia="仿宋"/>
          <w:sz w:val="32"/>
          <w:szCs w:val="32"/>
        </w:rPr>
        <w:t>9</w:t>
      </w:r>
      <w:r>
        <w:rPr>
          <w:rFonts w:hint="eastAsia" w:ascii="仿宋" w:hAnsi="仿宋" w:eastAsia="仿宋"/>
          <w:sz w:val="32"/>
          <w:szCs w:val="32"/>
        </w:rPr>
        <w:t>．股东大会存在征集表决权事项的，应当在股东大会决议中披露征集到的股东人数、合计持股数量与持股比例；</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10．</w:t>
      </w:r>
      <w:r>
        <w:rPr>
          <w:rFonts w:ascii="仿宋" w:hAnsi="仿宋" w:eastAsia="仿宋"/>
          <w:sz w:val="32"/>
          <w:szCs w:val="32"/>
        </w:rPr>
        <w:t>本所要求的其他情形。</w:t>
      </w:r>
    </w:p>
    <w:p>
      <w:pPr>
        <w:spacing w:line="560" w:lineRule="exact"/>
        <w:ind w:firstLine="640" w:firstLineChars="200"/>
        <w:rPr>
          <w:rFonts w:ascii="仿宋" w:hAnsi="仿宋" w:eastAsia="仿宋"/>
          <w:sz w:val="32"/>
          <w:szCs w:val="32"/>
        </w:rPr>
      </w:pPr>
      <w:r>
        <w:rPr>
          <w:rFonts w:ascii="仿宋" w:hAnsi="仿宋" w:eastAsia="仿宋"/>
          <w:sz w:val="32"/>
          <w:szCs w:val="32"/>
        </w:rPr>
        <w:t>（三）上市公司在股东大会召开期间出现异常情况，或者未能在股东大会结束后的次日或者次一交易日披露公司股东大会决议公告且决议内容涉及否决议案的，应当及时披露异常情况、被否决议案的内容等有助于投资者了解公司实际情况的信息。</w:t>
      </w:r>
    </w:p>
    <w:p>
      <w:pPr>
        <w:spacing w:line="560" w:lineRule="exact"/>
        <w:ind w:firstLine="640" w:firstLineChars="200"/>
        <w:rPr>
          <w:rFonts w:ascii="仿宋" w:hAnsi="仿宋" w:eastAsia="仿宋"/>
          <w:sz w:val="32"/>
          <w:szCs w:val="32"/>
        </w:rPr>
      </w:pPr>
      <w:r>
        <w:rPr>
          <w:rFonts w:ascii="仿宋" w:hAnsi="仿宋" w:eastAsia="仿宋"/>
          <w:sz w:val="32"/>
          <w:szCs w:val="32"/>
        </w:rPr>
        <w:t>（四）股东大会出现提案未获通过情形的，应当在股东大会决议公告中进行特别提示，披露未获通过的提案名称。</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拟将</w:t>
      </w:r>
      <w:r>
        <w:rPr>
          <w:rFonts w:ascii="仿宋" w:hAnsi="仿宋" w:eastAsia="仿宋"/>
          <w:sz w:val="32"/>
          <w:szCs w:val="32"/>
        </w:rPr>
        <w:t>未获通过的提案提交新一次股东大会审议的，召集人应当单独披露公告，在公告中说明该提案被前次股东大会否决的情况，提案内容是否符合《股东大会规则》的规定及其理由，再次提交股东大会审议的必要性及履行的审议程序，是否需就该提案披露内容进行补充、更正或者对提案进行调整及其理由。</w:t>
      </w:r>
    </w:p>
    <w:p>
      <w:pPr>
        <w:spacing w:line="560" w:lineRule="exact"/>
        <w:ind w:firstLine="640" w:firstLineChars="200"/>
        <w:rPr>
          <w:rFonts w:ascii="仿宋" w:hAnsi="仿宋" w:eastAsia="仿宋"/>
          <w:sz w:val="32"/>
          <w:szCs w:val="32"/>
        </w:rPr>
      </w:pPr>
      <w:r>
        <w:rPr>
          <w:rFonts w:ascii="仿宋" w:hAnsi="仿宋" w:eastAsia="仿宋"/>
          <w:sz w:val="32"/>
          <w:szCs w:val="32"/>
        </w:rPr>
        <w:t>（五）股东大会审议事项需分多个提案进行表决而其中部分提案未获通过或者提案需进行逐项表决而子议案中有部分未获通过的，召集人应当在股东大会决议公告中明确披露该事项整体上是否认定为表决通过及其理由，与股东大会决议同时披露的法律意见书中，应当包括对相关理由及其合法合规性出具的明确意见。</w:t>
      </w:r>
    </w:p>
    <w:p>
      <w:pPr>
        <w:spacing w:line="560" w:lineRule="exact"/>
        <w:ind w:firstLine="640" w:firstLineChars="200"/>
        <w:rPr>
          <w:rFonts w:ascii="仿宋" w:hAnsi="仿宋" w:eastAsia="仿宋"/>
          <w:sz w:val="32"/>
          <w:szCs w:val="32"/>
        </w:rPr>
      </w:pPr>
      <w:r>
        <w:rPr>
          <w:rFonts w:ascii="仿宋" w:hAnsi="仿宋" w:eastAsia="仿宋"/>
          <w:sz w:val="32"/>
          <w:szCs w:val="32"/>
        </w:rPr>
        <w:t>（六）本次股东大会变更以往股东大会已表决通过提案的，应当在股东大会决议公告中进行特别提示，披露两次股东大会涉及提案的名称，并索引前次股东大会决议的披露时间、披露媒体和公告名称。</w:t>
      </w:r>
    </w:p>
    <w:p>
      <w:pPr>
        <w:spacing w:line="560" w:lineRule="exact"/>
        <w:ind w:firstLine="640" w:firstLineChars="200"/>
        <w:rPr>
          <w:rFonts w:ascii="仿宋" w:hAnsi="仿宋" w:eastAsia="仿宋"/>
          <w:sz w:val="32"/>
          <w:szCs w:val="32"/>
        </w:rPr>
      </w:pPr>
      <w:r>
        <w:rPr>
          <w:rFonts w:ascii="仿宋" w:hAnsi="仿宋" w:eastAsia="仿宋"/>
          <w:sz w:val="32"/>
          <w:szCs w:val="32"/>
        </w:rPr>
        <w:t>（七）与股东大会决议同时披露的法律意见书，应当至少包括以下内容：</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该次股东大会的召集、召开程序是否符合法律、行政法规、部门规章、规范性文件、本所规则和公司章程的规定；</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召集人资格是否合法有效；</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出席该次股东大会的股东及股东授权委托代表人数，代表股份数量；出席会议人员资格是否合法有效；</w:t>
      </w:r>
    </w:p>
    <w:p>
      <w:pPr>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w:t>
      </w:r>
      <w:r>
        <w:rPr>
          <w:rFonts w:ascii="仿宋" w:hAnsi="仿宋" w:eastAsia="仿宋"/>
          <w:sz w:val="32"/>
          <w:szCs w:val="32"/>
        </w:rPr>
        <w:t>该次股东大会表决程序是否合法有效；</w:t>
      </w:r>
    </w:p>
    <w:p>
      <w:pPr>
        <w:spacing w:line="560" w:lineRule="exact"/>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w:t>
      </w:r>
      <w:r>
        <w:rPr>
          <w:rFonts w:ascii="仿宋" w:hAnsi="仿宋" w:eastAsia="仿宋"/>
          <w:sz w:val="32"/>
          <w:szCs w:val="32"/>
        </w:rPr>
        <w:t>相关股东回避表决的情况。如该次股东大会存在股东大会通知后其他股东被认定需回避表决等情形的，法律意见书应当详细披露相关理由并就其合法合规性出具明确意见；</w:t>
      </w:r>
    </w:p>
    <w:p>
      <w:pPr>
        <w:spacing w:line="560" w:lineRule="exact"/>
        <w:ind w:firstLine="640" w:firstLineChars="200"/>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w:t>
      </w:r>
      <w:r>
        <w:rPr>
          <w:rFonts w:ascii="仿宋" w:hAnsi="仿宋" w:eastAsia="仿宋"/>
          <w:sz w:val="32"/>
          <w:szCs w:val="32"/>
        </w:rPr>
        <w:t>除采取累积投票方式选举董事、监事的提案外，每项提案获得的同意、反对、弃权的股份数及其占出席会议有效表决权股份总数的比例以及提案是否获得通过。采取累积投票方式选举董事、监事的提案，每名候选人所获得的选举票数、是否当选；该次股东大会表决结果是否合法有效；</w:t>
      </w:r>
    </w:p>
    <w:p>
      <w:pPr>
        <w:spacing w:line="560" w:lineRule="exact"/>
        <w:ind w:firstLine="640" w:firstLineChars="200"/>
        <w:rPr>
          <w:rFonts w:ascii="仿宋" w:hAnsi="仿宋" w:eastAsia="仿宋"/>
          <w:sz w:val="32"/>
          <w:szCs w:val="32"/>
        </w:rPr>
      </w:pPr>
      <w:r>
        <w:rPr>
          <w:rFonts w:ascii="仿宋" w:hAnsi="仿宋" w:eastAsia="仿宋"/>
          <w:sz w:val="32"/>
          <w:szCs w:val="32"/>
        </w:rPr>
        <w:t>7</w:t>
      </w:r>
      <w:r>
        <w:rPr>
          <w:rFonts w:hint="eastAsia" w:ascii="仿宋" w:hAnsi="仿宋" w:eastAsia="仿宋"/>
          <w:sz w:val="32"/>
          <w:szCs w:val="32"/>
        </w:rPr>
        <w:t>．</w:t>
      </w:r>
      <w:r>
        <w:rPr>
          <w:rFonts w:ascii="仿宋" w:hAnsi="仿宋" w:eastAsia="仿宋"/>
          <w:sz w:val="32"/>
          <w:szCs w:val="32"/>
        </w:rPr>
        <w:t>见证该次股东大会的律师事务所名称、两名律师姓名；</w:t>
      </w:r>
    </w:p>
    <w:p>
      <w:pPr>
        <w:spacing w:line="560" w:lineRule="exact"/>
        <w:ind w:firstLine="640" w:firstLineChars="200"/>
        <w:rPr>
          <w:rFonts w:ascii="仿宋" w:hAnsi="仿宋" w:eastAsia="仿宋"/>
          <w:sz w:val="32"/>
          <w:szCs w:val="32"/>
        </w:rPr>
      </w:pPr>
      <w:r>
        <w:rPr>
          <w:rFonts w:ascii="仿宋" w:hAnsi="仿宋" w:eastAsia="仿宋"/>
          <w:sz w:val="32"/>
          <w:szCs w:val="32"/>
        </w:rPr>
        <w:t>8</w:t>
      </w:r>
      <w:r>
        <w:rPr>
          <w:rFonts w:hint="eastAsia" w:ascii="仿宋" w:hAnsi="仿宋" w:eastAsia="仿宋"/>
          <w:sz w:val="32"/>
          <w:szCs w:val="32"/>
        </w:rPr>
        <w:t>．</w:t>
      </w:r>
      <w:r>
        <w:rPr>
          <w:rFonts w:ascii="仿宋" w:hAnsi="仿宋" w:eastAsia="仿宋"/>
          <w:sz w:val="32"/>
          <w:szCs w:val="32"/>
        </w:rPr>
        <w:t>应公司要求对其他有关问题出具的法律意见。</w:t>
      </w:r>
    </w:p>
    <w:p>
      <w:pPr>
        <w:spacing w:line="560" w:lineRule="exact"/>
        <w:ind w:firstLine="640" w:firstLineChars="200"/>
        <w:rPr>
          <w:rFonts w:ascii="仿宋" w:hAnsi="仿宋" w:eastAsia="仿宋"/>
          <w:sz w:val="32"/>
          <w:szCs w:val="32"/>
        </w:rPr>
      </w:pPr>
      <w:r>
        <w:rPr>
          <w:rFonts w:ascii="仿宋" w:hAnsi="仿宋" w:eastAsia="仿宋"/>
          <w:sz w:val="32"/>
          <w:szCs w:val="32"/>
        </w:rPr>
        <w:t>设置表决权差异安排的公司，法律意见书中还应当包括以下内容：</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出席该次股东大会的持有特别表决权股份的股东、所持特别表决权股份数量及对应的表决权数量等相关内容；出席会议人员资格是否合法有效；</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提案是否属于每一特别表决权股份享有的表决权数量与每一普通股份的表决权数量相同的事项，详细披露相关理由及其合法合规性出具的明确意见；</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持有特别表决权股份的股东的投票情况，公司在原始计票数据的基础上进行折算的比例及最终表决结果，该次股东大会表决结果是否合法有效。</w:t>
      </w:r>
    </w:p>
    <w:p>
      <w:pPr>
        <w:spacing w:line="560" w:lineRule="exact"/>
        <w:ind w:firstLine="640" w:firstLineChars="200"/>
        <w:rPr>
          <w:rFonts w:ascii="仿宋" w:hAnsi="仿宋" w:eastAsia="仿宋"/>
          <w:sz w:val="32"/>
          <w:szCs w:val="32"/>
        </w:rPr>
      </w:pPr>
      <w:r>
        <w:rPr>
          <w:rFonts w:ascii="仿宋" w:hAnsi="仿宋" w:eastAsia="仿宋"/>
          <w:sz w:val="32"/>
          <w:szCs w:val="32"/>
        </w:rPr>
        <w:t>（八） 股东大会召集人非上市公司董事会的，该召集人应当聘请律师事务所对股东大会有关问题出具法律意见书并公告。</w:t>
      </w:r>
    </w:p>
    <w:p>
      <w:pPr>
        <w:spacing w:line="560" w:lineRule="exact"/>
        <w:ind w:firstLine="640" w:firstLineChars="200"/>
        <w:rPr>
          <w:rFonts w:ascii="仿宋" w:hAnsi="仿宋" w:eastAsia="仿宋"/>
          <w:sz w:val="32"/>
          <w:szCs w:val="32"/>
        </w:rPr>
      </w:pPr>
      <w:r>
        <w:rPr>
          <w:rFonts w:ascii="仿宋" w:hAnsi="仿宋" w:eastAsia="仿宋"/>
          <w:sz w:val="32"/>
          <w:szCs w:val="32"/>
        </w:rPr>
        <w:t>（九） 股东大会相关法律意见的结论应当明确，不得使用</w:t>
      </w:r>
      <w:r>
        <w:rPr>
          <w:rFonts w:hint="eastAsia" w:ascii="仿宋" w:hAnsi="仿宋" w:eastAsia="仿宋"/>
          <w:sz w:val="32"/>
          <w:szCs w:val="32"/>
        </w:rPr>
        <w:t>“</w:t>
      </w:r>
      <w:r>
        <w:rPr>
          <w:rFonts w:ascii="仿宋" w:hAnsi="仿宋" w:eastAsia="仿宋"/>
          <w:sz w:val="32"/>
          <w:szCs w:val="32"/>
        </w:rPr>
        <w:t>基本符合</w:t>
      </w:r>
      <w:r>
        <w:rPr>
          <w:rFonts w:hint="eastAsia" w:ascii="仿宋" w:hAnsi="仿宋" w:eastAsia="仿宋"/>
          <w:sz w:val="32"/>
          <w:szCs w:val="32"/>
        </w:rPr>
        <w:t>”“</w:t>
      </w:r>
      <w:r>
        <w:rPr>
          <w:rFonts w:ascii="仿宋" w:hAnsi="仿宋" w:eastAsia="仿宋"/>
          <w:sz w:val="32"/>
          <w:szCs w:val="32"/>
        </w:rPr>
        <w:t>未发现</w:t>
      </w:r>
      <w:r>
        <w:rPr>
          <w:rFonts w:hint="eastAsia" w:ascii="仿宋" w:hAnsi="仿宋" w:eastAsia="仿宋"/>
          <w:sz w:val="32"/>
          <w:szCs w:val="32"/>
        </w:rPr>
        <w:t>”“</w:t>
      </w:r>
      <w:r>
        <w:rPr>
          <w:rFonts w:ascii="仿宋" w:hAnsi="仿宋" w:eastAsia="仿宋"/>
          <w:sz w:val="32"/>
          <w:szCs w:val="32"/>
        </w:rPr>
        <w:t>如果…则…</w:t>
      </w:r>
      <w:r>
        <w:rPr>
          <w:rFonts w:hint="eastAsia" w:ascii="仿宋" w:hAnsi="仿宋" w:eastAsia="仿宋"/>
          <w:sz w:val="32"/>
          <w:szCs w:val="32"/>
        </w:rPr>
        <w:t>”</w:t>
      </w:r>
      <w:r>
        <w:rPr>
          <w:rFonts w:ascii="仿宋" w:hAnsi="仿宋" w:eastAsia="仿宋"/>
          <w:sz w:val="32"/>
          <w:szCs w:val="32"/>
        </w:rPr>
        <w:t>等含糊措辞。</w:t>
      </w:r>
    </w:p>
    <w:p>
      <w:pPr>
        <w:spacing w:line="560" w:lineRule="exact"/>
        <w:ind w:firstLine="640" w:firstLineChars="200"/>
        <w:rPr>
          <w:rFonts w:ascii="Times New Roman" w:hAnsi="Times New Roman" w:eastAsia="方正仿宋简体"/>
          <w:sz w:val="32"/>
          <w:szCs w:val="32"/>
        </w:rPr>
      </w:pPr>
      <w:r>
        <w:rPr>
          <w:rFonts w:ascii="仿宋" w:hAnsi="仿宋" w:eastAsia="仿宋"/>
          <w:sz w:val="32"/>
          <w:szCs w:val="32"/>
        </w:rPr>
        <w:t>（十） 股东大会通过的提案，上市公司应当在股东大会授权期限内实施。因故终止的，应当及时披露公告，说明不实施相关提案的具体原因，是否需要履行相应的审议程序，对公司的影响及应对措施。股东大会授权到期前相关提案仍未实施的，应当及时披露公告，说明是延期实施还是终止实施，并披露具体原因、后续安排和应当履行的审议程序。</w:t>
      </w:r>
    </w:p>
    <w:p>
      <w:pPr>
        <w:ind w:firstLine="640" w:firstLineChars="200"/>
        <w:outlineLvl w:val="2"/>
        <w:rPr>
          <w:rFonts w:ascii="Times New Roman" w:hAnsi="Times New Roman" w:eastAsia="方正黑体简体"/>
          <w:sz w:val="32"/>
          <w:szCs w:val="32"/>
        </w:rPr>
      </w:pPr>
      <w:r>
        <w:rPr>
          <w:rFonts w:ascii="Times New Roman" w:hAnsi="Times New Roman" w:eastAsia="方正黑体简体"/>
          <w:sz w:val="32"/>
          <w:szCs w:val="32"/>
        </w:rPr>
        <w:t>六、其他</w:t>
      </w:r>
    </w:p>
    <w:p>
      <w:pPr>
        <w:spacing w:line="560" w:lineRule="exact"/>
        <w:ind w:firstLine="640" w:firstLineChars="200"/>
        <w:rPr>
          <w:rFonts w:ascii="Times New Roman" w:hAnsi="Times New Roman" w:eastAsia="方正仿宋简体"/>
          <w:b/>
          <w:szCs w:val="28"/>
        </w:rPr>
      </w:pPr>
      <w:r>
        <w:rPr>
          <w:rFonts w:ascii="Times New Roman" w:hAnsi="Times New Roman" w:eastAsia="方正仿宋简体"/>
          <w:sz w:val="32"/>
          <w:szCs w:val="32"/>
        </w:rPr>
        <w:t>对发行股票作为深股通标的的上市公司的股东大会，</w:t>
      </w:r>
      <w:r>
        <w:rPr>
          <w:rFonts w:hint="eastAsia" w:ascii="Times New Roman" w:hAnsi="Times New Roman" w:eastAsia="方正仿宋简体"/>
          <w:sz w:val="32"/>
          <w:szCs w:val="32"/>
        </w:rPr>
        <w:t>法律法规</w:t>
      </w:r>
      <w:r>
        <w:rPr>
          <w:rFonts w:ascii="Times New Roman" w:hAnsi="Times New Roman" w:eastAsia="方正仿宋简体"/>
          <w:sz w:val="32"/>
          <w:szCs w:val="32"/>
        </w:rPr>
        <w:t>或者本所</w:t>
      </w:r>
      <w:r>
        <w:rPr>
          <w:rFonts w:hint="eastAsia" w:ascii="Times New Roman" w:hAnsi="Times New Roman" w:eastAsia="方正仿宋简体"/>
          <w:sz w:val="32"/>
          <w:szCs w:val="32"/>
        </w:rPr>
        <w:t>业务</w:t>
      </w:r>
      <w:r>
        <w:rPr>
          <w:rFonts w:ascii="Times New Roman" w:hAnsi="Times New Roman" w:eastAsia="方正仿宋简体"/>
          <w:sz w:val="32"/>
          <w:szCs w:val="32"/>
        </w:rPr>
        <w:t>规则另有规定的，从其规定。</w:t>
      </w:r>
    </w:p>
    <w:p>
      <w:pPr>
        <w:pStyle w:val="162"/>
        <w:ind w:firstLine="0" w:firstLineChars="0"/>
        <w:outlineLvl w:val="1"/>
        <w:rPr>
          <w:rFonts w:ascii="Times New Roman" w:hAnsi="Times New Roman" w:eastAsia="黑体"/>
        </w:rPr>
      </w:pPr>
      <w:r>
        <w:rPr>
          <w:rFonts w:ascii="Times New Roman" w:hAnsi="Times New Roman" w:eastAsia="黑体"/>
        </w:rPr>
        <w:br w:type="page"/>
      </w:r>
      <w:bookmarkStart w:id="29" w:name="_Toc141954528"/>
      <w:bookmarkStart w:id="30" w:name="_Toc129272524"/>
      <w:bookmarkStart w:id="31" w:name="_Toc1746"/>
      <w:r>
        <w:rPr>
          <w:rFonts w:hint="eastAsia" w:hAnsi="黑体"/>
          <w:sz w:val="32"/>
          <w:szCs w:val="32"/>
        </w:rPr>
        <w:t xml:space="preserve">第二节 </w:t>
      </w:r>
      <w:r>
        <w:rPr>
          <w:rFonts w:hAnsi="黑体"/>
          <w:sz w:val="32"/>
          <w:szCs w:val="32"/>
        </w:rPr>
        <w:t>股权激励</w:t>
      </w:r>
      <w:bookmarkEnd w:id="29"/>
      <w:bookmarkEnd w:id="30"/>
      <w:bookmarkEnd w:id="31"/>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一、总则</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（一）本节所称股权激励是指上市公司以本公司股票为标的，采用限制性股票、股票期权或者本所认可的其他方式，对董事、高级管理人员及其他员工（以下简称激励对象）进行的长期性激励。</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（二）上市公司授予激励对象限制性股票，包括下列类型：</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．激励对象按照股权激励计划规定的条件，获得的转让等部分权利受到限制的本公司股票，即第一类限制性股票；</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．符合股权激励计划授予条件的激励对象，在满足相应归属条件后分次获得并登记的本公司股票，即第二类限制性股票。</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第二类限制性股票相关定义如下:</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归属：限制性股票激励对象满足归属条件后，上市公司将股票登记至激励对象账户的行为。</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归属条件：限制性股票激励计划所设立的,激励对象为获得激励股票所需满足的获益条件。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归属日：限制性股票激励对象满足获益条件后，获授股票完成登记的日期，归属日必须为交易日。</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二、股权激励方案的制定</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（一）上市公司筹划股权激励的，应当做好内幕信息管理工作。上市公司可根据需要发布提示性公告分阶段进行披露并报备内幕信息知情人档案。提示性公告应当至少包括以下内容：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1．股权激励的形式（限制性股票、股票期权或法律、行政法规允许的其他方式）；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2．股权激励计划所涉及的标的股票来源；</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3．股权激励计划所涉及的标的股票数量（或上下限）及占公司股本总额的比例；</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4．激励对象是否包括公司董事、高级管理人员；</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5．激励对象是否包含单独或合计持股5%以上股东或实际控制人及其配偶、父母、子女以及外籍员工；</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6．股权激励尚需履行的程序、存在的不确定性及相关风险提示；</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7．预计披露股权激励计划草案的时间（自披露提示性公告之日起不得超过3个月）；</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8．本所要求的其他内容。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上市公司董事会审议股权激励计划草案及相关事项时，拟作为激励对象或与其有关联关系的董事应当回避表决。董事会就股权激励计划草案作出决议，应当经全体非关联董事过半数通过。出席董事会的非关联董事人数不足三人的，董事会应当将该事项直接提交上市公司股东大会审议。</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上市公司应当及时披露董事会审议通过的股权激励计划草案及其摘要，同时披露董事会决议、监事会意见、股权激励计划考核管理办法、上市公司股权激励计划自查表（见附件1）。上市公司披露股权激励计划草案时还应当向本所提交以下材料：</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1．股权激励计划内幕信息知情人档案；</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2．上市公司关于披露文件不存在虚假记载等的承诺；</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3．激励对象有关披露文件虚假记载等情况下所获利益返还公司的承诺；</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4．独立财务顾问报告（如有）；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5．有权部门的批复文件（如需）。</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（四）上市公司披露股权激励草案，应当包括以下内容：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对照《上市公司股权激励管理办法》（以下简称《股权激励管理办法》）等相关规定，逐条说明是否存在上市公司不得实行股权激励以及激励对象不得参与股权激励的情形；说明股权激励计划的实施是否将导致或可能导致上市公司股权分布不符合上市条件，如是，应当披露解决措施；</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2．股权激励计划的目的；</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激励对象的确定依据和范围，激励对象中包括单独或合计持股5%以上股东或实际控制人及其配偶、父母、子女以及外籍员工的，应当说明前述人员是否为公司董事、高级管理人员、核心技术人员或者核心业务人员，并说明成为激励对象的必要性与合理性；</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拟授出的权益数量，拟授出权益涉及的标的股票种类、来源、数量及占上市公司股本总额的比例；分次授出的，每次拟授出的权益数量，涉及标的股票数量及占股权激励计划涉及的标的股票总额的比例、占上市公司股本总额的比例；设置预留权益的，拟预留的权益数量、涉及标的股票数量及占股权激励计划的标的股票总额的比例；所有在有效期内的股权激励计划所涉及的标的股票总数累计是否超过公司股本总额的</w:t>
      </w:r>
      <w:r>
        <w:rPr>
          <w:rFonts w:ascii="仿宋" w:hAnsi="仿宋" w:eastAsia="仿宋"/>
          <w:sz w:val="32"/>
          <w:szCs w:val="32"/>
        </w:rPr>
        <w:t>20%</w:t>
      </w:r>
      <w:r>
        <w:rPr>
          <w:rFonts w:hint="eastAsia" w:ascii="仿宋" w:hAnsi="仿宋" w:eastAsia="仿宋"/>
          <w:sz w:val="32"/>
          <w:szCs w:val="32"/>
        </w:rPr>
        <w:t>及其计算过程的说明；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除预留部分外，激励对象为公司董事、高级管理人员的，应披露其姓名、职务、各自可获授的权益数量、占股权激励计划拟授予权益总量的比例，持股5%以上股东或实际控制人及其配偶、父母、子女以及外籍员工参照前述要求披露；说明其他激励对象（各自或者按适当分类）可获授的权益数量及占股权激励计划拟授出权益总量的比例；上市公司应当对单个激励对象通过全部在有效期内的股权激励计划获授的公司股票累计是否超过公司股本总额的</w:t>
      </w:r>
      <w:r>
        <w:rPr>
          <w:rFonts w:ascii="仿宋" w:hAnsi="仿宋" w:eastAsia="仿宋"/>
          <w:sz w:val="32"/>
          <w:szCs w:val="32"/>
        </w:rPr>
        <w:t>1%进行</w:t>
      </w:r>
      <w:r>
        <w:rPr>
          <w:rFonts w:hint="eastAsia" w:ascii="仿宋" w:hAnsi="仿宋" w:eastAsia="仿宋"/>
          <w:sz w:val="32"/>
          <w:szCs w:val="32"/>
        </w:rPr>
        <w:t>说明；预留股份的激励对象情况应在股权激励计划经股东大会审议通过后</w:t>
      </w:r>
      <w:r>
        <w:rPr>
          <w:rFonts w:ascii="仿宋" w:hAnsi="仿宋" w:eastAsia="仿宋"/>
          <w:sz w:val="32"/>
          <w:szCs w:val="32"/>
        </w:rPr>
        <w:t>12</w:t>
      </w:r>
      <w:r>
        <w:rPr>
          <w:rFonts w:hint="eastAsia" w:ascii="仿宋" w:hAnsi="仿宋" w:eastAsia="仿宋"/>
          <w:sz w:val="32"/>
          <w:szCs w:val="32"/>
        </w:rPr>
        <w:t>个月内经董事会确认，并参照上述要求披露；</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6．股权激励计划的有效期，限制性股票的授予日、限售期和解除限售安排、归属安排，股票期权的授权日或授权日的确定方式、可行权日、行权有效期和行权安排等；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限制性股票的授予价格或授予价格的确定方法、股票期权的行权价格或行权价格的确定方法。采用《股权激励管理办法》第二十三条、第二十九条规定的方法以外的其他方法确定授予价格、行权价格的，应当说明定价依据及定价方式，公司应当聘请独立财务顾问，对股权激励计划的可行性、相关定价依据和定价方法的合理性、是否有利于公司持续发展、是否损害上市公司利益以及对股东利益的影响发表明确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8．激励对象获授权益、行使权益的条件。拟分次授出或者行使权益的，应当披露激励对象每次获授或者行使权益的条件；约定授予权益、行使权益条件未成就时，相关权益不得递延至下期；如激励对象包括董事和高级管理人员，应当披露激励对象行使权益的绩效考核指标；公司同时实行多期股权激励计划的，后期激励计划公司业绩指标如低于前期激励计划，应当充分说明原因及合理性。</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披露激励对象行使权益的绩效考核指标的，应充分披露所设定指标的科学性和合理性，有利于促进公司竞争力的提升。公司当年第三季度报告披露后推出股权激励方案的，不得以当年作为考核期；</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9．公司授予权益及激励对象行使权益的程序，应明确上市公司不得授出限制性股票以及激励对象不得行使权益的期间；</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10．调整股权激励计划所涉及的权益数量、授予价格或者行权价格的方法和程序（例如实施利润分配、配股等方案时的调整方法）；</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11．股权激励会计处理方法，公允价值的确定方法，估值模型重要参数取值及其合理性，实施股权激励对上市公司经营业绩的影响；</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12．股权激励计划的变更、终止；</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13．公司发生控制权变更、合并、分立及激励对象发生职务变更、离职、死亡等事项时股权激励计划的执行；</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14．公司与激励对象各自的权利义务，相关纠纷或争端解决机制；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15．上市公司有关股权激励计划相关信息披露文件不存在虚假记载、误导性陈述或者重大遗漏的承诺；激励对象有关披露文件存在虚假记载、误导性陈述或者重大遗漏导致不符合授予权益或行使权益情况下全部利益返还公司的承诺；</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16．上市公司权益回购、注销和收益收回程序的触发标准和时点、回购价格和收益的计算原则、操作程序、完成期限等；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17．本所要求的其他内容。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五）监事会应当就股权激励计划草案是否有利于上市公司的持续发展，是否存在明显损害上市公司及全体股东利益的情形发表意见。监事会认为有必要的，可以建议上市公司聘请独立财务顾问，对股权激励计划的可行性、是否有利于上市公司的持续发展、是否损害上市公司利益以及对股东利益的影响发表专业意见。上市公司未按照建议聘请独立财务顾问的，应当就此事项披露特别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（六）股权激励计划草案披露后，上市公司应当及时发出召开股东大会的通知。上市公司应当在不晚于发出召开股东大会通知时披露法律意见书；聘请独立财务顾问的，还需同时披露独立财务顾问报告。</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七）上市公司应当在召开股东大会前，通过公司网站或者其他途径，在公司内部公示激励对象的姓名和职务，公示期不少于十日，股东大会召开日期不得早于公示期的结束日。监事会应当对股权激励名单进行审核，并充分听取公示意见。上市公司应当在股东大会召开前五日披露监事会对激励名单的审核意见及对公示情况的说明，包括激励对象名单的公示途径、公示期、公司内部人员提出异议等情况。存在异议情形的，监事会应当督促公司董事会就异议意见涉及对象是否能够作为激励对象作出解释说明并与监事会意见同时披露，监事会、律师事务所应分别对董事会解释说明的合理性、合规性进行核查并发表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（八）上市公司召开股东大会审议股权激励计划时，关联股东应当回避表决。股权激励计划方案应当经出席会议的非关联股东所持表决权的三分之二以上通过。中小股东应当单独计票并披露。</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（九）上市公司应当至迟在股东大会决议披露的同时披露内幕信息知情人在股权激励计划草案公告前</w:t>
      </w:r>
      <w:r>
        <w:rPr>
          <w:rFonts w:ascii="仿宋" w:hAnsi="仿宋" w:eastAsia="仿宋"/>
          <w:sz w:val="32"/>
          <w:szCs w:val="32"/>
        </w:rPr>
        <w:t>6</w:t>
      </w:r>
      <w:r>
        <w:rPr>
          <w:rFonts w:hint="eastAsia" w:ascii="仿宋" w:hAnsi="仿宋" w:eastAsia="仿宋"/>
          <w:sz w:val="32"/>
          <w:szCs w:val="32"/>
        </w:rPr>
        <w:t>个月内买卖本公司股票及其衍生品种情况的自查报告，并说明是否存在内幕交易行为。</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（十）上市公司实行股权激励计划依照规定需要取得有关部门批准的，应当在取得有关批复文件后的两个交易日内公告批复情况。</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三、限制性股票、股票期权的授予、登记</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（一）上市公司授予限制性股票、股票期权的，应符合以下要求：</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．上市公司应当在股权激励计划的授予条件成就后，按相关规定召开董事会审议激励对象的获授事宜。</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2．上市公司授予第一类限制性股票、股票期权的，需向本所提交股权激励计划授予登记申请，经本所确认后，及时联系结算公司办理登记事宜。上市公司应当在股权激励计划经股东大会审议通过后</w:t>
      </w:r>
      <w:r>
        <w:rPr>
          <w:rFonts w:ascii="仿宋" w:hAnsi="仿宋" w:eastAsia="仿宋"/>
          <w:sz w:val="32"/>
          <w:szCs w:val="32"/>
        </w:rPr>
        <w:t>60</w:t>
      </w:r>
      <w:r>
        <w:rPr>
          <w:rFonts w:hint="eastAsia" w:ascii="仿宋" w:hAnsi="仿宋" w:eastAsia="仿宋"/>
          <w:sz w:val="32"/>
          <w:szCs w:val="32"/>
        </w:rPr>
        <w:t>日内（有获授权益条件的，自条件成就日起算）授出权益并完成公告、登记等相关程序。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上市公司授予第二类限制性股票的，应当在股权激励计划经股东大会审议通过后</w:t>
      </w:r>
      <w:r>
        <w:rPr>
          <w:rFonts w:ascii="仿宋" w:hAnsi="仿宋" w:eastAsia="仿宋"/>
          <w:sz w:val="32"/>
          <w:szCs w:val="32"/>
        </w:rPr>
        <w:t>60</w:t>
      </w:r>
      <w:r>
        <w:rPr>
          <w:rFonts w:hint="eastAsia" w:ascii="仿宋" w:hAnsi="仿宋" w:eastAsia="仿宋"/>
          <w:sz w:val="32"/>
          <w:szCs w:val="32"/>
        </w:rPr>
        <w:t>日内（有获授权益条件的，自条件成就日起算）授出权益并公告。</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上市公司不得在相关法律、行政法规、部门规章、本所规则规定的禁止上市公司董事、高级管理人员买卖本公司股票期间向激励对象授予限制性股票。上市公司不得授出权益的期间不计入前述规定的60日期限内。</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4．上市公司所确定的授予日期不得早于审议授予事宜的董事会的召开日期。授予方式为分次授予的，须在每次授予前召开董事会审议，授予价格定价原则遵循首次授予价格定价原则。</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上市公司在向激励对象授出权益前，董事会应当就股权激励计划设定的激励对象获授权益的条件是否成就进行审议，监事会应当同时发表明确意见。律师事务所应当对激励对象获授权益的条件是否成就出具法律意见书。</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上市公司向激励对象授出权益与股权激励计划的安排存在差异时，监事会、律师事务所、独立财务顾问（如有）应当同时发表明确意见。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（三）董事会审议权益授予事宜后，应及时披露股权激励计划权益授予的相关公告，相关公告应当至少包括以下内容：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1．股权激励计划简述及已履行的相关审议或审批程序；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董事会对授予条件的审议结论，如授予条件是否成就；是否存在不能授予权益或不得成为激励对象情形的说明；本次授予计划与已披露计划是否存在差异，如存在差异，应披露差异情况以及重新履行审议或审批程序的情况；监事会（当激励对象发生变化时）、律师事务所、独立财务顾问（如有）应当同时发表明确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3．实施股权激励的方式及股票来源（如发行新股或回购股份等），公司历次权益分派对股权激励计划授予相关参数的调整情况；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授予日、授予对象、授予数量、授予价格或行权价格；激励对象为董事、高级管理人员的，应披露其各自可获授的权益数量、占股权激励计划拟授予权益总量的比例、占公司总股本的比例；激励对象为单独或合计持股5%以上股东或实际控制人及其配偶、父母、子女以及外籍员工的，参照前述要求披露；同时，应披露全部激励对象可获授的权益数量、占股权激励计划拟授予权益总量的比例、占公司总股本的比例；</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根据确定的授予日，说明本次股权激励计划股票期权或限制性股票的授予对公司相关年度财务状况和经营成果的影响，包括会计处理方法、公允价值确定方法、估值模型重要参数取值的合理性、实施股权激励应当计提的费用及对上市公司业绩的影响；</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6．授予限制性股票的，需披露授予股份的性质，相关股份的限售安排、归属安排，不符合解限条件、归属条件的限制性股票的处理方式，筹集资金的使用计划（如有）等；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7．授予股票期权的，需披露相关期权的行权条件、行权期安排、不符合行权条件的股票期权的处理方式等；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8．激励对象为董事、高级管理人员、持股5%以上股东的，在限制性股票授予前6个月买卖公司股票的情况；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9．监事会就激励对象获授权益条件是否成就发表的明确意见；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10．监事会对授予日激励对象名单核实的情况；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11．法律意见书结论性意见；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12．独立财务顾问的专业意见（如有）；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13．本所要求的其他内容。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上市公司披露审议股权激励计划授予登记的董事会决议公告后，可办理授予登记的相关手续。上市公司至少应当在《股权激励管理办法》四十四条规定的最后期限7个交易日前向本所提交相关材料，应提交的材料为：</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1．授予完成公告文稿；</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2．上市公司董事会填制的《创业板上市公司股权激励计划授予登记申请表》（见附件2、附件3）；</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3．上市公司董事会关于授予权益的决议；</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4．有权部门的批复文件（如需）；</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5．监事会对权益授予条件是否成就的意见；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6．监事会对授予日激励对象名单的核实意见；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7．激励对象名单及其个人证券账户情况说明；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8．会计师事务所出具的验资报告（如有）；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9．法律意见书；</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10．独立财务顾问的专业意见（如有）；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11．本所要求的其他内容。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上市公司应及时向结算公司提交有关材料，办理限制性股票或者股票期权的授予登记手续。</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五）上市公司应当在《创业板上市公司股权激励计划授予登记申请表（股票期权适用）》中确定股票期权的简称。股票期权的证券简称参照本所《证券代码、证券简称编制管理办法》中有关认购权证的编制规则，汉字部分取自公司股票简称，后面为“JLC？”，其中“JL”代表股权激励计划，“C”代表“认购期权”，“？”处填股权激励计划的批次，从1开始依次编码。股权激励计划股票期权的证券代码区间为【036001，036999】，由本所按实施先后顺序统一编码。同一公司先后实施不同的多期股权激励计划，应分别编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在股权激励方案中设置了预留期权的，在首次授予时无需对该部分预留期权进行登记。预留期权在明确授予对象后应当提交董事会审议后披露。对预留期权进行授予登记时，应当启用新的期权简称和期权代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（六）上市公司应当及时联系结算公司办理授予登记手续，并及时披露股权激励计划权益授予完成公告，公告应当至少包含以下内容：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限制性股票或股票期权授予的具体情况，包括但不限于授予日、授予对象、授予数量和授予价格、行权价格等；授予限制性股票的，应披露本次授予股份的上市日期、限售期安排等；授予期权的，应披露确定的期权代码、期权简称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2．激励对象获授限制性股票或股票期权与公司内部公示情况一致性的说明；</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授予限制性股票的，应说明股权激励计划的实施是否导致上市公司股权分布不符合上市条件、是否导致公司控制权发生变化；公司具有表决权差异安排的，还应说明本次授予前后拥有特别表决权股份的股东在上市公司中拥有的表决权比例的变化情况；参与激励的董事、高级管理人员、持股</w:t>
      </w:r>
      <w:r>
        <w:rPr>
          <w:rFonts w:ascii="仿宋" w:hAnsi="仿宋" w:eastAsia="仿宋"/>
          <w:sz w:val="32"/>
          <w:szCs w:val="32"/>
        </w:rPr>
        <w:t>5%</w:t>
      </w:r>
      <w:r>
        <w:rPr>
          <w:rFonts w:hint="eastAsia" w:ascii="仿宋" w:hAnsi="仿宋" w:eastAsia="仿宋"/>
          <w:sz w:val="32"/>
          <w:szCs w:val="32"/>
        </w:rPr>
        <w:t>以上股东在限制性股票授予登记日前</w:t>
      </w:r>
      <w:r>
        <w:rPr>
          <w:rFonts w:ascii="仿宋" w:hAnsi="仿宋" w:eastAsia="仿宋"/>
          <w:sz w:val="32"/>
          <w:szCs w:val="32"/>
        </w:rPr>
        <w:t>6</w:t>
      </w:r>
      <w:r>
        <w:rPr>
          <w:rFonts w:hint="eastAsia" w:ascii="仿宋" w:hAnsi="仿宋" w:eastAsia="仿宋"/>
          <w:sz w:val="32"/>
          <w:szCs w:val="32"/>
        </w:rPr>
        <w:t>个月买卖本公司股票的情况及是否构成短线交易；本次授予股份的上市日期，上市公司股份变动、按新股本计算的每股收益调整情况等（如有）、授予股份认购资金的验资情况（如有）、筹集资金的使用计划（如有）等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4．授予日确定后在资金缴纳、权益登记过程中，激励对象因离职、资金筹集不足等原因放弃授予的，应说明激励对象发生变化的情况及所放弃授予权益的处理方式；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5．本所要求的其他内容。</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四、第一类限制性股票解除限售</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第一类限制性股票解除限售条件成就后，上市公司应当在每次解除限售前召开董事会审议股份解除限售相关事宜并披露。监事会应同时发表明确意见，律师事务所应当对解除限售条件是否成就出具法律意见书。股权激励限制性股票授予日和首次解除限售日之间的间隔不得少于</w:t>
      </w:r>
      <w:r>
        <w:rPr>
          <w:rFonts w:ascii="仿宋" w:hAnsi="仿宋" w:eastAsia="仿宋"/>
          <w:sz w:val="32"/>
          <w:szCs w:val="32"/>
        </w:rPr>
        <w:t>12</w:t>
      </w:r>
      <w:r>
        <w:rPr>
          <w:rFonts w:hint="eastAsia" w:ascii="仿宋" w:hAnsi="仿宋" w:eastAsia="仿宋"/>
          <w:sz w:val="32"/>
          <w:szCs w:val="32"/>
        </w:rPr>
        <w:t>个月。公告应当至少包括以下内容：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1．股权激励计划简述及已履行的审议程序；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2．董事会对本期股权激励计划获得股份解除限售条件是否成就、是否存在不能解除限售或不得成为激励对象情形的说明；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3．本次实施的股权激励计划与已披露的股权激励计划是否存在差异，如是，董事会关于差异情况以及重新履行审议程序的情况说明；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4．股权激励获得股份解除限售的具体情况，包括本次解除限售股份总数、占总股本的比例等；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激励对象为董事、高级管理人员的，应披露其各自已获授予的限制性股票数量、本次可解除限售的股票数量、占已获授限制性股票总量的比例等；激励对象为单独或合计持股5%以上股东或实际控制人及其配偶、父母、子女以及外籍员工的，参照前述要求披露；同时，应披露全部激励对象已获授限制性股票数量、本次可解除限售的股票数量、占已获授限制性股票总量的比例；</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6．监事会对解限条件是否成就发表的明确意见；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7．法律意见书结论性意见；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8．独立财务顾问报告结论性意见（如有）；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9．本所要求的其他内容。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（二）上市公司按前款规定履行了信息披露义务后，可向本所申请办理限制性股票解除限售手续，并提交以下材料：</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1．解除限售公告文稿；</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2．上市公司董事会填制的《创业板上市公司股权激励获得股份解除限售申请表》（见附件4）；</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3．董事会关于股权激励获得股票解除限售的决议；</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4．监事会对解限条件是否成就发表的明确意见；</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．法律意见书；</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6．独立财务顾问报告（如有）；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7．本所要求的其他材料。</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（三）上市公司应及时向结算公司提交有关材料，办理激励股份解除限售的相关手续，并及时披露股权激励获得股份解除限售公告，公告应当至少包括以下内容：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1．股权激励获得股份解除限售的具体情况，包括本次解除限售股份总数、占总股本的比例、解除限售日期等；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激励对象为董事、高级管理人员的，应披露其各自已获授予的限制性股票数量、本次解除限售的股票数量、占已获授限制性股票总量的比例等；激励对象为单独或合计持股5%以上股东或实际控制人及其配偶、父母、子女以及外籍员工的，参照前述要求披露；同时，应披露全部激励对象已获授限制性股票数量、本次解除限售的股票数量、占已获授限制性股票总量的比例；</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3．本次解限后的上市公司股本结构变动表；</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4．本所要求的其他内容。</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五、第二类限制性股票归属</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上市公司授予第二类限制性股票的，股票归属条件成就后，上市公司应当在每次归属前召开董事会审议股权激励获得股份归属相关事宜并及时披露，监事会应同时发表明确意见，律师事务所应当对激励对象归属条件是否成就出具法律意见书。公告内容应当至少包括：</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1．股权激励计划简述及已履行的相关审议或审批程序。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2．董事会对本期股权激励计划设定的限制性股票归属条件是否成就、是否存在不能归属或不得成为激励对象情形的说明；本次归属计划与已披露的计划是否存在差异，如存在差异，应披露差异情况以及重新履行审议或审批程序的情况。 </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3．限制性股票归属的具体情况，包括但不限于：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（1）本次拟归属限制性股票的授予日、授予价格；</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（2）本次可归属的批次、归属数量、归属人数，本次归属股票的股份来源，归属数量及归属价格的历次调整情况；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激励对象为董事、高级管理人员的，应披露其各自已获授予的限制性股票数量、本次可归属的股票数量、占已获授限制性股票总量的比例等；激励对象为单独或合计持股5%以上股东或实际控制人及其配偶、父母、子女以及外籍员工的，参照前述要求披露；同时，应披露全部激励对象已获授限制性股票数量、本次可归属的股票数量、占已获授限制性股票总量的比例；</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4．监事会对归属条件是否成就发表的明确意见；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5．监事会对激励对象名单的核实情况；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6．激励对象为董事、高级管理人员、持股5%以上股东的，本次董事会决议日前6个月内买卖公司股票的情况说明。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7．法律意见书结论性意见；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8．独立财务顾问报告结论性意见（如有）；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9．本次归属对公司相关财务状况和经营成果的影响；</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10．本所要求的其他内容。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（二）上市公司按前款规定履行信息披露义务后，可向本所申请办理股权激励计划获得股份归属及上市，并提交以下材料：</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1．归属结果暨股份上市公告文稿；</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2．上市公司董事会填制的《创业板上市公司股权激励计划归属申请表》（见附件5）；</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3．董事会关于股权激励获得股份符合归属条件的决议；</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4．监事会对归属条件是否成就的意见；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5．监事会对激励对象名单的核实情况；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6．法律意见书；</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7．独立财务顾问报告（如有）；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8．激励对象名单及其个人证券账户情况说明； </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9．会计师事务所出具的验资报告；</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10．有权部门的批复文件（如需）；</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11．本所要求的其他文件。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（三）股权激励限制性股票归属日不得在相关法律、行政法规、部门规章、本所规则规定的禁止上市公司董事、高级管理人员买卖本公司股票期间内。</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（四）上市公司应及时向结算公司提交有关材料，办理股权激励股份归属及上市的相关手续，并及时披露股权激励获得股票归属及上市公告。公告内容至少应当包括：</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1．本次归属条件成就审议情况，股权激励获得股份归属具体情况，包括本次归属股份总数、归属人数、归属日等；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激励对象为董事、高级管理人员的，其各自已获授予的限制性股票数量、本次归属的股票数量、占已获授限制性股票总量的比例等；激励对象为单独或合计持股5%以上股东或实际控制人及其配偶、父母、子女以及外籍员工的，参照前述要求披露；同时，应披露全部激励对象已获授限制性股票数量、本次归属的股票数量、占已获授限制性股票总量的比例；</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3．在限制性股票资金缴纳、股份登记过程中，激励对象因离职、资金筹集不足等原因放弃权益的，明确说明激励对象发生变化的情况、放弃权益的处理方式。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4．本次归属股票的上市流通安排、限售安排（如有）；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5．会计师事务所对本次归属事项的验资情况以及相关股票在结算公司办理登记手续情况；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本次归属完成后，上市公司股本结构变动情况，按新股本计算的每股收益调整情况等，是否导致上市公司股权分布不符合上市条件、是否导致公司控制权发生变化；公司具有表决权差异安排的，还应说明本次归属前后拥有特别表决权股份的股东在上市公司中拥有的表决权比例的变化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（五）股权激励获授股份归属完成后有限售安排的，后续解锁可参照本节“四、第一类限制性股票解除限售”流程办理。</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六、股票期权行权</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股票期权行权条件成就后，上市公司应当召开董事会审议行权有关事宜并及时披露。监事会应同时发表明确意见，律师事务所应当对激励对象行权条件是否成就出具法律意见书。公告应当至少包括以下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1．股权激励计划简述及已履行的审议或审批程序；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董事会关于本期股权激励计划设定的行权条件是否成就，以及是否存在不得成为激励对象或禁止行权情形的说明。如出现上述情形的，董事会还应当对已经授予的股票期权的处理措施和相关后续安排作出明确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3．股票期权授权日与首次可行权日之间的时间间隔，且不得少于</w:t>
      </w:r>
      <w:r>
        <w:rPr>
          <w:rFonts w:ascii="仿宋" w:hAnsi="仿宋" w:eastAsia="仿宋"/>
          <w:sz w:val="32"/>
          <w:szCs w:val="32"/>
        </w:rPr>
        <w:t>12</w:t>
      </w:r>
      <w:r>
        <w:rPr>
          <w:rFonts w:hint="eastAsia" w:ascii="仿宋" w:hAnsi="仿宋" w:eastAsia="仿宋"/>
          <w:sz w:val="32"/>
          <w:szCs w:val="32"/>
        </w:rPr>
        <w:t>个月；</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4．本次实施的激励计划如与已披露的激励计划存在差异的，董事会关于差异情况以及重新履行的审议或审批程序的情况说明；</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．本次股票期权的行权方式（集中行权或自主行权）；</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6．本期股票期权行权股票的来源和预计数量、激励对象持有的本期可行权的股票期权数量、尚未符合行权条件的股票期权数量；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激励对象为董事、高级管理人员的，应披露其各自已获授予的股票期权数量、本次可行权的期权数量、占已获授股票期权总量的比例等；激励对象为单独或合计持股5%以上股东或实际控制人及其配偶、父母、子女以及外籍员工的，参照前述要求披露；同时，应披露全部激励对象已获授予的股票期权数量、本次可行权的期权数量、占已获授股票期权总量的比例；</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8．激励对象为董事、高级管理人员、持股</w:t>
      </w:r>
      <w:r>
        <w:rPr>
          <w:rFonts w:ascii="仿宋" w:hAnsi="仿宋" w:eastAsia="仿宋"/>
          <w:sz w:val="32"/>
          <w:szCs w:val="32"/>
        </w:rPr>
        <w:t>5%</w:t>
      </w:r>
      <w:r>
        <w:rPr>
          <w:rFonts w:hint="eastAsia" w:ascii="仿宋" w:hAnsi="仿宋" w:eastAsia="仿宋"/>
          <w:sz w:val="32"/>
          <w:szCs w:val="32"/>
        </w:rPr>
        <w:t>以上股东的，本次董事会确定的行权日前6个月内是否买卖公司股票的情况说明;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9．不符合条件的股票期权的处理方式；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10．董事会对期权行权数量、行权价格历次调整的说明（如有）；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11．本次股票期权行权的实施对公司相关财务状况和经营成果的影响；</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12．拟选择自主行权的，还应在公告中披露选择自主行权模式对激励股票期权定价及会计核算影响及变化的说明；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13．筹集资金的使用计划；</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14．监事会对行权条件是否成就发表的明确意见；</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5．监事会对激励对象名单的核实情况；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16．法律意见书结论性意见；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17．独立财务顾问结论性意见（如有）；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18．本所要求的其他内容。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（二）上市公司股权激励计划设定的当期行权条件未成就的（如未达到业绩考核指标、个别激励对象存在违规行为等），股票期权不得行权或递延至下期行权，上市公司应当注销未满足行权条件的股票期权。</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（三）激励对象不得在相关法律、行政法规、部门规章、本所规则规定的禁止上市公司董事、高级管理人员买卖本公司股票期间内行权。</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（四）上市公司股权激励计划设定的期权行权条件成就时，公司或激励对象可选择集中行权或自主行权。上市公司拟选择自主行权的，需符合以下条件：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1．聘请一家证券公司作为自主行权方案实施的承办券商，并签订股权激励期权自主行权服务协议；</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2．承办券商应确保其技术系统功能符合上市公司自主行权的业务操作及合规性需求，并已完成所有业务准备工作，符合结算公司对自主行权业务系统接口要求；</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3．上市公司及其承办券商均应出具自主行权业务承诺书，明确自主行权过程中各环节操作合法、合规性以及相关参数、数据维护及审核的责任。</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（五）公司披露审议股权激励计划期权行权的董事会决议公告后，可向本所提交下列材料申请办理行权，并与结算公司联系办理股权激励期权行权确认手续：</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1．期权行权公告文稿；</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2．上市公司董事会填制的《创业板上市公司股权激励计划股票期权行权申请表（集中行权适用）》（见附件6）或《创业板上市公司股权激励计划股票期权申请表（自主行权适用）》（见附件7）；</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3．董事会关于股票期权行权条件成就的决议；</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4．有权部门的批复文件（如需）；</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5．监事会对股票期权行权条件是否成就的意见；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6．监事会对激励对象名单的核实意见；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7．法律意见书；</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8．独立财务顾问意见（如有）；</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9．本所要求的其他内容。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上市公司选择集中行权的，除第一款要求材料外，还需提交以下材料：</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1．会计师事务所出具的验资报告；</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2．董事会盖章确认的激励对象名单、行权数量及证券账户；</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．行权专户资金的管理和使用计划。</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上市公司选择自主行权的，除第一款要求材料外，还需提交以下材料：</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1．选择自主行权模式对激励股票期权定价及会计核算影响及变化的说明；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2．上市公司股权激励期权自主行权合规承诺书；</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3．股权激励期权自主行权承办券商业务承诺书；</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4．上市公司与激励对象及承办券商签署的自主行权服务协议；</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5．作为激励对象的董事、高级管理人员、持股5%以上股东关于行权后6个月内不转让所持股份的承诺。</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六）上市公司选择集中行权的，在每一行权期内，所有激励对象原则上应当一次性同时行权。如有特殊情况，经申请后最多可分两次行权。行权股份上市日不得在相关法律、行政法规、部门规章、本所规则规定的禁止上市公司董事、高级管理人员买卖本公司股票期间内。行权完成后，应及时披露股票期权行权完成公告，相关公告应至少包含以下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1．本期股票期权行权的具体情况，包括行权条件、行权时间、行权人数、行权数量、行权价格等；</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．激励对象行权数量与方案和在公司内部公示情况一致性的说明；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激励对象为董事、高级管理人员的，应披露其各自已获授予的股票期权数量、本次行权的期权数量、占已获授股票期权总量的比例等；激励对象为单独或合计持股5%以上股东或实际控制人及其配偶、父母、子女以及外籍员工的，参照前述要求披露；同时，应披露全部激励对象已获授予的股票期权数量、本次行权的期权数量、占已获授股票期权总量的比例；</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4．行权资金的验资情况；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5．在行权资金缴纳、股份登记过程中，如激励对象因离职、资金筹集不足等原因放弃权益的，明确说明激励对象发生变化的情况、放弃权益的处理方式；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6．本次行权所获得股份的性质、可上市流通时间，如激励对象行权所获得股票有其他限售条件的，应当说明限售情况、后续安排以及股份的上市时间，董事、高级管理人员所持股份变动锁定的情况说明；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7．参与激励的董事、高级管理人员、持股5%以上股东前</w:t>
      </w:r>
      <w:r>
        <w:rPr>
          <w:rFonts w:ascii="仿宋" w:hAnsi="仿宋" w:eastAsia="仿宋"/>
          <w:sz w:val="32"/>
          <w:szCs w:val="32"/>
        </w:rPr>
        <w:t>6</w:t>
      </w:r>
      <w:r>
        <w:rPr>
          <w:rFonts w:hint="eastAsia" w:ascii="仿宋" w:hAnsi="仿宋" w:eastAsia="仿宋"/>
          <w:sz w:val="32"/>
          <w:szCs w:val="32"/>
        </w:rPr>
        <w:t>个月买卖本公司股票的情况；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8．本次行权后公司股本结构变动情况；按新股本计算的每股收益调整情况等；是否导致上市公司股权分布不符合上市条件、是否导致公司控制权发生变化；公司具有表决权差异安排的，还应说明本次归属前后拥有特别表决权股份的股东在上市公司中拥有的表决权比例的变化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9．本所要求的其他内容。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七）上市公司选择自主行权的，股权激励计划进入行权期后，上市公司应在定期报告中或以临时报告形式披露每季度股权激励对象变化（如有）、股票期权重要参数调整情况、激励对象自主行权情况以及公司股份变动情况等信息。</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七、股权激励方案的变更和调整</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（一）上市公司在股东大会审议通过股权激励方案之前对其进行变更的，需经董事会审议通过。</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上市公司对已通过股东大会审议的股权激励方案进行变更的，应提交股东大会审议，且不得包括下列情形：</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1．导致加速行权或提前解除限售的情形；</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2．降低行权价格或授予价格的情形。</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公司拟在当年第三季度报告披露后变更股票激励方案的，不得降低当年行使权益的条件。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应及时披露变更前后方案的修订情况对比说明，监事会应当就变更后的方案是否有利于上市公司的持续发展，是否存在明显损害上市公司及全体股东利益的情形发表独立意见。律师事务所应当就变更后的方案是否符合《股权激励管理办法》及相关法律法规的规定、是否存在明显损害上市公司及全体股东利益的情形发表专业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股权激励计划存续期内，因上市公司标的股票发生除权、除息或其他原因需要调整权益价格或者数量的，应经上市公司董事会作出决议并对外披露，按照股权激励计划约定的原则、方式和程序进行调整。律师事务所应发表意见并披露。</w:t>
      </w:r>
    </w:p>
    <w:p>
      <w:pPr>
        <w:adjustRightInd w:val="0"/>
        <w:snapToGrid w:val="0"/>
        <w:spacing w:line="560" w:lineRule="exact"/>
        <w:ind w:firstLine="640" w:firstLineChars="200"/>
        <w:rPr>
          <w:rFonts w:ascii="仿宋" w:hAnsi="仿宋" w:eastAsia="仿宋"/>
          <w:sz w:val="32"/>
          <w:szCs w:val="32"/>
        </w:rPr>
      </w:pPr>
      <w:r>
        <w:rPr>
          <w:rFonts w:hint="eastAsia" w:ascii="黑体" w:hAnsi="黑体" w:eastAsia="黑体"/>
          <w:sz w:val="32"/>
          <w:szCs w:val="32"/>
        </w:rPr>
        <w:t>八、股权激励方案的终止</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（一）上市公司发生《股权激励管理办法》第七条规定的情形之一的，应当终止实施股权激励计划，不得向激励对象继续授予新的权益，激励对象根据股权激励计划已获授但尚未行使的权益应当终止行使。</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在股权激励计划实施过程中，出现《股权激励管理办法》第八条规定的不得成为激励对象情形的，上市公司不得继续授予其权益，其已获授但尚未行使的权益应当终止行使。</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（二）上市公司在股东大会审议前拟终止股权激励计划的，应提交董事会审议并披露。上市公司在股东大会审议通过股权激励计划之后拟终止股权激励计划的，应提交股东大会审议并披露。</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律师事务所应当就上市公司终止实施激励是否符合《股权激励管理办法》及相关法律法规的规定、是否存在明显损害上市公司及全体股东利益的情形发表专业意见。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（三）上市公司股东大会或董事会审议通过终止实施股权激励计划决议的，或者股东大会审议未通过股权激励计划的，公司应当同时承诺自决议公告之日起</w:t>
      </w:r>
      <w:r>
        <w:rPr>
          <w:rFonts w:ascii="仿宋" w:hAnsi="仿宋" w:eastAsia="仿宋"/>
          <w:sz w:val="32"/>
          <w:szCs w:val="32"/>
        </w:rPr>
        <w:t>3</w:t>
      </w:r>
      <w:r>
        <w:rPr>
          <w:rFonts w:hint="eastAsia" w:ascii="仿宋" w:hAnsi="仿宋" w:eastAsia="仿宋"/>
          <w:sz w:val="32"/>
          <w:szCs w:val="32"/>
        </w:rPr>
        <w:t>个月内，不再审议股权激励计划。</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上市公司未能在股东大会审议通过股权激励计划或获授权益条件成就后60日内完成权益授予和公告、登记工作的，应当及时披露未完成的原因，并终止实施股权激励。自公告之日起3个月内，上市公司不得再次审议股权激励计划。</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上市公司终止实施股权激励的，终止实施议案经股东大会或董事会审议通过后应及时披露相关决议公告，并对终止实施股权激励的原因、股权激励已实施情况、激励对象已获授权益后续处理安排、终止实施股权激励对上市公司的可能影响等作出说明，同时披露律师事务所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（五）除《股权激励管理办法》、股权激励方案规定的情形外，上市公司主动终止股权激励计划的，公告内容应当包括：</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1．主动终止股权激励计划的背景和目的；</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2．已无法达到激励效果的分析说明；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3．终止股权激励计划导致的加速行权、预计回购费用（如适用）等的具体金额及对应的具体会计处理；如无法确定回购费用等会计处理的，最迟于实际完成注销时进行充分披露；</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4．对上市公司当期业绩影响的具体金额及风险提示。</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（六）履行相应审议程序及披露义务后，公司应及时向结算公司申请办理限制性股票回购注销手续或期权注销手续。</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九、限制性股票、股票期权的注销</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（一）根据上市公司已实施的股权激励计划，在出现下述情形之一时，应对已授予的限制性股票或股票期权进行注销：</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1．上市公司出现《股权激励管理办法》规定的不得实施股权激励计划的情形；</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2．相关人员发生《股权激励管理办法》规定的不得成为激励对象的情形；</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3．行权条件或解除限售条件未成就；</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4．股票期权各行权期结束后仍未行权的；</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5．终止股权激励计划；</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6．股权激励计划规定的其他应予以注销情形；</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7．根据相关规定应予以注销的其他情形。</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（二）上市公司股权激励发生上述情形时，董事会应当自知悉或者接到相关通知时对注销条件是否成就进行审议，及时披露拟对已授予限制性股票或股票期权进行注销的公告。公告内容应当至少包括：</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1．公司不得实施股权激励计划或相关人员不得成为激励对象的情况说明；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2．公司激励对象或相关人员在股权激励计划中所获授股份或期权情况；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3．本次回购</w:t>
      </w:r>
      <w:r>
        <w:rPr>
          <w:rFonts w:ascii="仿宋" w:hAnsi="仿宋" w:eastAsia="仿宋"/>
          <w:sz w:val="32"/>
          <w:szCs w:val="32"/>
        </w:rPr>
        <w:t>/</w:t>
      </w:r>
      <w:r>
        <w:rPr>
          <w:rFonts w:hint="eastAsia" w:ascii="仿宋" w:hAnsi="仿宋" w:eastAsia="仿宋"/>
          <w:sz w:val="32"/>
          <w:szCs w:val="32"/>
        </w:rPr>
        <w:t>注销对股权激励计划的影响、对相关激励对象已获授股份或股票期权的处理措施，对应的具体会计处理及对公司业绩的影响；</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4．针对限制性股票，回购股份的种类、价格及定价依据，拟用于回购的资金总额及来源，回购后对公司股本结构的影响；</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5．律师事务所就回购</w:t>
      </w:r>
      <w:r>
        <w:rPr>
          <w:rFonts w:ascii="仿宋" w:hAnsi="仿宋" w:eastAsia="仿宋"/>
          <w:sz w:val="32"/>
          <w:szCs w:val="32"/>
        </w:rPr>
        <w:t>/</w:t>
      </w:r>
      <w:r>
        <w:rPr>
          <w:rFonts w:hint="eastAsia" w:ascii="仿宋" w:hAnsi="仿宋" w:eastAsia="仿宋"/>
          <w:sz w:val="32"/>
          <w:szCs w:val="32"/>
        </w:rPr>
        <w:t>注销安排合法合规性的法律意见；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6．本所要求的其他内容。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如需对已授予的限制性股票进行回购并注销，上市公司应当及时召开董事会审议回购股份方案，并依法将回购股份方案提交股东大会批准，回购方案应当重点说明回购股份的价格及定价依据、回购后公司股本结构的变动情况及对公司业绩的影响及相关会计处理等。同时，应在股东大会决议作出之日起10日内通知债权人，并于30日内在报纸上刊登公告。</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（四）上市公司披露拟注销限制性股票公告并履行完毕上述程序后，可向本所提交下列材料申请办理注销限制性股票的相关手续：</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1．注销公告文稿；</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2．上市公司董事会填制的《创业板上市公司股权激励授予限制性股票注销申请表》（见附件8）</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3．监事会关于符合注销条件的意见；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4．监事会对拟注销股份的数量及涉及激励对象名单的核实意见；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5．股东大会决议（如适用）；</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6．律师事务所关于本次注销事项及程序是否符合股权激励计划及有关法律法规规定的法律意见书；</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7．独立财务顾问意见（如适用）；</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8．</w:t>
      </w:r>
      <w:r>
        <w:rPr>
          <w:rFonts w:ascii="仿宋" w:hAnsi="仿宋" w:eastAsia="仿宋"/>
          <w:sz w:val="32"/>
          <w:szCs w:val="32"/>
        </w:rPr>
        <w:t>会计师事务所出具的</w:t>
      </w:r>
      <w:r>
        <w:rPr>
          <w:rFonts w:hint="eastAsia" w:ascii="仿宋" w:hAnsi="仿宋" w:eastAsia="仿宋"/>
          <w:sz w:val="32"/>
          <w:szCs w:val="32"/>
        </w:rPr>
        <w:t>验资报告（如适用）；</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9．本所要求的其他内容。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（五）上市公司应及时向结算公司申请办理注销手续，并披露上市公司股权激励授予限制性股票</w:t>
      </w:r>
      <w:r>
        <w:rPr>
          <w:rFonts w:ascii="仿宋" w:hAnsi="仿宋" w:eastAsia="仿宋"/>
          <w:sz w:val="32"/>
          <w:szCs w:val="32"/>
        </w:rPr>
        <w:t>/</w:t>
      </w:r>
      <w:r>
        <w:rPr>
          <w:rFonts w:hint="eastAsia" w:ascii="仿宋" w:hAnsi="仿宋" w:eastAsia="仿宋"/>
          <w:sz w:val="32"/>
          <w:szCs w:val="32"/>
        </w:rPr>
        <w:t>期权回购注销完成公告。注销完成公告的内容应当包括：</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．本次注销限制性股票</w:t>
      </w:r>
      <w:r>
        <w:rPr>
          <w:rFonts w:ascii="仿宋" w:hAnsi="仿宋" w:eastAsia="仿宋"/>
          <w:sz w:val="32"/>
          <w:szCs w:val="32"/>
        </w:rPr>
        <w:t>/</w:t>
      </w:r>
      <w:r>
        <w:rPr>
          <w:rFonts w:hint="eastAsia" w:ascii="仿宋" w:hAnsi="仿宋" w:eastAsia="仿宋"/>
          <w:sz w:val="32"/>
          <w:szCs w:val="32"/>
        </w:rPr>
        <w:t>期权的数量、涉及激励对象人数，回购注销股份的价格及其确定依据、数量、占总股本的比例（如适用）等，股份注销手续办理情况；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2．限制性股票回购注销后股本结构变动表（如适用）；</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3．验资情况（如适用）；</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4．本所要求的其他内容。</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十、其他事项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（一）上市公司应当将实施股权激励过程中相关方所做的各项承诺进行准确、完整地披露，并及时将承诺录入本所承诺管理数据库，督促相关方切实履行承诺。</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（二）上市公司应当在定期报告中披露报告期内股权激励的实施情况，包括：</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1．报告期内激励对象的范围、变更情况；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2．报告期内授出、行使和失效的权益总额；</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3．截至报告期末累计已授出但尚未行使的权益总额；</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4．报告期内权益价格、权益数量历次调整的情况以及经调整后的最新权益价格与权益数量；至报告期末全部有效计划持有的股票总额及其占公司总股本的比例；</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5．董事、高级管理人员，以及单独或合计持股5%以上股东或实际控制人及其配偶、父母、子女的姓名、职务以及在报告期内历次获授、行使权益的情况和失效的权益数量；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6．因激励对象行使权益所引起的股本变动情况；</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7．股权激励的会计处理方法及股权激励事项对公司业绩的影响；</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8．报告期内激励对象获授权益、行使权益的条件是否成就的说明；</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9．报告期内预留权益失效情况及原因，终止实施股权激励的情况及原因、会计处理及对公司业绩的影响；</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10．其他应当予以披露的事项。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（三）上市公司采用回购本公司股票的方式实施股权激励的，应当按照本所《上市公司自律监管指引第9号——回购股份》等相关规定，及时履行审议程序和信息披露义务。</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（四）需披露事项适用有关公告格式的，上市公司还应按照相关公告格式要求编制公告。</w:t>
      </w:r>
    </w:p>
    <w:p>
      <w:pPr>
        <w:widowControl/>
        <w:jc w:val="left"/>
        <w:rPr>
          <w:rFonts w:ascii="黑体" w:hAnsi="黑体" w:eastAsia="黑体"/>
          <w:sz w:val="32"/>
          <w:szCs w:val="20"/>
        </w:rPr>
      </w:pPr>
      <w:r>
        <w:rPr>
          <w:rFonts w:ascii="仿宋" w:hAnsi="仿宋" w:eastAsia="仿宋"/>
          <w:b/>
        </w:rPr>
        <w:br w:type="page"/>
      </w:r>
      <w:r>
        <w:rPr>
          <w:rFonts w:hint="eastAsia" w:ascii="黑体" w:hAnsi="黑体" w:eastAsia="黑体"/>
          <w:sz w:val="32"/>
          <w:szCs w:val="20"/>
        </w:rPr>
        <w:t>附件1</w:t>
      </w:r>
    </w:p>
    <w:p>
      <w:pPr>
        <w:spacing w:line="560" w:lineRule="exact"/>
        <w:ind w:firstLine="640" w:firstLineChars="200"/>
        <w:rPr>
          <w:rFonts w:ascii="黑体" w:hAnsi="黑体" w:eastAsia="黑体"/>
          <w:sz w:val="32"/>
          <w:szCs w:val="20"/>
        </w:rPr>
      </w:pPr>
    </w:p>
    <w:p>
      <w:pPr>
        <w:ind w:firstLine="640" w:firstLineChars="200"/>
        <w:jc w:val="center"/>
        <w:rPr>
          <w:rFonts w:ascii="方正小标宋简体" w:hAnsi="黑体" w:eastAsia="方正小标宋简体"/>
          <w:sz w:val="32"/>
          <w:szCs w:val="32"/>
        </w:rPr>
      </w:pPr>
      <w:r>
        <w:rPr>
          <w:rFonts w:hint="eastAsia" w:ascii="方正小标宋简体" w:hAnsi="黑体" w:eastAsia="方正小标宋简体"/>
          <w:bCs/>
          <w:sz w:val="32"/>
          <w:szCs w:val="32"/>
        </w:rPr>
        <w:t>创业板上市公司股权激励计划自查表</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24"/>
        <w:gridCol w:w="5954"/>
        <w:gridCol w:w="141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9087" w:type="dxa"/>
            <w:gridSpan w:val="4"/>
            <w:shd w:val="clear" w:color="auto" w:fill="FFFFFF"/>
            <w:noWrap/>
            <w:tcMar>
              <w:top w:w="0" w:type="dxa"/>
              <w:left w:w="108" w:type="dxa"/>
              <w:bottom w:w="0" w:type="dxa"/>
              <w:right w:w="108" w:type="dxa"/>
            </w:tcMar>
            <w:vAlign w:val="center"/>
          </w:tcPr>
          <w:p>
            <w:pPr>
              <w:rPr>
                <w:rFonts w:ascii="Times New Roman" w:hAnsi="Times New Roman"/>
              </w:rPr>
            </w:pPr>
            <w:r>
              <w:rPr>
                <w:rFonts w:ascii="Times New Roman" w:hAnsi="Times New Roman"/>
                <w:b/>
                <w:bCs/>
              </w:rPr>
              <w:t>公司简称：                      股票代码：                   独立财务顾问(如有)：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5" w:hRule="atLeast"/>
          <w:jc w:val="center"/>
        </w:trPr>
        <w:tc>
          <w:tcPr>
            <w:tcW w:w="724" w:type="dxa"/>
            <w:shd w:val="clear" w:color="auto" w:fill="A6A6A6"/>
            <w:tcMar>
              <w:top w:w="0" w:type="dxa"/>
              <w:left w:w="108" w:type="dxa"/>
              <w:bottom w:w="0" w:type="dxa"/>
              <w:right w:w="108" w:type="dxa"/>
            </w:tcMar>
            <w:vAlign w:val="center"/>
          </w:tcPr>
          <w:p>
            <w:pPr>
              <w:jc w:val="center"/>
              <w:rPr>
                <w:rFonts w:ascii="Times New Roman" w:hAnsi="Times New Roman"/>
              </w:rPr>
            </w:pPr>
            <w:r>
              <w:rPr>
                <w:rFonts w:ascii="Times New Roman" w:hAnsi="Times New Roman"/>
                <w:b/>
                <w:bCs/>
              </w:rPr>
              <w:t>序号</w:t>
            </w:r>
          </w:p>
        </w:tc>
        <w:tc>
          <w:tcPr>
            <w:tcW w:w="5954" w:type="dxa"/>
            <w:shd w:val="clear" w:color="auto" w:fill="A6A6A6"/>
            <w:tcMar>
              <w:top w:w="0" w:type="dxa"/>
              <w:left w:w="108" w:type="dxa"/>
              <w:bottom w:w="0" w:type="dxa"/>
              <w:right w:w="108" w:type="dxa"/>
            </w:tcMar>
            <w:vAlign w:val="center"/>
          </w:tcPr>
          <w:p>
            <w:pPr>
              <w:jc w:val="center"/>
              <w:rPr>
                <w:rFonts w:ascii="Times New Roman" w:hAnsi="Times New Roman"/>
              </w:rPr>
            </w:pPr>
            <w:r>
              <w:rPr>
                <w:rFonts w:ascii="Times New Roman" w:hAnsi="Times New Roman"/>
                <w:b/>
                <w:bCs/>
              </w:rPr>
              <w:t>事项</w:t>
            </w:r>
          </w:p>
        </w:tc>
        <w:tc>
          <w:tcPr>
            <w:tcW w:w="1417" w:type="dxa"/>
            <w:shd w:val="clear" w:color="auto" w:fill="A6A6A6"/>
            <w:tcMar>
              <w:top w:w="0" w:type="dxa"/>
              <w:left w:w="108" w:type="dxa"/>
              <w:bottom w:w="0" w:type="dxa"/>
              <w:right w:w="108" w:type="dxa"/>
            </w:tcMar>
            <w:vAlign w:val="center"/>
          </w:tcPr>
          <w:p>
            <w:pPr>
              <w:jc w:val="center"/>
              <w:rPr>
                <w:rFonts w:ascii="Times New Roman" w:hAnsi="Times New Roman"/>
                <w:b/>
              </w:rPr>
            </w:pPr>
            <w:r>
              <w:rPr>
                <w:rFonts w:ascii="Times New Roman" w:hAnsi="Times New Roman"/>
                <w:b/>
                <w:bCs/>
              </w:rPr>
              <w:t>是否存在该事项（是/否/不适用）</w:t>
            </w:r>
          </w:p>
        </w:tc>
        <w:tc>
          <w:tcPr>
            <w:tcW w:w="992" w:type="dxa"/>
            <w:shd w:val="clear" w:color="auto" w:fill="A6A6A6"/>
            <w:tcMar>
              <w:top w:w="0" w:type="dxa"/>
              <w:left w:w="108" w:type="dxa"/>
              <w:bottom w:w="0" w:type="dxa"/>
              <w:right w:w="108" w:type="dxa"/>
            </w:tcMar>
            <w:vAlign w:val="center"/>
          </w:tcPr>
          <w:p>
            <w:pPr>
              <w:jc w:val="center"/>
              <w:rPr>
                <w:rFonts w:ascii="Times New Roman" w:hAnsi="Times New Roman"/>
                <w:b/>
              </w:rPr>
            </w:pPr>
            <w:r>
              <w:rPr>
                <w:rFonts w:ascii="Times New Roman" w:hAnsi="Times New Roman"/>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5"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b/>
                <w:bCs/>
              </w:rPr>
            </w:pPr>
            <w:r>
              <w:rPr>
                <w:rFonts w:ascii="Times New Roman" w:hAnsi="Times New Roman"/>
                <w:b/>
                <w:bCs/>
                <w:color w:val="000000"/>
                <w:kern w:val="0"/>
                <w:szCs w:val="21"/>
              </w:rPr>
              <w:t>上市公司合规性要求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bCs/>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1</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最近一个会计年度财务会计报告是否被注册会计师出具否定意见或者无法表示意见的审计报告</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2</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最近一个会计年度财务报告内部控制被注册会计师出具否定意见或者无法表示意见的审计报告</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3</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上市后最近36 个月内出现过未按法律法规、公司章程、公开承诺进行利润分配的情形</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4</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是否存在其他不适宜实施股权激励的情形</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5</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是否已经建立绩效考核体系和考核办法</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6</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是否为激励对象提供贷款以及其他任何形式的财务资助</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b/>
                <w:bCs/>
                <w:color w:val="000000"/>
                <w:kern w:val="0"/>
                <w:szCs w:val="21"/>
              </w:rPr>
              <w:t>激励对象合规性要求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7</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是否包括单独或者合计持有上市公司5%以上股份的股东或者实际控制人及其配偶、父母、子女以及外籍员工，如是，是否说明前述人员成为激励对象的必要性、合理性</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8</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是否包括独立董事、监事</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9</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是否最近12 个月内被证券交易所认定为不适当人选</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10</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最近12 个月内被中国证监会及其派出机构认定为不适当人选</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11</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最近12 个月内因重大违法违规行为被中国证监会及其派出机构行政处罚或者采取市场禁入措施</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12</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是否具有《公司法》规定的不得担任公司董事、</w:t>
            </w:r>
            <w:r>
              <w:rPr>
                <w:rFonts w:hint="eastAsia" w:ascii="Times New Roman" w:hAnsi="Times New Roman"/>
              </w:rPr>
              <w:t>高</w:t>
            </w:r>
            <w:r>
              <w:rPr>
                <w:rFonts w:ascii="Times New Roman" w:hAnsi="Times New Roman"/>
              </w:rPr>
              <w:t>级管理人员情形</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13</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是否存在其他不适宜成为激励对象的情形</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14</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激励名单是否经监事会核实</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b/>
                <w:bCs/>
                <w:color w:val="000000"/>
                <w:kern w:val="0"/>
                <w:szCs w:val="21"/>
              </w:rPr>
              <w:t>激励计划合规性要求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15</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上市公司全部在有效期内的股权激励计划所涉及的标的股票总数累计是否超过公司股本总额的20%</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16</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单一激励对象累计获授股票是否超过公司股本总额的1%</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17</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激励对象</w:t>
            </w:r>
            <w:r>
              <w:rPr>
                <w:rFonts w:ascii="Times New Roman" w:hAnsi="Times New Roman"/>
                <w:color w:val="000000"/>
                <w:kern w:val="0"/>
                <w:szCs w:val="21"/>
              </w:rPr>
              <w:t>预留权益比例是否未超过本次股权激励计划拟授予权益数量的20%</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2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18</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激励对象为董事、高级管理人员、单独或合计持股5%以上股东或实际控制人及其配偶、父母、子女以及外籍员工的，股权激励计划草案是否已列明其姓名、职务、获授数量</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19</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color w:val="000000"/>
                <w:kern w:val="0"/>
                <w:szCs w:val="21"/>
              </w:rPr>
              <w:t>股权激励计划的有效期从授权日起计算是否未超过10年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20</w:t>
            </w:r>
          </w:p>
        </w:tc>
        <w:tc>
          <w:tcPr>
            <w:tcW w:w="5954" w:type="dxa"/>
            <w:shd w:val="clear" w:color="auto" w:fill="FFFFFF"/>
            <w:tcMar>
              <w:top w:w="0" w:type="dxa"/>
              <w:left w:w="108" w:type="dxa"/>
              <w:bottom w:w="0" w:type="dxa"/>
              <w:right w:w="108" w:type="dxa"/>
            </w:tcMar>
            <w:vAlign w:val="center"/>
          </w:tcPr>
          <w:p>
            <w:pPr>
              <w:rPr>
                <w:rFonts w:ascii="Times New Roman" w:hAnsi="Times New Roman"/>
                <w:color w:val="000000"/>
                <w:kern w:val="0"/>
                <w:szCs w:val="21"/>
              </w:rPr>
            </w:pPr>
            <w:r>
              <w:rPr>
                <w:rFonts w:ascii="Times New Roman" w:hAnsi="Times New Roman"/>
              </w:rPr>
              <w:t>股权激励计划草案是否由薪酬与考核委员会负责拟定</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color w:val="000000"/>
                <w:kern w:val="0"/>
                <w:szCs w:val="21"/>
              </w:rPr>
            </w:pPr>
            <w:r>
              <w:rPr>
                <w:rFonts w:ascii="Times New Roman" w:hAnsi="Times New Roman"/>
                <w:b/>
                <w:bCs/>
                <w:color w:val="000000"/>
                <w:kern w:val="0"/>
                <w:szCs w:val="21"/>
              </w:rPr>
              <w:t>股权激励计划披露完整性要求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21</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股权激励计划所规定事项是否完整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（1）对照《股权激励管理办法》的规定，逐条说明是否存在上市公司不得实行股权激励以及激励对象不得参与股权激励的情形；说明股权激励计划的实施会否导致上市公司股权分布不符合上市条件</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（2）股权激励计划的目的、激励对象的确定依据和范围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7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3）股权激励计划拟授予的权益数量及占上市公司股本总额的比例；若分次实施的，每次拟授予的权益数量及占上市公司股本总额的比例；设置预留权益的，拟预留的权益数量及占股权激励计划权益总额的比例；所有在有效期内的股权激励计划所涉及的标的股票总数累计是否超过公司股本总额的20%及其计算方法的说明</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7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4）除预留部分外，激励对象为公司董事、高级管理人员的，应当披露其姓名、职务、各自可获授的权益数量、占股权激励计划拟授予权益总量的比例；其他激励对象（各自或者按适当分类）可获授的权益数量及占股权激励计划拟授出权益总量的比例；以及单个激励对象通过全部在有效期内的股权激励计划获授的公司股票累计是否超过公司股本总额1%的说明</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（5）股权激励计划的有效期、授权日或者授权日的确定方式、可行权日、锁定期安排等</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（6）限制性股票的授予价格、股票期权的行权价格及其确定方法。未采用《股权激励管理办法》第二十三条、第二十九条规定的方</w:t>
            </w:r>
            <w:r>
              <w:rPr>
                <w:rFonts w:hint="eastAsia" w:ascii="Times New Roman" w:hAnsi="Times New Roman"/>
              </w:rPr>
              <w:t>法</w:t>
            </w:r>
            <w:r>
              <w:rPr>
                <w:rFonts w:ascii="Times New Roman" w:hAnsi="Times New Roman"/>
              </w:rPr>
              <w:t>确定授予价格、行权价格的，应当对定价依据及定价方式作出说明，独立财务顾问核查该定价是否损害上市公司、中小股东利益，发表意见并披露</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7）激励对象获授权益、行使权益的条件。拟分次授出权益的，应当披露激励对象每次获授权益的条件；拟分期行使权益的，应当披露激励对象每次行使权益的条件；约定授予权益、行使权益条件未成就时，相关权益不得递延至下期；如激励对象包括董事和高级管理人员，应当披露激励对象行使权益的绩效考核指标；披露激励对象行使权益的绩效考核指标的，应当充分披露所设定指标的科学性和合理性；公司同时实行多期股权激励计划的，后期激励计划公司业绩指标如低于前期激励计划，应当充分说明原因及合理性</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（8）公司授予权益及激励对象行使权益的程序；当中，应当明确上市公司不得授出限制性股票以及激励对象不得行使权益的期间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（9）股权激励计划所涉及的权益数量、行权价格的调整方法和程序（例如实施利润分配、配股等方案时的调整方法）</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（10）股权激励会计处理方法，限制性股票或者股票期权公允价值的确定方法，估值模型重要参数取值及其合理性，实施股权激励应当计提费用及对上市公司经营业绩的影响</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（11）股权激励计划的变更、终止</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（12）公司发生控制权变更、合并、分立、激励对象发生职务变更、离职、死亡等事项时如何实施股权激励计划</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（13）公司与激励对象各自的权利义务，相关纠纷或者争端解决机制</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14）上市公司有关股权激励计划相关信息披露文件不存在虚假记载、误导性陈述或者重大遗漏的承诺；激励对象有关披露文件存在虚假记载、误导性陈述或者重大遗漏导致不符合授予权益或者行使权益情况下全部利益返还公司的承诺。上市公司权益回购注销和收益收回程序的触发标准和时点、回购价格和收益的计算原则、操作程序、完成期限等。</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b/>
                <w:bCs/>
                <w:color w:val="000000"/>
                <w:kern w:val="0"/>
                <w:szCs w:val="21"/>
              </w:rPr>
              <w:t>绩效考核指标是否符合相关要求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22</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color w:val="000000"/>
                <w:kern w:val="0"/>
                <w:szCs w:val="21"/>
              </w:rPr>
              <w:t>是否包括公司业绩指标和激励对象个人绩效指标</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23</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color w:val="000000"/>
                <w:kern w:val="0"/>
                <w:szCs w:val="21"/>
              </w:rPr>
              <w:t>指标是否客观公开、清晰透明，符合公司的实际情况，是否有利于促进公司竞争力的提升</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24</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color w:val="000000"/>
                <w:kern w:val="0"/>
                <w:szCs w:val="21"/>
              </w:rPr>
              <w:t>以同行业可比公司相关指标作为对照依据的，选取的对照公司是否不少于3家</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25</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color w:val="000000"/>
                <w:kern w:val="0"/>
                <w:szCs w:val="21"/>
              </w:rPr>
              <w:t>是否说明设定指标的科学性和合理性</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color w:val="000000"/>
                <w:kern w:val="0"/>
                <w:szCs w:val="21"/>
              </w:rPr>
            </w:pPr>
            <w:r>
              <w:rPr>
                <w:rFonts w:ascii="Times New Roman" w:hAnsi="Times New Roman"/>
                <w:b/>
                <w:bCs/>
                <w:color w:val="000000"/>
                <w:kern w:val="0"/>
                <w:szCs w:val="21"/>
              </w:rPr>
              <w:t>限售期、归属期、行权期合规性要求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26</w:t>
            </w:r>
          </w:p>
        </w:tc>
        <w:tc>
          <w:tcPr>
            <w:tcW w:w="5954" w:type="dxa"/>
            <w:shd w:val="clear" w:color="auto" w:fill="FFFFFF"/>
            <w:tcMar>
              <w:top w:w="0" w:type="dxa"/>
              <w:left w:w="108" w:type="dxa"/>
              <w:bottom w:w="0" w:type="dxa"/>
              <w:right w:w="108" w:type="dxa"/>
            </w:tcMar>
          </w:tcPr>
          <w:p>
            <w:pPr>
              <w:rPr>
                <w:rFonts w:ascii="Times New Roman" w:hAnsi="Times New Roman"/>
              </w:rPr>
            </w:pPr>
            <w:r>
              <w:rPr>
                <w:rFonts w:ascii="Times New Roman" w:hAnsi="Times New Roman"/>
              </w:rPr>
              <w:t>限制性股票（一类）授权</w:t>
            </w:r>
            <w:r>
              <w:rPr>
                <w:rFonts w:ascii="Times New Roman" w:hAnsi="Times New Roman"/>
                <w:color w:val="000000"/>
                <w:kern w:val="0"/>
                <w:szCs w:val="21"/>
              </w:rPr>
              <w:t>登记</w:t>
            </w:r>
            <w:r>
              <w:rPr>
                <w:rFonts w:ascii="Times New Roman" w:hAnsi="Times New Roman"/>
              </w:rPr>
              <w:t>日与首次解除解限日之间的间隔是否少于1年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27</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color w:val="000000"/>
                <w:kern w:val="0"/>
                <w:szCs w:val="21"/>
              </w:rPr>
              <w:t>每期解除限售时限是否未少于12个月</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28</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color w:val="000000"/>
                <w:kern w:val="0"/>
                <w:szCs w:val="21"/>
              </w:rPr>
              <w:t>各期解除限售的比例是否未超过激励对象获授限制性股票总额的50%</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29</w:t>
            </w:r>
          </w:p>
        </w:tc>
        <w:tc>
          <w:tcPr>
            <w:tcW w:w="5954" w:type="dxa"/>
            <w:shd w:val="clear" w:color="auto" w:fill="FFFFFF"/>
            <w:tcMar>
              <w:top w:w="0" w:type="dxa"/>
              <w:left w:w="108" w:type="dxa"/>
              <w:bottom w:w="0" w:type="dxa"/>
              <w:right w:w="108" w:type="dxa"/>
            </w:tcMar>
            <w:vAlign w:val="center"/>
          </w:tcPr>
          <w:p>
            <w:pPr>
              <w:rPr>
                <w:rFonts w:ascii="Times New Roman" w:hAnsi="Times New Roman"/>
                <w:color w:val="000000"/>
                <w:kern w:val="0"/>
                <w:szCs w:val="21"/>
              </w:rPr>
            </w:pPr>
            <w:r>
              <w:rPr>
                <w:rFonts w:ascii="Times New Roman" w:hAnsi="Times New Roman"/>
                <w:color w:val="000000"/>
                <w:kern w:val="0"/>
                <w:szCs w:val="21"/>
              </w:rPr>
              <w:t>限制性股票（二类）授予日与首次归属日之间的间隔</w:t>
            </w:r>
            <w:r>
              <w:rPr>
                <w:rFonts w:ascii="Times New Roman" w:hAnsi="Times New Roman"/>
              </w:rPr>
              <w:t>是否少于1年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30</w:t>
            </w:r>
          </w:p>
        </w:tc>
        <w:tc>
          <w:tcPr>
            <w:tcW w:w="5954" w:type="dxa"/>
            <w:shd w:val="clear" w:color="auto" w:fill="FFFFFF"/>
            <w:tcMar>
              <w:top w:w="0" w:type="dxa"/>
              <w:left w:w="108" w:type="dxa"/>
              <w:bottom w:w="0" w:type="dxa"/>
              <w:right w:w="108" w:type="dxa"/>
            </w:tcMar>
            <w:vAlign w:val="center"/>
          </w:tcPr>
          <w:p>
            <w:pPr>
              <w:rPr>
                <w:rFonts w:ascii="Times New Roman" w:hAnsi="Times New Roman"/>
                <w:color w:val="000000"/>
                <w:kern w:val="0"/>
                <w:szCs w:val="21"/>
              </w:rPr>
            </w:pPr>
            <w:r>
              <w:rPr>
                <w:rFonts w:ascii="Times New Roman" w:hAnsi="Times New Roman"/>
                <w:color w:val="000000"/>
                <w:kern w:val="0"/>
                <w:szCs w:val="21"/>
              </w:rPr>
              <w:t>每个归属期的时限是否未少于12个月</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31</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各期归属比例是否</w:t>
            </w:r>
            <w:r>
              <w:rPr>
                <w:rFonts w:ascii="Times New Roman" w:hAnsi="Times New Roman"/>
                <w:color w:val="000000"/>
                <w:kern w:val="0"/>
                <w:szCs w:val="21"/>
              </w:rPr>
              <w:t>未超过激励对象获授限制性股票总额的50%</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hint="eastAsia" w:ascii="Times New Roman" w:hAnsi="Times New Roman"/>
              </w:rPr>
              <w:t>32</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股票期权授权日与首次可以行权日之间的间隔是否少于1年</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3</w:t>
            </w:r>
            <w:r>
              <w:rPr>
                <w:rFonts w:hint="eastAsia" w:ascii="Times New Roman" w:hAnsi="Times New Roman"/>
              </w:rPr>
              <w:t>3</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color w:val="000000"/>
                <w:kern w:val="0"/>
                <w:szCs w:val="21"/>
              </w:rPr>
              <w:t>股票期权后一行权期的起算日是否不早于前一行权期的届满日</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3</w:t>
            </w:r>
            <w:r>
              <w:rPr>
                <w:rFonts w:hint="eastAsia" w:ascii="Times New Roman" w:hAnsi="Times New Roman"/>
              </w:rPr>
              <w:t>4</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color w:val="000000"/>
                <w:kern w:val="0"/>
                <w:szCs w:val="21"/>
              </w:rPr>
              <w:t>股票期权每期行权时限是否不少于12个月</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3</w:t>
            </w:r>
            <w:r>
              <w:rPr>
                <w:rFonts w:hint="eastAsia" w:ascii="Times New Roman" w:hAnsi="Times New Roman"/>
              </w:rPr>
              <w:t>5</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color w:val="000000"/>
                <w:kern w:val="0"/>
                <w:szCs w:val="21"/>
              </w:rPr>
              <w:t>股票期权每期可行权的股票期权比例是否未超过激励对象获授股票期权总额的50%</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color w:val="000000"/>
                <w:kern w:val="0"/>
                <w:szCs w:val="21"/>
              </w:rPr>
            </w:pPr>
            <w:r>
              <w:rPr>
                <w:rFonts w:ascii="Times New Roman" w:hAnsi="Times New Roman"/>
                <w:b/>
                <w:bCs/>
                <w:color w:val="000000"/>
                <w:kern w:val="0"/>
                <w:szCs w:val="21"/>
              </w:rPr>
              <w:t>监事会及中介机构专业意见合规性要求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3</w:t>
            </w:r>
            <w:r>
              <w:rPr>
                <w:rFonts w:hint="eastAsia" w:ascii="Times New Roman" w:hAnsi="Times New Roman"/>
              </w:rPr>
              <w:t>6</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监事会是否就股权激励计划是否有利于上市公司的持续发展、是否存在明显损害上市公司及全体股东利益发表意见</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3</w:t>
            </w:r>
            <w:r>
              <w:rPr>
                <w:rFonts w:hint="eastAsia" w:ascii="Times New Roman" w:hAnsi="Times New Roman"/>
              </w:rPr>
              <w:t>7</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上市公司是否聘请律师事务所出具法律意见书，并按照《股权激励管理办法》的规定发表专业意见</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（1）上市公司是否符合《股权激励管理办法》规定的实行股权激励的条件</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（2）股权激励计划的内容是否符合《股权激励管理办法》的规定</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（3）股权激励计划的拟订、审议、公示等程序是否符合《股权激励管理办法》的规定</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（4）股权激励对象的确定是否符合《股权激励管理办法》及相关法律法规的规定</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（5）上市公司是否已按照中国证监会的相关要求履行信息披露义务</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（6）上市公司是否为激励对象提供财务资助</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（7）股权激励计划是否存在明显损害上市公司及全体股东利益和违反有关法律、行政法规的情形</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（8）拟作为激励对象的董事或者与其存在关联关系的董事是否根据《股权激励管理办法》的规定进行了回避</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8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（9）其他应当说明的事项</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3</w:t>
            </w:r>
            <w:r>
              <w:rPr>
                <w:rFonts w:hint="eastAsia" w:ascii="Times New Roman" w:hAnsi="Times New Roman"/>
              </w:rPr>
              <w:t>8</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上市公司如聘请独立财务顾问，独立财务顾问报告所发表的专业意见是否完整，符合《股权激励管理办法》的要求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6678" w:type="dxa"/>
            <w:gridSpan w:val="2"/>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b/>
                <w:bCs/>
                <w:color w:val="000000"/>
                <w:kern w:val="0"/>
                <w:szCs w:val="21"/>
              </w:rPr>
              <w:t>审议程序合规性要求</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b/>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ascii="Times New Roman" w:hAnsi="Times New Roman"/>
              </w:rPr>
              <w:t>3</w:t>
            </w:r>
            <w:r>
              <w:rPr>
                <w:rFonts w:hint="eastAsia" w:ascii="Times New Roman" w:hAnsi="Times New Roman"/>
              </w:rPr>
              <w:t>9</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董事会表决股权激励计划草案时，关联董事是否回避表决</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hint="eastAsia" w:ascii="Times New Roman" w:hAnsi="Times New Roman"/>
              </w:rPr>
              <w:t>40</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股东大会审议股权激励计划草案时，关联股东是否拟回避表决</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jc w:val="center"/>
        </w:trPr>
        <w:tc>
          <w:tcPr>
            <w:tcW w:w="724" w:type="dxa"/>
            <w:shd w:val="clear" w:color="auto" w:fill="FFFFFF"/>
            <w:tcMar>
              <w:top w:w="0" w:type="dxa"/>
              <w:left w:w="108" w:type="dxa"/>
              <w:bottom w:w="0" w:type="dxa"/>
              <w:right w:w="108" w:type="dxa"/>
            </w:tcMar>
            <w:vAlign w:val="center"/>
          </w:tcPr>
          <w:p>
            <w:pPr>
              <w:jc w:val="center"/>
              <w:rPr>
                <w:rFonts w:ascii="Times New Roman" w:hAnsi="Times New Roman"/>
              </w:rPr>
            </w:pPr>
            <w:r>
              <w:rPr>
                <w:rFonts w:hint="eastAsia" w:ascii="Times New Roman" w:hAnsi="Times New Roman"/>
              </w:rPr>
              <w:t>41</w:t>
            </w:r>
          </w:p>
        </w:tc>
        <w:tc>
          <w:tcPr>
            <w:tcW w:w="5954" w:type="dxa"/>
            <w:shd w:val="clear" w:color="auto" w:fill="FFFFFF"/>
            <w:tcMar>
              <w:top w:w="0" w:type="dxa"/>
              <w:left w:w="108" w:type="dxa"/>
              <w:bottom w:w="0" w:type="dxa"/>
              <w:right w:w="108" w:type="dxa"/>
            </w:tcMar>
            <w:vAlign w:val="center"/>
          </w:tcPr>
          <w:p>
            <w:pPr>
              <w:rPr>
                <w:rFonts w:ascii="Times New Roman" w:hAnsi="Times New Roman"/>
              </w:rPr>
            </w:pPr>
            <w:r>
              <w:rPr>
                <w:rFonts w:ascii="Times New Roman" w:hAnsi="Times New Roman"/>
              </w:rPr>
              <w:t>是否存在金融创新事项</w:t>
            </w:r>
          </w:p>
        </w:tc>
        <w:tc>
          <w:tcPr>
            <w:tcW w:w="1417" w:type="dxa"/>
            <w:shd w:val="clear" w:color="auto" w:fill="FFFFFF"/>
            <w:tcMar>
              <w:top w:w="0" w:type="dxa"/>
              <w:left w:w="108" w:type="dxa"/>
              <w:bottom w:w="0" w:type="dxa"/>
              <w:right w:w="108" w:type="dxa"/>
            </w:tcMar>
            <w:vAlign w:val="center"/>
          </w:tcPr>
          <w:p>
            <w:pPr>
              <w:jc w:val="center"/>
              <w:rPr>
                <w:rFonts w:ascii="Times New Roman" w:hAnsi="Times New Roman"/>
              </w:rPr>
            </w:pPr>
          </w:p>
        </w:tc>
        <w:tc>
          <w:tcPr>
            <w:tcW w:w="992" w:type="dxa"/>
            <w:shd w:val="clear" w:color="auto" w:fill="FFFFFF"/>
            <w:tcMar>
              <w:top w:w="0" w:type="dxa"/>
              <w:left w:w="108" w:type="dxa"/>
              <w:bottom w:w="0" w:type="dxa"/>
              <w:right w:w="108" w:type="dxa"/>
            </w:tcMar>
            <w:vAlign w:val="center"/>
          </w:tcPr>
          <w:p>
            <w:pPr>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1" w:hRule="atLeast"/>
          <w:jc w:val="center"/>
        </w:trPr>
        <w:tc>
          <w:tcPr>
            <w:tcW w:w="9087" w:type="dxa"/>
            <w:gridSpan w:val="4"/>
            <w:shd w:val="clear" w:color="auto" w:fill="FFFFFF"/>
            <w:tcMar>
              <w:top w:w="0" w:type="dxa"/>
              <w:left w:w="108" w:type="dxa"/>
              <w:bottom w:w="0" w:type="dxa"/>
              <w:right w:w="108" w:type="dxa"/>
            </w:tcMar>
            <w:vAlign w:val="center"/>
          </w:tcPr>
          <w:p>
            <w:pPr>
              <w:ind w:firstLine="420" w:firstLineChars="200"/>
              <w:rPr>
                <w:rFonts w:ascii="Times New Roman" w:hAnsi="Times New Roman"/>
              </w:rPr>
            </w:pPr>
            <w:r>
              <w:rPr>
                <w:rFonts w:ascii="Times New Roman" w:hAnsi="Times New Roman"/>
              </w:rPr>
              <w:t xml:space="preserve">本公司保证所填写的情况真实、准确、完整、合法，并承担因所填写情况有误所产生的一切法律责任。                                                           </w:t>
            </w:r>
          </w:p>
          <w:p>
            <w:pPr>
              <w:rPr>
                <w:rFonts w:ascii="Times New Roman" w:hAnsi="Times New Roman"/>
              </w:rPr>
            </w:pPr>
            <w:r>
              <w:rPr>
                <w:rFonts w:ascii="Times New Roman" w:hAnsi="Times New Roman"/>
              </w:rPr>
              <w:t> </w:t>
            </w:r>
          </w:p>
          <w:p>
            <w:pPr>
              <w:rPr>
                <w:rFonts w:ascii="Times New Roman" w:hAnsi="Times New Roman"/>
              </w:rPr>
            </w:pPr>
            <w:r>
              <w:rPr>
                <w:rFonts w:ascii="Times New Roman" w:hAnsi="Times New Roman"/>
              </w:rPr>
              <w:t>                                                                                          年    月    日</w:t>
            </w:r>
          </w:p>
        </w:tc>
      </w:tr>
    </w:tbl>
    <w:p/>
    <w:p>
      <w:pPr>
        <w:widowControl/>
        <w:jc w:val="left"/>
        <w:rPr>
          <w:rFonts w:ascii="黑体" w:hAnsi="黑体" w:eastAsia="黑体"/>
          <w:sz w:val="32"/>
          <w:szCs w:val="20"/>
        </w:rPr>
      </w:pPr>
      <w:r>
        <w:br w:type="page"/>
      </w:r>
      <w:r>
        <w:rPr>
          <w:rFonts w:hint="eastAsia" w:ascii="黑体" w:hAnsi="黑体" w:eastAsia="黑体"/>
          <w:sz w:val="32"/>
          <w:szCs w:val="20"/>
        </w:rPr>
        <w:t>附件2</w:t>
      </w:r>
    </w:p>
    <w:p>
      <w:pPr>
        <w:widowControl/>
        <w:spacing w:line="560" w:lineRule="exact"/>
        <w:jc w:val="left"/>
        <w:rPr>
          <w:rFonts w:ascii="黑体" w:hAnsi="黑体" w:eastAsia="黑体"/>
          <w:sz w:val="32"/>
          <w:szCs w:val="32"/>
        </w:rPr>
      </w:pPr>
    </w:p>
    <w:p>
      <w:pPr>
        <w:spacing w:line="560" w:lineRule="exact"/>
        <w:jc w:val="center"/>
        <w:rPr>
          <w:rFonts w:ascii="方正小标宋简体" w:hAnsi="黑体" w:eastAsia="方正小标宋简体"/>
          <w:bCs/>
          <w:sz w:val="32"/>
          <w:szCs w:val="32"/>
        </w:rPr>
      </w:pPr>
      <w:r>
        <w:rPr>
          <w:rFonts w:hint="eastAsia" w:ascii="方正小标宋简体" w:hAnsi="黑体" w:eastAsia="方正小标宋简体"/>
          <w:bCs/>
          <w:sz w:val="32"/>
          <w:szCs w:val="32"/>
        </w:rPr>
        <w:t>创业板上市公司股权激励计划授予登记申请表</w:t>
      </w:r>
    </w:p>
    <w:p>
      <w:pPr>
        <w:spacing w:line="560" w:lineRule="exact"/>
        <w:ind w:firstLine="640" w:firstLineChars="200"/>
        <w:jc w:val="center"/>
        <w:rPr>
          <w:rFonts w:ascii="黑体" w:hAnsi="黑体" w:eastAsia="黑体"/>
          <w:b/>
          <w:sz w:val="32"/>
          <w:szCs w:val="32"/>
        </w:rPr>
      </w:pPr>
      <w:r>
        <w:rPr>
          <w:rFonts w:hint="eastAsia" w:ascii="黑体" w:hAnsi="黑体" w:eastAsia="黑体"/>
          <w:sz w:val="32"/>
          <w:szCs w:val="32"/>
        </w:rPr>
        <w:t>（第一类限制性股票适用）</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5"/>
        <w:gridCol w:w="2295"/>
        <w:gridCol w:w="2188"/>
        <w:gridCol w:w="1277"/>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71" w:type="dxa"/>
            <w:gridSpan w:val="5"/>
            <w:shd w:val="clear" w:color="auto" w:fill="A6A6A6"/>
          </w:tcPr>
          <w:p>
            <w:pPr>
              <w:jc w:val="center"/>
              <w:rPr>
                <w:rFonts w:ascii="宋体" w:hAnsi="宋体"/>
                <w:b/>
                <w:color w:val="000000"/>
                <w:szCs w:val="21"/>
              </w:rPr>
            </w:pPr>
            <w:r>
              <w:rPr>
                <w:rFonts w:hint="eastAsia" w:ascii="宋体" w:hAnsi="宋体"/>
                <w:b/>
                <w:color w:val="000000"/>
                <w:szCs w:val="21"/>
              </w:rPr>
              <w:t>股权激励计划限制性股票授予情况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ascii="宋体" w:hAnsi="宋体"/>
                <w:szCs w:val="21"/>
              </w:rPr>
            </w:pPr>
            <w:r>
              <w:rPr>
                <w:rFonts w:hint="eastAsia" w:ascii="宋体" w:hAnsi="宋体"/>
                <w:szCs w:val="21"/>
              </w:rPr>
              <w:t>公司简称</w:t>
            </w:r>
          </w:p>
        </w:tc>
        <w:tc>
          <w:tcPr>
            <w:tcW w:w="2295" w:type="dxa"/>
            <w:tcBorders>
              <w:bottom w:val="single" w:color="auto" w:sz="4" w:space="0"/>
            </w:tcBorders>
            <w:vAlign w:val="center"/>
          </w:tcPr>
          <w:p>
            <w:pPr>
              <w:jc w:val="center"/>
              <w:rPr>
                <w:rFonts w:ascii="宋体" w:hAnsi="宋体"/>
                <w:szCs w:val="21"/>
              </w:rPr>
            </w:pPr>
          </w:p>
        </w:tc>
        <w:tc>
          <w:tcPr>
            <w:tcW w:w="2188" w:type="dxa"/>
            <w:tcBorders>
              <w:bottom w:val="single" w:color="auto" w:sz="4" w:space="0"/>
            </w:tcBorders>
            <w:vAlign w:val="center"/>
          </w:tcPr>
          <w:p>
            <w:pPr>
              <w:jc w:val="center"/>
              <w:rPr>
                <w:rFonts w:ascii="宋体" w:hAnsi="宋体"/>
                <w:szCs w:val="21"/>
              </w:rPr>
            </w:pPr>
            <w:r>
              <w:rPr>
                <w:rFonts w:hint="eastAsia" w:ascii="宋体" w:hAnsi="宋体"/>
                <w:szCs w:val="21"/>
              </w:rPr>
              <w:t>股票代码</w:t>
            </w:r>
          </w:p>
        </w:tc>
        <w:tc>
          <w:tcPr>
            <w:tcW w:w="2853" w:type="dxa"/>
            <w:gridSpan w:val="2"/>
            <w:tcBorders>
              <w:bottom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2535" w:type="dxa"/>
            <w:tcBorders>
              <w:bottom w:val="single" w:color="auto" w:sz="4" w:space="0"/>
            </w:tcBorders>
            <w:vAlign w:val="center"/>
          </w:tcPr>
          <w:p>
            <w:pPr>
              <w:jc w:val="center"/>
              <w:rPr>
                <w:rFonts w:ascii="宋体" w:hAnsi="宋体"/>
                <w:color w:val="000000"/>
                <w:szCs w:val="21"/>
              </w:rPr>
            </w:pPr>
            <w:r>
              <w:rPr>
                <w:rFonts w:hint="eastAsia" w:ascii="宋体" w:hAnsi="宋体"/>
                <w:szCs w:val="21"/>
              </w:rPr>
              <w:t>本次</w:t>
            </w:r>
            <w:r>
              <w:rPr>
                <w:rFonts w:hint="eastAsia" w:ascii="宋体" w:hAnsi="宋体"/>
                <w:color w:val="000000"/>
                <w:szCs w:val="21"/>
              </w:rPr>
              <w:t>激励计划</w:t>
            </w:r>
          </w:p>
          <w:p>
            <w:pPr>
              <w:jc w:val="center"/>
              <w:rPr>
                <w:rFonts w:ascii="宋体" w:hAnsi="宋体"/>
                <w:szCs w:val="21"/>
              </w:rPr>
            </w:pPr>
            <w:r>
              <w:rPr>
                <w:rFonts w:hint="eastAsia" w:ascii="宋体" w:hAnsi="宋体"/>
                <w:color w:val="000000"/>
                <w:szCs w:val="21"/>
              </w:rPr>
              <w:t>授予股份数量</w:t>
            </w:r>
          </w:p>
        </w:tc>
        <w:tc>
          <w:tcPr>
            <w:tcW w:w="2295" w:type="dxa"/>
            <w:tcBorders>
              <w:bottom w:val="single" w:color="auto" w:sz="4" w:space="0"/>
            </w:tcBorders>
            <w:vAlign w:val="center"/>
          </w:tcPr>
          <w:p>
            <w:pPr>
              <w:ind w:left="210" w:hanging="210" w:hangingChars="100"/>
              <w:jc w:val="center"/>
              <w:rPr>
                <w:rFonts w:ascii="宋体" w:hAnsi="宋体"/>
                <w:szCs w:val="21"/>
              </w:rPr>
            </w:pPr>
          </w:p>
        </w:tc>
        <w:tc>
          <w:tcPr>
            <w:tcW w:w="2188" w:type="dxa"/>
            <w:tcBorders>
              <w:bottom w:val="single" w:color="auto" w:sz="4" w:space="0"/>
            </w:tcBorders>
            <w:vAlign w:val="center"/>
          </w:tcPr>
          <w:p>
            <w:pPr>
              <w:ind w:left="1"/>
              <w:jc w:val="center"/>
              <w:rPr>
                <w:rFonts w:ascii="宋体" w:hAnsi="宋体"/>
                <w:szCs w:val="21"/>
              </w:rPr>
            </w:pPr>
            <w:r>
              <w:rPr>
                <w:rFonts w:hint="eastAsia" w:ascii="宋体" w:hAnsi="宋体"/>
                <w:szCs w:val="21"/>
              </w:rPr>
              <w:t>占授予前上市公司</w:t>
            </w:r>
          </w:p>
          <w:p>
            <w:pPr>
              <w:ind w:left="1"/>
              <w:jc w:val="center"/>
              <w:rPr>
                <w:rFonts w:ascii="宋体" w:hAnsi="宋体"/>
                <w:szCs w:val="21"/>
              </w:rPr>
            </w:pPr>
            <w:r>
              <w:rPr>
                <w:rFonts w:hint="eastAsia" w:ascii="宋体" w:hAnsi="宋体"/>
                <w:szCs w:val="21"/>
              </w:rPr>
              <w:t>总股本的比例</w:t>
            </w:r>
          </w:p>
        </w:tc>
        <w:tc>
          <w:tcPr>
            <w:tcW w:w="2853" w:type="dxa"/>
            <w:gridSpan w:val="2"/>
            <w:tcBorders>
              <w:bottom w:val="single" w:color="auto" w:sz="4" w:space="0"/>
            </w:tcBorders>
            <w:vAlign w:val="center"/>
          </w:tcPr>
          <w:p>
            <w:pPr>
              <w:ind w:left="210" w:hanging="210" w:hanging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jc w:val="center"/>
        </w:trPr>
        <w:tc>
          <w:tcPr>
            <w:tcW w:w="2535" w:type="dxa"/>
            <w:tcBorders>
              <w:bottom w:val="single" w:color="auto" w:sz="4" w:space="0"/>
            </w:tcBorders>
            <w:vAlign w:val="center"/>
          </w:tcPr>
          <w:p>
            <w:pPr>
              <w:ind w:left="1"/>
              <w:jc w:val="center"/>
              <w:rPr>
                <w:rFonts w:ascii="宋体" w:hAnsi="宋体"/>
                <w:color w:val="000000"/>
                <w:szCs w:val="21"/>
              </w:rPr>
            </w:pPr>
            <w:r>
              <w:rPr>
                <w:rFonts w:hint="eastAsia" w:ascii="宋体" w:hAnsi="宋体"/>
                <w:szCs w:val="21"/>
              </w:rPr>
              <w:t>本次</w:t>
            </w:r>
            <w:r>
              <w:rPr>
                <w:rFonts w:hint="eastAsia" w:ascii="宋体" w:hAnsi="宋体"/>
                <w:color w:val="000000"/>
                <w:szCs w:val="21"/>
              </w:rPr>
              <w:t>授予限制性</w:t>
            </w:r>
          </w:p>
          <w:p>
            <w:pPr>
              <w:ind w:left="1"/>
              <w:jc w:val="center"/>
              <w:rPr>
                <w:rFonts w:ascii="宋体" w:hAnsi="宋体"/>
                <w:szCs w:val="21"/>
              </w:rPr>
            </w:pPr>
            <w:r>
              <w:rPr>
                <w:rFonts w:hint="eastAsia" w:ascii="宋体" w:hAnsi="宋体"/>
                <w:color w:val="000000"/>
                <w:szCs w:val="21"/>
              </w:rPr>
              <w:t>股票</w:t>
            </w:r>
            <w:r>
              <w:rPr>
                <w:rFonts w:hint="eastAsia" w:ascii="宋体" w:hAnsi="宋体"/>
                <w:szCs w:val="21"/>
              </w:rPr>
              <w:t>股份来源</w:t>
            </w:r>
          </w:p>
        </w:tc>
        <w:tc>
          <w:tcPr>
            <w:tcW w:w="2295" w:type="dxa"/>
            <w:tcBorders>
              <w:bottom w:val="single" w:color="auto" w:sz="4" w:space="0"/>
            </w:tcBorders>
            <w:vAlign w:val="center"/>
          </w:tcPr>
          <w:p>
            <w:pPr>
              <w:numPr>
                <w:ilvl w:val="0"/>
                <w:numId w:val="2"/>
              </w:numPr>
              <w:rPr>
                <w:rFonts w:ascii="宋体" w:hAnsi="宋体"/>
                <w:szCs w:val="21"/>
              </w:rPr>
            </w:pPr>
            <w:r>
              <w:rPr>
                <w:rFonts w:hint="eastAsia" w:ascii="宋体" w:hAnsi="宋体"/>
                <w:szCs w:val="21"/>
              </w:rPr>
              <w:t>向激励对象发行新增</w:t>
            </w:r>
          </w:p>
          <w:p>
            <w:pPr>
              <w:numPr>
                <w:ilvl w:val="0"/>
                <w:numId w:val="2"/>
              </w:numPr>
              <w:rPr>
                <w:rFonts w:ascii="宋体" w:hAnsi="宋体"/>
                <w:szCs w:val="21"/>
              </w:rPr>
            </w:pPr>
            <w:r>
              <w:rPr>
                <w:rFonts w:hint="eastAsia" w:ascii="宋体" w:hAnsi="宋体"/>
                <w:szCs w:val="21"/>
              </w:rPr>
              <w:t xml:space="preserve">二级市场购入  </w:t>
            </w:r>
          </w:p>
          <w:p>
            <w:pPr>
              <w:numPr>
                <w:ilvl w:val="0"/>
                <w:numId w:val="2"/>
              </w:numPr>
              <w:rPr>
                <w:rFonts w:ascii="宋体" w:hAnsi="宋体"/>
                <w:szCs w:val="21"/>
              </w:rPr>
            </w:pPr>
            <w:r>
              <w:rPr>
                <w:rFonts w:hint="eastAsia" w:ascii="宋体" w:hAnsi="宋体"/>
                <w:szCs w:val="21"/>
              </w:rPr>
              <w:t>其他</w:t>
            </w:r>
          </w:p>
        </w:tc>
        <w:tc>
          <w:tcPr>
            <w:tcW w:w="2188" w:type="dxa"/>
            <w:tcBorders>
              <w:bottom w:val="single" w:color="auto" w:sz="4" w:space="0"/>
            </w:tcBorders>
            <w:vAlign w:val="center"/>
          </w:tcPr>
          <w:p>
            <w:pPr>
              <w:ind w:left="1"/>
              <w:jc w:val="center"/>
              <w:rPr>
                <w:rFonts w:ascii="宋体" w:hAnsi="宋体"/>
                <w:szCs w:val="21"/>
              </w:rPr>
            </w:pPr>
            <w:r>
              <w:rPr>
                <w:rFonts w:hint="eastAsia" w:ascii="宋体" w:hAnsi="宋体"/>
                <w:szCs w:val="21"/>
              </w:rPr>
              <w:t>股份状态</w:t>
            </w:r>
          </w:p>
        </w:tc>
        <w:tc>
          <w:tcPr>
            <w:tcW w:w="2853" w:type="dxa"/>
            <w:gridSpan w:val="2"/>
            <w:tcBorders>
              <w:bottom w:val="single" w:color="auto" w:sz="4" w:space="0"/>
            </w:tcBorders>
            <w:vAlign w:val="center"/>
          </w:tcPr>
          <w:p>
            <w:pPr>
              <w:ind w:left="210" w:hanging="210" w:hangingChars="100"/>
              <w:jc w:val="center"/>
              <w:rPr>
                <w:rFonts w:ascii="宋体" w:hAnsi="宋体"/>
                <w:szCs w:val="21"/>
              </w:rPr>
            </w:pPr>
            <w:r>
              <w:rPr>
                <w:rFonts w:hint="eastAsia" w:ascii="宋体" w:hAnsi="宋体"/>
                <w:szCs w:val="21"/>
              </w:rPr>
              <w:t>□有限售条件股份</w:t>
            </w:r>
          </w:p>
          <w:p>
            <w:pPr>
              <w:ind w:left="210" w:hanging="210" w:hangingChars="100"/>
              <w:jc w:val="center"/>
              <w:rPr>
                <w:rFonts w:ascii="宋体" w:hAnsi="宋体"/>
                <w:szCs w:val="21"/>
              </w:rPr>
            </w:pPr>
            <w:r>
              <w:rPr>
                <w:rFonts w:hint="eastAsia" w:ascii="宋体" w:hAnsi="宋体"/>
                <w:szCs w:val="21"/>
              </w:rPr>
              <w:t>□无限售条件股份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ind w:left="1"/>
              <w:jc w:val="center"/>
              <w:rPr>
                <w:rFonts w:ascii="宋体" w:hAnsi="宋体"/>
                <w:color w:val="000000"/>
                <w:szCs w:val="21"/>
              </w:rPr>
            </w:pPr>
            <w:r>
              <w:rPr>
                <w:rFonts w:hint="eastAsia" w:ascii="宋体" w:hAnsi="宋体"/>
                <w:szCs w:val="21"/>
              </w:rPr>
              <w:t>本次</w:t>
            </w:r>
            <w:r>
              <w:rPr>
                <w:rFonts w:hint="eastAsia" w:ascii="宋体" w:hAnsi="宋体"/>
                <w:color w:val="000000"/>
                <w:szCs w:val="21"/>
              </w:rPr>
              <w:t>授予限制性</w:t>
            </w:r>
          </w:p>
          <w:p>
            <w:pPr>
              <w:ind w:left="1"/>
              <w:jc w:val="center"/>
              <w:rPr>
                <w:rFonts w:ascii="宋体" w:hAnsi="宋体"/>
                <w:szCs w:val="21"/>
              </w:rPr>
            </w:pPr>
            <w:r>
              <w:rPr>
                <w:rFonts w:hint="eastAsia" w:ascii="宋体" w:hAnsi="宋体"/>
                <w:color w:val="000000"/>
                <w:szCs w:val="21"/>
              </w:rPr>
              <w:t>股票</w:t>
            </w:r>
            <w:r>
              <w:rPr>
                <w:rFonts w:hint="eastAsia" w:ascii="宋体" w:hAnsi="宋体"/>
                <w:szCs w:val="21"/>
              </w:rPr>
              <w:t>总人数</w:t>
            </w:r>
          </w:p>
        </w:tc>
        <w:tc>
          <w:tcPr>
            <w:tcW w:w="2295" w:type="dxa"/>
            <w:tcBorders>
              <w:bottom w:val="single" w:color="auto" w:sz="4" w:space="0"/>
            </w:tcBorders>
            <w:vAlign w:val="center"/>
          </w:tcPr>
          <w:p>
            <w:pPr>
              <w:ind w:left="210" w:hanging="210" w:hangingChars="100"/>
              <w:jc w:val="center"/>
              <w:rPr>
                <w:rFonts w:ascii="宋体" w:hAnsi="宋体"/>
                <w:szCs w:val="21"/>
              </w:rPr>
            </w:pPr>
          </w:p>
        </w:tc>
        <w:tc>
          <w:tcPr>
            <w:tcW w:w="2188" w:type="dxa"/>
            <w:vMerge w:val="restart"/>
            <w:vAlign w:val="center"/>
          </w:tcPr>
          <w:p>
            <w:pPr>
              <w:ind w:left="1"/>
              <w:jc w:val="center"/>
              <w:rPr>
                <w:rFonts w:ascii="宋体" w:hAnsi="宋体"/>
                <w:color w:val="000000"/>
                <w:szCs w:val="21"/>
              </w:rPr>
            </w:pPr>
            <w:r>
              <w:rPr>
                <w:rFonts w:hint="eastAsia" w:ascii="宋体" w:hAnsi="宋体"/>
                <w:szCs w:val="21"/>
              </w:rPr>
              <w:t>本次</w:t>
            </w:r>
            <w:r>
              <w:rPr>
                <w:rFonts w:hint="eastAsia" w:ascii="宋体" w:hAnsi="宋体"/>
                <w:color w:val="000000"/>
                <w:szCs w:val="21"/>
              </w:rPr>
              <w:t>授予限制性</w:t>
            </w:r>
          </w:p>
          <w:p>
            <w:pPr>
              <w:ind w:left="1"/>
              <w:jc w:val="center"/>
              <w:rPr>
                <w:rFonts w:ascii="宋体" w:hAnsi="宋体"/>
                <w:szCs w:val="21"/>
              </w:rPr>
            </w:pPr>
            <w:r>
              <w:rPr>
                <w:rFonts w:hint="eastAsia" w:ascii="宋体" w:hAnsi="宋体"/>
                <w:color w:val="000000"/>
                <w:szCs w:val="21"/>
              </w:rPr>
              <w:t>股票锁定情况</w:t>
            </w:r>
          </w:p>
        </w:tc>
        <w:tc>
          <w:tcPr>
            <w:tcW w:w="2853" w:type="dxa"/>
            <w:gridSpan w:val="2"/>
            <w:vMerge w:val="restart"/>
            <w:vAlign w:val="center"/>
          </w:tcPr>
          <w:p>
            <w:pPr>
              <w:ind w:left="210" w:hanging="210" w:hangingChars="100"/>
              <w:jc w:val="center"/>
              <w:rPr>
                <w:rFonts w:ascii="宋体" w:hAnsi="宋体"/>
                <w:szCs w:val="21"/>
              </w:rPr>
            </w:pPr>
            <w:r>
              <w:rPr>
                <w:rFonts w:hint="eastAsia" w:ascii="宋体" w:hAnsi="宋体"/>
                <w:szCs w:val="21"/>
              </w:rPr>
              <w:t>锁定时间和分几期解除限售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ind w:left="1"/>
              <w:jc w:val="center"/>
              <w:rPr>
                <w:rFonts w:ascii="宋体" w:hAnsi="宋体"/>
                <w:szCs w:val="21"/>
              </w:rPr>
            </w:pPr>
            <w:r>
              <w:rPr>
                <w:rFonts w:hint="eastAsia" w:ascii="宋体" w:hAnsi="宋体"/>
                <w:szCs w:val="21"/>
              </w:rPr>
              <w:t>限制性股票授予日期</w:t>
            </w:r>
          </w:p>
        </w:tc>
        <w:tc>
          <w:tcPr>
            <w:tcW w:w="2295" w:type="dxa"/>
            <w:tcBorders>
              <w:bottom w:val="single" w:color="auto" w:sz="4" w:space="0"/>
            </w:tcBorders>
            <w:vAlign w:val="center"/>
          </w:tcPr>
          <w:p>
            <w:pPr>
              <w:ind w:left="210" w:hanging="210" w:hangingChars="100"/>
              <w:jc w:val="center"/>
              <w:rPr>
                <w:rFonts w:ascii="宋体" w:hAnsi="宋体"/>
                <w:szCs w:val="21"/>
              </w:rPr>
            </w:pPr>
          </w:p>
        </w:tc>
        <w:tc>
          <w:tcPr>
            <w:tcW w:w="2188" w:type="dxa"/>
            <w:vMerge w:val="continue"/>
            <w:vAlign w:val="center"/>
          </w:tcPr>
          <w:p>
            <w:pPr>
              <w:ind w:left="1"/>
              <w:jc w:val="center"/>
              <w:rPr>
                <w:rFonts w:ascii="宋体" w:hAnsi="宋体"/>
                <w:szCs w:val="21"/>
              </w:rPr>
            </w:pPr>
          </w:p>
        </w:tc>
        <w:tc>
          <w:tcPr>
            <w:tcW w:w="2853" w:type="dxa"/>
            <w:gridSpan w:val="2"/>
            <w:vMerge w:val="continue"/>
            <w:vAlign w:val="center"/>
          </w:tcPr>
          <w:p>
            <w:pPr>
              <w:ind w:left="210" w:hanging="210" w:hanging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0" w:hRule="atLeast"/>
          <w:jc w:val="center"/>
        </w:trPr>
        <w:tc>
          <w:tcPr>
            <w:tcW w:w="9871" w:type="dxa"/>
            <w:gridSpan w:val="5"/>
            <w:tcBorders>
              <w:bottom w:val="single" w:color="auto" w:sz="4" w:space="0"/>
            </w:tcBorders>
          </w:tcPr>
          <w:p>
            <w:pPr>
              <w:rPr>
                <w:rFonts w:ascii="宋体" w:hAnsi="宋体" w:cs="宋体"/>
                <w:b/>
                <w:bCs/>
                <w:kern w:val="0"/>
                <w:szCs w:val="21"/>
              </w:rPr>
            </w:pPr>
            <w:r>
              <w:rPr>
                <w:rFonts w:hint="eastAsia" w:ascii="宋体" w:hAnsi="宋体"/>
                <w:szCs w:val="21"/>
              </w:rPr>
              <w:t>本次股权激励计划所经过的董事会、股东大会等相关程序说明：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8295" w:type="dxa"/>
            <w:gridSpan w:val="4"/>
            <w:tcBorders>
              <w:bottom w:val="single" w:color="auto" w:sz="4" w:space="0"/>
            </w:tcBorders>
            <w:shd w:val="clear" w:color="auto" w:fill="A6A6A6"/>
            <w:vAlign w:val="center"/>
          </w:tcPr>
          <w:p>
            <w:pPr>
              <w:jc w:val="center"/>
              <w:rPr>
                <w:rFonts w:ascii="宋体" w:hAnsi="宋体"/>
                <w:b/>
                <w:szCs w:val="21"/>
              </w:rPr>
            </w:pPr>
            <w:r>
              <w:rPr>
                <w:rFonts w:hint="eastAsia" w:ascii="宋体" w:hAnsi="宋体" w:cs="宋体"/>
                <w:b/>
                <w:bCs/>
                <w:kern w:val="0"/>
                <w:szCs w:val="21"/>
              </w:rPr>
              <w:t>申 报 材 料</w:t>
            </w:r>
          </w:p>
        </w:tc>
        <w:tc>
          <w:tcPr>
            <w:tcW w:w="1576" w:type="dxa"/>
            <w:tcBorders>
              <w:bottom w:val="single" w:color="auto" w:sz="4" w:space="0"/>
            </w:tcBorders>
            <w:shd w:val="clear" w:color="auto" w:fill="A6A6A6"/>
            <w:vAlign w:val="center"/>
          </w:tcPr>
          <w:p>
            <w:pPr>
              <w:jc w:val="center"/>
              <w:rPr>
                <w:rFonts w:ascii="宋体" w:hAnsi="宋体"/>
                <w:b/>
                <w:szCs w:val="21"/>
              </w:rPr>
            </w:pPr>
            <w:r>
              <w:rPr>
                <w:rFonts w:hint="eastAsia" w:ascii="宋体" w:hAnsi="宋体" w:cs="宋体"/>
                <w:b/>
                <w:bCs/>
                <w:kern w:val="0"/>
                <w:szCs w:val="21"/>
              </w:rPr>
              <w:t>是否齐备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8295" w:type="dxa"/>
            <w:gridSpan w:val="4"/>
            <w:tcBorders>
              <w:bottom w:val="single" w:color="auto" w:sz="4" w:space="0"/>
            </w:tcBorders>
            <w:vAlign w:val="center"/>
          </w:tcPr>
          <w:p>
            <w:pPr>
              <w:widowControl/>
              <w:rPr>
                <w:rFonts w:ascii="宋体" w:hAnsi="宋体" w:cs="宋体"/>
                <w:kern w:val="0"/>
                <w:szCs w:val="21"/>
              </w:rPr>
            </w:pPr>
            <w:r>
              <w:rPr>
                <w:rFonts w:hint="eastAsia" w:ascii="宋体" w:hAnsi="宋体" w:cs="宋体"/>
                <w:kern w:val="0"/>
                <w:szCs w:val="21"/>
              </w:rPr>
              <w:t>1．上市公司董事会关于实施股权激励计划的决议；</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8295" w:type="dxa"/>
            <w:gridSpan w:val="4"/>
            <w:tcBorders>
              <w:bottom w:val="single" w:color="auto" w:sz="4" w:space="0"/>
            </w:tcBorders>
          </w:tcPr>
          <w:p>
            <w:pPr>
              <w:rPr>
                <w:rFonts w:ascii="宋体" w:hAnsi="宋体"/>
                <w:szCs w:val="21"/>
              </w:rPr>
            </w:pPr>
            <w:r>
              <w:rPr>
                <w:rFonts w:hint="eastAsia" w:ascii="宋体" w:hAnsi="宋体" w:cs="宋体"/>
                <w:kern w:val="0"/>
                <w:szCs w:val="21"/>
              </w:rPr>
              <w:t>2．有权部门的批复文件(如需)；</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8295" w:type="dxa"/>
            <w:gridSpan w:val="4"/>
            <w:tcBorders>
              <w:bottom w:val="single" w:color="auto" w:sz="4" w:space="0"/>
            </w:tcBorders>
          </w:tcPr>
          <w:p>
            <w:pPr>
              <w:rPr>
                <w:rFonts w:ascii="宋体" w:hAnsi="宋体"/>
                <w:szCs w:val="21"/>
              </w:rPr>
            </w:pPr>
            <w:r>
              <w:rPr>
                <w:rFonts w:hint="eastAsia" w:ascii="宋体" w:hAnsi="宋体"/>
                <w:szCs w:val="21"/>
              </w:rPr>
              <w:t>3．</w:t>
            </w:r>
            <w:r>
              <w:rPr>
                <w:rFonts w:hint="eastAsia" w:ascii="宋体" w:hAnsi="宋体" w:cs="宋体"/>
                <w:kern w:val="0"/>
                <w:szCs w:val="21"/>
              </w:rPr>
              <w:t>会计师事务所验资报告；</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8295" w:type="dxa"/>
            <w:gridSpan w:val="4"/>
            <w:tcBorders>
              <w:bottom w:val="single" w:color="auto" w:sz="4" w:space="0"/>
            </w:tcBorders>
          </w:tcPr>
          <w:p>
            <w:pPr>
              <w:rPr>
                <w:rFonts w:ascii="宋体" w:hAnsi="宋体"/>
                <w:szCs w:val="21"/>
              </w:rPr>
            </w:pPr>
            <w:r>
              <w:rPr>
                <w:rFonts w:hint="eastAsia" w:ascii="宋体" w:hAnsi="宋体"/>
                <w:szCs w:val="21"/>
              </w:rPr>
              <w:t>4．</w:t>
            </w:r>
            <w:r>
              <w:rPr>
                <w:rFonts w:hint="eastAsia" w:ascii="宋体" w:hAnsi="宋体" w:cs="宋体"/>
                <w:kern w:val="0"/>
                <w:szCs w:val="21"/>
              </w:rPr>
              <w:t>监事会对激励对象名单的核实意见；</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8295" w:type="dxa"/>
            <w:gridSpan w:val="4"/>
            <w:tcBorders>
              <w:bottom w:val="single" w:color="auto" w:sz="4" w:space="0"/>
            </w:tcBorders>
          </w:tcPr>
          <w:p>
            <w:pPr>
              <w:rPr>
                <w:rFonts w:ascii="宋体" w:hAnsi="宋体"/>
                <w:szCs w:val="21"/>
              </w:rPr>
            </w:pPr>
            <w:r>
              <w:rPr>
                <w:rFonts w:hint="eastAsia" w:ascii="宋体" w:hAnsi="宋体"/>
                <w:szCs w:val="21"/>
              </w:rPr>
              <w:t>5．</w:t>
            </w:r>
            <w:r>
              <w:rPr>
                <w:rFonts w:hint="eastAsia" w:ascii="宋体" w:hAnsi="宋体" w:cs="宋体"/>
                <w:kern w:val="0"/>
                <w:szCs w:val="21"/>
              </w:rPr>
              <w:t>监事会意见；</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4"/>
            <w:tcBorders>
              <w:bottom w:val="single" w:color="auto" w:sz="4" w:space="0"/>
            </w:tcBorders>
            <w:vAlign w:val="center"/>
          </w:tcPr>
          <w:p>
            <w:pPr>
              <w:widowControl/>
              <w:rPr>
                <w:rFonts w:ascii="宋体" w:hAnsi="宋体" w:cs="宋体"/>
                <w:kern w:val="0"/>
                <w:szCs w:val="21"/>
              </w:rPr>
            </w:pPr>
            <w:r>
              <w:rPr>
                <w:rFonts w:hint="eastAsia" w:ascii="宋体" w:hAnsi="宋体" w:cs="宋体"/>
                <w:kern w:val="0"/>
                <w:szCs w:val="21"/>
              </w:rPr>
              <w:t>6．法律意见书；</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4"/>
            <w:tcBorders>
              <w:bottom w:val="single" w:color="auto" w:sz="4" w:space="0"/>
            </w:tcBorders>
            <w:vAlign w:val="center"/>
          </w:tcPr>
          <w:p>
            <w:pPr>
              <w:widowControl/>
              <w:rPr>
                <w:rFonts w:ascii="宋体" w:hAnsi="宋体" w:cs="宋体"/>
                <w:kern w:val="0"/>
                <w:szCs w:val="21"/>
              </w:rPr>
            </w:pPr>
            <w:r>
              <w:rPr>
                <w:rFonts w:hint="eastAsia" w:ascii="宋体" w:hAnsi="宋体" w:cs="宋体"/>
                <w:kern w:val="0"/>
                <w:szCs w:val="21"/>
              </w:rPr>
              <w:t>7．独立财务顾问报告（如有）；</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4"/>
            <w:tcBorders>
              <w:bottom w:val="single" w:color="auto" w:sz="4" w:space="0"/>
            </w:tcBorders>
            <w:vAlign w:val="center"/>
          </w:tcPr>
          <w:p>
            <w:pPr>
              <w:widowControl/>
              <w:rPr>
                <w:rFonts w:ascii="宋体" w:hAnsi="宋体" w:cs="宋体"/>
                <w:kern w:val="0"/>
                <w:szCs w:val="21"/>
              </w:rPr>
            </w:pPr>
            <w:r>
              <w:rPr>
                <w:rFonts w:hint="eastAsia" w:ascii="宋体" w:hAnsi="宋体" w:cs="宋体"/>
                <w:kern w:val="0"/>
                <w:szCs w:val="21"/>
              </w:rPr>
              <w:t>8．激励对象名单及个人证券账户情况说明；</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4"/>
            <w:tcBorders>
              <w:bottom w:val="single" w:color="auto" w:sz="4" w:space="0"/>
            </w:tcBorders>
            <w:vAlign w:val="center"/>
          </w:tcPr>
          <w:p>
            <w:pPr>
              <w:widowControl/>
              <w:rPr>
                <w:rFonts w:ascii="宋体" w:hAnsi="宋体" w:cs="宋体"/>
                <w:kern w:val="0"/>
                <w:szCs w:val="21"/>
              </w:rPr>
            </w:pPr>
            <w:r>
              <w:rPr>
                <w:rFonts w:hint="eastAsia" w:ascii="宋体" w:hAnsi="宋体" w:cs="宋体"/>
                <w:kern w:val="0"/>
                <w:szCs w:val="21"/>
              </w:rPr>
              <w:t>9．本所规定的其他内容。</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9871" w:type="dxa"/>
            <w:gridSpan w:val="5"/>
            <w:shd w:val="clear" w:color="auto" w:fill="B3B3B3"/>
          </w:tcPr>
          <w:p>
            <w:pPr>
              <w:widowControl/>
              <w:jc w:val="center"/>
              <w:rPr>
                <w:rFonts w:ascii="宋体" w:hAnsi="宋体" w:cs="宋体"/>
                <w:b/>
                <w:bCs/>
                <w:kern w:val="0"/>
                <w:szCs w:val="21"/>
              </w:rPr>
            </w:pPr>
            <w:r>
              <w:rPr>
                <w:rFonts w:hint="eastAsia" w:ascii="宋体" w:hAnsi="宋体" w:cs="宋体"/>
                <w:b/>
                <w:bCs/>
                <w:kern w:val="0"/>
                <w:szCs w:val="21"/>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8" w:hRule="atLeast"/>
          <w:jc w:val="center"/>
        </w:trPr>
        <w:tc>
          <w:tcPr>
            <w:tcW w:w="9871" w:type="dxa"/>
            <w:gridSpan w:val="5"/>
            <w:tcBorders>
              <w:bottom w:val="single" w:color="auto" w:sz="4" w:space="0"/>
            </w:tcBorders>
          </w:tcPr>
          <w:p>
            <w:pPr>
              <w:widowControl/>
              <w:ind w:firstLine="540"/>
              <w:rPr>
                <w:rFonts w:ascii="宋体" w:hAnsi="宋体" w:cs="宋体"/>
                <w:bCs/>
                <w:kern w:val="0"/>
                <w:szCs w:val="21"/>
              </w:rPr>
            </w:pPr>
            <w:r>
              <w:rPr>
                <w:rFonts w:hint="eastAsia" w:ascii="宋体" w:hAnsi="宋体"/>
                <w:szCs w:val="21"/>
              </w:rPr>
              <w:t>本公司董事会保证上述材料的真实、准确、完整、合法，特向深圳证券交易所、中国证券登记结算有限责任公司深圳分公司申请办理限制性股票授予登记手续。</w:t>
            </w:r>
            <w:r>
              <w:rPr>
                <w:rFonts w:hint="eastAsia" w:ascii="宋体" w:hAnsi="宋体" w:cs="宋体"/>
                <w:bCs/>
                <w:kern w:val="0"/>
                <w:szCs w:val="21"/>
              </w:rPr>
              <w:t xml:space="preserve">                                                                     </w:t>
            </w:r>
          </w:p>
          <w:p>
            <w:pPr>
              <w:widowControl/>
              <w:ind w:firstLine="480"/>
              <w:jc w:val="right"/>
              <w:rPr>
                <w:rFonts w:ascii="宋体" w:hAnsi="宋体" w:cs="宋体"/>
                <w:bCs/>
                <w:kern w:val="0"/>
                <w:szCs w:val="21"/>
              </w:rPr>
            </w:pPr>
          </w:p>
          <w:p>
            <w:pPr>
              <w:widowControl/>
              <w:ind w:firstLine="480"/>
              <w:jc w:val="right"/>
              <w:rPr>
                <w:rFonts w:ascii="宋体" w:hAnsi="宋体" w:cs="宋体"/>
                <w:bCs/>
                <w:kern w:val="0"/>
                <w:szCs w:val="21"/>
              </w:rPr>
            </w:pPr>
          </w:p>
          <w:p>
            <w:pPr>
              <w:widowControl/>
              <w:ind w:right="484" w:firstLine="480"/>
              <w:jc w:val="right"/>
              <w:rPr>
                <w:rFonts w:ascii="宋体" w:hAnsi="宋体" w:cs="宋体"/>
                <w:bCs/>
                <w:kern w:val="0"/>
                <w:szCs w:val="21"/>
              </w:rPr>
            </w:pPr>
            <w:r>
              <w:rPr>
                <w:rFonts w:hint="eastAsia" w:ascii="宋体" w:hAnsi="宋体"/>
                <w:szCs w:val="21"/>
              </w:rPr>
              <w:t>XXX股份有限公司董事会</w:t>
            </w:r>
            <w:r>
              <w:rPr>
                <w:rFonts w:hint="eastAsia" w:ascii="宋体" w:hAnsi="宋体" w:cs="宋体"/>
                <w:bCs/>
                <w:kern w:val="0"/>
                <w:szCs w:val="21"/>
              </w:rPr>
              <w:t xml:space="preserve">（董事会章）                                                                  </w:t>
            </w:r>
          </w:p>
          <w:p>
            <w:pPr>
              <w:widowControl/>
              <w:ind w:right="964" w:firstLine="480"/>
              <w:jc w:val="center"/>
              <w:rPr>
                <w:rFonts w:ascii="宋体" w:hAnsi="宋体" w:cs="宋体"/>
                <w:b/>
                <w:bCs/>
                <w:kern w:val="0"/>
                <w:szCs w:val="21"/>
              </w:rPr>
            </w:pPr>
            <w:r>
              <w:rPr>
                <w:rFonts w:hint="eastAsia" w:ascii="宋体" w:hAnsi="宋体" w:cs="宋体"/>
                <w:bCs/>
                <w:kern w:val="0"/>
                <w:szCs w:val="21"/>
              </w:rPr>
              <w:t xml:space="preserve">                                           年  月  日 </w:t>
            </w:r>
          </w:p>
        </w:tc>
      </w:tr>
    </w:tbl>
    <w:p>
      <w:pPr>
        <w:rPr>
          <w:rFonts w:ascii="仿宋_GB2312" w:eastAsia="仿宋_GB2312"/>
          <w:color w:val="000000"/>
          <w:sz w:val="28"/>
          <w:szCs w:val="28"/>
        </w:rPr>
      </w:pPr>
    </w:p>
    <w:p>
      <w:pPr>
        <w:rPr>
          <w:rFonts w:ascii="黑体" w:hAnsi="黑体" w:eastAsia="黑体"/>
          <w:sz w:val="32"/>
          <w:szCs w:val="32"/>
        </w:rPr>
      </w:pPr>
      <w:r>
        <w:rPr>
          <w:rFonts w:ascii="仿宋_GB2312" w:eastAsia="仿宋_GB2312"/>
          <w:color w:val="000000"/>
          <w:sz w:val="28"/>
          <w:szCs w:val="28"/>
        </w:rPr>
        <w:br w:type="page"/>
      </w:r>
      <w:r>
        <w:rPr>
          <w:rFonts w:hint="eastAsia" w:ascii="黑体" w:hAnsi="黑体" w:eastAsia="黑体"/>
          <w:sz w:val="32"/>
          <w:szCs w:val="32"/>
        </w:rPr>
        <w:t>附件3</w:t>
      </w:r>
    </w:p>
    <w:p>
      <w:pPr>
        <w:spacing w:line="560" w:lineRule="exact"/>
        <w:rPr>
          <w:rFonts w:ascii="黑体" w:hAnsi="黑体" w:eastAsia="黑体"/>
          <w:sz w:val="32"/>
          <w:szCs w:val="32"/>
        </w:rPr>
      </w:pPr>
    </w:p>
    <w:p>
      <w:pPr>
        <w:spacing w:line="560" w:lineRule="exact"/>
        <w:jc w:val="center"/>
        <w:rPr>
          <w:rFonts w:ascii="方正小标宋简体" w:hAnsi="黑体" w:eastAsia="方正小标宋简体"/>
          <w:bCs/>
          <w:sz w:val="32"/>
          <w:szCs w:val="32"/>
        </w:rPr>
      </w:pPr>
      <w:r>
        <w:rPr>
          <w:rFonts w:hint="eastAsia" w:ascii="方正小标宋简体" w:hAnsi="黑体" w:eastAsia="方正小标宋简体"/>
          <w:bCs/>
          <w:sz w:val="32"/>
          <w:szCs w:val="32"/>
        </w:rPr>
        <w:t>创业板上市公司股权激励计划授予登记申请表</w:t>
      </w:r>
    </w:p>
    <w:p>
      <w:pPr>
        <w:spacing w:line="560" w:lineRule="exact"/>
        <w:jc w:val="center"/>
        <w:rPr>
          <w:rFonts w:ascii="宋体" w:hAnsi="宋体"/>
          <w:b/>
        </w:rPr>
      </w:pPr>
      <w:r>
        <w:rPr>
          <w:rFonts w:hint="eastAsia" w:ascii="方正小标宋简体" w:hAnsi="黑体" w:eastAsia="方正小标宋简体"/>
          <w:bCs/>
          <w:sz w:val="28"/>
        </w:rPr>
        <w:t>（股票期权适用）</w:t>
      </w:r>
    </w:p>
    <w:tbl>
      <w:tblPr>
        <w:tblStyle w:val="56"/>
        <w:tblW w:w="0" w:type="auto"/>
        <w:jc w:val="center"/>
        <w:tblLayout w:type="fixed"/>
        <w:tblCellMar>
          <w:top w:w="0" w:type="dxa"/>
          <w:left w:w="108" w:type="dxa"/>
          <w:bottom w:w="0" w:type="dxa"/>
          <w:right w:w="108" w:type="dxa"/>
        </w:tblCellMar>
      </w:tblPr>
      <w:tblGrid>
        <w:gridCol w:w="2171"/>
        <w:gridCol w:w="1870"/>
        <w:gridCol w:w="2226"/>
        <w:gridCol w:w="626"/>
        <w:gridCol w:w="1629"/>
      </w:tblGrid>
      <w:tr>
        <w:tblPrEx>
          <w:tblCellMar>
            <w:top w:w="0" w:type="dxa"/>
            <w:left w:w="108" w:type="dxa"/>
            <w:bottom w:w="0" w:type="dxa"/>
            <w:right w:w="108" w:type="dxa"/>
          </w:tblCellMar>
        </w:tblPrEx>
        <w:trPr>
          <w:trHeight w:val="465" w:hRule="atLeast"/>
          <w:jc w:val="center"/>
        </w:trPr>
        <w:tc>
          <w:tcPr>
            <w:tcW w:w="8522" w:type="dxa"/>
            <w:gridSpan w:val="5"/>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cs="宋体"/>
                <w:b/>
                <w:bCs/>
                <w:kern w:val="0"/>
                <w:szCs w:val="21"/>
              </w:rPr>
            </w:pPr>
            <w:r>
              <w:rPr>
                <w:rFonts w:hint="eastAsia" w:ascii="宋体" w:hAnsi="宋体" w:cs="宋体"/>
                <w:b/>
                <w:bCs/>
                <w:kern w:val="0"/>
                <w:szCs w:val="21"/>
              </w:rPr>
              <w:t>基本情况</w:t>
            </w:r>
          </w:p>
        </w:tc>
      </w:tr>
      <w:tr>
        <w:tblPrEx>
          <w:tblCellMar>
            <w:top w:w="0" w:type="dxa"/>
            <w:left w:w="108" w:type="dxa"/>
            <w:bottom w:w="0" w:type="dxa"/>
            <w:right w:w="108" w:type="dxa"/>
          </w:tblCellMar>
        </w:tblPrEx>
        <w:trPr>
          <w:trHeight w:val="465" w:hRule="atLeast"/>
          <w:jc w:val="center"/>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公司名称</w:t>
            </w:r>
          </w:p>
        </w:tc>
        <w:tc>
          <w:tcPr>
            <w:tcW w:w="6351" w:type="dxa"/>
            <w:gridSpan w:val="4"/>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465" w:hRule="atLeast"/>
          <w:jc w:val="center"/>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公司简称</w:t>
            </w:r>
          </w:p>
        </w:tc>
        <w:tc>
          <w:tcPr>
            <w:tcW w:w="187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26" w:type="dxa"/>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股票代码</w:t>
            </w:r>
          </w:p>
        </w:tc>
        <w:tc>
          <w:tcPr>
            <w:tcW w:w="2255"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CellMar>
            <w:top w:w="0" w:type="dxa"/>
            <w:left w:w="108" w:type="dxa"/>
            <w:bottom w:w="0" w:type="dxa"/>
            <w:right w:w="108" w:type="dxa"/>
          </w:tblCellMar>
        </w:tblPrEx>
        <w:trPr>
          <w:trHeight w:val="465" w:hRule="atLeast"/>
          <w:jc w:val="center"/>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申请的期权简称</w:t>
            </w:r>
          </w:p>
        </w:tc>
        <w:tc>
          <w:tcPr>
            <w:tcW w:w="187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xml:space="preserve">  </w:t>
            </w:r>
          </w:p>
        </w:tc>
        <w:tc>
          <w:tcPr>
            <w:tcW w:w="2226" w:type="dxa"/>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p>
        </w:tc>
        <w:tc>
          <w:tcPr>
            <w:tcW w:w="2255"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p>
        </w:tc>
      </w:tr>
      <w:tr>
        <w:tblPrEx>
          <w:tblCellMar>
            <w:top w:w="0" w:type="dxa"/>
            <w:left w:w="108" w:type="dxa"/>
            <w:bottom w:w="0" w:type="dxa"/>
            <w:right w:w="108" w:type="dxa"/>
          </w:tblCellMar>
        </w:tblPrEx>
        <w:trPr>
          <w:trHeight w:val="465" w:hRule="atLeast"/>
          <w:jc w:val="center"/>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期权数量（万份）</w:t>
            </w:r>
          </w:p>
        </w:tc>
        <w:tc>
          <w:tcPr>
            <w:tcW w:w="187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26" w:type="dxa"/>
            <w:tcBorders>
              <w:top w:val="nil"/>
              <w:left w:val="nil"/>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分几期行权</w:t>
            </w:r>
          </w:p>
        </w:tc>
        <w:tc>
          <w:tcPr>
            <w:tcW w:w="225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 xml:space="preserve">       期</w:t>
            </w:r>
          </w:p>
        </w:tc>
      </w:tr>
      <w:tr>
        <w:tblPrEx>
          <w:tblCellMar>
            <w:top w:w="0" w:type="dxa"/>
            <w:left w:w="108" w:type="dxa"/>
            <w:bottom w:w="0" w:type="dxa"/>
            <w:right w:w="108" w:type="dxa"/>
          </w:tblCellMar>
        </w:tblPrEx>
        <w:trPr>
          <w:trHeight w:val="465" w:hRule="atLeast"/>
          <w:jc w:val="center"/>
        </w:trPr>
        <w:tc>
          <w:tcPr>
            <w:tcW w:w="2171"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kern w:val="0"/>
                <w:szCs w:val="21"/>
              </w:rPr>
            </w:pPr>
            <w:r>
              <w:rPr>
                <w:rFonts w:hint="eastAsia" w:ascii="宋体" w:hAnsi="宋体" w:cs="宋体"/>
                <w:b/>
                <w:bCs/>
                <w:kern w:val="0"/>
                <w:szCs w:val="21"/>
              </w:rPr>
              <w:t>期权有效期限</w:t>
            </w:r>
          </w:p>
        </w:tc>
        <w:tc>
          <w:tcPr>
            <w:tcW w:w="6351" w:type="dxa"/>
            <w:gridSpan w:val="4"/>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期权生效日期：                 期权有效期：    年</w:t>
            </w:r>
          </w:p>
        </w:tc>
      </w:tr>
      <w:tr>
        <w:tblPrEx>
          <w:tblCellMar>
            <w:top w:w="0" w:type="dxa"/>
            <w:left w:w="108" w:type="dxa"/>
            <w:bottom w:w="0" w:type="dxa"/>
            <w:right w:w="108" w:type="dxa"/>
          </w:tblCellMar>
        </w:tblPrEx>
        <w:trPr>
          <w:trHeight w:val="465"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bCs/>
                <w:kern w:val="0"/>
                <w:szCs w:val="21"/>
              </w:rPr>
            </w:pPr>
            <w:r>
              <w:rPr>
                <w:rFonts w:hint="eastAsia" w:ascii="宋体" w:hAnsi="宋体" w:cs="宋体"/>
                <w:b/>
                <w:bCs/>
                <w:kern w:val="0"/>
                <w:szCs w:val="21"/>
              </w:rPr>
              <w:t>股权激励计划简要说明</w:t>
            </w:r>
          </w:p>
          <w:p>
            <w:pPr>
              <w:widowControl/>
              <w:jc w:val="center"/>
              <w:rPr>
                <w:rFonts w:ascii="宋体" w:hAnsi="宋体" w:cs="宋体"/>
                <w:b/>
                <w:bCs/>
                <w:kern w:val="0"/>
                <w:szCs w:val="21"/>
              </w:rPr>
            </w:pPr>
          </w:p>
          <w:p>
            <w:pPr>
              <w:widowControl/>
              <w:jc w:val="center"/>
              <w:rPr>
                <w:rFonts w:ascii="宋体" w:hAnsi="宋体" w:cs="宋体"/>
                <w:b/>
                <w:bCs/>
                <w:kern w:val="0"/>
                <w:szCs w:val="21"/>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cs="宋体"/>
                <w:b/>
                <w:bCs/>
                <w:kern w:val="0"/>
                <w:szCs w:val="21"/>
              </w:rPr>
            </w:pPr>
            <w:r>
              <w:rPr>
                <w:rFonts w:hint="eastAsia" w:ascii="宋体" w:hAnsi="宋体" w:cs="宋体"/>
                <w:b/>
                <w:bCs/>
                <w:kern w:val="0"/>
                <w:szCs w:val="21"/>
              </w:rPr>
              <w:t>申 报 材 料</w:t>
            </w:r>
          </w:p>
        </w:tc>
        <w:tc>
          <w:tcPr>
            <w:tcW w:w="1629" w:type="dxa"/>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cs="宋体"/>
                <w:b/>
                <w:bCs/>
                <w:kern w:val="0"/>
                <w:szCs w:val="21"/>
              </w:rPr>
            </w:pPr>
            <w:r>
              <w:rPr>
                <w:rFonts w:hint="eastAsia" w:ascii="宋体" w:hAnsi="宋体" w:cs="宋体"/>
                <w:b/>
                <w:bCs/>
                <w:kern w:val="0"/>
                <w:szCs w:val="21"/>
              </w:rPr>
              <w:t>是否齐备</w:t>
            </w: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r>
              <w:rPr>
                <w:rFonts w:hint="eastAsia" w:ascii="宋体" w:hAnsi="宋体" w:cs="宋体"/>
                <w:kern w:val="0"/>
                <w:szCs w:val="21"/>
              </w:rPr>
              <w:t>1．上市公司董事会关于实施股权激励计划的决议；</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r>
              <w:rPr>
                <w:rFonts w:hint="eastAsia" w:ascii="宋体" w:hAnsi="宋体"/>
                <w:kern w:val="0"/>
                <w:szCs w:val="21"/>
              </w:rPr>
              <w:t>2．激励对象名单及其个人证券账户情况说明；</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r>
              <w:rPr>
                <w:rFonts w:hint="eastAsia" w:ascii="宋体" w:hAnsi="宋体" w:cs="宋体"/>
                <w:kern w:val="0"/>
                <w:szCs w:val="21"/>
              </w:rPr>
              <w:t>3．有权部门的批复文件(如需)；</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r>
              <w:rPr>
                <w:rFonts w:hint="eastAsia" w:ascii="宋体" w:hAnsi="宋体" w:cs="宋体"/>
                <w:kern w:val="0"/>
                <w:szCs w:val="21"/>
              </w:rPr>
              <w:t>4．监事会对激励对象名单的核实意见；</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r>
              <w:rPr>
                <w:rFonts w:hint="eastAsia" w:ascii="宋体" w:hAnsi="宋体" w:cs="宋体"/>
                <w:kern w:val="0"/>
                <w:szCs w:val="21"/>
              </w:rPr>
              <w:t>5．监事会意见；</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r>
              <w:rPr>
                <w:rFonts w:hint="eastAsia" w:ascii="宋体" w:hAnsi="宋体" w:cs="宋体"/>
                <w:kern w:val="0"/>
                <w:szCs w:val="21"/>
              </w:rPr>
              <w:t>6．法律意见书；</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r>
              <w:rPr>
                <w:rFonts w:hint="eastAsia" w:ascii="宋体" w:hAnsi="宋体" w:cs="宋体"/>
                <w:kern w:val="0"/>
                <w:szCs w:val="21"/>
              </w:rPr>
              <w:t>7．独立财务顾问报告（如有）；</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p>
        </w:tc>
      </w:tr>
      <w:tr>
        <w:tblPrEx>
          <w:tblCellMar>
            <w:top w:w="0" w:type="dxa"/>
            <w:left w:w="108" w:type="dxa"/>
            <w:bottom w:w="0" w:type="dxa"/>
            <w:right w:w="108" w:type="dxa"/>
          </w:tblCellMar>
        </w:tblPrEx>
        <w:trPr>
          <w:trHeight w:val="465" w:hRule="atLeast"/>
          <w:jc w:val="center"/>
        </w:trPr>
        <w:tc>
          <w:tcPr>
            <w:tcW w:w="689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r>
              <w:rPr>
                <w:rFonts w:hint="eastAsia" w:ascii="宋体" w:hAnsi="宋体" w:cs="宋体"/>
                <w:kern w:val="0"/>
                <w:szCs w:val="21"/>
              </w:rPr>
              <w:t>8．本所规定的其他内容。</w:t>
            </w:r>
          </w:p>
        </w:tc>
        <w:tc>
          <w:tcPr>
            <w:tcW w:w="162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cs="宋体"/>
                <w:kern w:val="0"/>
                <w:szCs w:val="21"/>
              </w:rPr>
            </w:pPr>
          </w:p>
        </w:tc>
      </w:tr>
      <w:tr>
        <w:tblPrEx>
          <w:tblCellMar>
            <w:top w:w="0" w:type="dxa"/>
            <w:left w:w="108" w:type="dxa"/>
            <w:bottom w:w="0" w:type="dxa"/>
            <w:right w:w="108" w:type="dxa"/>
          </w:tblCellMar>
        </w:tblPrEx>
        <w:trPr>
          <w:trHeight w:val="345" w:hRule="atLeast"/>
          <w:jc w:val="center"/>
        </w:trPr>
        <w:tc>
          <w:tcPr>
            <w:tcW w:w="8522" w:type="dxa"/>
            <w:gridSpan w:val="5"/>
            <w:tcBorders>
              <w:top w:val="single" w:color="auto" w:sz="4" w:space="0"/>
              <w:left w:val="single" w:color="auto" w:sz="4" w:space="0"/>
              <w:bottom w:val="single" w:color="auto" w:sz="4" w:space="0"/>
              <w:right w:val="single" w:color="auto" w:sz="4" w:space="0"/>
            </w:tcBorders>
            <w:shd w:val="clear" w:color="auto" w:fill="C0C0C0"/>
          </w:tcPr>
          <w:p>
            <w:pPr>
              <w:widowControl/>
              <w:jc w:val="center"/>
              <w:rPr>
                <w:rFonts w:ascii="宋体" w:hAnsi="宋体" w:cs="宋体"/>
                <w:b/>
                <w:bCs/>
                <w:kern w:val="0"/>
                <w:szCs w:val="21"/>
              </w:rPr>
            </w:pPr>
            <w:r>
              <w:rPr>
                <w:rFonts w:hint="eastAsia" w:ascii="宋体" w:hAnsi="宋体" w:cs="宋体"/>
                <w:b/>
                <w:bCs/>
                <w:kern w:val="0"/>
                <w:szCs w:val="21"/>
              </w:rPr>
              <w:t>董事会声明</w:t>
            </w:r>
          </w:p>
        </w:tc>
      </w:tr>
      <w:tr>
        <w:tblPrEx>
          <w:tblCellMar>
            <w:top w:w="0" w:type="dxa"/>
            <w:left w:w="108" w:type="dxa"/>
            <w:bottom w:w="0" w:type="dxa"/>
            <w:right w:w="108" w:type="dxa"/>
          </w:tblCellMar>
        </w:tblPrEx>
        <w:trPr>
          <w:cantSplit/>
          <w:trHeight w:val="540" w:hRule="atLeast"/>
          <w:jc w:val="center"/>
        </w:trPr>
        <w:tc>
          <w:tcPr>
            <w:tcW w:w="8522" w:type="dxa"/>
            <w:gridSpan w:val="5"/>
            <w:tcBorders>
              <w:top w:val="single" w:color="auto" w:sz="4" w:space="0"/>
              <w:left w:val="single" w:color="auto" w:sz="4" w:space="0"/>
              <w:bottom w:val="single" w:color="auto" w:sz="4" w:space="0"/>
              <w:right w:val="single" w:color="auto" w:sz="4" w:space="0"/>
            </w:tcBorders>
          </w:tcPr>
          <w:p>
            <w:pPr>
              <w:widowControl/>
              <w:ind w:firstLine="420" w:firstLineChars="200"/>
              <w:rPr>
                <w:rFonts w:ascii="宋体" w:hAnsi="宋体" w:cs="宋体"/>
                <w:bCs/>
                <w:kern w:val="0"/>
                <w:szCs w:val="21"/>
              </w:rPr>
            </w:pPr>
            <w:r>
              <w:rPr>
                <w:rFonts w:hint="eastAsia" w:ascii="宋体" w:hAnsi="宋体"/>
                <w:szCs w:val="21"/>
              </w:rPr>
              <w:t>本公司董事会保证上述材料的真实、准确、完整、合法，特向深圳证券交易所、中国证券登记结算有限责任公司深圳分公司申请办理股票期权授予登记事宜。</w:t>
            </w:r>
            <w:r>
              <w:rPr>
                <w:rFonts w:hint="eastAsia" w:ascii="宋体" w:hAnsi="宋体" w:cs="宋体"/>
                <w:bCs/>
                <w:kern w:val="0"/>
                <w:szCs w:val="21"/>
              </w:rPr>
              <w:t xml:space="preserve">                                                                     </w:t>
            </w:r>
          </w:p>
          <w:p>
            <w:pPr>
              <w:widowControl/>
              <w:ind w:firstLine="480"/>
              <w:jc w:val="right"/>
              <w:rPr>
                <w:rFonts w:ascii="宋体" w:hAnsi="宋体" w:cs="宋体"/>
                <w:bCs/>
                <w:kern w:val="0"/>
                <w:szCs w:val="21"/>
              </w:rPr>
            </w:pPr>
          </w:p>
          <w:p>
            <w:pPr>
              <w:widowControl/>
              <w:ind w:firstLine="480"/>
              <w:jc w:val="right"/>
              <w:rPr>
                <w:rFonts w:ascii="宋体" w:hAnsi="宋体" w:cs="宋体"/>
                <w:bCs/>
                <w:kern w:val="0"/>
                <w:szCs w:val="21"/>
              </w:rPr>
            </w:pPr>
          </w:p>
          <w:p>
            <w:pPr>
              <w:widowControl/>
              <w:ind w:firstLine="480"/>
              <w:jc w:val="right"/>
              <w:rPr>
                <w:rFonts w:ascii="宋体" w:hAnsi="宋体" w:cs="宋体"/>
                <w:bCs/>
                <w:kern w:val="0"/>
                <w:szCs w:val="21"/>
              </w:rPr>
            </w:pPr>
          </w:p>
          <w:p>
            <w:pPr>
              <w:widowControl/>
              <w:ind w:firstLine="480"/>
              <w:jc w:val="right"/>
              <w:rPr>
                <w:rFonts w:ascii="宋体" w:hAnsi="宋体" w:cs="宋体"/>
                <w:bCs/>
                <w:kern w:val="0"/>
                <w:szCs w:val="21"/>
              </w:rPr>
            </w:pPr>
          </w:p>
          <w:p>
            <w:pPr>
              <w:widowControl/>
              <w:ind w:right="484" w:firstLine="480"/>
              <w:jc w:val="right"/>
              <w:rPr>
                <w:rFonts w:ascii="宋体" w:hAnsi="宋体" w:cs="宋体"/>
                <w:bCs/>
                <w:kern w:val="0"/>
                <w:szCs w:val="21"/>
              </w:rPr>
            </w:pPr>
            <w:r>
              <w:rPr>
                <w:rFonts w:ascii="宋体" w:hAnsi="宋体"/>
                <w:szCs w:val="21"/>
              </w:rPr>
              <w:t>XXX</w:t>
            </w:r>
            <w:r>
              <w:rPr>
                <w:rFonts w:hint="eastAsia" w:ascii="宋体" w:hAnsi="宋体"/>
                <w:szCs w:val="21"/>
              </w:rPr>
              <w:t>股份有限公司董事会（盖章）</w:t>
            </w:r>
            <w:r>
              <w:rPr>
                <w:rFonts w:hint="eastAsia" w:ascii="宋体" w:hAnsi="宋体" w:cs="宋体"/>
                <w:bCs/>
                <w:kern w:val="0"/>
                <w:szCs w:val="21"/>
              </w:rPr>
              <w:t xml:space="preserve">                                                                  </w:t>
            </w:r>
          </w:p>
          <w:p>
            <w:pPr>
              <w:widowControl/>
              <w:ind w:right="964" w:firstLine="480"/>
              <w:jc w:val="center"/>
              <w:rPr>
                <w:rFonts w:ascii="宋体" w:hAnsi="宋体" w:cs="宋体"/>
                <w:bCs/>
                <w:kern w:val="0"/>
                <w:szCs w:val="21"/>
              </w:rPr>
            </w:pPr>
            <w:r>
              <w:rPr>
                <w:rFonts w:hint="eastAsia" w:ascii="宋体" w:hAnsi="宋体" w:cs="宋体"/>
                <w:bCs/>
                <w:kern w:val="0"/>
                <w:szCs w:val="21"/>
              </w:rPr>
              <w:t xml:space="preserve">                                       </w:t>
            </w:r>
          </w:p>
          <w:p>
            <w:pPr>
              <w:widowControl/>
              <w:ind w:right="964" w:firstLine="480"/>
              <w:jc w:val="center"/>
              <w:rPr>
                <w:rFonts w:ascii="宋体" w:hAnsi="宋体" w:cs="宋体"/>
                <w:b/>
                <w:bCs/>
                <w:kern w:val="0"/>
                <w:szCs w:val="21"/>
              </w:rPr>
            </w:pPr>
            <w:r>
              <w:rPr>
                <w:rFonts w:hint="eastAsia" w:ascii="宋体" w:hAnsi="宋体" w:cs="宋体"/>
                <w:bCs/>
                <w:kern w:val="0"/>
                <w:szCs w:val="21"/>
              </w:rPr>
              <w:t xml:space="preserve">                                  年  月  日 </w:t>
            </w:r>
          </w:p>
        </w:tc>
      </w:tr>
    </w:tbl>
    <w:p>
      <w:pPr>
        <w:widowControl/>
        <w:jc w:val="left"/>
        <w:rPr>
          <w:rFonts w:ascii="宋体" w:hAnsi="宋体"/>
          <w:szCs w:val="24"/>
        </w:rPr>
      </w:pPr>
    </w:p>
    <w:p>
      <w:pPr>
        <w:widowControl/>
        <w:jc w:val="left"/>
        <w:rPr>
          <w:rFonts w:ascii="黑体" w:hAnsi="黑体" w:eastAsia="黑体"/>
          <w:sz w:val="32"/>
          <w:szCs w:val="32"/>
        </w:rPr>
      </w:pPr>
      <w:r>
        <w:rPr>
          <w:rFonts w:ascii="宋体" w:hAnsi="宋体"/>
          <w:szCs w:val="24"/>
        </w:rPr>
        <w:br w:type="page"/>
      </w:r>
      <w:r>
        <w:rPr>
          <w:rFonts w:hint="eastAsia" w:ascii="黑体" w:hAnsi="黑体" w:eastAsia="黑体"/>
          <w:sz w:val="32"/>
          <w:szCs w:val="32"/>
        </w:rPr>
        <w:t>附件4</w:t>
      </w:r>
    </w:p>
    <w:p>
      <w:pPr>
        <w:widowControl/>
        <w:spacing w:line="560" w:lineRule="exact"/>
        <w:jc w:val="left"/>
        <w:rPr>
          <w:rFonts w:ascii="黑体" w:hAnsi="黑体" w:eastAsia="黑体"/>
          <w:sz w:val="32"/>
          <w:szCs w:val="32"/>
        </w:rPr>
      </w:pPr>
    </w:p>
    <w:p>
      <w:pPr>
        <w:spacing w:line="560" w:lineRule="exact"/>
        <w:jc w:val="center"/>
        <w:rPr>
          <w:rFonts w:ascii="方正小标宋简体" w:hAnsi="黑体" w:eastAsia="方正小标宋简体"/>
          <w:bCs/>
          <w:sz w:val="32"/>
          <w:szCs w:val="32"/>
        </w:rPr>
      </w:pPr>
      <w:r>
        <w:rPr>
          <w:rFonts w:hint="eastAsia" w:ascii="方正小标宋简体" w:hAnsi="黑体" w:eastAsia="方正小标宋简体"/>
          <w:bCs/>
          <w:sz w:val="32"/>
          <w:szCs w:val="32"/>
        </w:rPr>
        <w:t>创业板上市公司股权激励获得股份解除限售申请表</w:t>
      </w:r>
    </w:p>
    <w:p>
      <w:pPr>
        <w:spacing w:line="560" w:lineRule="exact"/>
        <w:jc w:val="center"/>
        <w:rPr>
          <w:rFonts w:ascii="方正小标宋简体" w:hAnsi="黑体" w:eastAsia="方正小标宋简体"/>
          <w:bCs/>
          <w:sz w:val="32"/>
          <w:szCs w:val="32"/>
        </w:rPr>
      </w:pPr>
    </w:p>
    <w:tbl>
      <w:tblPr>
        <w:tblStyle w:val="56"/>
        <w:tblW w:w="9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5"/>
        <w:gridCol w:w="2295"/>
        <w:gridCol w:w="2188"/>
        <w:gridCol w:w="1277"/>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71" w:type="dxa"/>
            <w:gridSpan w:val="5"/>
            <w:shd w:val="clear" w:color="auto" w:fill="A6A6A6"/>
          </w:tcPr>
          <w:p>
            <w:pPr>
              <w:jc w:val="center"/>
              <w:rPr>
                <w:rFonts w:ascii="宋体" w:hAnsi="宋体"/>
                <w:b/>
                <w:color w:val="000000"/>
                <w:szCs w:val="21"/>
              </w:rPr>
            </w:pPr>
            <w:r>
              <w:rPr>
                <w:rFonts w:hint="eastAsia" w:ascii="宋体" w:hAnsi="宋体"/>
                <w:b/>
                <w:color w:val="000000"/>
                <w:szCs w:val="21"/>
              </w:rPr>
              <w:t>股权激励获得股份解除限售情况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ascii="宋体" w:hAnsi="宋体"/>
                <w:szCs w:val="21"/>
              </w:rPr>
            </w:pPr>
            <w:r>
              <w:rPr>
                <w:rFonts w:hint="eastAsia" w:ascii="宋体" w:hAnsi="宋体"/>
                <w:szCs w:val="21"/>
              </w:rPr>
              <w:t>公司简称</w:t>
            </w:r>
          </w:p>
        </w:tc>
        <w:tc>
          <w:tcPr>
            <w:tcW w:w="2295" w:type="dxa"/>
            <w:tcBorders>
              <w:bottom w:val="single" w:color="auto" w:sz="4" w:space="0"/>
            </w:tcBorders>
            <w:vAlign w:val="center"/>
          </w:tcPr>
          <w:p>
            <w:pPr>
              <w:jc w:val="center"/>
              <w:rPr>
                <w:rFonts w:ascii="宋体" w:hAnsi="宋体"/>
                <w:szCs w:val="21"/>
              </w:rPr>
            </w:pPr>
          </w:p>
        </w:tc>
        <w:tc>
          <w:tcPr>
            <w:tcW w:w="2188" w:type="dxa"/>
            <w:tcBorders>
              <w:bottom w:val="single" w:color="auto" w:sz="4" w:space="0"/>
            </w:tcBorders>
            <w:vAlign w:val="center"/>
          </w:tcPr>
          <w:p>
            <w:pPr>
              <w:jc w:val="center"/>
              <w:rPr>
                <w:rFonts w:ascii="宋体" w:hAnsi="宋体"/>
                <w:szCs w:val="21"/>
              </w:rPr>
            </w:pPr>
            <w:r>
              <w:rPr>
                <w:rFonts w:hint="eastAsia" w:ascii="宋体" w:hAnsi="宋体"/>
                <w:szCs w:val="21"/>
              </w:rPr>
              <w:t>股票代码</w:t>
            </w:r>
          </w:p>
        </w:tc>
        <w:tc>
          <w:tcPr>
            <w:tcW w:w="2853" w:type="dxa"/>
            <w:gridSpan w:val="2"/>
            <w:tcBorders>
              <w:bottom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ascii="宋体" w:hAnsi="宋体"/>
                <w:szCs w:val="21"/>
              </w:rPr>
            </w:pPr>
            <w:r>
              <w:rPr>
                <w:rFonts w:hint="eastAsia" w:ascii="宋体" w:hAnsi="宋体"/>
                <w:szCs w:val="21"/>
              </w:rPr>
              <w:t>本次申请前股权</w:t>
            </w:r>
            <w:r>
              <w:rPr>
                <w:rFonts w:hint="eastAsia" w:ascii="宋体" w:hAnsi="宋体"/>
                <w:color w:val="000000"/>
                <w:szCs w:val="21"/>
              </w:rPr>
              <w:t>激励获得股份数量</w:t>
            </w:r>
            <w:r>
              <w:rPr>
                <w:rFonts w:ascii="宋体" w:hAnsi="宋体"/>
                <w:color w:val="000000"/>
                <w:szCs w:val="21"/>
              </w:rPr>
              <w:t>*</w:t>
            </w:r>
            <w:r>
              <w:rPr>
                <w:rFonts w:hint="eastAsia" w:ascii="宋体" w:hAnsi="宋体"/>
                <w:color w:val="000000"/>
                <w:szCs w:val="21"/>
              </w:rPr>
              <w:t>（</w:t>
            </w:r>
            <w:r>
              <w:rPr>
                <w:rFonts w:ascii="宋体" w:hAnsi="宋体"/>
                <w:color w:val="000000"/>
                <w:szCs w:val="21"/>
              </w:rPr>
              <w:t>A</w:t>
            </w:r>
            <w:r>
              <w:rPr>
                <w:rFonts w:hint="eastAsia" w:ascii="宋体" w:hAnsi="宋体"/>
                <w:color w:val="000000"/>
                <w:szCs w:val="21"/>
              </w:rPr>
              <w:t>）</w:t>
            </w:r>
          </w:p>
        </w:tc>
        <w:tc>
          <w:tcPr>
            <w:tcW w:w="2295" w:type="dxa"/>
            <w:tcBorders>
              <w:bottom w:val="single" w:color="auto" w:sz="4" w:space="0"/>
            </w:tcBorders>
            <w:vAlign w:val="center"/>
          </w:tcPr>
          <w:p>
            <w:pPr>
              <w:ind w:left="210" w:hanging="210" w:hangingChars="100"/>
              <w:jc w:val="center"/>
              <w:rPr>
                <w:rFonts w:ascii="宋体" w:hAnsi="宋体"/>
                <w:szCs w:val="21"/>
              </w:rPr>
            </w:pPr>
          </w:p>
        </w:tc>
        <w:tc>
          <w:tcPr>
            <w:tcW w:w="2188" w:type="dxa"/>
            <w:tcBorders>
              <w:bottom w:val="single" w:color="auto" w:sz="4" w:space="0"/>
            </w:tcBorders>
            <w:vAlign w:val="center"/>
          </w:tcPr>
          <w:p>
            <w:pPr>
              <w:jc w:val="center"/>
              <w:rPr>
                <w:rFonts w:ascii="宋体" w:hAnsi="宋体"/>
                <w:color w:val="000000"/>
                <w:szCs w:val="21"/>
              </w:rPr>
            </w:pPr>
            <w:r>
              <w:rPr>
                <w:rFonts w:hint="eastAsia" w:ascii="宋体" w:hAnsi="宋体"/>
                <w:szCs w:val="21"/>
              </w:rPr>
              <w:t>本次</w:t>
            </w:r>
            <w:r>
              <w:rPr>
                <w:rFonts w:hint="eastAsia" w:ascii="宋体" w:hAnsi="宋体"/>
                <w:color w:val="000000"/>
                <w:szCs w:val="21"/>
              </w:rPr>
              <w:t>申请</w:t>
            </w:r>
          </w:p>
          <w:p>
            <w:pPr>
              <w:ind w:left="1"/>
              <w:jc w:val="center"/>
              <w:rPr>
                <w:rFonts w:ascii="宋体" w:hAnsi="宋体"/>
                <w:szCs w:val="21"/>
              </w:rPr>
            </w:pPr>
            <w:r>
              <w:rPr>
                <w:rFonts w:hint="eastAsia" w:ascii="宋体" w:hAnsi="宋体"/>
                <w:color w:val="000000"/>
                <w:szCs w:val="21"/>
              </w:rPr>
              <w:t>解除限售涉及人数</w:t>
            </w:r>
          </w:p>
        </w:tc>
        <w:tc>
          <w:tcPr>
            <w:tcW w:w="2853" w:type="dxa"/>
            <w:gridSpan w:val="2"/>
            <w:tcBorders>
              <w:bottom w:val="single" w:color="auto" w:sz="4" w:space="0"/>
            </w:tcBorders>
            <w:vAlign w:val="center"/>
          </w:tcPr>
          <w:p>
            <w:pPr>
              <w:ind w:left="210" w:hanging="210" w:hanging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ascii="宋体" w:hAnsi="宋体"/>
                <w:color w:val="000000"/>
                <w:szCs w:val="21"/>
              </w:rPr>
            </w:pPr>
            <w:r>
              <w:rPr>
                <w:rFonts w:hint="eastAsia" w:ascii="宋体" w:hAnsi="宋体"/>
                <w:szCs w:val="21"/>
              </w:rPr>
              <w:t>股权</w:t>
            </w:r>
            <w:r>
              <w:rPr>
                <w:rFonts w:hint="eastAsia" w:ascii="宋体" w:hAnsi="宋体"/>
                <w:color w:val="000000"/>
                <w:szCs w:val="21"/>
              </w:rPr>
              <w:t>激励计划授予</w:t>
            </w:r>
          </w:p>
          <w:p>
            <w:pPr>
              <w:jc w:val="center"/>
              <w:rPr>
                <w:rFonts w:ascii="宋体" w:hAnsi="宋体"/>
                <w:szCs w:val="21"/>
              </w:rPr>
            </w:pPr>
            <w:r>
              <w:rPr>
                <w:rFonts w:hint="eastAsia" w:ascii="宋体" w:hAnsi="宋体"/>
                <w:color w:val="000000"/>
                <w:szCs w:val="21"/>
              </w:rPr>
              <w:t>股份解除限售批次</w:t>
            </w:r>
          </w:p>
        </w:tc>
        <w:tc>
          <w:tcPr>
            <w:tcW w:w="2295" w:type="dxa"/>
            <w:tcBorders>
              <w:bottom w:val="single" w:color="auto" w:sz="4" w:space="0"/>
            </w:tcBorders>
            <w:vAlign w:val="center"/>
          </w:tcPr>
          <w:p>
            <w:pPr>
              <w:ind w:left="210" w:hanging="210" w:hangingChars="100"/>
              <w:jc w:val="center"/>
              <w:rPr>
                <w:rFonts w:ascii="宋体" w:hAnsi="宋体"/>
                <w:szCs w:val="21"/>
              </w:rPr>
            </w:pPr>
          </w:p>
        </w:tc>
        <w:tc>
          <w:tcPr>
            <w:tcW w:w="2188" w:type="dxa"/>
            <w:tcBorders>
              <w:bottom w:val="single" w:color="auto" w:sz="4" w:space="0"/>
            </w:tcBorders>
            <w:vAlign w:val="center"/>
          </w:tcPr>
          <w:p>
            <w:pPr>
              <w:jc w:val="center"/>
              <w:rPr>
                <w:rFonts w:ascii="宋体" w:hAnsi="宋体"/>
                <w:szCs w:val="21"/>
              </w:rPr>
            </w:pPr>
            <w:r>
              <w:rPr>
                <w:rFonts w:hint="eastAsia" w:ascii="宋体" w:hAnsi="宋体"/>
                <w:szCs w:val="21"/>
              </w:rPr>
              <w:t>本次解除限售为</w:t>
            </w:r>
          </w:p>
          <w:p>
            <w:pPr>
              <w:jc w:val="center"/>
              <w:rPr>
                <w:rFonts w:ascii="宋体" w:hAnsi="宋体"/>
                <w:szCs w:val="21"/>
              </w:rPr>
            </w:pPr>
            <w:r>
              <w:rPr>
                <w:rFonts w:hint="eastAsia" w:ascii="宋体" w:hAnsi="宋体"/>
                <w:szCs w:val="21"/>
              </w:rPr>
              <w:t>第几次解除限售</w:t>
            </w:r>
          </w:p>
        </w:tc>
        <w:tc>
          <w:tcPr>
            <w:tcW w:w="2853" w:type="dxa"/>
            <w:gridSpan w:val="2"/>
            <w:tcBorders>
              <w:bottom w:val="single" w:color="auto" w:sz="4" w:space="0"/>
            </w:tcBorders>
            <w:vAlign w:val="center"/>
          </w:tcPr>
          <w:p>
            <w:pPr>
              <w:ind w:left="210" w:hanging="210" w:hanging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ascii="宋体" w:hAnsi="宋体"/>
                <w:color w:val="000000"/>
                <w:szCs w:val="21"/>
              </w:rPr>
            </w:pPr>
            <w:r>
              <w:rPr>
                <w:rFonts w:hint="eastAsia" w:ascii="宋体" w:hAnsi="宋体"/>
                <w:szCs w:val="21"/>
              </w:rPr>
              <w:t>本次</w:t>
            </w:r>
            <w:r>
              <w:rPr>
                <w:rFonts w:hint="eastAsia" w:ascii="宋体" w:hAnsi="宋体"/>
                <w:color w:val="000000"/>
                <w:szCs w:val="21"/>
              </w:rPr>
              <w:t>申请</w:t>
            </w:r>
          </w:p>
          <w:p>
            <w:pPr>
              <w:jc w:val="center"/>
              <w:rPr>
                <w:rFonts w:ascii="宋体" w:hAnsi="宋体"/>
                <w:szCs w:val="21"/>
              </w:rPr>
            </w:pPr>
            <w:r>
              <w:rPr>
                <w:rFonts w:hint="eastAsia" w:ascii="宋体" w:hAnsi="宋体"/>
                <w:color w:val="000000"/>
                <w:szCs w:val="21"/>
              </w:rPr>
              <w:t>解除限售股份数量</w:t>
            </w:r>
          </w:p>
        </w:tc>
        <w:tc>
          <w:tcPr>
            <w:tcW w:w="2295" w:type="dxa"/>
            <w:tcBorders>
              <w:bottom w:val="single" w:color="auto" w:sz="4" w:space="0"/>
            </w:tcBorders>
            <w:vAlign w:val="center"/>
          </w:tcPr>
          <w:p>
            <w:pPr>
              <w:ind w:left="210" w:hanging="210" w:hangingChars="100"/>
              <w:jc w:val="center"/>
              <w:rPr>
                <w:rFonts w:ascii="宋体" w:hAnsi="宋体"/>
                <w:szCs w:val="21"/>
              </w:rPr>
            </w:pPr>
          </w:p>
        </w:tc>
        <w:tc>
          <w:tcPr>
            <w:tcW w:w="2188" w:type="dxa"/>
            <w:tcBorders>
              <w:bottom w:val="single" w:color="auto" w:sz="4" w:space="0"/>
            </w:tcBorders>
            <w:vAlign w:val="center"/>
          </w:tcPr>
          <w:p>
            <w:pPr>
              <w:ind w:left="1"/>
              <w:jc w:val="center"/>
              <w:rPr>
                <w:rFonts w:ascii="宋体" w:hAnsi="宋体"/>
                <w:szCs w:val="21"/>
              </w:rPr>
            </w:pPr>
            <w:r>
              <w:rPr>
                <w:rFonts w:hint="eastAsia" w:ascii="宋体" w:hAnsi="宋体"/>
                <w:szCs w:val="21"/>
              </w:rPr>
              <w:t>占上市公司</w:t>
            </w:r>
          </w:p>
          <w:p>
            <w:pPr>
              <w:jc w:val="center"/>
              <w:rPr>
                <w:rFonts w:ascii="宋体" w:hAnsi="宋体"/>
                <w:szCs w:val="21"/>
              </w:rPr>
            </w:pPr>
            <w:r>
              <w:rPr>
                <w:rFonts w:hint="eastAsia" w:ascii="宋体" w:hAnsi="宋体"/>
                <w:szCs w:val="21"/>
              </w:rPr>
              <w:t>总股本的比例</w:t>
            </w:r>
          </w:p>
        </w:tc>
        <w:tc>
          <w:tcPr>
            <w:tcW w:w="2853" w:type="dxa"/>
            <w:gridSpan w:val="2"/>
            <w:tcBorders>
              <w:bottom w:val="single" w:color="auto" w:sz="4" w:space="0"/>
            </w:tcBorders>
            <w:vAlign w:val="center"/>
          </w:tcPr>
          <w:p>
            <w:pPr>
              <w:ind w:left="210" w:hanging="210" w:hanging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ascii="宋体" w:hAnsi="宋体"/>
                <w:szCs w:val="21"/>
              </w:rPr>
            </w:pPr>
            <w:r>
              <w:rPr>
                <w:rFonts w:hint="eastAsia" w:ascii="宋体" w:hAnsi="宋体"/>
                <w:szCs w:val="21"/>
              </w:rPr>
              <w:t>本次</w:t>
            </w:r>
            <w:r>
              <w:rPr>
                <w:rFonts w:hint="eastAsia" w:ascii="宋体" w:hAnsi="宋体"/>
                <w:color w:val="000000"/>
                <w:szCs w:val="21"/>
              </w:rPr>
              <w:t>申请解除限售股份数量占（</w:t>
            </w:r>
            <w:r>
              <w:rPr>
                <w:rFonts w:ascii="宋体" w:hAnsi="宋体"/>
                <w:color w:val="000000"/>
                <w:szCs w:val="21"/>
              </w:rPr>
              <w:t>A</w:t>
            </w:r>
            <w:r>
              <w:rPr>
                <w:rFonts w:hint="eastAsia" w:ascii="宋体" w:hAnsi="宋体"/>
                <w:color w:val="000000"/>
                <w:szCs w:val="21"/>
              </w:rPr>
              <w:t>）比例</w:t>
            </w:r>
          </w:p>
        </w:tc>
        <w:tc>
          <w:tcPr>
            <w:tcW w:w="2295" w:type="dxa"/>
            <w:tcBorders>
              <w:bottom w:val="single" w:color="auto" w:sz="4" w:space="0"/>
            </w:tcBorders>
            <w:vAlign w:val="center"/>
          </w:tcPr>
          <w:p>
            <w:pPr>
              <w:ind w:left="210" w:hanging="210" w:hangingChars="100"/>
              <w:jc w:val="center"/>
              <w:rPr>
                <w:rFonts w:ascii="宋体" w:hAnsi="宋体"/>
                <w:szCs w:val="21"/>
              </w:rPr>
            </w:pPr>
          </w:p>
        </w:tc>
        <w:tc>
          <w:tcPr>
            <w:tcW w:w="2188" w:type="dxa"/>
            <w:tcBorders>
              <w:bottom w:val="single" w:color="auto" w:sz="4" w:space="0"/>
            </w:tcBorders>
            <w:vAlign w:val="center"/>
          </w:tcPr>
          <w:p>
            <w:pPr>
              <w:ind w:left="1"/>
              <w:jc w:val="center"/>
              <w:rPr>
                <w:rFonts w:ascii="宋体" w:hAnsi="宋体"/>
                <w:szCs w:val="21"/>
              </w:rPr>
            </w:pPr>
            <w:r>
              <w:rPr>
                <w:rFonts w:hint="eastAsia" w:ascii="宋体" w:hAnsi="宋体"/>
                <w:szCs w:val="21"/>
              </w:rPr>
              <w:t>股权激励计划</w:t>
            </w:r>
          </w:p>
          <w:p>
            <w:pPr>
              <w:ind w:left="1"/>
              <w:jc w:val="center"/>
              <w:rPr>
                <w:rFonts w:ascii="宋体" w:hAnsi="宋体"/>
                <w:szCs w:val="21"/>
              </w:rPr>
            </w:pPr>
            <w:r>
              <w:rPr>
                <w:rFonts w:hint="eastAsia" w:ascii="宋体" w:hAnsi="宋体"/>
                <w:szCs w:val="21"/>
              </w:rPr>
              <w:t>禁售期</w:t>
            </w:r>
          </w:p>
        </w:tc>
        <w:tc>
          <w:tcPr>
            <w:tcW w:w="2853" w:type="dxa"/>
            <w:gridSpan w:val="2"/>
            <w:tcBorders>
              <w:bottom w:val="single" w:color="auto" w:sz="4" w:space="0"/>
            </w:tcBorders>
            <w:vAlign w:val="center"/>
          </w:tcPr>
          <w:p>
            <w:pPr>
              <w:ind w:left="210" w:hanging="210" w:hanging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tcBorders>
              <w:bottom w:val="single" w:color="auto" w:sz="4" w:space="0"/>
            </w:tcBorders>
            <w:vAlign w:val="center"/>
          </w:tcPr>
          <w:p>
            <w:pPr>
              <w:jc w:val="center"/>
              <w:rPr>
                <w:rFonts w:ascii="宋体" w:hAnsi="宋体"/>
                <w:szCs w:val="21"/>
              </w:rPr>
            </w:pPr>
            <w:r>
              <w:rPr>
                <w:rFonts w:hint="eastAsia" w:ascii="宋体" w:hAnsi="宋体"/>
                <w:szCs w:val="21"/>
              </w:rPr>
              <w:t>股权激励获得股份上市日期</w:t>
            </w:r>
          </w:p>
        </w:tc>
        <w:tc>
          <w:tcPr>
            <w:tcW w:w="2295" w:type="dxa"/>
            <w:tcBorders>
              <w:bottom w:val="single" w:color="auto" w:sz="4" w:space="0"/>
            </w:tcBorders>
            <w:vAlign w:val="center"/>
          </w:tcPr>
          <w:p>
            <w:pPr>
              <w:ind w:left="210" w:hanging="210" w:hangingChars="100"/>
              <w:jc w:val="center"/>
              <w:rPr>
                <w:rFonts w:ascii="宋体" w:hAnsi="宋体"/>
                <w:szCs w:val="21"/>
              </w:rPr>
            </w:pPr>
          </w:p>
        </w:tc>
        <w:tc>
          <w:tcPr>
            <w:tcW w:w="2188" w:type="dxa"/>
            <w:tcBorders>
              <w:bottom w:val="single" w:color="auto" w:sz="4" w:space="0"/>
            </w:tcBorders>
            <w:vAlign w:val="center"/>
          </w:tcPr>
          <w:p>
            <w:pPr>
              <w:ind w:left="1"/>
              <w:jc w:val="center"/>
              <w:rPr>
                <w:rFonts w:ascii="宋体" w:hAnsi="宋体"/>
                <w:szCs w:val="21"/>
              </w:rPr>
            </w:pPr>
            <w:r>
              <w:rPr>
                <w:rFonts w:hint="eastAsia" w:ascii="宋体" w:hAnsi="宋体"/>
                <w:szCs w:val="21"/>
              </w:rPr>
              <w:t>可解除限售日期</w:t>
            </w:r>
          </w:p>
        </w:tc>
        <w:tc>
          <w:tcPr>
            <w:tcW w:w="2853" w:type="dxa"/>
            <w:gridSpan w:val="2"/>
            <w:tcBorders>
              <w:bottom w:val="single" w:color="auto" w:sz="4" w:space="0"/>
            </w:tcBorders>
            <w:vAlign w:val="center"/>
          </w:tcPr>
          <w:p>
            <w:pPr>
              <w:ind w:left="210" w:hanging="210" w:hanging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8" w:hRule="atLeast"/>
          <w:jc w:val="center"/>
        </w:trPr>
        <w:tc>
          <w:tcPr>
            <w:tcW w:w="9871" w:type="dxa"/>
            <w:gridSpan w:val="5"/>
            <w:tcBorders>
              <w:bottom w:val="single" w:color="auto" w:sz="4" w:space="0"/>
            </w:tcBorders>
          </w:tcPr>
          <w:p>
            <w:pPr>
              <w:rPr>
                <w:rFonts w:ascii="宋体" w:hAnsi="宋体"/>
                <w:b/>
                <w:bCs/>
                <w:kern w:val="0"/>
                <w:szCs w:val="21"/>
              </w:rPr>
            </w:pPr>
            <w:r>
              <w:rPr>
                <w:rFonts w:hint="eastAsia" w:ascii="宋体" w:hAnsi="宋体"/>
                <w:szCs w:val="21"/>
              </w:rPr>
              <w:t>本次股权激励获得股份锁定条件及解除限售有关情况的说明：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8295" w:type="dxa"/>
            <w:gridSpan w:val="4"/>
            <w:tcBorders>
              <w:bottom w:val="single" w:color="auto" w:sz="4" w:space="0"/>
            </w:tcBorders>
            <w:shd w:val="clear" w:color="auto" w:fill="A6A6A6"/>
            <w:vAlign w:val="center"/>
          </w:tcPr>
          <w:p>
            <w:pPr>
              <w:jc w:val="center"/>
              <w:rPr>
                <w:rFonts w:ascii="宋体" w:hAnsi="宋体"/>
                <w:b/>
                <w:szCs w:val="21"/>
              </w:rPr>
            </w:pPr>
            <w:r>
              <w:rPr>
                <w:rFonts w:hint="eastAsia" w:ascii="宋体" w:hAnsi="宋体"/>
                <w:b/>
                <w:bCs/>
                <w:kern w:val="0"/>
                <w:szCs w:val="21"/>
              </w:rPr>
              <w:t>申</w:t>
            </w:r>
            <w:r>
              <w:rPr>
                <w:rFonts w:ascii="宋体" w:hAnsi="宋体"/>
                <w:b/>
                <w:bCs/>
                <w:kern w:val="0"/>
                <w:szCs w:val="21"/>
              </w:rPr>
              <w:t xml:space="preserve"> </w:t>
            </w:r>
            <w:r>
              <w:rPr>
                <w:rFonts w:hint="eastAsia" w:ascii="宋体" w:hAnsi="宋体"/>
                <w:b/>
                <w:bCs/>
                <w:kern w:val="0"/>
                <w:szCs w:val="21"/>
              </w:rPr>
              <w:t>报</w:t>
            </w:r>
            <w:r>
              <w:rPr>
                <w:rFonts w:ascii="宋体" w:hAnsi="宋体"/>
                <w:b/>
                <w:bCs/>
                <w:kern w:val="0"/>
                <w:szCs w:val="21"/>
              </w:rPr>
              <w:t xml:space="preserve"> </w:t>
            </w:r>
            <w:r>
              <w:rPr>
                <w:rFonts w:hint="eastAsia" w:ascii="宋体" w:hAnsi="宋体"/>
                <w:b/>
                <w:bCs/>
                <w:kern w:val="0"/>
                <w:szCs w:val="21"/>
              </w:rPr>
              <w:t>材</w:t>
            </w:r>
            <w:r>
              <w:rPr>
                <w:rFonts w:ascii="宋体" w:hAnsi="宋体"/>
                <w:b/>
                <w:bCs/>
                <w:kern w:val="0"/>
                <w:szCs w:val="21"/>
              </w:rPr>
              <w:t xml:space="preserve"> </w:t>
            </w:r>
            <w:r>
              <w:rPr>
                <w:rFonts w:hint="eastAsia" w:ascii="宋体" w:hAnsi="宋体"/>
                <w:b/>
                <w:bCs/>
                <w:kern w:val="0"/>
                <w:szCs w:val="21"/>
              </w:rPr>
              <w:t>料</w:t>
            </w:r>
          </w:p>
        </w:tc>
        <w:tc>
          <w:tcPr>
            <w:tcW w:w="1576" w:type="dxa"/>
            <w:tcBorders>
              <w:bottom w:val="single" w:color="auto" w:sz="4" w:space="0"/>
            </w:tcBorders>
            <w:shd w:val="clear" w:color="auto" w:fill="A6A6A6"/>
            <w:vAlign w:val="center"/>
          </w:tcPr>
          <w:p>
            <w:pPr>
              <w:jc w:val="center"/>
              <w:rPr>
                <w:rFonts w:ascii="宋体" w:hAnsi="宋体"/>
                <w:b/>
                <w:szCs w:val="21"/>
              </w:rPr>
            </w:pPr>
            <w:r>
              <w:rPr>
                <w:rFonts w:hint="eastAsia" w:ascii="宋体" w:hAnsi="宋体"/>
                <w:b/>
                <w:bCs/>
                <w:kern w:val="0"/>
                <w:szCs w:val="21"/>
              </w:rPr>
              <w:t>是否齐备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8295" w:type="dxa"/>
            <w:gridSpan w:val="4"/>
            <w:tcBorders>
              <w:bottom w:val="single" w:color="auto" w:sz="4" w:space="0"/>
            </w:tcBorders>
          </w:tcPr>
          <w:p>
            <w:pPr>
              <w:rPr>
                <w:rFonts w:ascii="宋体" w:hAnsi="宋体"/>
                <w:szCs w:val="21"/>
              </w:rPr>
            </w:pPr>
            <w:r>
              <w:rPr>
                <w:rFonts w:ascii="宋体" w:hAnsi="宋体"/>
                <w:szCs w:val="21"/>
              </w:rPr>
              <w:t>1</w:t>
            </w:r>
            <w:r>
              <w:rPr>
                <w:rFonts w:hint="eastAsia" w:ascii="宋体" w:hAnsi="宋体"/>
                <w:szCs w:val="21"/>
              </w:rPr>
              <w:t>．董事会关于股权激励获得股份解除限售的决议；</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295" w:type="dxa"/>
            <w:gridSpan w:val="4"/>
            <w:tcBorders>
              <w:bottom w:val="single" w:color="auto" w:sz="4" w:space="0"/>
            </w:tcBorders>
          </w:tcPr>
          <w:p>
            <w:pPr>
              <w:rPr>
                <w:rFonts w:ascii="宋体" w:hAnsi="宋体"/>
                <w:szCs w:val="21"/>
              </w:rPr>
            </w:pPr>
            <w:r>
              <w:rPr>
                <w:rFonts w:hint="eastAsia" w:ascii="宋体" w:hAnsi="宋体"/>
                <w:szCs w:val="21"/>
              </w:rPr>
              <w:t>2．监事会对解限条件是否成就、对解除限售名单的核实意见；</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8295" w:type="dxa"/>
            <w:gridSpan w:val="4"/>
            <w:tcBorders>
              <w:bottom w:val="single" w:color="auto" w:sz="4" w:space="0"/>
            </w:tcBorders>
          </w:tcPr>
          <w:p>
            <w:pPr>
              <w:rPr>
                <w:rFonts w:ascii="宋体" w:hAnsi="宋体"/>
                <w:szCs w:val="21"/>
              </w:rPr>
            </w:pPr>
            <w:r>
              <w:rPr>
                <w:rFonts w:hint="eastAsia" w:ascii="宋体" w:hAnsi="宋体"/>
                <w:szCs w:val="21"/>
              </w:rPr>
              <w:t>3．独立财务顾问意见（如有）；</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4"/>
            <w:tcBorders>
              <w:bottom w:val="single" w:color="auto" w:sz="4" w:space="0"/>
            </w:tcBorders>
          </w:tcPr>
          <w:p>
            <w:pPr>
              <w:rPr>
                <w:rFonts w:ascii="宋体" w:hAnsi="宋体"/>
                <w:szCs w:val="21"/>
              </w:rPr>
            </w:pPr>
            <w:r>
              <w:rPr>
                <w:rFonts w:hint="eastAsia" w:ascii="宋体" w:hAnsi="宋体"/>
                <w:szCs w:val="21"/>
              </w:rPr>
              <w:t>4．法律意见书；</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4"/>
            <w:tcBorders>
              <w:bottom w:val="single" w:color="auto" w:sz="4" w:space="0"/>
            </w:tcBorders>
          </w:tcPr>
          <w:p>
            <w:pPr>
              <w:rPr>
                <w:rFonts w:ascii="宋体" w:hAnsi="宋体"/>
                <w:szCs w:val="21"/>
              </w:rPr>
            </w:pPr>
            <w:r>
              <w:rPr>
                <w:rFonts w:hint="eastAsia" w:ascii="宋体" w:hAnsi="宋体"/>
                <w:szCs w:val="21"/>
              </w:rPr>
              <w:t>5．本所要求的其他内容。</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9871" w:type="dxa"/>
            <w:gridSpan w:val="5"/>
            <w:shd w:val="clear" w:color="auto" w:fill="B3B3B3"/>
          </w:tcPr>
          <w:p>
            <w:pPr>
              <w:widowControl/>
              <w:jc w:val="center"/>
              <w:rPr>
                <w:rFonts w:ascii="宋体" w:hAnsi="宋体"/>
                <w:b/>
                <w:bCs/>
                <w:kern w:val="0"/>
                <w:szCs w:val="21"/>
              </w:rPr>
            </w:pPr>
            <w:r>
              <w:rPr>
                <w:rFonts w:hint="eastAsia" w:ascii="宋体" w:hAnsi="宋体"/>
                <w:b/>
                <w:bCs/>
                <w:kern w:val="0"/>
                <w:szCs w:val="21"/>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5" w:hRule="atLeast"/>
          <w:jc w:val="center"/>
        </w:trPr>
        <w:tc>
          <w:tcPr>
            <w:tcW w:w="9871" w:type="dxa"/>
            <w:gridSpan w:val="5"/>
            <w:tcBorders>
              <w:bottom w:val="single" w:color="auto" w:sz="4" w:space="0"/>
            </w:tcBorders>
          </w:tcPr>
          <w:p>
            <w:pPr>
              <w:widowControl/>
              <w:ind w:firstLine="540"/>
              <w:rPr>
                <w:rFonts w:ascii="宋体" w:hAnsi="宋体"/>
                <w:bCs/>
                <w:kern w:val="0"/>
                <w:szCs w:val="21"/>
              </w:rPr>
            </w:pPr>
            <w:r>
              <w:rPr>
                <w:rFonts w:hint="eastAsia" w:ascii="宋体" w:hAnsi="宋体"/>
                <w:szCs w:val="21"/>
              </w:rPr>
              <w:t>本公司董事会保证上述材料的真实、准确、完整、合法，特向深圳证券交易所、中国证券登记结算有限责任公司深圳分公司申请办理期权激励获得股份解除限售手续。</w:t>
            </w:r>
            <w:r>
              <w:rPr>
                <w:rFonts w:ascii="宋体" w:hAnsi="宋体"/>
                <w:bCs/>
                <w:kern w:val="0"/>
                <w:szCs w:val="21"/>
              </w:rPr>
              <w:t xml:space="preserve">                                                                     </w:t>
            </w:r>
          </w:p>
          <w:p>
            <w:pPr>
              <w:widowControl/>
              <w:ind w:firstLine="480"/>
              <w:jc w:val="right"/>
              <w:rPr>
                <w:rFonts w:ascii="宋体" w:hAnsi="宋体"/>
                <w:bCs/>
                <w:kern w:val="0"/>
                <w:szCs w:val="21"/>
              </w:rPr>
            </w:pPr>
          </w:p>
          <w:p>
            <w:pPr>
              <w:widowControl/>
              <w:ind w:firstLine="480"/>
              <w:jc w:val="right"/>
              <w:rPr>
                <w:rFonts w:ascii="宋体" w:hAnsi="宋体"/>
                <w:bCs/>
                <w:kern w:val="0"/>
                <w:szCs w:val="21"/>
              </w:rPr>
            </w:pPr>
          </w:p>
          <w:p>
            <w:pPr>
              <w:widowControl/>
              <w:ind w:right="484" w:firstLine="480"/>
              <w:jc w:val="right"/>
              <w:rPr>
                <w:rFonts w:ascii="宋体" w:hAnsi="宋体"/>
                <w:bCs/>
                <w:kern w:val="0"/>
                <w:szCs w:val="21"/>
              </w:rPr>
            </w:pPr>
            <w:r>
              <w:rPr>
                <w:rFonts w:ascii="宋体" w:hAnsi="宋体"/>
                <w:szCs w:val="21"/>
              </w:rPr>
              <w:t>XXX</w:t>
            </w:r>
            <w:r>
              <w:rPr>
                <w:rFonts w:hint="eastAsia" w:ascii="宋体" w:hAnsi="宋体"/>
                <w:szCs w:val="21"/>
              </w:rPr>
              <w:t>股份有限公司董事会</w:t>
            </w:r>
            <w:r>
              <w:rPr>
                <w:rFonts w:hint="eastAsia" w:ascii="宋体" w:hAnsi="宋体"/>
                <w:bCs/>
                <w:kern w:val="0"/>
                <w:szCs w:val="21"/>
              </w:rPr>
              <w:t>（董事会章）</w:t>
            </w:r>
            <w:r>
              <w:rPr>
                <w:rFonts w:ascii="宋体" w:hAnsi="宋体"/>
                <w:bCs/>
                <w:kern w:val="0"/>
                <w:szCs w:val="21"/>
              </w:rPr>
              <w:t xml:space="preserve">                                                                  </w:t>
            </w:r>
          </w:p>
          <w:p>
            <w:pPr>
              <w:widowControl/>
              <w:ind w:right="964" w:firstLine="480"/>
              <w:jc w:val="center"/>
              <w:rPr>
                <w:rFonts w:ascii="宋体" w:hAnsi="宋体"/>
                <w:b/>
                <w:bCs/>
                <w:kern w:val="0"/>
                <w:szCs w:val="21"/>
              </w:rPr>
            </w:pPr>
            <w:r>
              <w:rPr>
                <w:rFonts w:ascii="宋体" w:hAnsi="宋体"/>
                <w:bCs/>
                <w:kern w:val="0"/>
                <w:szCs w:val="21"/>
              </w:rPr>
              <w:t xml:space="preserve">                                           </w:t>
            </w:r>
            <w:r>
              <w:rPr>
                <w:rFonts w:hint="eastAsia" w:ascii="宋体" w:hAnsi="宋体"/>
                <w:bCs/>
                <w:kern w:val="0"/>
                <w:szCs w:val="21"/>
              </w:rPr>
              <w:t>年</w:t>
            </w:r>
            <w:r>
              <w:rPr>
                <w:rFonts w:ascii="宋体" w:hAnsi="宋体"/>
                <w:bCs/>
                <w:kern w:val="0"/>
                <w:szCs w:val="21"/>
              </w:rPr>
              <w:t xml:space="preserve">  </w:t>
            </w:r>
            <w:r>
              <w:rPr>
                <w:rFonts w:hint="eastAsia" w:ascii="宋体" w:hAnsi="宋体"/>
                <w:bCs/>
                <w:kern w:val="0"/>
                <w:szCs w:val="21"/>
              </w:rPr>
              <w:t>月</w:t>
            </w:r>
            <w:r>
              <w:rPr>
                <w:rFonts w:ascii="宋体" w:hAnsi="宋体"/>
                <w:bCs/>
                <w:kern w:val="0"/>
                <w:szCs w:val="21"/>
              </w:rPr>
              <w:t xml:space="preserve">  </w:t>
            </w:r>
            <w:r>
              <w:rPr>
                <w:rFonts w:hint="eastAsia" w:ascii="宋体" w:hAnsi="宋体"/>
                <w:bCs/>
                <w:kern w:val="0"/>
                <w:szCs w:val="21"/>
              </w:rPr>
              <w:t>日</w:t>
            </w:r>
            <w:r>
              <w:rPr>
                <w:rFonts w:ascii="宋体" w:hAnsi="宋体"/>
                <w:bCs/>
                <w:kern w:val="0"/>
                <w:szCs w:val="21"/>
              </w:rPr>
              <w:t xml:space="preserve"> </w:t>
            </w:r>
          </w:p>
        </w:tc>
      </w:tr>
    </w:tbl>
    <w:p>
      <w:pPr>
        <w:ind w:left="-105" w:leftChars="-50"/>
        <w:rPr>
          <w:rFonts w:ascii="宋体" w:hAnsi="宋体"/>
          <w:color w:val="000000"/>
        </w:rPr>
      </w:pPr>
      <w:r>
        <w:rPr>
          <w:rFonts w:ascii="宋体" w:hAnsi="宋体"/>
          <w:color w:val="000000"/>
        </w:rPr>
        <w:t>*</w:t>
      </w:r>
      <w:r>
        <w:rPr>
          <w:rFonts w:hint="eastAsia" w:ascii="宋体" w:hAnsi="宋体"/>
          <w:color w:val="000000"/>
        </w:rPr>
        <w:t>本次申请前股权激励获得股份数量应考虑截至申请前送股、转增等所有影响股本变化的因素</w:t>
      </w:r>
    </w:p>
    <w:p>
      <w:pPr>
        <w:rPr>
          <w:rFonts w:ascii="黑体" w:hAnsi="黑体" w:eastAsia="黑体"/>
          <w:sz w:val="32"/>
          <w:szCs w:val="32"/>
        </w:rPr>
      </w:pPr>
      <w:r>
        <w:rPr>
          <w:rFonts w:eastAsia="仿宋_GB2312"/>
          <w:color w:val="000000"/>
        </w:rPr>
        <w:br w:type="page"/>
      </w:r>
      <w:r>
        <w:rPr>
          <w:rFonts w:hint="eastAsia" w:ascii="黑体" w:hAnsi="黑体" w:eastAsia="黑体"/>
          <w:sz w:val="32"/>
          <w:szCs w:val="32"/>
        </w:rPr>
        <w:t>附件5</w:t>
      </w:r>
    </w:p>
    <w:p>
      <w:pPr>
        <w:spacing w:line="560" w:lineRule="exact"/>
        <w:rPr>
          <w:rFonts w:ascii="黑体" w:hAnsi="黑体" w:eastAsia="黑体"/>
          <w:sz w:val="32"/>
          <w:szCs w:val="32"/>
        </w:rPr>
      </w:pPr>
    </w:p>
    <w:p>
      <w:pPr>
        <w:spacing w:line="560" w:lineRule="exact"/>
        <w:jc w:val="center"/>
        <w:rPr>
          <w:rFonts w:ascii="方正小标宋简体" w:hAnsi="黑体" w:eastAsia="方正小标宋简体"/>
          <w:bCs/>
          <w:sz w:val="32"/>
          <w:szCs w:val="32"/>
        </w:rPr>
      </w:pPr>
      <w:r>
        <w:rPr>
          <w:rFonts w:hint="eastAsia" w:ascii="方正小标宋简体" w:hAnsi="黑体" w:eastAsia="方正小标宋简体"/>
          <w:bCs/>
          <w:sz w:val="32"/>
          <w:szCs w:val="32"/>
        </w:rPr>
        <w:t>创业板上市公司股权激励计划归属申请表</w:t>
      </w:r>
    </w:p>
    <w:p>
      <w:pPr>
        <w:jc w:val="center"/>
        <w:rPr>
          <w:rFonts w:ascii="黑体" w:hAnsi="黑体" w:eastAsia="黑体"/>
          <w:b/>
          <w:bCs/>
          <w:sz w:val="32"/>
          <w:szCs w:val="32"/>
        </w:rPr>
      </w:pPr>
      <w:r>
        <w:rPr>
          <w:rFonts w:hint="eastAsia" w:ascii="黑体" w:hAnsi="黑体" w:eastAsia="黑体"/>
          <w:bCs/>
          <w:sz w:val="32"/>
          <w:szCs w:val="32"/>
        </w:rPr>
        <w:t>（第二类限制性股票适用）</w:t>
      </w:r>
    </w:p>
    <w:tbl>
      <w:tblPr>
        <w:tblStyle w:val="56"/>
        <w:tblW w:w="9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584"/>
        <w:gridCol w:w="2295"/>
        <w:gridCol w:w="2188"/>
        <w:gridCol w:w="1277"/>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71" w:type="dxa"/>
            <w:gridSpan w:val="6"/>
            <w:shd w:val="clear" w:color="auto" w:fill="A6A6A6"/>
          </w:tcPr>
          <w:p>
            <w:pPr>
              <w:jc w:val="center"/>
              <w:rPr>
                <w:rFonts w:ascii="宋体" w:hAnsi="宋体"/>
                <w:b/>
                <w:color w:val="000000"/>
                <w:szCs w:val="21"/>
              </w:rPr>
            </w:pPr>
            <w:r>
              <w:rPr>
                <w:rFonts w:hint="eastAsia" w:ascii="宋体" w:hAnsi="宋体"/>
                <w:b/>
                <w:color w:val="000000"/>
                <w:szCs w:val="21"/>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5" w:type="dxa"/>
            <w:gridSpan w:val="2"/>
            <w:tcBorders>
              <w:bottom w:val="single" w:color="auto" w:sz="4" w:space="0"/>
            </w:tcBorders>
            <w:vAlign w:val="center"/>
          </w:tcPr>
          <w:p>
            <w:pPr>
              <w:jc w:val="center"/>
              <w:rPr>
                <w:rFonts w:ascii="宋体" w:hAnsi="宋体"/>
                <w:szCs w:val="21"/>
              </w:rPr>
            </w:pPr>
            <w:r>
              <w:rPr>
                <w:rFonts w:hint="eastAsia" w:ascii="宋体" w:hAnsi="宋体"/>
                <w:szCs w:val="21"/>
              </w:rPr>
              <w:t>公司简称</w:t>
            </w:r>
          </w:p>
        </w:tc>
        <w:tc>
          <w:tcPr>
            <w:tcW w:w="2295" w:type="dxa"/>
            <w:tcBorders>
              <w:bottom w:val="single" w:color="auto" w:sz="4" w:space="0"/>
            </w:tcBorders>
            <w:vAlign w:val="center"/>
          </w:tcPr>
          <w:p>
            <w:pPr>
              <w:jc w:val="center"/>
              <w:rPr>
                <w:rFonts w:ascii="宋体" w:hAnsi="宋体"/>
                <w:szCs w:val="21"/>
              </w:rPr>
            </w:pPr>
          </w:p>
        </w:tc>
        <w:tc>
          <w:tcPr>
            <w:tcW w:w="2188" w:type="dxa"/>
            <w:tcBorders>
              <w:bottom w:val="single" w:color="auto" w:sz="4" w:space="0"/>
            </w:tcBorders>
            <w:vAlign w:val="center"/>
          </w:tcPr>
          <w:p>
            <w:pPr>
              <w:jc w:val="center"/>
              <w:rPr>
                <w:rFonts w:ascii="宋体" w:hAnsi="宋体"/>
                <w:szCs w:val="21"/>
              </w:rPr>
            </w:pPr>
            <w:r>
              <w:rPr>
                <w:rFonts w:hint="eastAsia" w:ascii="宋体" w:hAnsi="宋体"/>
                <w:szCs w:val="21"/>
              </w:rPr>
              <w:t>股票代码</w:t>
            </w:r>
          </w:p>
        </w:tc>
        <w:tc>
          <w:tcPr>
            <w:tcW w:w="2853" w:type="dxa"/>
            <w:gridSpan w:val="2"/>
            <w:tcBorders>
              <w:bottom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2535" w:type="dxa"/>
            <w:gridSpan w:val="2"/>
            <w:tcBorders>
              <w:bottom w:val="single" w:color="auto" w:sz="4" w:space="0"/>
            </w:tcBorders>
            <w:vAlign w:val="center"/>
          </w:tcPr>
          <w:p>
            <w:pPr>
              <w:jc w:val="center"/>
              <w:rPr>
                <w:rFonts w:ascii="宋体" w:hAnsi="宋体"/>
                <w:color w:val="000000"/>
                <w:szCs w:val="21"/>
              </w:rPr>
            </w:pPr>
            <w:r>
              <w:rPr>
                <w:rFonts w:hint="eastAsia" w:ascii="宋体" w:hAnsi="宋体"/>
                <w:szCs w:val="21"/>
              </w:rPr>
              <w:t>本次</w:t>
            </w:r>
            <w:r>
              <w:rPr>
                <w:rFonts w:hint="eastAsia" w:ascii="宋体" w:hAnsi="宋体"/>
                <w:color w:val="000000"/>
                <w:szCs w:val="21"/>
              </w:rPr>
              <w:t>激励计划</w:t>
            </w:r>
          </w:p>
          <w:p>
            <w:pPr>
              <w:jc w:val="center"/>
              <w:rPr>
                <w:rFonts w:ascii="宋体" w:hAnsi="宋体"/>
                <w:szCs w:val="21"/>
              </w:rPr>
            </w:pPr>
            <w:r>
              <w:rPr>
                <w:rFonts w:hint="eastAsia" w:ascii="宋体" w:hAnsi="宋体"/>
                <w:color w:val="000000"/>
                <w:szCs w:val="21"/>
              </w:rPr>
              <w:t>授予股份数量</w:t>
            </w:r>
          </w:p>
        </w:tc>
        <w:tc>
          <w:tcPr>
            <w:tcW w:w="2295" w:type="dxa"/>
            <w:tcBorders>
              <w:bottom w:val="single" w:color="auto" w:sz="4" w:space="0"/>
            </w:tcBorders>
            <w:vAlign w:val="center"/>
          </w:tcPr>
          <w:p>
            <w:pPr>
              <w:ind w:left="210" w:hanging="210" w:hangingChars="100"/>
              <w:jc w:val="center"/>
              <w:rPr>
                <w:rFonts w:ascii="宋体" w:hAnsi="宋体"/>
                <w:szCs w:val="21"/>
              </w:rPr>
            </w:pPr>
          </w:p>
        </w:tc>
        <w:tc>
          <w:tcPr>
            <w:tcW w:w="2188" w:type="dxa"/>
            <w:tcBorders>
              <w:bottom w:val="single" w:color="auto" w:sz="4" w:space="0"/>
            </w:tcBorders>
            <w:vAlign w:val="center"/>
          </w:tcPr>
          <w:p>
            <w:pPr>
              <w:ind w:left="1"/>
              <w:jc w:val="center"/>
              <w:rPr>
                <w:rFonts w:ascii="宋体" w:hAnsi="宋体"/>
                <w:szCs w:val="21"/>
              </w:rPr>
            </w:pPr>
            <w:r>
              <w:rPr>
                <w:rFonts w:hint="eastAsia" w:ascii="宋体" w:hAnsi="宋体"/>
                <w:szCs w:val="21"/>
              </w:rPr>
              <w:t>占授予前上市公司</w:t>
            </w:r>
          </w:p>
          <w:p>
            <w:pPr>
              <w:ind w:left="1"/>
              <w:jc w:val="center"/>
              <w:rPr>
                <w:rFonts w:ascii="宋体" w:hAnsi="宋体"/>
                <w:szCs w:val="21"/>
              </w:rPr>
            </w:pPr>
            <w:r>
              <w:rPr>
                <w:rFonts w:hint="eastAsia" w:ascii="宋体" w:hAnsi="宋体"/>
                <w:szCs w:val="21"/>
              </w:rPr>
              <w:t>总股本的比例</w:t>
            </w:r>
          </w:p>
        </w:tc>
        <w:tc>
          <w:tcPr>
            <w:tcW w:w="2853" w:type="dxa"/>
            <w:gridSpan w:val="2"/>
            <w:tcBorders>
              <w:bottom w:val="single" w:color="auto" w:sz="4" w:space="0"/>
            </w:tcBorders>
            <w:vAlign w:val="center"/>
          </w:tcPr>
          <w:p>
            <w:pPr>
              <w:ind w:left="210" w:hanging="210" w:hanging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jc w:val="center"/>
        </w:trPr>
        <w:tc>
          <w:tcPr>
            <w:tcW w:w="2535" w:type="dxa"/>
            <w:gridSpan w:val="2"/>
            <w:tcBorders>
              <w:bottom w:val="single" w:color="auto" w:sz="4" w:space="0"/>
            </w:tcBorders>
            <w:vAlign w:val="center"/>
          </w:tcPr>
          <w:p>
            <w:pPr>
              <w:ind w:left="1"/>
              <w:jc w:val="center"/>
              <w:rPr>
                <w:rFonts w:ascii="宋体" w:hAnsi="宋体"/>
                <w:szCs w:val="21"/>
              </w:rPr>
            </w:pPr>
            <w:r>
              <w:rPr>
                <w:rFonts w:hint="eastAsia" w:ascii="宋体" w:hAnsi="宋体"/>
                <w:szCs w:val="21"/>
              </w:rPr>
              <w:t>本次归属</w:t>
            </w:r>
          </w:p>
          <w:p>
            <w:pPr>
              <w:ind w:left="1"/>
              <w:jc w:val="center"/>
              <w:rPr>
                <w:rFonts w:ascii="宋体" w:hAnsi="宋体"/>
                <w:szCs w:val="21"/>
              </w:rPr>
            </w:pPr>
            <w:r>
              <w:rPr>
                <w:rFonts w:hint="eastAsia" w:ascii="宋体" w:hAnsi="宋体"/>
                <w:szCs w:val="21"/>
              </w:rPr>
              <w:t>限制性股票数量</w:t>
            </w:r>
          </w:p>
        </w:tc>
        <w:tc>
          <w:tcPr>
            <w:tcW w:w="2295" w:type="dxa"/>
            <w:tcBorders>
              <w:bottom w:val="single" w:color="auto" w:sz="4" w:space="0"/>
            </w:tcBorders>
            <w:vAlign w:val="center"/>
          </w:tcPr>
          <w:p>
            <w:pPr>
              <w:ind w:left="360"/>
              <w:rPr>
                <w:rFonts w:ascii="宋体" w:hAnsi="宋体"/>
                <w:szCs w:val="21"/>
              </w:rPr>
            </w:pPr>
          </w:p>
        </w:tc>
        <w:tc>
          <w:tcPr>
            <w:tcW w:w="2188" w:type="dxa"/>
            <w:tcBorders>
              <w:bottom w:val="single" w:color="auto" w:sz="4" w:space="0"/>
            </w:tcBorders>
            <w:vAlign w:val="center"/>
          </w:tcPr>
          <w:p>
            <w:pPr>
              <w:ind w:left="1"/>
              <w:jc w:val="center"/>
              <w:rPr>
                <w:rFonts w:ascii="宋体" w:hAnsi="宋体"/>
                <w:szCs w:val="21"/>
              </w:rPr>
            </w:pPr>
            <w:r>
              <w:rPr>
                <w:rFonts w:hint="eastAsia" w:ascii="宋体" w:hAnsi="宋体"/>
                <w:szCs w:val="21"/>
              </w:rPr>
              <w:t>占归属前上市公司总股本的比例</w:t>
            </w:r>
          </w:p>
        </w:tc>
        <w:tc>
          <w:tcPr>
            <w:tcW w:w="2853" w:type="dxa"/>
            <w:gridSpan w:val="2"/>
            <w:tcBorders>
              <w:bottom w:val="single" w:color="auto" w:sz="4" w:space="0"/>
            </w:tcBorders>
            <w:vAlign w:val="center"/>
          </w:tcPr>
          <w:p>
            <w:pPr>
              <w:ind w:left="210" w:hanging="210" w:hanging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jc w:val="center"/>
        </w:trPr>
        <w:tc>
          <w:tcPr>
            <w:tcW w:w="2535" w:type="dxa"/>
            <w:gridSpan w:val="2"/>
            <w:tcBorders>
              <w:bottom w:val="single" w:color="auto" w:sz="4" w:space="0"/>
            </w:tcBorders>
            <w:vAlign w:val="center"/>
          </w:tcPr>
          <w:p>
            <w:pPr>
              <w:ind w:left="1"/>
              <w:jc w:val="center"/>
              <w:rPr>
                <w:rFonts w:ascii="宋体" w:hAnsi="宋体"/>
                <w:color w:val="000000"/>
                <w:szCs w:val="21"/>
              </w:rPr>
            </w:pPr>
            <w:r>
              <w:rPr>
                <w:rFonts w:hint="eastAsia" w:ascii="宋体" w:hAnsi="宋体"/>
                <w:szCs w:val="21"/>
              </w:rPr>
              <w:t>本次</w:t>
            </w:r>
            <w:r>
              <w:rPr>
                <w:rFonts w:hint="eastAsia" w:ascii="宋体" w:hAnsi="宋体"/>
                <w:color w:val="000000"/>
                <w:szCs w:val="21"/>
              </w:rPr>
              <w:t>归属限制性</w:t>
            </w:r>
          </w:p>
          <w:p>
            <w:pPr>
              <w:ind w:left="1"/>
              <w:jc w:val="center"/>
              <w:rPr>
                <w:rFonts w:ascii="宋体" w:hAnsi="宋体"/>
                <w:szCs w:val="21"/>
              </w:rPr>
            </w:pPr>
            <w:r>
              <w:rPr>
                <w:rFonts w:hint="eastAsia" w:ascii="宋体" w:hAnsi="宋体"/>
                <w:color w:val="000000"/>
                <w:szCs w:val="21"/>
              </w:rPr>
              <w:t>股票</w:t>
            </w:r>
            <w:r>
              <w:rPr>
                <w:rFonts w:hint="eastAsia" w:ascii="宋体" w:hAnsi="宋体"/>
                <w:szCs w:val="21"/>
              </w:rPr>
              <w:t>股份来源</w:t>
            </w:r>
          </w:p>
        </w:tc>
        <w:tc>
          <w:tcPr>
            <w:tcW w:w="2295" w:type="dxa"/>
            <w:tcBorders>
              <w:bottom w:val="single" w:color="auto" w:sz="4" w:space="0"/>
            </w:tcBorders>
            <w:vAlign w:val="center"/>
          </w:tcPr>
          <w:p>
            <w:pPr>
              <w:numPr>
                <w:ilvl w:val="0"/>
                <w:numId w:val="2"/>
              </w:numPr>
              <w:rPr>
                <w:rFonts w:ascii="宋体" w:hAnsi="宋体"/>
                <w:szCs w:val="21"/>
              </w:rPr>
            </w:pPr>
            <w:r>
              <w:rPr>
                <w:rFonts w:hint="eastAsia" w:ascii="宋体" w:hAnsi="宋体"/>
                <w:szCs w:val="21"/>
              </w:rPr>
              <w:t>向激励对象发行新增</w:t>
            </w:r>
          </w:p>
          <w:p>
            <w:pPr>
              <w:numPr>
                <w:ilvl w:val="0"/>
                <w:numId w:val="2"/>
              </w:numPr>
              <w:rPr>
                <w:rFonts w:ascii="宋体" w:hAnsi="宋体"/>
                <w:szCs w:val="21"/>
              </w:rPr>
            </w:pPr>
            <w:r>
              <w:rPr>
                <w:rFonts w:hint="eastAsia" w:ascii="宋体" w:hAnsi="宋体"/>
                <w:szCs w:val="21"/>
              </w:rPr>
              <w:t xml:space="preserve">二级市场购入  </w:t>
            </w:r>
          </w:p>
          <w:p>
            <w:pPr>
              <w:numPr>
                <w:ilvl w:val="0"/>
                <w:numId w:val="2"/>
              </w:numPr>
              <w:rPr>
                <w:rFonts w:ascii="宋体" w:hAnsi="宋体"/>
                <w:szCs w:val="21"/>
              </w:rPr>
            </w:pPr>
            <w:r>
              <w:rPr>
                <w:rFonts w:hint="eastAsia" w:ascii="宋体" w:hAnsi="宋体"/>
                <w:szCs w:val="21"/>
              </w:rPr>
              <w:t>其他</w:t>
            </w:r>
          </w:p>
        </w:tc>
        <w:tc>
          <w:tcPr>
            <w:tcW w:w="2188" w:type="dxa"/>
            <w:tcBorders>
              <w:bottom w:val="single" w:color="auto" w:sz="4" w:space="0"/>
            </w:tcBorders>
            <w:vAlign w:val="center"/>
          </w:tcPr>
          <w:p>
            <w:pPr>
              <w:ind w:left="1"/>
              <w:jc w:val="center"/>
              <w:rPr>
                <w:rFonts w:ascii="宋体" w:hAnsi="宋体"/>
                <w:szCs w:val="21"/>
              </w:rPr>
            </w:pPr>
          </w:p>
        </w:tc>
        <w:tc>
          <w:tcPr>
            <w:tcW w:w="2853" w:type="dxa"/>
            <w:gridSpan w:val="2"/>
            <w:tcBorders>
              <w:bottom w:val="single" w:color="auto" w:sz="4" w:space="0"/>
            </w:tcBorders>
            <w:vAlign w:val="center"/>
          </w:tcPr>
          <w:p>
            <w:pPr>
              <w:ind w:left="210" w:hanging="210" w:hanging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jc w:val="center"/>
        </w:trPr>
        <w:tc>
          <w:tcPr>
            <w:tcW w:w="951" w:type="dxa"/>
            <w:vMerge w:val="restart"/>
            <w:vAlign w:val="center"/>
          </w:tcPr>
          <w:p>
            <w:pPr>
              <w:ind w:left="1"/>
              <w:jc w:val="center"/>
              <w:rPr>
                <w:rFonts w:ascii="宋体" w:hAnsi="宋体"/>
                <w:szCs w:val="21"/>
              </w:rPr>
            </w:pPr>
            <w:r>
              <w:rPr>
                <w:rFonts w:hint="eastAsia" w:ascii="宋体" w:hAnsi="宋体"/>
                <w:szCs w:val="21"/>
              </w:rPr>
              <w:t>归属后</w:t>
            </w:r>
          </w:p>
          <w:p>
            <w:pPr>
              <w:ind w:left="1"/>
              <w:jc w:val="center"/>
              <w:rPr>
                <w:rFonts w:ascii="宋体" w:hAnsi="宋体"/>
                <w:szCs w:val="21"/>
              </w:rPr>
            </w:pPr>
            <w:r>
              <w:rPr>
                <w:rFonts w:hint="eastAsia" w:ascii="宋体" w:hAnsi="宋体"/>
                <w:szCs w:val="21"/>
              </w:rPr>
              <w:t>股份状态</w:t>
            </w:r>
          </w:p>
        </w:tc>
        <w:tc>
          <w:tcPr>
            <w:tcW w:w="1584" w:type="dxa"/>
            <w:tcBorders>
              <w:bottom w:val="single" w:color="auto" w:sz="4" w:space="0"/>
            </w:tcBorders>
            <w:vAlign w:val="center"/>
          </w:tcPr>
          <w:p>
            <w:pPr>
              <w:rPr>
                <w:rFonts w:ascii="宋体" w:hAnsi="宋体"/>
                <w:szCs w:val="21"/>
              </w:rPr>
            </w:pPr>
            <w:r>
              <w:rPr>
                <w:rFonts w:hint="eastAsia" w:ascii="宋体" w:hAnsi="宋体"/>
                <w:szCs w:val="21"/>
              </w:rPr>
              <w:t>有限售股份</w:t>
            </w:r>
          </w:p>
        </w:tc>
        <w:tc>
          <w:tcPr>
            <w:tcW w:w="2295" w:type="dxa"/>
            <w:tcBorders>
              <w:bottom w:val="single" w:color="auto" w:sz="4" w:space="0"/>
            </w:tcBorders>
            <w:vAlign w:val="center"/>
          </w:tcPr>
          <w:p>
            <w:pPr>
              <w:ind w:left="360" w:firstLine="210" w:firstLineChars="100"/>
              <w:rPr>
                <w:rFonts w:ascii="宋体" w:hAnsi="宋体"/>
                <w:szCs w:val="21"/>
              </w:rPr>
            </w:pPr>
            <w:r>
              <w:rPr>
                <w:rFonts w:hint="eastAsia" w:ascii="宋体" w:hAnsi="宋体"/>
                <w:szCs w:val="21"/>
              </w:rPr>
              <w:t xml:space="preserve">  __股</w:t>
            </w:r>
          </w:p>
        </w:tc>
        <w:tc>
          <w:tcPr>
            <w:tcW w:w="2188" w:type="dxa"/>
            <w:tcBorders>
              <w:bottom w:val="single" w:color="auto" w:sz="4" w:space="0"/>
            </w:tcBorders>
            <w:vAlign w:val="center"/>
          </w:tcPr>
          <w:p>
            <w:pPr>
              <w:ind w:left="1"/>
              <w:jc w:val="center"/>
              <w:rPr>
                <w:rFonts w:ascii="宋体" w:hAnsi="宋体"/>
                <w:szCs w:val="21"/>
              </w:rPr>
            </w:pPr>
            <w:r>
              <w:rPr>
                <w:rFonts w:hint="eastAsia" w:ascii="宋体" w:hAnsi="宋体"/>
                <w:szCs w:val="21"/>
              </w:rPr>
              <w:t>__人</w:t>
            </w:r>
          </w:p>
        </w:tc>
        <w:tc>
          <w:tcPr>
            <w:tcW w:w="2853" w:type="dxa"/>
            <w:gridSpan w:val="2"/>
            <w:tcBorders>
              <w:bottom w:val="single" w:color="auto" w:sz="4" w:space="0"/>
            </w:tcBorders>
            <w:vAlign w:val="center"/>
          </w:tcPr>
          <w:p>
            <w:pPr>
              <w:ind w:left="210" w:hanging="210" w:hangingChars="100"/>
              <w:jc w:val="center"/>
              <w:rPr>
                <w:rFonts w:ascii="宋体" w:hAnsi="宋体"/>
                <w:szCs w:val="21"/>
              </w:rPr>
            </w:pPr>
            <w:r>
              <w:rPr>
                <w:rFonts w:hint="eastAsia" w:ascii="宋体" w:hAnsi="宋体"/>
                <w:szCs w:val="21"/>
              </w:rPr>
              <w:t>归属后锁定时间</w:t>
            </w:r>
          </w:p>
          <w:p>
            <w:pPr>
              <w:ind w:left="210" w:hanging="210" w:hangingChars="100"/>
              <w:jc w:val="center"/>
              <w:rPr>
                <w:rFonts w:ascii="宋体" w:hAnsi="宋体"/>
                <w:szCs w:val="21"/>
              </w:rPr>
            </w:pPr>
            <w:r>
              <w:rPr>
                <w:rFonts w:hint="eastAsia" w:ascii="宋体" w:hAnsi="宋体"/>
                <w:szCs w:val="21"/>
              </w:rPr>
              <w:t>和分几期解除限售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8" w:hRule="atLeast"/>
          <w:jc w:val="center"/>
        </w:trPr>
        <w:tc>
          <w:tcPr>
            <w:tcW w:w="951" w:type="dxa"/>
            <w:vMerge w:val="continue"/>
            <w:tcBorders>
              <w:bottom w:val="single" w:color="auto" w:sz="4" w:space="0"/>
            </w:tcBorders>
            <w:vAlign w:val="center"/>
          </w:tcPr>
          <w:p>
            <w:pPr>
              <w:ind w:left="1"/>
              <w:jc w:val="center"/>
              <w:rPr>
                <w:rFonts w:ascii="宋体" w:hAnsi="宋体"/>
                <w:szCs w:val="21"/>
              </w:rPr>
            </w:pPr>
          </w:p>
        </w:tc>
        <w:tc>
          <w:tcPr>
            <w:tcW w:w="1584" w:type="dxa"/>
            <w:tcBorders>
              <w:bottom w:val="single" w:color="auto" w:sz="4" w:space="0"/>
            </w:tcBorders>
            <w:vAlign w:val="center"/>
          </w:tcPr>
          <w:p>
            <w:pPr>
              <w:rPr>
                <w:rFonts w:ascii="宋体" w:hAnsi="宋体"/>
                <w:szCs w:val="21"/>
              </w:rPr>
            </w:pPr>
            <w:r>
              <w:rPr>
                <w:rFonts w:hint="eastAsia" w:ascii="宋体" w:hAnsi="宋体"/>
                <w:szCs w:val="21"/>
              </w:rPr>
              <w:t>无限售股份</w:t>
            </w:r>
          </w:p>
        </w:tc>
        <w:tc>
          <w:tcPr>
            <w:tcW w:w="2295" w:type="dxa"/>
            <w:tcBorders>
              <w:bottom w:val="single" w:color="auto" w:sz="4" w:space="0"/>
            </w:tcBorders>
            <w:vAlign w:val="center"/>
          </w:tcPr>
          <w:p>
            <w:pPr>
              <w:ind w:left="360" w:firstLine="420" w:firstLineChars="200"/>
              <w:rPr>
                <w:rFonts w:ascii="宋体" w:hAnsi="宋体"/>
                <w:szCs w:val="21"/>
              </w:rPr>
            </w:pPr>
            <w:r>
              <w:rPr>
                <w:rFonts w:hint="eastAsia" w:ascii="宋体" w:hAnsi="宋体"/>
                <w:szCs w:val="21"/>
              </w:rPr>
              <w:t>__股</w:t>
            </w:r>
          </w:p>
        </w:tc>
        <w:tc>
          <w:tcPr>
            <w:tcW w:w="2188" w:type="dxa"/>
            <w:tcBorders>
              <w:bottom w:val="single" w:color="auto" w:sz="4" w:space="0"/>
            </w:tcBorders>
            <w:vAlign w:val="center"/>
          </w:tcPr>
          <w:p>
            <w:pPr>
              <w:ind w:left="1"/>
              <w:jc w:val="center"/>
              <w:rPr>
                <w:rFonts w:ascii="宋体" w:hAnsi="宋体"/>
                <w:szCs w:val="21"/>
              </w:rPr>
            </w:pPr>
            <w:r>
              <w:rPr>
                <w:rFonts w:hint="eastAsia" w:ascii="宋体" w:hAnsi="宋体"/>
                <w:szCs w:val="21"/>
              </w:rPr>
              <w:t>__人</w:t>
            </w:r>
          </w:p>
        </w:tc>
        <w:tc>
          <w:tcPr>
            <w:tcW w:w="2853" w:type="dxa"/>
            <w:gridSpan w:val="2"/>
            <w:tcBorders>
              <w:bottom w:val="single" w:color="auto" w:sz="4" w:space="0"/>
            </w:tcBorders>
            <w:vAlign w:val="center"/>
          </w:tcPr>
          <w:p>
            <w:pPr>
              <w:ind w:left="210" w:hanging="210" w:hanging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2535" w:type="dxa"/>
            <w:gridSpan w:val="2"/>
            <w:vAlign w:val="center"/>
          </w:tcPr>
          <w:p>
            <w:pPr>
              <w:ind w:left="1"/>
              <w:jc w:val="center"/>
              <w:rPr>
                <w:rFonts w:ascii="宋体" w:hAnsi="宋体"/>
                <w:color w:val="000000"/>
                <w:szCs w:val="21"/>
              </w:rPr>
            </w:pPr>
            <w:r>
              <w:rPr>
                <w:rFonts w:hint="eastAsia" w:ascii="宋体" w:hAnsi="宋体"/>
                <w:szCs w:val="21"/>
              </w:rPr>
              <w:t>本次</w:t>
            </w:r>
            <w:r>
              <w:rPr>
                <w:rFonts w:hint="eastAsia" w:ascii="宋体" w:hAnsi="宋体"/>
                <w:color w:val="000000"/>
                <w:szCs w:val="21"/>
              </w:rPr>
              <w:t>归属限制性</w:t>
            </w:r>
          </w:p>
          <w:p>
            <w:pPr>
              <w:ind w:left="1"/>
              <w:jc w:val="center"/>
              <w:rPr>
                <w:rFonts w:ascii="宋体" w:hAnsi="宋体"/>
                <w:szCs w:val="21"/>
              </w:rPr>
            </w:pPr>
            <w:r>
              <w:rPr>
                <w:rFonts w:hint="eastAsia" w:ascii="宋体" w:hAnsi="宋体"/>
                <w:color w:val="000000"/>
                <w:szCs w:val="21"/>
              </w:rPr>
              <w:t>股票</w:t>
            </w:r>
            <w:r>
              <w:rPr>
                <w:rFonts w:hint="eastAsia" w:ascii="宋体" w:hAnsi="宋体"/>
                <w:szCs w:val="21"/>
              </w:rPr>
              <w:t>总人数</w:t>
            </w:r>
          </w:p>
        </w:tc>
        <w:tc>
          <w:tcPr>
            <w:tcW w:w="2295" w:type="dxa"/>
            <w:vAlign w:val="center"/>
          </w:tcPr>
          <w:p>
            <w:pPr>
              <w:ind w:left="210" w:hanging="210" w:hangingChars="100"/>
              <w:jc w:val="center"/>
              <w:rPr>
                <w:rFonts w:ascii="宋体" w:hAnsi="宋体"/>
                <w:szCs w:val="21"/>
              </w:rPr>
            </w:pPr>
          </w:p>
        </w:tc>
        <w:tc>
          <w:tcPr>
            <w:tcW w:w="2188" w:type="dxa"/>
            <w:vAlign w:val="center"/>
          </w:tcPr>
          <w:p>
            <w:pPr>
              <w:jc w:val="center"/>
              <w:rPr>
                <w:rFonts w:ascii="宋体" w:hAnsi="宋体"/>
                <w:szCs w:val="21"/>
              </w:rPr>
            </w:pPr>
            <w:r>
              <w:rPr>
                <w:rFonts w:hint="eastAsia" w:ascii="宋体" w:hAnsi="宋体"/>
                <w:szCs w:val="21"/>
              </w:rPr>
              <w:t>股票上市日期</w:t>
            </w:r>
          </w:p>
          <w:p>
            <w:pPr>
              <w:jc w:val="center"/>
              <w:rPr>
                <w:rFonts w:ascii="宋体" w:hAnsi="宋体"/>
                <w:szCs w:val="21"/>
              </w:rPr>
            </w:pPr>
            <w:r>
              <w:rPr>
                <w:rFonts w:hint="eastAsia" w:ascii="宋体" w:hAnsi="宋体"/>
                <w:szCs w:val="21"/>
              </w:rPr>
              <w:t>（新增股份适用）</w:t>
            </w:r>
            <w:r>
              <w:rPr>
                <w:rFonts w:ascii="宋体" w:hAnsi="宋体"/>
                <w:szCs w:val="21"/>
              </w:rPr>
              <w:t>/</w:t>
            </w:r>
          </w:p>
          <w:p>
            <w:pPr>
              <w:jc w:val="center"/>
              <w:rPr>
                <w:rFonts w:ascii="宋体" w:hAnsi="宋体"/>
                <w:szCs w:val="21"/>
              </w:rPr>
            </w:pPr>
            <w:r>
              <w:rPr>
                <w:rFonts w:hint="eastAsia" w:ascii="宋体" w:hAnsi="宋体"/>
                <w:szCs w:val="21"/>
              </w:rPr>
              <w:t>股票归属日期</w:t>
            </w:r>
          </w:p>
          <w:p>
            <w:pPr>
              <w:jc w:val="center"/>
              <w:rPr>
                <w:rFonts w:ascii="宋体" w:hAnsi="宋体"/>
                <w:color w:val="000000"/>
                <w:szCs w:val="21"/>
              </w:rPr>
            </w:pPr>
            <w:r>
              <w:rPr>
                <w:rFonts w:hint="eastAsia" w:ascii="宋体" w:hAnsi="宋体"/>
                <w:szCs w:val="21"/>
              </w:rPr>
              <w:t>（回购股份适用）</w:t>
            </w:r>
          </w:p>
        </w:tc>
        <w:tc>
          <w:tcPr>
            <w:tcW w:w="2853" w:type="dxa"/>
            <w:gridSpan w:val="2"/>
            <w:vAlign w:val="center"/>
          </w:tcPr>
          <w:p>
            <w:pPr>
              <w:ind w:left="210" w:hanging="210" w:hanging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0" w:hRule="atLeast"/>
          <w:jc w:val="center"/>
        </w:trPr>
        <w:tc>
          <w:tcPr>
            <w:tcW w:w="9871" w:type="dxa"/>
            <w:gridSpan w:val="6"/>
            <w:tcBorders>
              <w:bottom w:val="single" w:color="auto" w:sz="4" w:space="0"/>
            </w:tcBorders>
          </w:tcPr>
          <w:p>
            <w:pPr>
              <w:rPr>
                <w:rFonts w:ascii="宋体" w:hAnsi="宋体" w:cs="宋体"/>
                <w:b/>
                <w:bCs/>
                <w:kern w:val="0"/>
                <w:szCs w:val="21"/>
              </w:rPr>
            </w:pPr>
            <w:r>
              <w:rPr>
                <w:rFonts w:hint="eastAsia" w:ascii="宋体" w:hAnsi="宋体"/>
                <w:szCs w:val="21"/>
              </w:rPr>
              <w:t>本次股权激励计划所经过的董事会、股东大会等相关程序说明：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8295" w:type="dxa"/>
            <w:gridSpan w:val="5"/>
            <w:tcBorders>
              <w:bottom w:val="single" w:color="auto" w:sz="4" w:space="0"/>
            </w:tcBorders>
            <w:shd w:val="clear" w:color="auto" w:fill="A6A6A6"/>
            <w:vAlign w:val="center"/>
          </w:tcPr>
          <w:p>
            <w:pPr>
              <w:jc w:val="center"/>
              <w:rPr>
                <w:rFonts w:ascii="宋体" w:hAnsi="宋体"/>
                <w:b/>
                <w:szCs w:val="21"/>
              </w:rPr>
            </w:pPr>
            <w:r>
              <w:rPr>
                <w:rFonts w:hint="eastAsia" w:ascii="宋体" w:hAnsi="宋体" w:cs="宋体"/>
                <w:b/>
                <w:bCs/>
                <w:kern w:val="0"/>
                <w:szCs w:val="21"/>
              </w:rPr>
              <w:t>申 报 材 料</w:t>
            </w:r>
          </w:p>
        </w:tc>
        <w:tc>
          <w:tcPr>
            <w:tcW w:w="1576" w:type="dxa"/>
            <w:tcBorders>
              <w:bottom w:val="single" w:color="auto" w:sz="4" w:space="0"/>
            </w:tcBorders>
            <w:shd w:val="clear" w:color="auto" w:fill="A6A6A6"/>
            <w:vAlign w:val="center"/>
          </w:tcPr>
          <w:p>
            <w:pPr>
              <w:jc w:val="center"/>
              <w:rPr>
                <w:rFonts w:ascii="宋体" w:hAnsi="宋体"/>
                <w:b/>
                <w:szCs w:val="21"/>
              </w:rPr>
            </w:pPr>
            <w:r>
              <w:rPr>
                <w:rFonts w:hint="eastAsia" w:ascii="宋体" w:hAnsi="宋体" w:cs="宋体"/>
                <w:b/>
                <w:bCs/>
                <w:kern w:val="0"/>
                <w:szCs w:val="21"/>
              </w:rPr>
              <w:t>是否齐备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8295" w:type="dxa"/>
            <w:gridSpan w:val="5"/>
            <w:tcBorders>
              <w:bottom w:val="single" w:color="auto" w:sz="4" w:space="0"/>
            </w:tcBorders>
            <w:vAlign w:val="center"/>
          </w:tcPr>
          <w:p>
            <w:pPr>
              <w:widowControl/>
              <w:rPr>
                <w:rFonts w:ascii="宋体" w:hAnsi="宋体" w:cs="宋体"/>
                <w:kern w:val="0"/>
                <w:szCs w:val="21"/>
              </w:rPr>
            </w:pPr>
            <w:r>
              <w:rPr>
                <w:rFonts w:hint="eastAsia" w:ascii="宋体" w:hAnsi="宋体" w:cs="宋体"/>
                <w:kern w:val="0"/>
                <w:szCs w:val="21"/>
              </w:rPr>
              <w:t>1．董事会决议；</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8295" w:type="dxa"/>
            <w:gridSpan w:val="5"/>
            <w:tcBorders>
              <w:bottom w:val="single" w:color="auto" w:sz="4" w:space="0"/>
            </w:tcBorders>
          </w:tcPr>
          <w:p>
            <w:pPr>
              <w:rPr>
                <w:rFonts w:ascii="宋体" w:hAnsi="宋体"/>
                <w:szCs w:val="21"/>
              </w:rPr>
            </w:pPr>
            <w:r>
              <w:rPr>
                <w:rFonts w:hint="eastAsia" w:ascii="宋体" w:hAnsi="宋体"/>
                <w:szCs w:val="21"/>
              </w:rPr>
              <w:t>2．</w:t>
            </w:r>
            <w:r>
              <w:rPr>
                <w:rFonts w:hint="eastAsia" w:ascii="宋体" w:hAnsi="宋体" w:cs="宋体"/>
                <w:kern w:val="0"/>
                <w:szCs w:val="21"/>
              </w:rPr>
              <w:t>监事会意见；</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5"/>
            <w:tcBorders>
              <w:bottom w:val="single" w:color="auto" w:sz="4" w:space="0"/>
            </w:tcBorders>
            <w:vAlign w:val="center"/>
          </w:tcPr>
          <w:p>
            <w:pPr>
              <w:widowControl/>
              <w:rPr>
                <w:rFonts w:ascii="宋体" w:hAnsi="宋体" w:cs="宋体"/>
                <w:kern w:val="0"/>
                <w:szCs w:val="21"/>
              </w:rPr>
            </w:pPr>
            <w:r>
              <w:rPr>
                <w:rFonts w:hint="eastAsia" w:ascii="宋体" w:hAnsi="宋体" w:cs="宋体"/>
                <w:kern w:val="0"/>
                <w:szCs w:val="21"/>
              </w:rPr>
              <w:t>3．监事会对激励对象名单的核实意见；</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5"/>
            <w:tcBorders>
              <w:bottom w:val="single" w:color="auto" w:sz="4" w:space="0"/>
            </w:tcBorders>
            <w:vAlign w:val="center"/>
          </w:tcPr>
          <w:p>
            <w:pPr>
              <w:widowControl/>
              <w:rPr>
                <w:rFonts w:ascii="宋体" w:hAnsi="宋体" w:cs="宋体"/>
                <w:kern w:val="0"/>
                <w:szCs w:val="21"/>
              </w:rPr>
            </w:pPr>
            <w:r>
              <w:rPr>
                <w:rFonts w:hint="eastAsia" w:ascii="宋体" w:hAnsi="宋体" w:cs="宋体"/>
                <w:kern w:val="0"/>
                <w:szCs w:val="21"/>
              </w:rPr>
              <w:t>4．法律意见书；</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5"/>
            <w:tcBorders>
              <w:bottom w:val="single" w:color="auto" w:sz="4" w:space="0"/>
            </w:tcBorders>
            <w:vAlign w:val="center"/>
          </w:tcPr>
          <w:p>
            <w:pPr>
              <w:widowControl/>
              <w:rPr>
                <w:rFonts w:ascii="宋体" w:hAnsi="宋体" w:cs="宋体"/>
                <w:kern w:val="0"/>
                <w:szCs w:val="21"/>
              </w:rPr>
            </w:pPr>
            <w:r>
              <w:rPr>
                <w:rFonts w:hint="eastAsia" w:ascii="宋体" w:hAnsi="宋体" w:cs="宋体"/>
                <w:kern w:val="0"/>
                <w:szCs w:val="21"/>
              </w:rPr>
              <w:t>5．独立财务顾问报告（如有）；</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8295" w:type="dxa"/>
            <w:gridSpan w:val="5"/>
            <w:tcBorders>
              <w:bottom w:val="single" w:color="auto" w:sz="4" w:space="0"/>
            </w:tcBorders>
          </w:tcPr>
          <w:p>
            <w:pPr>
              <w:rPr>
                <w:rFonts w:ascii="宋体" w:hAnsi="宋体"/>
                <w:szCs w:val="21"/>
              </w:rPr>
            </w:pPr>
            <w:r>
              <w:rPr>
                <w:rFonts w:hint="eastAsia" w:ascii="宋体" w:hAnsi="宋体"/>
                <w:szCs w:val="21"/>
              </w:rPr>
              <w:t>6．</w:t>
            </w:r>
            <w:r>
              <w:rPr>
                <w:rFonts w:hint="eastAsia" w:ascii="宋体" w:hAnsi="宋体" w:cs="宋体"/>
                <w:kern w:val="0"/>
                <w:szCs w:val="21"/>
              </w:rPr>
              <w:t>验资报告；</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8295" w:type="dxa"/>
            <w:gridSpan w:val="5"/>
            <w:tcBorders>
              <w:bottom w:val="single" w:color="auto" w:sz="4" w:space="0"/>
            </w:tcBorders>
          </w:tcPr>
          <w:p>
            <w:pPr>
              <w:rPr>
                <w:rFonts w:ascii="宋体" w:hAnsi="宋体"/>
                <w:szCs w:val="21"/>
              </w:rPr>
            </w:pPr>
            <w:r>
              <w:rPr>
                <w:rFonts w:hint="eastAsia" w:ascii="宋体" w:hAnsi="宋体"/>
                <w:szCs w:val="21"/>
              </w:rPr>
              <w:t>7．激励对象名单及其个人账户；</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8295" w:type="dxa"/>
            <w:gridSpan w:val="5"/>
            <w:tcBorders>
              <w:bottom w:val="single" w:color="auto" w:sz="4" w:space="0"/>
            </w:tcBorders>
            <w:vAlign w:val="center"/>
          </w:tcPr>
          <w:p>
            <w:pPr>
              <w:widowControl/>
              <w:rPr>
                <w:rFonts w:ascii="宋体" w:hAnsi="宋体" w:cs="宋体"/>
                <w:kern w:val="0"/>
                <w:szCs w:val="21"/>
              </w:rPr>
            </w:pPr>
            <w:r>
              <w:rPr>
                <w:rFonts w:hint="eastAsia" w:ascii="宋体" w:hAnsi="宋体" w:cs="宋体"/>
                <w:kern w:val="0"/>
                <w:szCs w:val="21"/>
              </w:rPr>
              <w:t>8．本所规定的其他内容。</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9871" w:type="dxa"/>
            <w:gridSpan w:val="6"/>
            <w:shd w:val="clear" w:color="auto" w:fill="B3B3B3"/>
          </w:tcPr>
          <w:p>
            <w:pPr>
              <w:widowControl/>
              <w:jc w:val="center"/>
              <w:rPr>
                <w:rFonts w:ascii="宋体" w:hAnsi="宋体" w:cs="宋体"/>
                <w:b/>
                <w:bCs/>
                <w:kern w:val="0"/>
                <w:szCs w:val="21"/>
              </w:rPr>
            </w:pPr>
            <w:r>
              <w:rPr>
                <w:rFonts w:hint="eastAsia" w:ascii="宋体" w:hAnsi="宋体" w:cs="宋体"/>
                <w:b/>
                <w:bCs/>
                <w:kern w:val="0"/>
                <w:szCs w:val="21"/>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8" w:hRule="atLeast"/>
          <w:jc w:val="center"/>
        </w:trPr>
        <w:tc>
          <w:tcPr>
            <w:tcW w:w="9871" w:type="dxa"/>
            <w:gridSpan w:val="6"/>
            <w:tcBorders>
              <w:bottom w:val="single" w:color="auto" w:sz="4" w:space="0"/>
            </w:tcBorders>
          </w:tcPr>
          <w:p>
            <w:pPr>
              <w:widowControl/>
              <w:ind w:firstLine="540"/>
              <w:rPr>
                <w:rFonts w:ascii="宋体" w:hAnsi="宋体" w:cs="宋体"/>
                <w:bCs/>
                <w:kern w:val="0"/>
                <w:szCs w:val="21"/>
              </w:rPr>
            </w:pPr>
            <w:r>
              <w:rPr>
                <w:rFonts w:hint="eastAsia" w:ascii="宋体" w:hAnsi="宋体"/>
                <w:szCs w:val="21"/>
              </w:rPr>
              <w:t>本公司董事会保证上述材料的真实、准确、完整、合法，特向深圳证券交易所、中国证券登记结算有限责任公司深圳分公司申请办理限制性股票归属手续。</w:t>
            </w:r>
            <w:r>
              <w:rPr>
                <w:rFonts w:hint="eastAsia" w:ascii="宋体" w:hAnsi="宋体" w:cs="宋体"/>
                <w:bCs/>
                <w:kern w:val="0"/>
                <w:szCs w:val="21"/>
              </w:rPr>
              <w:t xml:space="preserve">                                                                     </w:t>
            </w:r>
          </w:p>
          <w:p>
            <w:pPr>
              <w:widowControl/>
              <w:ind w:firstLine="480"/>
              <w:jc w:val="right"/>
              <w:rPr>
                <w:rFonts w:ascii="宋体" w:hAnsi="宋体" w:cs="宋体"/>
                <w:bCs/>
                <w:kern w:val="0"/>
                <w:szCs w:val="21"/>
              </w:rPr>
            </w:pPr>
          </w:p>
          <w:p>
            <w:pPr>
              <w:widowControl/>
              <w:ind w:firstLine="480"/>
              <w:jc w:val="right"/>
              <w:rPr>
                <w:rFonts w:ascii="宋体" w:hAnsi="宋体" w:cs="宋体"/>
                <w:bCs/>
                <w:kern w:val="0"/>
                <w:szCs w:val="21"/>
              </w:rPr>
            </w:pPr>
          </w:p>
          <w:p>
            <w:pPr>
              <w:widowControl/>
              <w:ind w:right="484" w:firstLine="480"/>
              <w:jc w:val="right"/>
              <w:rPr>
                <w:rFonts w:ascii="宋体" w:hAnsi="宋体" w:cs="宋体"/>
                <w:bCs/>
                <w:kern w:val="0"/>
                <w:szCs w:val="21"/>
              </w:rPr>
            </w:pPr>
            <w:r>
              <w:rPr>
                <w:rFonts w:hint="eastAsia" w:ascii="宋体" w:hAnsi="宋体"/>
                <w:szCs w:val="21"/>
              </w:rPr>
              <w:t>XXX股份有限公司董事会</w:t>
            </w:r>
            <w:r>
              <w:rPr>
                <w:rFonts w:hint="eastAsia" w:ascii="宋体" w:hAnsi="宋体" w:cs="宋体"/>
                <w:bCs/>
                <w:kern w:val="0"/>
                <w:szCs w:val="21"/>
              </w:rPr>
              <w:t xml:space="preserve">（董事会章）                                                                  </w:t>
            </w:r>
          </w:p>
          <w:p>
            <w:pPr>
              <w:widowControl/>
              <w:ind w:right="964" w:firstLine="480"/>
              <w:jc w:val="center"/>
              <w:rPr>
                <w:rFonts w:ascii="宋体" w:hAnsi="宋体" w:cs="宋体"/>
                <w:b/>
                <w:bCs/>
                <w:kern w:val="0"/>
                <w:szCs w:val="21"/>
              </w:rPr>
            </w:pPr>
            <w:r>
              <w:rPr>
                <w:rFonts w:hint="eastAsia" w:ascii="宋体" w:hAnsi="宋体" w:cs="宋体"/>
                <w:bCs/>
                <w:kern w:val="0"/>
                <w:szCs w:val="21"/>
              </w:rPr>
              <w:t xml:space="preserve">                                           年  月  日 </w:t>
            </w:r>
          </w:p>
        </w:tc>
      </w:tr>
    </w:tbl>
    <w:p>
      <w:pPr>
        <w:rPr>
          <w:rFonts w:ascii="仿宋_GB2312" w:eastAsia="仿宋_GB2312"/>
          <w:color w:val="000000"/>
          <w:sz w:val="28"/>
          <w:szCs w:val="28"/>
        </w:rPr>
      </w:pPr>
    </w:p>
    <w:p>
      <w:pPr>
        <w:rPr>
          <w:rFonts w:ascii="黑体" w:hAnsi="黑体" w:eastAsia="黑体"/>
          <w:sz w:val="32"/>
          <w:szCs w:val="32"/>
        </w:rPr>
      </w:pPr>
      <w:r>
        <w:rPr>
          <w:rFonts w:ascii="仿宋_GB2312" w:eastAsia="仿宋_GB2312"/>
          <w:color w:val="000000"/>
          <w:sz w:val="28"/>
          <w:szCs w:val="28"/>
        </w:rPr>
        <w:br w:type="page"/>
      </w:r>
      <w:r>
        <w:rPr>
          <w:rFonts w:hint="eastAsia" w:ascii="黑体" w:hAnsi="黑体" w:eastAsia="黑体"/>
          <w:sz w:val="32"/>
          <w:szCs w:val="32"/>
        </w:rPr>
        <w:t>附件6</w:t>
      </w:r>
    </w:p>
    <w:p>
      <w:pPr>
        <w:spacing w:line="560" w:lineRule="exact"/>
        <w:rPr>
          <w:rFonts w:ascii="黑体" w:hAnsi="黑体" w:eastAsia="黑体"/>
          <w:sz w:val="32"/>
          <w:szCs w:val="32"/>
        </w:rPr>
      </w:pPr>
    </w:p>
    <w:p>
      <w:pPr>
        <w:jc w:val="center"/>
        <w:rPr>
          <w:rFonts w:ascii="方正小标宋简体" w:hAnsi="黑体" w:eastAsia="方正小标宋简体"/>
          <w:bCs/>
          <w:sz w:val="32"/>
          <w:szCs w:val="32"/>
        </w:rPr>
      </w:pPr>
      <w:r>
        <w:rPr>
          <w:rFonts w:hint="eastAsia" w:ascii="方正小标宋简体" w:hAnsi="黑体" w:eastAsia="方正小标宋简体"/>
          <w:bCs/>
          <w:sz w:val="32"/>
          <w:szCs w:val="32"/>
        </w:rPr>
        <w:t>创业板上市公司股权激励计划股票期权行权申请表</w:t>
      </w:r>
    </w:p>
    <w:p>
      <w:pPr>
        <w:jc w:val="center"/>
        <w:rPr>
          <w:b/>
          <w:bCs/>
        </w:rPr>
      </w:pPr>
      <w:r>
        <w:rPr>
          <w:rFonts w:hint="eastAsia" w:ascii="黑体" w:hAnsi="黑体" w:eastAsia="黑体"/>
          <w:bCs/>
          <w:sz w:val="32"/>
          <w:szCs w:val="32"/>
        </w:rPr>
        <w:t>（集中行权适用）</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0"/>
        <w:gridCol w:w="2041"/>
        <w:gridCol w:w="201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48" w:type="dxa"/>
            <w:gridSpan w:val="4"/>
            <w:shd w:val="clear" w:color="auto" w:fill="A6A6A6"/>
          </w:tcPr>
          <w:p>
            <w:pPr>
              <w:jc w:val="center"/>
              <w:rPr>
                <w:rFonts w:ascii="宋体" w:hAnsi="宋体"/>
                <w:b/>
                <w:color w:val="000000"/>
                <w:szCs w:val="21"/>
              </w:rPr>
            </w:pPr>
            <w:r>
              <w:rPr>
                <w:rFonts w:hint="eastAsia" w:ascii="宋体" w:hAnsi="宋体"/>
                <w:b/>
                <w:color w:val="000000"/>
                <w:szCs w:val="21"/>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0" w:type="dxa"/>
          </w:tcPr>
          <w:p>
            <w:pPr>
              <w:rPr>
                <w:rFonts w:ascii="宋体" w:hAnsi="宋体"/>
                <w:b/>
                <w:szCs w:val="21"/>
              </w:rPr>
            </w:pPr>
            <w:r>
              <w:rPr>
                <w:rFonts w:hint="eastAsia" w:ascii="宋体" w:hAnsi="宋体"/>
                <w:b/>
                <w:szCs w:val="21"/>
              </w:rPr>
              <w:t>公司简称</w:t>
            </w:r>
          </w:p>
        </w:tc>
        <w:tc>
          <w:tcPr>
            <w:tcW w:w="2041" w:type="dxa"/>
          </w:tcPr>
          <w:p>
            <w:pPr>
              <w:rPr>
                <w:rFonts w:ascii="宋体" w:hAnsi="宋体"/>
                <w:szCs w:val="21"/>
              </w:rPr>
            </w:pPr>
          </w:p>
        </w:tc>
        <w:tc>
          <w:tcPr>
            <w:tcW w:w="2013" w:type="dxa"/>
          </w:tcPr>
          <w:p>
            <w:pPr>
              <w:rPr>
                <w:rFonts w:ascii="宋体" w:hAnsi="宋体"/>
                <w:b/>
                <w:szCs w:val="21"/>
              </w:rPr>
            </w:pPr>
            <w:r>
              <w:rPr>
                <w:rFonts w:hint="eastAsia" w:ascii="宋体" w:hAnsi="宋体"/>
                <w:b/>
                <w:szCs w:val="21"/>
              </w:rPr>
              <w:t>股票代码</w:t>
            </w:r>
          </w:p>
        </w:tc>
        <w:tc>
          <w:tcPr>
            <w:tcW w:w="17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0" w:type="dxa"/>
          </w:tcPr>
          <w:p>
            <w:pPr>
              <w:rPr>
                <w:rFonts w:ascii="宋体" w:hAnsi="宋体"/>
                <w:b/>
                <w:szCs w:val="21"/>
              </w:rPr>
            </w:pPr>
            <w:r>
              <w:rPr>
                <w:rFonts w:hint="eastAsia" w:ascii="宋体" w:hAnsi="宋体"/>
                <w:b/>
                <w:szCs w:val="21"/>
              </w:rPr>
              <w:t>期权简称</w:t>
            </w:r>
          </w:p>
        </w:tc>
        <w:tc>
          <w:tcPr>
            <w:tcW w:w="2041" w:type="dxa"/>
          </w:tcPr>
          <w:p>
            <w:pPr>
              <w:rPr>
                <w:rFonts w:ascii="宋体" w:hAnsi="宋体"/>
                <w:szCs w:val="21"/>
              </w:rPr>
            </w:pPr>
          </w:p>
        </w:tc>
        <w:tc>
          <w:tcPr>
            <w:tcW w:w="2013" w:type="dxa"/>
          </w:tcPr>
          <w:p>
            <w:pPr>
              <w:rPr>
                <w:rFonts w:ascii="宋体" w:hAnsi="宋体"/>
                <w:b/>
                <w:szCs w:val="21"/>
              </w:rPr>
            </w:pPr>
            <w:r>
              <w:rPr>
                <w:rFonts w:hint="eastAsia" w:ascii="宋体" w:hAnsi="宋体"/>
                <w:b/>
                <w:szCs w:val="21"/>
              </w:rPr>
              <w:t>期权代码</w:t>
            </w:r>
          </w:p>
        </w:tc>
        <w:tc>
          <w:tcPr>
            <w:tcW w:w="17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0" w:type="dxa"/>
          </w:tcPr>
          <w:p>
            <w:pPr>
              <w:rPr>
                <w:rFonts w:ascii="宋体" w:hAnsi="宋体"/>
                <w:b/>
                <w:szCs w:val="21"/>
              </w:rPr>
            </w:pPr>
            <w:r>
              <w:rPr>
                <w:rFonts w:hint="eastAsia" w:ascii="宋体" w:hAnsi="宋体"/>
                <w:b/>
                <w:szCs w:val="21"/>
              </w:rPr>
              <w:t>本次期权行权</w:t>
            </w:r>
          </w:p>
          <w:p>
            <w:pPr>
              <w:rPr>
                <w:rFonts w:ascii="宋体" w:hAnsi="宋体"/>
                <w:b/>
                <w:szCs w:val="21"/>
              </w:rPr>
            </w:pPr>
            <w:r>
              <w:rPr>
                <w:rFonts w:hint="eastAsia" w:ascii="宋体" w:hAnsi="宋体"/>
                <w:b/>
                <w:szCs w:val="21"/>
              </w:rPr>
              <w:t>数额（万份）</w:t>
            </w:r>
          </w:p>
        </w:tc>
        <w:tc>
          <w:tcPr>
            <w:tcW w:w="2041" w:type="dxa"/>
          </w:tcPr>
          <w:p>
            <w:pPr>
              <w:rPr>
                <w:rFonts w:ascii="宋体" w:hAnsi="宋体"/>
                <w:szCs w:val="21"/>
              </w:rPr>
            </w:pPr>
          </w:p>
        </w:tc>
        <w:tc>
          <w:tcPr>
            <w:tcW w:w="2013" w:type="dxa"/>
          </w:tcPr>
          <w:p>
            <w:pPr>
              <w:rPr>
                <w:rFonts w:ascii="宋体" w:hAnsi="宋体"/>
                <w:b/>
                <w:szCs w:val="21"/>
              </w:rPr>
            </w:pPr>
            <w:r>
              <w:rPr>
                <w:rFonts w:hint="eastAsia" w:ascii="宋体" w:hAnsi="宋体"/>
                <w:b/>
                <w:szCs w:val="21"/>
              </w:rPr>
              <w:t>本次期权行权涉及人员数量</w:t>
            </w:r>
          </w:p>
        </w:tc>
        <w:tc>
          <w:tcPr>
            <w:tcW w:w="1774"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0" w:type="dxa"/>
          </w:tcPr>
          <w:p>
            <w:pPr>
              <w:rPr>
                <w:rFonts w:ascii="宋体" w:hAnsi="宋体"/>
                <w:b/>
                <w:szCs w:val="21"/>
              </w:rPr>
            </w:pPr>
            <w:r>
              <w:rPr>
                <w:rFonts w:hint="eastAsia" w:ascii="宋体" w:hAnsi="宋体"/>
                <w:b/>
                <w:szCs w:val="21"/>
              </w:rPr>
              <w:t>期权可行权期数</w:t>
            </w:r>
            <w:r>
              <w:rPr>
                <w:rFonts w:ascii="宋体" w:hAnsi="宋体"/>
                <w:b/>
                <w:szCs w:val="21"/>
              </w:rPr>
              <w:t xml:space="preserve"> / </w:t>
            </w:r>
            <w:r>
              <w:rPr>
                <w:rFonts w:hint="eastAsia" w:ascii="宋体" w:hAnsi="宋体"/>
                <w:b/>
                <w:szCs w:val="21"/>
              </w:rPr>
              <w:t>本次为第几次行权</w:t>
            </w:r>
          </w:p>
        </w:tc>
        <w:tc>
          <w:tcPr>
            <w:tcW w:w="2041" w:type="dxa"/>
          </w:tcPr>
          <w:p>
            <w:pPr>
              <w:ind w:left="210" w:hanging="210" w:hangingChars="100"/>
              <w:rPr>
                <w:rFonts w:ascii="宋体" w:hAnsi="宋体"/>
                <w:szCs w:val="21"/>
              </w:rPr>
            </w:pPr>
            <w:r>
              <w:rPr>
                <w:rFonts w:hint="eastAsia" w:ascii="宋体" w:hAnsi="宋体"/>
                <w:szCs w:val="21"/>
              </w:rPr>
              <w:t>分</w:t>
            </w:r>
            <w:r>
              <w:rPr>
                <w:rFonts w:ascii="宋体" w:hAnsi="宋体"/>
                <w:szCs w:val="21"/>
              </w:rPr>
              <w:t xml:space="preserve">   </w:t>
            </w:r>
            <w:r>
              <w:rPr>
                <w:rFonts w:hint="eastAsia" w:ascii="宋体" w:hAnsi="宋体"/>
                <w:szCs w:val="21"/>
              </w:rPr>
              <w:t>期行权</w:t>
            </w:r>
          </w:p>
          <w:p>
            <w:pPr>
              <w:ind w:left="210" w:hanging="210" w:hangingChars="100"/>
              <w:rPr>
                <w:rFonts w:ascii="宋体" w:hAnsi="宋体"/>
                <w:szCs w:val="21"/>
              </w:rPr>
            </w:pPr>
            <w:r>
              <w:rPr>
                <w:rFonts w:hint="eastAsia" w:ascii="宋体" w:hAnsi="宋体"/>
                <w:szCs w:val="21"/>
              </w:rPr>
              <w:t>本次为第</w:t>
            </w:r>
            <w:r>
              <w:rPr>
                <w:rFonts w:ascii="宋体" w:hAnsi="宋体"/>
                <w:szCs w:val="21"/>
              </w:rPr>
              <w:t xml:space="preserve">   </w:t>
            </w:r>
            <w:r>
              <w:rPr>
                <w:rFonts w:hint="eastAsia" w:ascii="宋体" w:hAnsi="宋体"/>
                <w:szCs w:val="21"/>
              </w:rPr>
              <w:t>次行权</w:t>
            </w:r>
          </w:p>
        </w:tc>
        <w:tc>
          <w:tcPr>
            <w:tcW w:w="2013" w:type="dxa"/>
          </w:tcPr>
          <w:p>
            <w:pPr>
              <w:ind w:left="1"/>
              <w:rPr>
                <w:rFonts w:ascii="宋体" w:hAnsi="宋体"/>
                <w:b/>
                <w:szCs w:val="21"/>
              </w:rPr>
            </w:pPr>
            <w:r>
              <w:rPr>
                <w:rFonts w:hint="eastAsia" w:ascii="宋体" w:hAnsi="宋体"/>
                <w:b/>
                <w:szCs w:val="21"/>
              </w:rPr>
              <w:t>本次行权股份上市日期</w:t>
            </w:r>
          </w:p>
        </w:tc>
        <w:tc>
          <w:tcPr>
            <w:tcW w:w="1774" w:type="dxa"/>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0" w:type="dxa"/>
          </w:tcPr>
          <w:p>
            <w:pPr>
              <w:ind w:left="1"/>
              <w:jc w:val="left"/>
              <w:rPr>
                <w:rFonts w:ascii="宋体" w:hAnsi="宋体"/>
                <w:b/>
                <w:szCs w:val="21"/>
              </w:rPr>
            </w:pPr>
            <w:r>
              <w:rPr>
                <w:rFonts w:hint="eastAsia" w:ascii="宋体" w:hAnsi="宋体"/>
                <w:b/>
                <w:szCs w:val="21"/>
              </w:rPr>
              <w:t>本次行权所产生新增股份数量（万股）</w:t>
            </w:r>
          </w:p>
        </w:tc>
        <w:tc>
          <w:tcPr>
            <w:tcW w:w="2041" w:type="dxa"/>
          </w:tcPr>
          <w:p>
            <w:pPr>
              <w:ind w:left="210" w:hanging="210" w:hangingChars="100"/>
              <w:rPr>
                <w:rFonts w:ascii="宋体" w:hAnsi="宋体"/>
                <w:szCs w:val="21"/>
              </w:rPr>
            </w:pPr>
          </w:p>
        </w:tc>
        <w:tc>
          <w:tcPr>
            <w:tcW w:w="2013" w:type="dxa"/>
          </w:tcPr>
          <w:p>
            <w:pPr>
              <w:ind w:left="1"/>
              <w:rPr>
                <w:rFonts w:ascii="宋体" w:hAnsi="宋体"/>
                <w:b/>
                <w:szCs w:val="21"/>
              </w:rPr>
            </w:pPr>
            <w:r>
              <w:rPr>
                <w:rFonts w:hint="eastAsia" w:ascii="宋体" w:hAnsi="宋体"/>
                <w:b/>
                <w:szCs w:val="21"/>
              </w:rPr>
              <w:t>本次行权所产生新增股份的性质</w:t>
            </w:r>
          </w:p>
        </w:tc>
        <w:tc>
          <w:tcPr>
            <w:tcW w:w="1774" w:type="dxa"/>
          </w:tcPr>
          <w:p>
            <w:pPr>
              <w:ind w:left="210" w:hanging="210" w:hangingChars="100"/>
              <w:jc w:val="center"/>
              <w:rPr>
                <w:rFonts w:ascii="宋体" w:hAnsi="宋体"/>
                <w:szCs w:val="21"/>
              </w:rPr>
            </w:pPr>
            <w:r>
              <w:rPr>
                <w:rFonts w:hint="eastAsia" w:ascii="宋体" w:hAnsi="宋体"/>
                <w:szCs w:val="21"/>
              </w:rPr>
              <w:t>□有限售条件股份</w:t>
            </w:r>
          </w:p>
          <w:p>
            <w:pPr>
              <w:ind w:left="210" w:hanging="210" w:hangingChars="100"/>
              <w:rPr>
                <w:rFonts w:ascii="宋体" w:hAnsi="宋体"/>
                <w:szCs w:val="21"/>
              </w:rPr>
            </w:pPr>
            <w:r>
              <w:rPr>
                <w:rFonts w:hint="eastAsia" w:ascii="宋体" w:hAnsi="宋体"/>
                <w:szCs w:val="21"/>
              </w:rPr>
              <w:t>□无限售条件股份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4" w:type="dxa"/>
            <w:gridSpan w:val="3"/>
            <w:shd w:val="clear" w:color="auto" w:fill="A6A6A6"/>
            <w:vAlign w:val="center"/>
          </w:tcPr>
          <w:p>
            <w:pPr>
              <w:ind w:left="1"/>
              <w:jc w:val="center"/>
              <w:rPr>
                <w:rFonts w:ascii="宋体" w:hAnsi="宋体"/>
                <w:b/>
                <w:szCs w:val="21"/>
              </w:rPr>
            </w:pPr>
            <w:r>
              <w:rPr>
                <w:rFonts w:hint="eastAsia" w:ascii="宋体" w:hAnsi="宋体"/>
                <w:b/>
                <w:bCs/>
                <w:kern w:val="0"/>
                <w:szCs w:val="21"/>
              </w:rPr>
              <w:t>申</w:t>
            </w:r>
            <w:r>
              <w:rPr>
                <w:rFonts w:ascii="宋体" w:hAnsi="宋体"/>
                <w:b/>
                <w:bCs/>
                <w:kern w:val="0"/>
                <w:szCs w:val="21"/>
              </w:rPr>
              <w:t xml:space="preserve"> </w:t>
            </w:r>
            <w:r>
              <w:rPr>
                <w:rFonts w:hint="eastAsia" w:ascii="宋体" w:hAnsi="宋体"/>
                <w:b/>
                <w:bCs/>
                <w:kern w:val="0"/>
                <w:szCs w:val="21"/>
              </w:rPr>
              <w:t>报</w:t>
            </w:r>
            <w:r>
              <w:rPr>
                <w:rFonts w:ascii="宋体" w:hAnsi="宋体"/>
                <w:b/>
                <w:bCs/>
                <w:kern w:val="0"/>
                <w:szCs w:val="21"/>
              </w:rPr>
              <w:t xml:space="preserve"> </w:t>
            </w:r>
            <w:r>
              <w:rPr>
                <w:rFonts w:hint="eastAsia" w:ascii="宋体" w:hAnsi="宋体"/>
                <w:b/>
                <w:bCs/>
                <w:kern w:val="0"/>
                <w:szCs w:val="21"/>
              </w:rPr>
              <w:t>材</w:t>
            </w:r>
            <w:r>
              <w:rPr>
                <w:rFonts w:ascii="宋体" w:hAnsi="宋体"/>
                <w:b/>
                <w:bCs/>
                <w:kern w:val="0"/>
                <w:szCs w:val="21"/>
              </w:rPr>
              <w:t xml:space="preserve"> </w:t>
            </w:r>
            <w:r>
              <w:rPr>
                <w:rFonts w:hint="eastAsia" w:ascii="宋体" w:hAnsi="宋体"/>
                <w:b/>
                <w:bCs/>
                <w:kern w:val="0"/>
                <w:szCs w:val="21"/>
              </w:rPr>
              <w:t>料</w:t>
            </w:r>
          </w:p>
        </w:tc>
        <w:tc>
          <w:tcPr>
            <w:tcW w:w="1774" w:type="dxa"/>
            <w:shd w:val="clear" w:color="auto" w:fill="A6A6A6"/>
            <w:vAlign w:val="center"/>
          </w:tcPr>
          <w:p>
            <w:pPr>
              <w:ind w:left="211" w:hanging="211" w:hangingChars="100"/>
              <w:jc w:val="center"/>
              <w:rPr>
                <w:rFonts w:ascii="宋体" w:hAnsi="宋体"/>
                <w:b/>
                <w:szCs w:val="21"/>
              </w:rPr>
            </w:pPr>
            <w:r>
              <w:rPr>
                <w:rFonts w:hint="eastAsia" w:ascii="宋体" w:hAnsi="宋体"/>
                <w:b/>
                <w:bCs/>
                <w:kern w:val="0"/>
                <w:szCs w:val="21"/>
              </w:rPr>
              <w:t>是否齐备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4" w:type="dxa"/>
            <w:gridSpan w:val="3"/>
          </w:tcPr>
          <w:p>
            <w:pPr>
              <w:ind w:left="1"/>
              <w:rPr>
                <w:rFonts w:ascii="宋体" w:hAnsi="宋体"/>
                <w:szCs w:val="21"/>
              </w:rPr>
            </w:pPr>
            <w:r>
              <w:rPr>
                <w:rFonts w:hint="eastAsia" w:ascii="宋体" w:hAnsi="宋体"/>
                <w:szCs w:val="21"/>
              </w:rPr>
              <w:t>1．本次</w:t>
            </w:r>
            <w:r>
              <w:rPr>
                <w:rFonts w:hint="eastAsia" w:ascii="宋体" w:hAnsi="宋体"/>
                <w:kern w:val="0"/>
                <w:szCs w:val="21"/>
              </w:rPr>
              <w:t>股票期权行权</w:t>
            </w:r>
            <w:r>
              <w:rPr>
                <w:rFonts w:hint="eastAsia" w:ascii="宋体" w:hAnsi="宋体"/>
                <w:szCs w:val="21"/>
              </w:rPr>
              <w:t>的董事会决议</w:t>
            </w:r>
            <w:r>
              <w:rPr>
                <w:rFonts w:hint="eastAsia" w:ascii="宋体" w:hAnsi="宋体"/>
                <w:kern w:val="0"/>
                <w:szCs w:val="21"/>
              </w:rPr>
              <w:t>；</w:t>
            </w:r>
          </w:p>
        </w:tc>
        <w:tc>
          <w:tcPr>
            <w:tcW w:w="1774" w:type="dxa"/>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4" w:type="dxa"/>
            <w:gridSpan w:val="3"/>
          </w:tcPr>
          <w:p>
            <w:pPr>
              <w:ind w:left="1"/>
              <w:rPr>
                <w:rFonts w:ascii="宋体" w:hAnsi="宋体"/>
                <w:szCs w:val="21"/>
              </w:rPr>
            </w:pPr>
            <w:r>
              <w:rPr>
                <w:rFonts w:hint="eastAsia" w:ascii="宋体" w:hAnsi="宋体"/>
                <w:szCs w:val="21"/>
              </w:rPr>
              <w:t>2．有权部门批复文件（如有）；</w:t>
            </w:r>
          </w:p>
        </w:tc>
        <w:tc>
          <w:tcPr>
            <w:tcW w:w="1774" w:type="dxa"/>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4" w:type="dxa"/>
            <w:gridSpan w:val="3"/>
          </w:tcPr>
          <w:p>
            <w:pPr>
              <w:ind w:left="1"/>
              <w:rPr>
                <w:rFonts w:ascii="宋体" w:hAnsi="宋体"/>
                <w:szCs w:val="21"/>
              </w:rPr>
            </w:pPr>
            <w:r>
              <w:rPr>
                <w:rFonts w:hint="eastAsia" w:ascii="宋体" w:hAnsi="宋体"/>
                <w:szCs w:val="21"/>
              </w:rPr>
              <w:t>3．监事会意见；</w:t>
            </w:r>
          </w:p>
        </w:tc>
        <w:tc>
          <w:tcPr>
            <w:tcW w:w="1774" w:type="dxa"/>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4" w:type="dxa"/>
            <w:gridSpan w:val="3"/>
          </w:tcPr>
          <w:p>
            <w:pPr>
              <w:ind w:left="1"/>
              <w:rPr>
                <w:rFonts w:ascii="宋体" w:hAnsi="宋体"/>
                <w:szCs w:val="21"/>
              </w:rPr>
            </w:pPr>
            <w:r>
              <w:rPr>
                <w:rFonts w:ascii="宋体" w:hAnsi="宋体"/>
                <w:szCs w:val="21"/>
              </w:rPr>
              <w:t>4</w:t>
            </w:r>
            <w:r>
              <w:rPr>
                <w:rFonts w:hint="eastAsia" w:ascii="宋体" w:hAnsi="宋体"/>
                <w:szCs w:val="21"/>
              </w:rPr>
              <w:t>．监事会对激励对象名单的书面核实意见；</w:t>
            </w:r>
          </w:p>
        </w:tc>
        <w:tc>
          <w:tcPr>
            <w:tcW w:w="1774" w:type="dxa"/>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4" w:type="dxa"/>
            <w:gridSpan w:val="3"/>
          </w:tcPr>
          <w:p>
            <w:pPr>
              <w:ind w:left="1"/>
              <w:rPr>
                <w:rFonts w:ascii="宋体" w:hAnsi="宋体"/>
                <w:szCs w:val="21"/>
              </w:rPr>
            </w:pPr>
            <w:r>
              <w:rPr>
                <w:rFonts w:ascii="宋体" w:hAnsi="宋体"/>
                <w:szCs w:val="21"/>
              </w:rPr>
              <w:t>5</w:t>
            </w:r>
            <w:r>
              <w:rPr>
                <w:rFonts w:hint="eastAsia" w:ascii="宋体" w:hAnsi="宋体"/>
                <w:szCs w:val="21"/>
              </w:rPr>
              <w:t>．法律意见书；</w:t>
            </w:r>
          </w:p>
        </w:tc>
        <w:tc>
          <w:tcPr>
            <w:tcW w:w="1774" w:type="dxa"/>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4" w:type="dxa"/>
            <w:gridSpan w:val="3"/>
          </w:tcPr>
          <w:p>
            <w:pPr>
              <w:ind w:left="1"/>
              <w:rPr>
                <w:rFonts w:ascii="宋体" w:hAnsi="宋体"/>
                <w:szCs w:val="21"/>
              </w:rPr>
            </w:pPr>
            <w:r>
              <w:rPr>
                <w:rFonts w:ascii="宋体" w:hAnsi="宋体"/>
                <w:szCs w:val="21"/>
              </w:rPr>
              <w:t>6</w:t>
            </w:r>
            <w:r>
              <w:rPr>
                <w:rFonts w:hint="eastAsia" w:ascii="宋体" w:hAnsi="宋体"/>
                <w:szCs w:val="21"/>
              </w:rPr>
              <w:t>．会计师事务所验资报告；</w:t>
            </w:r>
          </w:p>
        </w:tc>
        <w:tc>
          <w:tcPr>
            <w:tcW w:w="1774" w:type="dxa"/>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4" w:type="dxa"/>
            <w:gridSpan w:val="3"/>
          </w:tcPr>
          <w:p>
            <w:pPr>
              <w:ind w:left="1"/>
              <w:rPr>
                <w:rFonts w:ascii="宋体" w:hAnsi="宋体"/>
                <w:szCs w:val="21"/>
              </w:rPr>
            </w:pPr>
            <w:r>
              <w:rPr>
                <w:rFonts w:ascii="宋体" w:hAnsi="宋体"/>
                <w:szCs w:val="21"/>
              </w:rPr>
              <w:t>7</w:t>
            </w:r>
            <w:r>
              <w:rPr>
                <w:rFonts w:hint="eastAsia" w:ascii="宋体" w:hAnsi="宋体"/>
                <w:szCs w:val="21"/>
              </w:rPr>
              <w:t>．行权专户资金的管理和使用计划；</w:t>
            </w:r>
          </w:p>
        </w:tc>
        <w:tc>
          <w:tcPr>
            <w:tcW w:w="1774" w:type="dxa"/>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4" w:type="dxa"/>
            <w:gridSpan w:val="3"/>
          </w:tcPr>
          <w:p>
            <w:pPr>
              <w:ind w:left="1"/>
              <w:rPr>
                <w:rFonts w:ascii="宋体" w:hAnsi="宋体"/>
                <w:szCs w:val="21"/>
              </w:rPr>
            </w:pPr>
            <w:r>
              <w:rPr>
                <w:rFonts w:ascii="宋体" w:hAnsi="宋体"/>
                <w:szCs w:val="21"/>
              </w:rPr>
              <w:t>8</w:t>
            </w:r>
            <w:r>
              <w:rPr>
                <w:rFonts w:hint="eastAsia" w:ascii="宋体" w:hAnsi="宋体"/>
                <w:szCs w:val="21"/>
              </w:rPr>
              <w:t>．独立财务顾问意见（如有）；</w:t>
            </w:r>
          </w:p>
        </w:tc>
        <w:tc>
          <w:tcPr>
            <w:tcW w:w="1774" w:type="dxa"/>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4" w:type="dxa"/>
            <w:gridSpan w:val="3"/>
          </w:tcPr>
          <w:p>
            <w:pPr>
              <w:ind w:left="1"/>
              <w:rPr>
                <w:rFonts w:ascii="宋体" w:hAnsi="宋体"/>
                <w:szCs w:val="21"/>
              </w:rPr>
            </w:pPr>
            <w:r>
              <w:rPr>
                <w:rFonts w:hint="eastAsia" w:ascii="宋体" w:hAnsi="宋体"/>
                <w:szCs w:val="21"/>
              </w:rPr>
              <w:t>9．激励对象名单及证券账户；</w:t>
            </w:r>
          </w:p>
        </w:tc>
        <w:tc>
          <w:tcPr>
            <w:tcW w:w="1774" w:type="dxa"/>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74" w:type="dxa"/>
            <w:gridSpan w:val="3"/>
          </w:tcPr>
          <w:p>
            <w:pPr>
              <w:ind w:left="1"/>
              <w:rPr>
                <w:rFonts w:ascii="宋体" w:hAnsi="宋体"/>
                <w:szCs w:val="21"/>
              </w:rPr>
            </w:pPr>
            <w:r>
              <w:rPr>
                <w:rFonts w:hint="eastAsia" w:ascii="宋体" w:hAnsi="宋体"/>
                <w:szCs w:val="21"/>
              </w:rPr>
              <w:t>10．本所要求的其他内容。</w:t>
            </w:r>
          </w:p>
        </w:tc>
        <w:tc>
          <w:tcPr>
            <w:tcW w:w="1774" w:type="dxa"/>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48" w:type="dxa"/>
            <w:gridSpan w:val="4"/>
            <w:shd w:val="clear" w:color="auto" w:fill="A6A6A6"/>
          </w:tcPr>
          <w:p>
            <w:pPr>
              <w:jc w:val="center"/>
              <w:rPr>
                <w:rFonts w:ascii="宋体" w:hAnsi="宋体"/>
                <w:szCs w:val="21"/>
              </w:rPr>
            </w:pPr>
            <w:r>
              <w:rPr>
                <w:rFonts w:hint="eastAsia" w:ascii="宋体" w:hAnsi="宋体"/>
                <w:szCs w:val="21"/>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1" w:hRule="atLeast"/>
          <w:jc w:val="center"/>
        </w:trPr>
        <w:tc>
          <w:tcPr>
            <w:tcW w:w="8748" w:type="dxa"/>
            <w:gridSpan w:val="4"/>
          </w:tcPr>
          <w:p>
            <w:pPr>
              <w:widowControl/>
              <w:ind w:firstLine="540"/>
              <w:rPr>
                <w:rFonts w:ascii="仿宋" w:hAnsi="仿宋" w:eastAsia="仿宋"/>
                <w:b/>
                <w:szCs w:val="21"/>
              </w:rPr>
            </w:pPr>
          </w:p>
          <w:p>
            <w:pPr>
              <w:widowControl/>
              <w:ind w:firstLine="540"/>
              <w:rPr>
                <w:rFonts w:ascii="宋体" w:hAnsi="宋体" w:cs="宋体"/>
                <w:bCs/>
                <w:kern w:val="0"/>
                <w:szCs w:val="21"/>
              </w:rPr>
            </w:pPr>
            <w:r>
              <w:rPr>
                <w:rFonts w:hint="eastAsia" w:ascii="宋体" w:hAnsi="宋体"/>
                <w:szCs w:val="21"/>
              </w:rPr>
              <w:t>本公司董事会保证上述材料的真实、准确、完整、合法，特向深圳证券交易所、中国证券登记结算有限责任公司深圳分公司申请办理股票期权集中行权手续。</w:t>
            </w:r>
            <w:r>
              <w:rPr>
                <w:rFonts w:hint="eastAsia" w:ascii="宋体" w:hAnsi="宋体" w:cs="宋体"/>
                <w:bCs/>
                <w:kern w:val="0"/>
                <w:szCs w:val="21"/>
              </w:rPr>
              <w:t xml:space="preserve">                                                                     </w:t>
            </w:r>
          </w:p>
          <w:p>
            <w:pPr>
              <w:widowControl/>
              <w:ind w:firstLine="480"/>
              <w:jc w:val="right"/>
              <w:rPr>
                <w:rFonts w:ascii="宋体" w:hAnsi="宋体" w:cs="宋体"/>
                <w:bCs/>
                <w:kern w:val="0"/>
                <w:szCs w:val="21"/>
              </w:rPr>
            </w:pPr>
          </w:p>
          <w:p>
            <w:pPr>
              <w:widowControl/>
              <w:ind w:firstLine="480"/>
              <w:jc w:val="right"/>
              <w:rPr>
                <w:rFonts w:ascii="宋体" w:hAnsi="宋体" w:cs="宋体"/>
                <w:bCs/>
                <w:kern w:val="0"/>
                <w:szCs w:val="21"/>
              </w:rPr>
            </w:pPr>
          </w:p>
          <w:p>
            <w:pPr>
              <w:widowControl/>
              <w:ind w:right="484" w:firstLine="480"/>
              <w:jc w:val="right"/>
              <w:rPr>
                <w:rFonts w:ascii="宋体" w:hAnsi="宋体" w:cs="宋体"/>
                <w:bCs/>
                <w:kern w:val="0"/>
                <w:szCs w:val="21"/>
              </w:rPr>
            </w:pPr>
            <w:r>
              <w:rPr>
                <w:rFonts w:hint="eastAsia" w:ascii="宋体" w:hAnsi="宋体"/>
                <w:szCs w:val="21"/>
              </w:rPr>
              <w:t>XXX股份有限公司董事会</w:t>
            </w:r>
            <w:r>
              <w:rPr>
                <w:rFonts w:hint="eastAsia" w:ascii="宋体" w:hAnsi="宋体" w:cs="宋体"/>
                <w:bCs/>
                <w:kern w:val="0"/>
                <w:szCs w:val="21"/>
              </w:rPr>
              <w:t xml:space="preserve">（董事会章）                                                                  </w:t>
            </w:r>
          </w:p>
          <w:p>
            <w:pPr>
              <w:rPr>
                <w:rFonts w:ascii="宋体" w:hAnsi="宋体"/>
                <w:szCs w:val="21"/>
              </w:rPr>
            </w:pPr>
            <w:r>
              <w:rPr>
                <w:rFonts w:hint="eastAsia" w:ascii="宋体" w:hAnsi="宋体" w:cs="宋体"/>
                <w:bCs/>
                <w:kern w:val="0"/>
                <w:szCs w:val="21"/>
              </w:rPr>
              <w:t xml:space="preserve">                                                      年  月  日</w:t>
            </w:r>
          </w:p>
        </w:tc>
      </w:tr>
    </w:tbl>
    <w:p>
      <w:pPr>
        <w:widowControl/>
        <w:jc w:val="left"/>
        <w:rPr>
          <w:rFonts w:ascii="黑体" w:hAnsi="黑体" w:eastAsia="黑体"/>
          <w:sz w:val="32"/>
          <w:szCs w:val="32"/>
        </w:rPr>
      </w:pPr>
      <w:r>
        <w:rPr>
          <w:rFonts w:ascii="宋体" w:hAnsi="宋体"/>
          <w:szCs w:val="24"/>
        </w:rPr>
        <w:br w:type="page"/>
      </w:r>
      <w:r>
        <w:rPr>
          <w:rFonts w:hint="eastAsia" w:ascii="黑体" w:hAnsi="黑体" w:eastAsia="黑体"/>
          <w:sz w:val="32"/>
          <w:szCs w:val="32"/>
        </w:rPr>
        <w:t>附件7</w:t>
      </w:r>
    </w:p>
    <w:p>
      <w:pPr>
        <w:widowControl/>
        <w:jc w:val="left"/>
        <w:rPr>
          <w:rFonts w:ascii="黑体" w:hAnsi="黑体" w:eastAsia="黑体"/>
          <w:sz w:val="32"/>
          <w:szCs w:val="32"/>
        </w:rPr>
      </w:pPr>
    </w:p>
    <w:p>
      <w:pPr>
        <w:jc w:val="center"/>
        <w:rPr>
          <w:rFonts w:ascii="方正小标宋简体" w:eastAsia="方正小标宋简体"/>
          <w:bCs/>
          <w:sz w:val="32"/>
          <w:szCs w:val="32"/>
        </w:rPr>
      </w:pPr>
      <w:r>
        <w:rPr>
          <w:rFonts w:hint="eastAsia" w:ascii="方正小标宋简体" w:eastAsia="方正小标宋简体"/>
          <w:bCs/>
          <w:sz w:val="32"/>
          <w:szCs w:val="32"/>
        </w:rPr>
        <w:t>创业板上市公司股权激励计划股票期权行权申请表</w:t>
      </w:r>
    </w:p>
    <w:p>
      <w:pPr>
        <w:jc w:val="center"/>
        <w:rPr>
          <w:rFonts w:ascii="黑体" w:hAnsi="黑体" w:eastAsia="黑体"/>
          <w:b/>
          <w:bCs/>
          <w:sz w:val="32"/>
          <w:szCs w:val="32"/>
        </w:rPr>
      </w:pPr>
      <w:r>
        <w:rPr>
          <w:rFonts w:hint="eastAsia" w:ascii="黑体" w:hAnsi="黑体" w:eastAsia="黑体"/>
          <w:bCs/>
          <w:sz w:val="32"/>
          <w:szCs w:val="32"/>
        </w:rPr>
        <w:t>（自主行权适用）</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0"/>
        <w:gridCol w:w="2048"/>
        <w:gridCol w:w="201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55" w:type="dxa"/>
            <w:gridSpan w:val="4"/>
            <w:tcBorders>
              <w:top w:val="single" w:color="auto" w:sz="4" w:space="0"/>
              <w:left w:val="single" w:color="auto" w:sz="4" w:space="0"/>
              <w:bottom w:val="single" w:color="auto" w:sz="4" w:space="0"/>
              <w:right w:val="single" w:color="auto" w:sz="4" w:space="0"/>
            </w:tcBorders>
            <w:shd w:val="clear" w:color="auto" w:fill="A6A6A6"/>
          </w:tcPr>
          <w:p>
            <w:pPr>
              <w:jc w:val="center"/>
              <w:rPr>
                <w:rFonts w:ascii="宋体" w:hAnsi="宋体"/>
                <w:b/>
                <w:color w:val="000000"/>
                <w:szCs w:val="21"/>
              </w:rPr>
            </w:pPr>
            <w:r>
              <w:rPr>
                <w:rFonts w:hint="eastAsia" w:ascii="宋体" w:hAnsi="宋体"/>
                <w:b/>
                <w:color w:val="000000"/>
                <w:szCs w:val="21"/>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0" w:type="dxa"/>
            <w:tcBorders>
              <w:top w:val="single" w:color="auto" w:sz="4" w:space="0"/>
              <w:left w:val="single" w:color="auto" w:sz="4" w:space="0"/>
              <w:bottom w:val="single" w:color="auto" w:sz="4" w:space="0"/>
              <w:right w:val="single" w:color="auto" w:sz="4" w:space="0"/>
            </w:tcBorders>
          </w:tcPr>
          <w:p>
            <w:pPr>
              <w:rPr>
                <w:rFonts w:ascii="宋体" w:hAnsi="宋体"/>
                <w:b/>
                <w:szCs w:val="21"/>
              </w:rPr>
            </w:pPr>
            <w:r>
              <w:rPr>
                <w:rFonts w:hint="eastAsia" w:ascii="宋体" w:hAnsi="宋体"/>
                <w:b/>
                <w:szCs w:val="21"/>
              </w:rPr>
              <w:t>公司简称</w:t>
            </w:r>
          </w:p>
        </w:tc>
        <w:tc>
          <w:tcPr>
            <w:tcW w:w="2048"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2013" w:type="dxa"/>
            <w:tcBorders>
              <w:top w:val="single" w:color="auto" w:sz="4" w:space="0"/>
              <w:left w:val="single" w:color="auto" w:sz="4" w:space="0"/>
              <w:bottom w:val="single" w:color="auto" w:sz="4" w:space="0"/>
              <w:right w:val="single" w:color="auto" w:sz="4" w:space="0"/>
            </w:tcBorders>
          </w:tcPr>
          <w:p>
            <w:pPr>
              <w:rPr>
                <w:rFonts w:ascii="宋体" w:hAnsi="宋体"/>
                <w:b/>
                <w:szCs w:val="21"/>
              </w:rPr>
            </w:pPr>
            <w:r>
              <w:rPr>
                <w:rFonts w:hint="eastAsia" w:ascii="宋体" w:hAnsi="宋体"/>
                <w:b/>
                <w:szCs w:val="21"/>
              </w:rPr>
              <w:t>股票代码</w:t>
            </w:r>
          </w:p>
        </w:tc>
        <w:tc>
          <w:tcPr>
            <w:tcW w:w="1774"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0" w:type="dxa"/>
            <w:tcBorders>
              <w:top w:val="single" w:color="auto" w:sz="4" w:space="0"/>
              <w:left w:val="single" w:color="auto" w:sz="4" w:space="0"/>
              <w:bottom w:val="single" w:color="auto" w:sz="4" w:space="0"/>
              <w:right w:val="single" w:color="auto" w:sz="4" w:space="0"/>
            </w:tcBorders>
          </w:tcPr>
          <w:p>
            <w:pPr>
              <w:rPr>
                <w:rFonts w:ascii="宋体" w:hAnsi="宋体"/>
                <w:b/>
                <w:szCs w:val="21"/>
              </w:rPr>
            </w:pPr>
            <w:r>
              <w:rPr>
                <w:rFonts w:hint="eastAsia" w:ascii="宋体" w:hAnsi="宋体"/>
                <w:b/>
                <w:szCs w:val="21"/>
              </w:rPr>
              <w:t>期权简称</w:t>
            </w:r>
          </w:p>
        </w:tc>
        <w:tc>
          <w:tcPr>
            <w:tcW w:w="2048"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2013" w:type="dxa"/>
            <w:tcBorders>
              <w:top w:val="single" w:color="auto" w:sz="4" w:space="0"/>
              <w:left w:val="single" w:color="auto" w:sz="4" w:space="0"/>
              <w:bottom w:val="single" w:color="auto" w:sz="4" w:space="0"/>
              <w:right w:val="single" w:color="auto" w:sz="4" w:space="0"/>
            </w:tcBorders>
          </w:tcPr>
          <w:p>
            <w:pPr>
              <w:rPr>
                <w:rFonts w:ascii="宋体" w:hAnsi="宋体"/>
                <w:b/>
                <w:szCs w:val="21"/>
              </w:rPr>
            </w:pPr>
            <w:r>
              <w:rPr>
                <w:rFonts w:hint="eastAsia" w:ascii="宋体" w:hAnsi="宋体"/>
                <w:b/>
                <w:szCs w:val="21"/>
              </w:rPr>
              <w:t>期权代码</w:t>
            </w:r>
          </w:p>
        </w:tc>
        <w:tc>
          <w:tcPr>
            <w:tcW w:w="1774"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0" w:type="dxa"/>
            <w:tcBorders>
              <w:top w:val="single" w:color="auto" w:sz="4" w:space="0"/>
              <w:left w:val="single" w:color="auto" w:sz="4" w:space="0"/>
              <w:bottom w:val="single" w:color="auto" w:sz="4" w:space="0"/>
              <w:right w:val="single" w:color="auto" w:sz="4" w:space="0"/>
            </w:tcBorders>
          </w:tcPr>
          <w:p>
            <w:pPr>
              <w:rPr>
                <w:rFonts w:ascii="宋体" w:hAnsi="宋体"/>
                <w:b/>
                <w:szCs w:val="21"/>
              </w:rPr>
            </w:pPr>
            <w:r>
              <w:rPr>
                <w:rFonts w:hint="eastAsia" w:ascii="宋体" w:hAnsi="宋体"/>
                <w:b/>
                <w:szCs w:val="21"/>
              </w:rPr>
              <w:t>期权可行权期数</w:t>
            </w:r>
            <w:r>
              <w:rPr>
                <w:rFonts w:ascii="宋体" w:hAnsi="宋体"/>
                <w:b/>
                <w:szCs w:val="21"/>
              </w:rPr>
              <w:t xml:space="preserve"> / </w:t>
            </w:r>
            <w:r>
              <w:rPr>
                <w:rFonts w:hint="eastAsia" w:ascii="宋体" w:hAnsi="宋体"/>
                <w:b/>
                <w:szCs w:val="21"/>
              </w:rPr>
              <w:t>本次为第几个行权期</w:t>
            </w:r>
          </w:p>
        </w:tc>
        <w:tc>
          <w:tcPr>
            <w:tcW w:w="2048"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r>
              <w:rPr>
                <w:rFonts w:hint="eastAsia" w:ascii="宋体" w:hAnsi="宋体"/>
                <w:szCs w:val="21"/>
              </w:rPr>
              <w:t>分</w:t>
            </w:r>
            <w:r>
              <w:rPr>
                <w:rFonts w:ascii="宋体" w:hAnsi="宋体"/>
                <w:szCs w:val="21"/>
              </w:rPr>
              <w:t xml:space="preserve">   </w:t>
            </w:r>
            <w:r>
              <w:rPr>
                <w:rFonts w:hint="eastAsia" w:ascii="宋体" w:hAnsi="宋体"/>
                <w:szCs w:val="21"/>
              </w:rPr>
              <w:t>期行权</w:t>
            </w:r>
          </w:p>
          <w:p>
            <w:pPr>
              <w:rPr>
                <w:rFonts w:ascii="宋体" w:hAnsi="宋体"/>
                <w:szCs w:val="21"/>
              </w:rPr>
            </w:pPr>
            <w:r>
              <w:rPr>
                <w:rFonts w:hint="eastAsia" w:ascii="宋体" w:hAnsi="宋体"/>
                <w:szCs w:val="21"/>
              </w:rPr>
              <w:t>本次为第</w:t>
            </w:r>
            <w:r>
              <w:rPr>
                <w:rFonts w:ascii="宋体" w:hAnsi="宋体"/>
                <w:szCs w:val="21"/>
                <w:u w:val="single"/>
              </w:rPr>
              <w:t xml:space="preserve">   </w:t>
            </w:r>
            <w:r>
              <w:rPr>
                <w:rFonts w:hint="eastAsia" w:ascii="宋体" w:hAnsi="宋体"/>
                <w:szCs w:val="21"/>
              </w:rPr>
              <w:t>个行权期</w:t>
            </w:r>
          </w:p>
        </w:tc>
        <w:tc>
          <w:tcPr>
            <w:tcW w:w="2013" w:type="dxa"/>
            <w:tcBorders>
              <w:top w:val="single" w:color="auto" w:sz="4" w:space="0"/>
              <w:left w:val="single" w:color="auto" w:sz="4" w:space="0"/>
              <w:bottom w:val="single" w:color="auto" w:sz="4" w:space="0"/>
              <w:right w:val="single" w:color="auto" w:sz="4" w:space="0"/>
            </w:tcBorders>
          </w:tcPr>
          <w:p>
            <w:pPr>
              <w:rPr>
                <w:rFonts w:ascii="宋体" w:hAnsi="宋体"/>
                <w:b/>
                <w:szCs w:val="21"/>
              </w:rPr>
            </w:pPr>
            <w:r>
              <w:rPr>
                <w:rFonts w:hint="eastAsia" w:ascii="宋体" w:hAnsi="宋体"/>
                <w:b/>
                <w:szCs w:val="21"/>
              </w:rPr>
              <w:t>自主行权承办证券公司名称</w:t>
            </w:r>
          </w:p>
        </w:tc>
        <w:tc>
          <w:tcPr>
            <w:tcW w:w="1774"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0" w:type="dxa"/>
            <w:tcBorders>
              <w:top w:val="single" w:color="auto" w:sz="4" w:space="0"/>
              <w:left w:val="single" w:color="auto" w:sz="4" w:space="0"/>
              <w:bottom w:val="single" w:color="auto" w:sz="4" w:space="0"/>
              <w:right w:val="single" w:color="auto" w:sz="4" w:space="0"/>
            </w:tcBorders>
          </w:tcPr>
          <w:p>
            <w:pPr>
              <w:rPr>
                <w:rFonts w:ascii="宋体" w:hAnsi="宋体"/>
                <w:b/>
                <w:szCs w:val="21"/>
              </w:rPr>
            </w:pPr>
            <w:r>
              <w:rPr>
                <w:rFonts w:hint="eastAsia" w:ascii="宋体" w:hAnsi="宋体"/>
                <w:b/>
                <w:szCs w:val="21"/>
              </w:rPr>
              <w:t>本期期权可行权起始日期</w:t>
            </w:r>
          </w:p>
        </w:tc>
        <w:tc>
          <w:tcPr>
            <w:tcW w:w="2048" w:type="dxa"/>
            <w:tcBorders>
              <w:top w:val="single" w:color="auto" w:sz="4" w:space="0"/>
              <w:left w:val="single" w:color="auto" w:sz="4" w:space="0"/>
              <w:bottom w:val="single" w:color="auto" w:sz="4" w:space="0"/>
              <w:right w:val="single" w:color="auto" w:sz="4" w:space="0"/>
            </w:tcBorders>
          </w:tcPr>
          <w:p>
            <w:pPr>
              <w:rPr>
                <w:rFonts w:ascii="宋体" w:hAnsi="宋体"/>
                <w:szCs w:val="21"/>
              </w:rPr>
            </w:pP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tc>
        <w:tc>
          <w:tcPr>
            <w:tcW w:w="2013" w:type="dxa"/>
            <w:tcBorders>
              <w:top w:val="single" w:color="auto" w:sz="4" w:space="0"/>
              <w:left w:val="single" w:color="auto" w:sz="4" w:space="0"/>
              <w:bottom w:val="single" w:color="auto" w:sz="4" w:space="0"/>
              <w:right w:val="single" w:color="auto" w:sz="4" w:space="0"/>
            </w:tcBorders>
          </w:tcPr>
          <w:p>
            <w:pPr>
              <w:rPr>
                <w:rFonts w:ascii="宋体" w:hAnsi="宋体"/>
                <w:b/>
                <w:szCs w:val="21"/>
              </w:rPr>
            </w:pPr>
            <w:r>
              <w:rPr>
                <w:rFonts w:hint="eastAsia" w:ascii="宋体" w:hAnsi="宋体"/>
                <w:b/>
                <w:szCs w:val="21"/>
              </w:rPr>
              <w:t>本期期权到期日</w:t>
            </w:r>
          </w:p>
        </w:tc>
        <w:tc>
          <w:tcPr>
            <w:tcW w:w="1774" w:type="dxa"/>
            <w:tcBorders>
              <w:top w:val="single" w:color="auto" w:sz="4" w:space="0"/>
              <w:left w:val="single" w:color="auto" w:sz="4" w:space="0"/>
              <w:bottom w:val="single" w:color="auto" w:sz="4" w:space="0"/>
              <w:right w:val="single" w:color="auto" w:sz="4" w:space="0"/>
            </w:tcBorders>
          </w:tcPr>
          <w:p>
            <w:pPr>
              <w:rPr>
                <w:rFonts w:ascii="宋体" w:hAnsi="宋体"/>
                <w:szCs w:val="21"/>
              </w:rPr>
            </w:pP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0" w:type="dxa"/>
            <w:tcBorders>
              <w:top w:val="single" w:color="auto" w:sz="4" w:space="0"/>
              <w:left w:val="single" w:color="auto" w:sz="4" w:space="0"/>
              <w:bottom w:val="single" w:color="auto" w:sz="4" w:space="0"/>
              <w:right w:val="single" w:color="auto" w:sz="4" w:space="0"/>
            </w:tcBorders>
          </w:tcPr>
          <w:p>
            <w:pPr>
              <w:rPr>
                <w:rFonts w:ascii="宋体" w:hAnsi="宋体"/>
                <w:b/>
                <w:szCs w:val="21"/>
              </w:rPr>
            </w:pPr>
            <w:r>
              <w:rPr>
                <w:rFonts w:hint="eastAsia" w:ascii="宋体" w:hAnsi="宋体"/>
                <w:b/>
                <w:szCs w:val="21"/>
              </w:rPr>
              <w:t>截至申请日本期期权可行权数额（万份）</w:t>
            </w:r>
          </w:p>
        </w:tc>
        <w:tc>
          <w:tcPr>
            <w:tcW w:w="2048"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c>
          <w:tcPr>
            <w:tcW w:w="2013" w:type="dxa"/>
            <w:tcBorders>
              <w:top w:val="single" w:color="auto" w:sz="4" w:space="0"/>
              <w:left w:val="single" w:color="auto" w:sz="4" w:space="0"/>
              <w:bottom w:val="single" w:color="auto" w:sz="4" w:space="0"/>
              <w:right w:val="single" w:color="auto" w:sz="4" w:space="0"/>
            </w:tcBorders>
          </w:tcPr>
          <w:p>
            <w:pPr>
              <w:ind w:left="1"/>
              <w:rPr>
                <w:rFonts w:ascii="宋体" w:hAnsi="宋体"/>
                <w:b/>
                <w:szCs w:val="21"/>
              </w:rPr>
            </w:pPr>
            <w:r>
              <w:rPr>
                <w:rFonts w:hint="eastAsia" w:ascii="宋体" w:hAnsi="宋体"/>
                <w:b/>
                <w:szCs w:val="21"/>
              </w:rPr>
              <w:t>本期可行权人员数量</w:t>
            </w:r>
          </w:p>
        </w:tc>
        <w:tc>
          <w:tcPr>
            <w:tcW w:w="1774"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3"/>
            <w:tcBorders>
              <w:top w:val="single" w:color="auto" w:sz="4" w:space="0"/>
              <w:left w:val="single" w:color="auto" w:sz="4" w:space="0"/>
              <w:bottom w:val="single" w:color="auto" w:sz="4" w:space="0"/>
              <w:right w:val="single" w:color="auto" w:sz="4" w:space="0"/>
            </w:tcBorders>
            <w:shd w:val="clear" w:color="auto" w:fill="A6A6A6"/>
            <w:vAlign w:val="center"/>
          </w:tcPr>
          <w:p>
            <w:pPr>
              <w:ind w:left="1"/>
              <w:jc w:val="center"/>
              <w:rPr>
                <w:rFonts w:ascii="宋体" w:hAnsi="宋体"/>
                <w:b/>
                <w:szCs w:val="21"/>
              </w:rPr>
            </w:pPr>
            <w:r>
              <w:rPr>
                <w:rFonts w:hint="eastAsia" w:ascii="宋体" w:hAnsi="宋体"/>
                <w:b/>
                <w:bCs/>
                <w:kern w:val="0"/>
                <w:szCs w:val="21"/>
              </w:rPr>
              <w:t>申</w:t>
            </w:r>
            <w:r>
              <w:rPr>
                <w:rFonts w:ascii="宋体" w:hAnsi="宋体"/>
                <w:b/>
                <w:bCs/>
                <w:kern w:val="0"/>
                <w:szCs w:val="21"/>
              </w:rPr>
              <w:t xml:space="preserve"> </w:t>
            </w:r>
            <w:r>
              <w:rPr>
                <w:rFonts w:hint="eastAsia" w:ascii="宋体" w:hAnsi="宋体"/>
                <w:b/>
                <w:bCs/>
                <w:kern w:val="0"/>
                <w:szCs w:val="21"/>
              </w:rPr>
              <w:t>报</w:t>
            </w:r>
            <w:r>
              <w:rPr>
                <w:rFonts w:ascii="宋体" w:hAnsi="宋体"/>
                <w:b/>
                <w:bCs/>
                <w:kern w:val="0"/>
                <w:szCs w:val="21"/>
              </w:rPr>
              <w:t xml:space="preserve"> </w:t>
            </w:r>
            <w:r>
              <w:rPr>
                <w:rFonts w:hint="eastAsia" w:ascii="宋体" w:hAnsi="宋体"/>
                <w:b/>
                <w:bCs/>
                <w:kern w:val="0"/>
                <w:szCs w:val="21"/>
              </w:rPr>
              <w:t>材</w:t>
            </w:r>
            <w:r>
              <w:rPr>
                <w:rFonts w:ascii="宋体" w:hAnsi="宋体"/>
                <w:b/>
                <w:bCs/>
                <w:kern w:val="0"/>
                <w:szCs w:val="21"/>
              </w:rPr>
              <w:t xml:space="preserve"> </w:t>
            </w:r>
            <w:r>
              <w:rPr>
                <w:rFonts w:hint="eastAsia" w:ascii="宋体" w:hAnsi="宋体"/>
                <w:b/>
                <w:bCs/>
                <w:kern w:val="0"/>
                <w:szCs w:val="21"/>
              </w:rPr>
              <w:t>料</w:t>
            </w:r>
          </w:p>
        </w:tc>
        <w:tc>
          <w:tcPr>
            <w:tcW w:w="1774" w:type="dxa"/>
            <w:tcBorders>
              <w:top w:val="single" w:color="auto" w:sz="4" w:space="0"/>
              <w:left w:val="single" w:color="auto" w:sz="4" w:space="0"/>
              <w:bottom w:val="single" w:color="auto" w:sz="4" w:space="0"/>
              <w:right w:val="single" w:color="auto" w:sz="4" w:space="0"/>
            </w:tcBorders>
            <w:shd w:val="clear" w:color="auto" w:fill="A6A6A6"/>
            <w:vAlign w:val="center"/>
          </w:tcPr>
          <w:p>
            <w:pPr>
              <w:ind w:left="211" w:hanging="211" w:hangingChars="100"/>
              <w:jc w:val="center"/>
              <w:rPr>
                <w:rFonts w:ascii="宋体" w:hAnsi="宋体"/>
                <w:b/>
                <w:szCs w:val="21"/>
              </w:rPr>
            </w:pPr>
            <w:r>
              <w:rPr>
                <w:rFonts w:hint="eastAsia" w:ascii="宋体" w:hAnsi="宋体"/>
                <w:b/>
                <w:bCs/>
                <w:kern w:val="0"/>
                <w:szCs w:val="21"/>
              </w:rPr>
              <w:t>是否齐备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rPr>
            </w:pPr>
            <w:r>
              <w:rPr>
                <w:rFonts w:hint="eastAsia" w:ascii="宋体" w:hAnsi="宋体"/>
                <w:kern w:val="0"/>
                <w:szCs w:val="21"/>
              </w:rPr>
              <w:t>1．本次股票期权自主行权的相关董事会决议；</w:t>
            </w:r>
          </w:p>
        </w:tc>
        <w:tc>
          <w:tcPr>
            <w:tcW w:w="1774"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rPr>
            </w:pPr>
            <w:r>
              <w:rPr>
                <w:rFonts w:hint="eastAsia" w:ascii="宋体" w:hAnsi="宋体"/>
                <w:kern w:val="0"/>
                <w:szCs w:val="21"/>
              </w:rPr>
              <w:t>2．选择自主行权模式对激励股票期权定价及会计核算影响及变化的说明；</w:t>
            </w:r>
          </w:p>
        </w:tc>
        <w:tc>
          <w:tcPr>
            <w:tcW w:w="1774"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rPr>
            </w:pPr>
            <w:r>
              <w:rPr>
                <w:rFonts w:hint="eastAsia" w:ascii="宋体" w:hAnsi="宋体"/>
                <w:kern w:val="0"/>
                <w:szCs w:val="21"/>
              </w:rPr>
              <w:t>3．上市公司股权激励期权自主行权合规承诺书（注</w:t>
            </w:r>
            <w:r>
              <w:rPr>
                <w:rFonts w:ascii="宋体" w:hAnsi="宋体"/>
                <w:kern w:val="0"/>
                <w:szCs w:val="21"/>
              </w:rPr>
              <w:t>1</w:t>
            </w:r>
            <w:r>
              <w:rPr>
                <w:rFonts w:hint="eastAsia" w:ascii="宋体" w:hAnsi="宋体"/>
                <w:kern w:val="0"/>
                <w:szCs w:val="21"/>
              </w:rPr>
              <w:t>）；</w:t>
            </w:r>
          </w:p>
        </w:tc>
        <w:tc>
          <w:tcPr>
            <w:tcW w:w="1774"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rPr>
            </w:pPr>
            <w:r>
              <w:rPr>
                <w:rFonts w:hint="eastAsia" w:ascii="宋体" w:hAnsi="宋体"/>
                <w:kern w:val="0"/>
                <w:szCs w:val="21"/>
              </w:rPr>
              <w:t>4．股权激励期权自主行权承办券商业务承诺书（注</w:t>
            </w:r>
            <w:r>
              <w:rPr>
                <w:rFonts w:ascii="宋体" w:hAnsi="宋体"/>
                <w:kern w:val="0"/>
                <w:szCs w:val="21"/>
              </w:rPr>
              <w:t>2</w:t>
            </w:r>
            <w:r>
              <w:rPr>
                <w:rFonts w:hint="eastAsia" w:ascii="宋体" w:hAnsi="宋体"/>
                <w:kern w:val="0"/>
                <w:szCs w:val="21"/>
              </w:rPr>
              <w:t>）；</w:t>
            </w:r>
          </w:p>
        </w:tc>
        <w:tc>
          <w:tcPr>
            <w:tcW w:w="1774"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rPr>
            </w:pPr>
            <w:r>
              <w:rPr>
                <w:rFonts w:hint="eastAsia" w:ascii="宋体" w:hAnsi="宋体"/>
                <w:kern w:val="0"/>
                <w:szCs w:val="21"/>
              </w:rPr>
              <w:t>5．有权部门批复（如有）；</w:t>
            </w:r>
          </w:p>
        </w:tc>
        <w:tc>
          <w:tcPr>
            <w:tcW w:w="1774"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rPr>
            </w:pPr>
            <w:r>
              <w:rPr>
                <w:rFonts w:hint="eastAsia" w:ascii="宋体" w:hAnsi="宋体"/>
                <w:kern w:val="0"/>
                <w:szCs w:val="21"/>
              </w:rPr>
              <w:t>6．上市公司与激励对象及承办券商签署的自主行权服务协议；</w:t>
            </w:r>
          </w:p>
        </w:tc>
        <w:tc>
          <w:tcPr>
            <w:tcW w:w="1774"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rPr>
            </w:pPr>
            <w:r>
              <w:rPr>
                <w:rFonts w:hint="eastAsia" w:ascii="宋体" w:hAnsi="宋体"/>
                <w:kern w:val="0"/>
                <w:szCs w:val="21"/>
              </w:rPr>
              <w:t>7．监事会意见；</w:t>
            </w:r>
          </w:p>
        </w:tc>
        <w:tc>
          <w:tcPr>
            <w:tcW w:w="1774"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rPr>
            </w:pPr>
            <w:r>
              <w:rPr>
                <w:rFonts w:hint="eastAsia" w:ascii="宋体" w:hAnsi="宋体"/>
                <w:kern w:val="0"/>
                <w:szCs w:val="21"/>
              </w:rPr>
              <w:t>8．监事会对激励对象名单的核实意见；</w:t>
            </w:r>
          </w:p>
        </w:tc>
        <w:tc>
          <w:tcPr>
            <w:tcW w:w="1774"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rPr>
            </w:pPr>
            <w:r>
              <w:rPr>
                <w:rFonts w:hint="eastAsia" w:ascii="宋体" w:hAnsi="宋体"/>
                <w:kern w:val="0"/>
                <w:szCs w:val="21"/>
              </w:rPr>
              <w:t>9．法律意见书；</w:t>
            </w:r>
          </w:p>
        </w:tc>
        <w:tc>
          <w:tcPr>
            <w:tcW w:w="1774"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rPr>
            </w:pPr>
            <w:r>
              <w:rPr>
                <w:rFonts w:hint="eastAsia" w:ascii="宋体" w:hAnsi="宋体"/>
                <w:kern w:val="0"/>
                <w:szCs w:val="21"/>
              </w:rPr>
              <w:t>10．</w:t>
            </w:r>
            <w:r>
              <w:rPr>
                <w:rFonts w:hint="eastAsia" w:ascii="宋体" w:hAnsi="宋体"/>
                <w:szCs w:val="21"/>
              </w:rPr>
              <w:t>行权专户资金的管理和使用计划；</w:t>
            </w:r>
          </w:p>
        </w:tc>
        <w:tc>
          <w:tcPr>
            <w:tcW w:w="1774"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rPr>
            </w:pPr>
            <w:r>
              <w:rPr>
                <w:rFonts w:hint="eastAsia" w:ascii="宋体" w:hAnsi="宋体"/>
                <w:kern w:val="0"/>
                <w:szCs w:val="21"/>
              </w:rPr>
              <w:t>11．董事、高管、持股5%以上股东的有关承诺；</w:t>
            </w:r>
          </w:p>
        </w:tc>
        <w:tc>
          <w:tcPr>
            <w:tcW w:w="1774"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1" w:type="dxa"/>
            <w:gridSpan w:val="3"/>
            <w:tcBorders>
              <w:top w:val="single" w:color="auto" w:sz="4" w:space="0"/>
              <w:left w:val="single" w:color="auto" w:sz="4" w:space="0"/>
              <w:bottom w:val="single" w:color="auto" w:sz="4" w:space="0"/>
              <w:right w:val="single" w:color="auto" w:sz="4" w:space="0"/>
            </w:tcBorders>
          </w:tcPr>
          <w:p>
            <w:pPr>
              <w:ind w:left="1"/>
              <w:rPr>
                <w:rFonts w:ascii="宋体" w:hAnsi="宋体"/>
                <w:kern w:val="0"/>
                <w:szCs w:val="21"/>
              </w:rPr>
            </w:pPr>
            <w:r>
              <w:rPr>
                <w:rFonts w:hint="eastAsia" w:ascii="宋体" w:hAnsi="宋体"/>
                <w:kern w:val="0"/>
                <w:szCs w:val="21"/>
              </w:rPr>
              <w:t>12．本所要求的其他内容。</w:t>
            </w:r>
          </w:p>
        </w:tc>
        <w:tc>
          <w:tcPr>
            <w:tcW w:w="1774" w:type="dxa"/>
            <w:tcBorders>
              <w:top w:val="single" w:color="auto" w:sz="4" w:space="0"/>
              <w:left w:val="single" w:color="auto" w:sz="4" w:space="0"/>
              <w:bottom w:val="single" w:color="auto" w:sz="4" w:space="0"/>
              <w:right w:val="single" w:color="auto" w:sz="4" w:space="0"/>
            </w:tcBorders>
          </w:tcPr>
          <w:p>
            <w:pPr>
              <w:ind w:left="210" w:hanging="210" w:hangingChars="1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755" w:type="dxa"/>
            <w:gridSpan w:val="4"/>
            <w:tcBorders>
              <w:top w:val="single" w:color="auto" w:sz="4" w:space="0"/>
              <w:left w:val="single" w:color="auto" w:sz="4" w:space="0"/>
              <w:bottom w:val="single" w:color="auto" w:sz="4" w:space="0"/>
              <w:right w:val="single" w:color="auto" w:sz="4" w:space="0"/>
            </w:tcBorders>
            <w:shd w:val="clear" w:color="auto" w:fill="A6A6A6"/>
          </w:tcPr>
          <w:p>
            <w:pPr>
              <w:jc w:val="center"/>
              <w:rPr>
                <w:rFonts w:ascii="宋体" w:hAnsi="宋体"/>
                <w:szCs w:val="21"/>
              </w:rPr>
            </w:pPr>
            <w:r>
              <w:rPr>
                <w:rFonts w:hint="eastAsia" w:ascii="宋体" w:hAnsi="宋体"/>
                <w:szCs w:val="21"/>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8755" w:type="dxa"/>
            <w:gridSpan w:val="4"/>
            <w:tcBorders>
              <w:top w:val="single" w:color="auto" w:sz="4" w:space="0"/>
              <w:left w:val="single" w:color="auto" w:sz="4" w:space="0"/>
              <w:bottom w:val="single" w:color="auto" w:sz="4" w:space="0"/>
              <w:right w:val="single" w:color="auto" w:sz="4" w:space="0"/>
            </w:tcBorders>
          </w:tcPr>
          <w:p>
            <w:pPr>
              <w:widowControl/>
              <w:ind w:firstLine="540"/>
              <w:rPr>
                <w:rFonts w:ascii="宋体" w:hAnsi="宋体" w:cs="宋体"/>
                <w:bCs/>
                <w:kern w:val="0"/>
                <w:szCs w:val="21"/>
              </w:rPr>
            </w:pPr>
            <w:r>
              <w:rPr>
                <w:rFonts w:hint="eastAsia" w:ascii="宋体" w:hAnsi="宋体"/>
                <w:szCs w:val="21"/>
              </w:rPr>
              <w:t>本公司董事会保证上述材料的真实、准确、完整、合法，特向深圳证券交易所、中国证券登记结算有限责任公司深圳分公司申请办理股票期权自主行权手续。</w:t>
            </w:r>
            <w:r>
              <w:rPr>
                <w:rFonts w:hint="eastAsia" w:ascii="宋体" w:hAnsi="宋体" w:cs="宋体"/>
                <w:bCs/>
                <w:kern w:val="0"/>
                <w:szCs w:val="21"/>
              </w:rPr>
              <w:t xml:space="preserve">                                                                     </w:t>
            </w:r>
          </w:p>
          <w:p>
            <w:pPr>
              <w:widowControl/>
              <w:ind w:firstLine="480"/>
              <w:jc w:val="right"/>
              <w:rPr>
                <w:rFonts w:ascii="宋体" w:hAnsi="宋体" w:cs="宋体"/>
                <w:bCs/>
                <w:kern w:val="0"/>
                <w:szCs w:val="21"/>
              </w:rPr>
            </w:pPr>
          </w:p>
          <w:p>
            <w:pPr>
              <w:widowControl/>
              <w:ind w:firstLine="480"/>
              <w:jc w:val="right"/>
              <w:rPr>
                <w:rFonts w:ascii="宋体" w:hAnsi="宋体" w:cs="宋体"/>
                <w:bCs/>
                <w:kern w:val="0"/>
                <w:szCs w:val="21"/>
              </w:rPr>
            </w:pPr>
          </w:p>
          <w:p>
            <w:pPr>
              <w:widowControl/>
              <w:ind w:right="484" w:firstLine="480"/>
              <w:jc w:val="right"/>
              <w:rPr>
                <w:rFonts w:ascii="宋体" w:hAnsi="宋体" w:cs="宋体"/>
                <w:bCs/>
                <w:kern w:val="0"/>
                <w:szCs w:val="21"/>
              </w:rPr>
            </w:pPr>
            <w:r>
              <w:rPr>
                <w:rFonts w:hint="eastAsia" w:ascii="宋体" w:hAnsi="宋体"/>
                <w:szCs w:val="21"/>
              </w:rPr>
              <w:t>XXX股份有限公司董事会</w:t>
            </w:r>
            <w:r>
              <w:rPr>
                <w:rFonts w:hint="eastAsia" w:ascii="宋体" w:hAnsi="宋体" w:cs="宋体"/>
                <w:bCs/>
                <w:kern w:val="0"/>
                <w:szCs w:val="21"/>
              </w:rPr>
              <w:t xml:space="preserve">（董事会章）                                                                  </w:t>
            </w:r>
          </w:p>
          <w:p>
            <w:pPr>
              <w:rPr>
                <w:rFonts w:ascii="宋体" w:hAnsi="宋体"/>
                <w:szCs w:val="21"/>
              </w:rPr>
            </w:pPr>
            <w:r>
              <w:rPr>
                <w:rFonts w:hint="eastAsia" w:ascii="宋体" w:hAnsi="宋体" w:cs="宋体"/>
                <w:bCs/>
                <w:kern w:val="0"/>
                <w:szCs w:val="21"/>
              </w:rPr>
              <w:t xml:space="preserve">                                                      年  月  日</w:t>
            </w:r>
          </w:p>
        </w:tc>
      </w:tr>
    </w:tbl>
    <w:p>
      <w:pPr>
        <w:ind w:firstLine="420" w:firstLineChars="200"/>
        <w:rPr>
          <w:rFonts w:ascii="宋体" w:hAnsi="宋体"/>
          <w:color w:val="000000"/>
          <w:szCs w:val="21"/>
        </w:rPr>
      </w:pPr>
      <w:r>
        <w:rPr>
          <w:rFonts w:hint="eastAsia" w:ascii="宋体" w:hAnsi="宋体"/>
          <w:color w:val="000000"/>
          <w:szCs w:val="21"/>
        </w:rPr>
        <w:t>注</w:t>
      </w:r>
      <w:r>
        <w:rPr>
          <w:rFonts w:ascii="宋体" w:hAnsi="宋体"/>
          <w:color w:val="000000"/>
          <w:szCs w:val="21"/>
        </w:rPr>
        <w:t>1</w:t>
      </w:r>
      <w:r>
        <w:rPr>
          <w:rFonts w:hint="eastAsia" w:ascii="宋体" w:hAnsi="宋体"/>
          <w:color w:val="000000"/>
          <w:szCs w:val="21"/>
        </w:rPr>
        <w:t>：上市公司应在股权激励期权自主行权合规承诺书中至少就下列合规性要求作出承诺：（</w:t>
      </w:r>
      <w:r>
        <w:rPr>
          <w:rFonts w:ascii="宋体" w:hAnsi="宋体"/>
          <w:color w:val="000000"/>
          <w:szCs w:val="21"/>
        </w:rPr>
        <w:t>1）上市公司与被激励对象就自主行权模式及承办券商的选择达成协议，并明确约定各方权利及责任；（2）审慎选择自主行权模式下期权估值模型及方法，充分披露</w:t>
      </w:r>
      <w:r>
        <w:rPr>
          <w:rFonts w:hint="eastAsia" w:ascii="宋体" w:hAnsi="宋体"/>
          <w:color w:val="000000"/>
          <w:szCs w:val="21"/>
        </w:rPr>
        <w:t>对会计核算及财务状况和经营成果可能产生的影响及变化；（</w:t>
      </w:r>
      <w:r>
        <w:rPr>
          <w:rFonts w:ascii="宋体" w:hAnsi="宋体"/>
          <w:color w:val="000000"/>
          <w:szCs w:val="21"/>
        </w:rPr>
        <w:t>3</w:t>
      </w:r>
      <w:r>
        <w:rPr>
          <w:rFonts w:hint="eastAsia" w:ascii="宋体" w:hAnsi="宋体"/>
          <w:color w:val="000000"/>
          <w:szCs w:val="21"/>
        </w:rPr>
        <w:t>）确保被激励对象行权时点符合相关法律、法规要求；（</w:t>
      </w:r>
      <w:r>
        <w:rPr>
          <w:rFonts w:ascii="宋体" w:hAnsi="宋体"/>
          <w:color w:val="000000"/>
          <w:szCs w:val="21"/>
        </w:rPr>
        <w:t>4</w:t>
      </w:r>
      <w:r>
        <w:rPr>
          <w:rFonts w:hint="eastAsia" w:ascii="宋体" w:hAnsi="宋体"/>
          <w:color w:val="000000"/>
          <w:szCs w:val="21"/>
        </w:rPr>
        <w:t>）上市公司发生应对股票期权参数进行调整的公司行为（如权益分派、配股等）后，应及时向结算公司提交符合激励方案的调整后参数，并确认相关参数调整的及时性和准确性；在取得结算公司的相关参数调整完成确认后，方可继续开展股权激励自主行权业务；（</w:t>
      </w:r>
      <w:r>
        <w:rPr>
          <w:rFonts w:ascii="宋体" w:hAnsi="宋体"/>
          <w:color w:val="000000"/>
          <w:szCs w:val="21"/>
        </w:rPr>
        <w:t>5</w:t>
      </w:r>
      <w:r>
        <w:rPr>
          <w:rFonts w:hint="eastAsia" w:ascii="宋体" w:hAnsi="宋体"/>
          <w:color w:val="000000"/>
          <w:szCs w:val="21"/>
        </w:rPr>
        <w:t>）因其他特殊情况需进行调整的，例如需对个别激励对象持有期权在行权期内注销的，由公司提交承办券商自主行权系统端口予以锁定，并定期报结算公司完成注销程序；（</w:t>
      </w:r>
      <w:r>
        <w:rPr>
          <w:rFonts w:ascii="宋体" w:hAnsi="宋体"/>
          <w:color w:val="000000"/>
          <w:szCs w:val="21"/>
        </w:rPr>
        <w:t>6</w:t>
      </w:r>
      <w:r>
        <w:rPr>
          <w:rFonts w:hint="eastAsia" w:ascii="宋体" w:hAnsi="宋体"/>
          <w:color w:val="000000"/>
          <w:szCs w:val="21"/>
        </w:rPr>
        <w:t>）期权激励计划的每个行权期届满后，上市公司应在</w:t>
      </w:r>
      <w:r>
        <w:rPr>
          <w:rFonts w:ascii="宋体" w:hAnsi="宋体"/>
          <w:color w:val="000000"/>
          <w:szCs w:val="21"/>
        </w:rPr>
        <w:t>5</w:t>
      </w:r>
      <w:r>
        <w:rPr>
          <w:rFonts w:hint="eastAsia" w:ascii="宋体" w:hAnsi="宋体"/>
          <w:color w:val="000000"/>
          <w:szCs w:val="21"/>
        </w:rPr>
        <w:t>个工作日内到结算公司完成到期未行权期权的注销程序。上述注销手续办理期间，同一激励计划下同次授予的所有股票期权应暂停行权直至相关注销手续完成。上市公司应在每个行权期届满后核实到期未行权且应予以注销的期权数量，确保注销数量准确无误。（</w:t>
      </w:r>
      <w:r>
        <w:rPr>
          <w:rFonts w:ascii="宋体" w:hAnsi="宋体"/>
          <w:color w:val="000000"/>
          <w:szCs w:val="21"/>
        </w:rPr>
        <w:t>7</w:t>
      </w:r>
      <w:r>
        <w:rPr>
          <w:rFonts w:hint="eastAsia" w:ascii="宋体" w:hAnsi="宋体"/>
          <w:color w:val="000000"/>
          <w:szCs w:val="21"/>
        </w:rPr>
        <w:t>）确保各行权对象自主行权过程符合包括个人所得税法等相关法律、法规规定，并已向当地税务机关报备激励对象扣税方案。</w:t>
      </w:r>
    </w:p>
    <w:p>
      <w:pPr>
        <w:ind w:firstLine="470" w:firstLineChars="224"/>
        <w:rPr>
          <w:rFonts w:ascii="宋体" w:hAnsi="宋体"/>
          <w:color w:val="000000"/>
          <w:szCs w:val="21"/>
        </w:rPr>
      </w:pPr>
      <w:r>
        <w:rPr>
          <w:rFonts w:hint="eastAsia" w:ascii="宋体" w:hAnsi="宋体"/>
          <w:color w:val="000000"/>
          <w:szCs w:val="21"/>
        </w:rPr>
        <w:t>注</w:t>
      </w:r>
      <w:r>
        <w:rPr>
          <w:rFonts w:ascii="宋体" w:hAnsi="宋体"/>
          <w:color w:val="000000"/>
          <w:szCs w:val="21"/>
        </w:rPr>
        <w:t>2</w:t>
      </w:r>
      <w:r>
        <w:rPr>
          <w:rFonts w:hint="eastAsia" w:ascii="宋体" w:hAnsi="宋体"/>
          <w:color w:val="000000"/>
          <w:szCs w:val="21"/>
        </w:rPr>
        <w:t>：股权激励期权自主行权承办券商应在业务承诺书中承诺其向上市公司和激励对象提供的自主行权业务系统完全符合自主行权业务操作及相关合规性要求。</w:t>
      </w:r>
    </w:p>
    <w:p>
      <w:pPr>
        <w:ind w:right="960"/>
        <w:rPr>
          <w:rFonts w:ascii="黑体" w:hAnsi="黑体" w:eastAsia="黑体"/>
          <w:sz w:val="32"/>
          <w:szCs w:val="32"/>
        </w:rPr>
      </w:pPr>
      <w:r>
        <w:br w:type="page"/>
      </w:r>
      <w:r>
        <w:rPr>
          <w:rFonts w:hint="eastAsia" w:ascii="黑体" w:hAnsi="黑体" w:eastAsia="黑体"/>
          <w:sz w:val="32"/>
          <w:szCs w:val="32"/>
        </w:rPr>
        <w:t>附件8</w:t>
      </w:r>
    </w:p>
    <w:p>
      <w:pPr>
        <w:spacing w:line="560" w:lineRule="exact"/>
        <w:ind w:right="958"/>
        <w:rPr>
          <w:rFonts w:ascii="黑体" w:hAnsi="黑体" w:eastAsia="黑体"/>
          <w:sz w:val="32"/>
          <w:szCs w:val="32"/>
        </w:rPr>
      </w:pPr>
    </w:p>
    <w:p>
      <w:pPr>
        <w:jc w:val="center"/>
        <w:rPr>
          <w:rFonts w:ascii="方正小标宋简体" w:hAnsi="黑体" w:eastAsia="方正小标宋简体"/>
          <w:bCs/>
          <w:sz w:val="32"/>
          <w:szCs w:val="32"/>
        </w:rPr>
      </w:pPr>
      <w:r>
        <w:rPr>
          <w:rFonts w:hint="eastAsia" w:ascii="方正小标宋简体" w:hAnsi="黑体" w:eastAsia="方正小标宋简体"/>
          <w:bCs/>
          <w:sz w:val="32"/>
          <w:szCs w:val="32"/>
        </w:rPr>
        <w:t>创业板上市公司股权激励授予限制性股票注销申请表</w:t>
      </w:r>
    </w:p>
    <w:p>
      <w:pPr>
        <w:jc w:val="center"/>
        <w:rPr>
          <w:rFonts w:ascii="方正小标宋简体" w:hAnsi="黑体" w:eastAsia="方正小标宋简体"/>
          <w:b/>
          <w:bCs/>
          <w:sz w:val="32"/>
          <w:szCs w:val="32"/>
        </w:rPr>
      </w:pP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5"/>
        <w:gridCol w:w="2160"/>
        <w:gridCol w:w="2700"/>
        <w:gridCol w:w="1277"/>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428" w:type="dxa"/>
            <w:gridSpan w:val="5"/>
            <w:shd w:val="clear" w:color="auto" w:fill="A6A6A6"/>
          </w:tcPr>
          <w:p>
            <w:pPr>
              <w:jc w:val="center"/>
              <w:rPr>
                <w:rFonts w:ascii="宋体" w:hAnsi="宋体"/>
                <w:b/>
                <w:color w:val="000000"/>
                <w:szCs w:val="21"/>
              </w:rPr>
            </w:pPr>
            <w:r>
              <w:rPr>
                <w:rFonts w:hint="eastAsia" w:ascii="宋体" w:hAnsi="宋体"/>
                <w:b/>
                <w:color w:val="000000"/>
                <w:szCs w:val="21"/>
              </w:rPr>
              <w:t>股权激励授予限制性股票注销申请的基本情况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5" w:type="dxa"/>
            <w:tcBorders>
              <w:bottom w:val="single" w:color="auto" w:sz="4" w:space="0"/>
            </w:tcBorders>
            <w:vAlign w:val="center"/>
          </w:tcPr>
          <w:p>
            <w:pPr>
              <w:jc w:val="center"/>
              <w:rPr>
                <w:rFonts w:ascii="宋体" w:hAnsi="宋体"/>
                <w:szCs w:val="21"/>
              </w:rPr>
            </w:pPr>
            <w:r>
              <w:rPr>
                <w:rFonts w:hint="eastAsia" w:ascii="宋体" w:hAnsi="宋体"/>
                <w:szCs w:val="21"/>
              </w:rPr>
              <w:t>公司简称</w:t>
            </w:r>
          </w:p>
        </w:tc>
        <w:tc>
          <w:tcPr>
            <w:tcW w:w="2160" w:type="dxa"/>
            <w:tcBorders>
              <w:bottom w:val="single" w:color="auto" w:sz="4" w:space="0"/>
            </w:tcBorders>
            <w:vAlign w:val="center"/>
          </w:tcPr>
          <w:p>
            <w:pPr>
              <w:jc w:val="center"/>
              <w:rPr>
                <w:rFonts w:ascii="宋体" w:hAnsi="宋体"/>
                <w:szCs w:val="21"/>
              </w:rPr>
            </w:pPr>
          </w:p>
        </w:tc>
        <w:tc>
          <w:tcPr>
            <w:tcW w:w="2700" w:type="dxa"/>
            <w:tcBorders>
              <w:bottom w:val="single" w:color="auto" w:sz="4" w:space="0"/>
            </w:tcBorders>
            <w:vAlign w:val="center"/>
          </w:tcPr>
          <w:p>
            <w:pPr>
              <w:jc w:val="center"/>
              <w:rPr>
                <w:rFonts w:ascii="宋体" w:hAnsi="宋体"/>
                <w:szCs w:val="21"/>
              </w:rPr>
            </w:pPr>
            <w:r>
              <w:rPr>
                <w:rFonts w:hint="eastAsia" w:ascii="宋体" w:hAnsi="宋体"/>
                <w:szCs w:val="21"/>
              </w:rPr>
              <w:t>股票代码</w:t>
            </w:r>
          </w:p>
        </w:tc>
        <w:tc>
          <w:tcPr>
            <w:tcW w:w="2853" w:type="dxa"/>
            <w:gridSpan w:val="2"/>
            <w:tcBorders>
              <w:bottom w:val="single" w:color="auto" w:sz="4" w:space="0"/>
            </w:tcBorders>
            <w:vAlign w:val="center"/>
          </w:tcPr>
          <w:p>
            <w:pPr>
              <w:jc w:val="center"/>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5" w:type="dxa"/>
            <w:tcBorders>
              <w:bottom w:val="single" w:color="auto" w:sz="4" w:space="0"/>
            </w:tcBorders>
            <w:vAlign w:val="center"/>
          </w:tcPr>
          <w:p>
            <w:pPr>
              <w:jc w:val="center"/>
              <w:rPr>
                <w:rFonts w:ascii="宋体" w:hAnsi="宋体"/>
                <w:szCs w:val="21"/>
              </w:rPr>
            </w:pPr>
            <w:r>
              <w:rPr>
                <w:rFonts w:hint="eastAsia" w:ascii="宋体" w:hAnsi="宋体"/>
                <w:szCs w:val="21"/>
              </w:rPr>
              <w:t>本次申请注销的类型</w:t>
            </w:r>
          </w:p>
        </w:tc>
        <w:tc>
          <w:tcPr>
            <w:tcW w:w="7713" w:type="dxa"/>
            <w:gridSpan w:val="4"/>
            <w:tcBorders>
              <w:bottom w:val="single" w:color="auto" w:sz="4" w:space="0"/>
            </w:tcBorders>
            <w:vAlign w:val="center"/>
          </w:tcPr>
          <w:p>
            <w:pPr>
              <w:ind w:left="210" w:hanging="210" w:hangingChars="100"/>
              <w:jc w:val="center"/>
              <w:rPr>
                <w:rFonts w:ascii="宋体" w:hAnsi="宋体"/>
                <w:szCs w:val="21"/>
              </w:rPr>
            </w:pPr>
            <w:r>
              <w:rPr>
                <w:rFonts w:hint="eastAsia" w:ascii="宋体" w:hAnsi="宋体"/>
                <w:szCs w:val="21"/>
              </w:rPr>
              <w:t>□限制性股票</w:t>
            </w:r>
            <w:r>
              <w:rPr>
                <w:rFonts w:ascii="宋体" w:hAnsi="宋体"/>
                <w:szCs w:val="21"/>
              </w:rPr>
              <w:t xml:space="preserve">     </w:t>
            </w:r>
            <w:r>
              <w:rPr>
                <w:rFonts w:hint="eastAsia" w:ascii="宋体" w:hAnsi="宋体"/>
                <w:szCs w:val="21"/>
              </w:rPr>
              <w:t>□已解限的流通股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5" w:type="dxa"/>
            <w:tcBorders>
              <w:bottom w:val="single" w:color="auto" w:sz="4" w:space="0"/>
            </w:tcBorders>
            <w:vAlign w:val="center"/>
          </w:tcPr>
          <w:p>
            <w:pPr>
              <w:jc w:val="center"/>
              <w:rPr>
                <w:rFonts w:ascii="宋体" w:hAnsi="宋体"/>
                <w:szCs w:val="21"/>
              </w:rPr>
            </w:pPr>
            <w:r>
              <w:rPr>
                <w:rFonts w:hint="eastAsia" w:ascii="宋体" w:hAnsi="宋体"/>
                <w:szCs w:val="21"/>
              </w:rPr>
              <w:t>本次申请注销股份的授予日期</w:t>
            </w:r>
          </w:p>
        </w:tc>
        <w:tc>
          <w:tcPr>
            <w:tcW w:w="2160" w:type="dxa"/>
            <w:tcBorders>
              <w:bottom w:val="single" w:color="auto" w:sz="4" w:space="0"/>
            </w:tcBorders>
            <w:vAlign w:val="center"/>
          </w:tcPr>
          <w:p>
            <w:pPr>
              <w:ind w:left="210" w:hanging="210" w:hangingChars="100"/>
              <w:jc w:val="center"/>
              <w:rPr>
                <w:rFonts w:ascii="宋体" w:hAnsi="宋体"/>
                <w:szCs w:val="21"/>
              </w:rPr>
            </w:pPr>
          </w:p>
        </w:tc>
        <w:tc>
          <w:tcPr>
            <w:tcW w:w="2700" w:type="dxa"/>
            <w:tcBorders>
              <w:bottom w:val="single" w:color="auto" w:sz="4" w:space="0"/>
            </w:tcBorders>
            <w:vAlign w:val="center"/>
          </w:tcPr>
          <w:p>
            <w:pPr>
              <w:ind w:left="1"/>
              <w:jc w:val="center"/>
              <w:rPr>
                <w:rFonts w:ascii="宋体" w:hAnsi="宋体"/>
                <w:szCs w:val="21"/>
              </w:rPr>
            </w:pPr>
            <w:r>
              <w:rPr>
                <w:rFonts w:hint="eastAsia" w:ascii="宋体" w:hAnsi="宋体"/>
                <w:szCs w:val="21"/>
              </w:rPr>
              <w:t>本次申请</w:t>
            </w:r>
            <w:r>
              <w:rPr>
                <w:rFonts w:hint="eastAsia" w:ascii="宋体" w:hAnsi="宋体"/>
                <w:color w:val="000000"/>
                <w:szCs w:val="21"/>
              </w:rPr>
              <w:t>注销涉及人数</w:t>
            </w:r>
          </w:p>
        </w:tc>
        <w:tc>
          <w:tcPr>
            <w:tcW w:w="2853" w:type="dxa"/>
            <w:gridSpan w:val="2"/>
            <w:tcBorders>
              <w:bottom w:val="single" w:color="auto" w:sz="4" w:space="0"/>
            </w:tcBorders>
            <w:vAlign w:val="center"/>
          </w:tcPr>
          <w:p>
            <w:pPr>
              <w:ind w:left="210" w:hanging="210" w:hangingChars="100"/>
              <w:jc w:val="center"/>
              <w:rPr>
                <w:rFonts w:ascii="宋体" w:hAnsi="宋体"/>
                <w:szCs w:val="21"/>
              </w:rPr>
            </w:pPr>
            <w:r>
              <w:rPr>
                <w:rFonts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5" w:type="dxa"/>
            <w:tcBorders>
              <w:bottom w:val="single" w:color="auto" w:sz="4" w:space="0"/>
            </w:tcBorders>
            <w:vAlign w:val="center"/>
          </w:tcPr>
          <w:p>
            <w:pPr>
              <w:jc w:val="center"/>
              <w:rPr>
                <w:rFonts w:ascii="宋体" w:hAnsi="宋体"/>
                <w:szCs w:val="21"/>
              </w:rPr>
            </w:pPr>
            <w:r>
              <w:rPr>
                <w:rFonts w:hint="eastAsia" w:ascii="宋体" w:hAnsi="宋体"/>
                <w:szCs w:val="21"/>
              </w:rPr>
              <w:t>本次申请注销股份</w:t>
            </w:r>
            <w:r>
              <w:rPr>
                <w:rFonts w:hint="eastAsia" w:ascii="宋体" w:hAnsi="宋体"/>
                <w:color w:val="000000"/>
                <w:szCs w:val="21"/>
              </w:rPr>
              <w:t>数量</w:t>
            </w:r>
          </w:p>
        </w:tc>
        <w:tc>
          <w:tcPr>
            <w:tcW w:w="2160" w:type="dxa"/>
            <w:tcBorders>
              <w:bottom w:val="single" w:color="auto" w:sz="4" w:space="0"/>
            </w:tcBorders>
            <w:vAlign w:val="center"/>
          </w:tcPr>
          <w:p>
            <w:pPr>
              <w:ind w:left="210" w:hanging="210" w:hangingChars="100"/>
              <w:jc w:val="center"/>
              <w:rPr>
                <w:rFonts w:ascii="宋体" w:hAnsi="宋体"/>
                <w:szCs w:val="21"/>
              </w:rPr>
            </w:pPr>
          </w:p>
        </w:tc>
        <w:tc>
          <w:tcPr>
            <w:tcW w:w="2700" w:type="dxa"/>
            <w:tcBorders>
              <w:bottom w:val="single" w:color="auto" w:sz="4" w:space="0"/>
            </w:tcBorders>
            <w:vAlign w:val="center"/>
          </w:tcPr>
          <w:p>
            <w:pPr>
              <w:ind w:left="1"/>
              <w:jc w:val="center"/>
              <w:rPr>
                <w:rFonts w:ascii="宋体" w:hAnsi="宋体"/>
                <w:szCs w:val="21"/>
              </w:rPr>
            </w:pPr>
            <w:r>
              <w:rPr>
                <w:rFonts w:hint="eastAsia" w:ascii="宋体" w:hAnsi="宋体"/>
                <w:szCs w:val="21"/>
              </w:rPr>
              <w:t>本次申请注销股份的回购价格</w:t>
            </w:r>
          </w:p>
        </w:tc>
        <w:tc>
          <w:tcPr>
            <w:tcW w:w="2853" w:type="dxa"/>
            <w:gridSpan w:val="2"/>
            <w:tcBorders>
              <w:bottom w:val="single" w:color="auto" w:sz="4" w:space="0"/>
            </w:tcBorders>
            <w:vAlign w:val="center"/>
          </w:tcPr>
          <w:p>
            <w:pPr>
              <w:ind w:left="210" w:hanging="210" w:hangingChars="1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15" w:type="dxa"/>
            <w:tcBorders>
              <w:bottom w:val="single" w:color="auto" w:sz="4" w:space="0"/>
            </w:tcBorders>
            <w:vAlign w:val="center"/>
          </w:tcPr>
          <w:p>
            <w:pPr>
              <w:jc w:val="center"/>
              <w:rPr>
                <w:rFonts w:ascii="宋体" w:hAnsi="宋体"/>
                <w:szCs w:val="21"/>
              </w:rPr>
            </w:pPr>
            <w:r>
              <w:rPr>
                <w:rFonts w:hint="eastAsia" w:ascii="宋体" w:hAnsi="宋体"/>
                <w:szCs w:val="21"/>
              </w:rPr>
              <w:t>本次注销</w:t>
            </w:r>
            <w:r>
              <w:rPr>
                <w:rFonts w:hint="eastAsia" w:ascii="宋体" w:hAnsi="宋体"/>
                <w:color w:val="000000"/>
                <w:szCs w:val="21"/>
              </w:rPr>
              <w:t>股份占注销前总股本比例（如适用）</w:t>
            </w:r>
          </w:p>
        </w:tc>
        <w:tc>
          <w:tcPr>
            <w:tcW w:w="2160" w:type="dxa"/>
            <w:tcBorders>
              <w:bottom w:val="single" w:color="auto" w:sz="4" w:space="0"/>
            </w:tcBorders>
            <w:vAlign w:val="center"/>
          </w:tcPr>
          <w:p>
            <w:pPr>
              <w:ind w:left="210" w:hanging="210" w:hangingChars="100"/>
              <w:jc w:val="center"/>
              <w:rPr>
                <w:rFonts w:ascii="宋体" w:hAnsi="宋体"/>
                <w:szCs w:val="21"/>
              </w:rPr>
            </w:pPr>
            <w:r>
              <w:rPr>
                <w:rFonts w:hint="eastAsia" w:ascii="宋体" w:hAnsi="宋体"/>
                <w:szCs w:val="21"/>
              </w:rPr>
              <w:t>%</w:t>
            </w:r>
          </w:p>
        </w:tc>
        <w:tc>
          <w:tcPr>
            <w:tcW w:w="2700" w:type="dxa"/>
            <w:tcBorders>
              <w:bottom w:val="single" w:color="auto" w:sz="4" w:space="0"/>
            </w:tcBorders>
            <w:vAlign w:val="center"/>
          </w:tcPr>
          <w:p>
            <w:pPr>
              <w:ind w:left="1"/>
              <w:jc w:val="center"/>
              <w:rPr>
                <w:rFonts w:ascii="宋体" w:hAnsi="宋体"/>
                <w:szCs w:val="21"/>
              </w:rPr>
            </w:pPr>
            <w:r>
              <w:rPr>
                <w:rFonts w:hint="eastAsia" w:ascii="宋体" w:hAnsi="宋体"/>
                <w:szCs w:val="21"/>
              </w:rPr>
              <w:t>是否已刊登债权人公告（如适用）</w:t>
            </w:r>
          </w:p>
        </w:tc>
        <w:tc>
          <w:tcPr>
            <w:tcW w:w="2853" w:type="dxa"/>
            <w:gridSpan w:val="2"/>
            <w:tcBorders>
              <w:bottom w:val="single" w:color="auto" w:sz="4" w:space="0"/>
            </w:tcBorders>
            <w:vAlign w:val="center"/>
          </w:tcPr>
          <w:p>
            <w:pPr>
              <w:numPr>
                <w:ilvl w:val="0"/>
                <w:numId w:val="3"/>
              </w:numPr>
              <w:jc w:val="center"/>
              <w:rPr>
                <w:rFonts w:ascii="宋体" w:hAnsi="宋体"/>
                <w:szCs w:val="21"/>
              </w:rPr>
            </w:pPr>
            <w:r>
              <w:rPr>
                <w:rFonts w:hint="eastAsia" w:ascii="宋体" w:hAnsi="宋体"/>
                <w:szCs w:val="21"/>
              </w:rPr>
              <w:t>是</w:t>
            </w:r>
          </w:p>
          <w:p>
            <w:pPr>
              <w:numPr>
                <w:ilvl w:val="0"/>
                <w:numId w:val="3"/>
              </w:numPr>
              <w:jc w:val="center"/>
              <w:rPr>
                <w:rFonts w:ascii="宋体" w:hAnsi="宋体"/>
                <w:szCs w:val="21"/>
              </w:rPr>
            </w:pPr>
            <w:r>
              <w:rPr>
                <w:rFonts w:hint="eastAsia" w:ascii="宋体" w:hAnsi="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9" w:hRule="atLeast"/>
          <w:jc w:val="center"/>
        </w:trPr>
        <w:tc>
          <w:tcPr>
            <w:tcW w:w="10428" w:type="dxa"/>
            <w:gridSpan w:val="5"/>
            <w:tcBorders>
              <w:bottom w:val="single" w:color="auto" w:sz="4" w:space="0"/>
            </w:tcBorders>
          </w:tcPr>
          <w:p>
            <w:pPr>
              <w:rPr>
                <w:rFonts w:ascii="宋体" w:hAnsi="宋体"/>
                <w:szCs w:val="21"/>
              </w:rPr>
            </w:pPr>
            <w:r>
              <w:rPr>
                <w:rFonts w:hint="eastAsia" w:ascii="宋体" w:hAnsi="宋体"/>
                <w:szCs w:val="21"/>
              </w:rPr>
              <w:t>本次股权激励授予限制性股票注销有关情况的说明：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jc w:val="center"/>
        </w:trPr>
        <w:tc>
          <w:tcPr>
            <w:tcW w:w="8852" w:type="dxa"/>
            <w:gridSpan w:val="4"/>
            <w:tcBorders>
              <w:bottom w:val="single" w:color="auto" w:sz="4" w:space="0"/>
            </w:tcBorders>
            <w:shd w:val="clear" w:color="auto" w:fill="A6A6A6"/>
            <w:vAlign w:val="center"/>
          </w:tcPr>
          <w:p>
            <w:pPr>
              <w:jc w:val="center"/>
              <w:rPr>
                <w:rFonts w:ascii="宋体" w:hAnsi="宋体"/>
                <w:b/>
                <w:szCs w:val="21"/>
              </w:rPr>
            </w:pPr>
            <w:r>
              <w:rPr>
                <w:rFonts w:hint="eastAsia" w:ascii="宋体" w:hAnsi="宋体"/>
                <w:b/>
                <w:bCs/>
                <w:kern w:val="0"/>
                <w:szCs w:val="21"/>
              </w:rPr>
              <w:t>申</w:t>
            </w:r>
            <w:r>
              <w:rPr>
                <w:rFonts w:ascii="宋体" w:hAnsi="宋体"/>
                <w:b/>
                <w:bCs/>
                <w:kern w:val="0"/>
                <w:szCs w:val="21"/>
              </w:rPr>
              <w:t xml:space="preserve"> </w:t>
            </w:r>
            <w:r>
              <w:rPr>
                <w:rFonts w:hint="eastAsia" w:ascii="宋体" w:hAnsi="宋体"/>
                <w:b/>
                <w:bCs/>
                <w:kern w:val="0"/>
                <w:szCs w:val="21"/>
              </w:rPr>
              <w:t>报</w:t>
            </w:r>
            <w:r>
              <w:rPr>
                <w:rFonts w:ascii="宋体" w:hAnsi="宋体"/>
                <w:b/>
                <w:bCs/>
                <w:kern w:val="0"/>
                <w:szCs w:val="21"/>
              </w:rPr>
              <w:t xml:space="preserve"> </w:t>
            </w:r>
            <w:r>
              <w:rPr>
                <w:rFonts w:hint="eastAsia" w:ascii="宋体" w:hAnsi="宋体"/>
                <w:b/>
                <w:bCs/>
                <w:kern w:val="0"/>
                <w:szCs w:val="21"/>
              </w:rPr>
              <w:t>材</w:t>
            </w:r>
            <w:r>
              <w:rPr>
                <w:rFonts w:ascii="宋体" w:hAnsi="宋体"/>
                <w:b/>
                <w:bCs/>
                <w:kern w:val="0"/>
                <w:szCs w:val="21"/>
              </w:rPr>
              <w:t xml:space="preserve"> </w:t>
            </w:r>
            <w:r>
              <w:rPr>
                <w:rFonts w:hint="eastAsia" w:ascii="宋体" w:hAnsi="宋体"/>
                <w:b/>
                <w:bCs/>
                <w:kern w:val="0"/>
                <w:szCs w:val="21"/>
              </w:rPr>
              <w:t>料</w:t>
            </w:r>
          </w:p>
        </w:tc>
        <w:tc>
          <w:tcPr>
            <w:tcW w:w="1576" w:type="dxa"/>
            <w:tcBorders>
              <w:bottom w:val="single" w:color="auto" w:sz="4" w:space="0"/>
            </w:tcBorders>
            <w:shd w:val="clear" w:color="auto" w:fill="A6A6A6"/>
            <w:vAlign w:val="center"/>
          </w:tcPr>
          <w:p>
            <w:pPr>
              <w:jc w:val="center"/>
              <w:rPr>
                <w:rFonts w:ascii="宋体" w:hAnsi="宋体"/>
                <w:b/>
                <w:szCs w:val="21"/>
              </w:rPr>
            </w:pPr>
            <w:r>
              <w:rPr>
                <w:rFonts w:hint="eastAsia" w:ascii="宋体" w:hAnsi="宋体"/>
                <w:b/>
                <w:bCs/>
                <w:kern w:val="0"/>
                <w:szCs w:val="21"/>
              </w:rPr>
              <w:t>是否齐备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7" w:hRule="atLeast"/>
          <w:jc w:val="center"/>
        </w:trPr>
        <w:tc>
          <w:tcPr>
            <w:tcW w:w="8852" w:type="dxa"/>
            <w:gridSpan w:val="4"/>
            <w:tcBorders>
              <w:bottom w:val="single" w:color="auto" w:sz="4" w:space="0"/>
            </w:tcBorders>
          </w:tcPr>
          <w:p>
            <w:pPr>
              <w:rPr>
                <w:rFonts w:ascii="宋体" w:hAnsi="宋体"/>
                <w:szCs w:val="21"/>
              </w:rPr>
            </w:pPr>
            <w:r>
              <w:rPr>
                <w:rFonts w:ascii="宋体" w:hAnsi="宋体"/>
                <w:szCs w:val="21"/>
              </w:rPr>
              <w:t>1</w:t>
            </w:r>
            <w:r>
              <w:rPr>
                <w:rFonts w:hint="eastAsia" w:ascii="宋体" w:hAnsi="宋体"/>
                <w:szCs w:val="21"/>
              </w:rPr>
              <w:t>．上市公司披露的对已授予限制性股票进行注销的公告；</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8852" w:type="dxa"/>
            <w:gridSpan w:val="4"/>
            <w:tcBorders>
              <w:bottom w:val="single" w:color="auto" w:sz="4" w:space="0"/>
            </w:tcBorders>
          </w:tcPr>
          <w:p>
            <w:pPr>
              <w:rPr>
                <w:rFonts w:ascii="宋体" w:hAnsi="宋体"/>
                <w:szCs w:val="21"/>
              </w:rPr>
            </w:pPr>
            <w:r>
              <w:rPr>
                <w:rFonts w:ascii="宋体" w:hAnsi="宋体"/>
                <w:szCs w:val="21"/>
              </w:rPr>
              <w:t>2</w:t>
            </w:r>
            <w:r>
              <w:rPr>
                <w:rFonts w:hint="eastAsia" w:ascii="宋体" w:hAnsi="宋体"/>
                <w:szCs w:val="21"/>
              </w:rPr>
              <w:t>．监事会应对拟注销股份的数量及涉及激励对象名单进行核实并出具审核意见；</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52" w:type="dxa"/>
            <w:gridSpan w:val="4"/>
            <w:tcBorders>
              <w:bottom w:val="single" w:color="auto" w:sz="4" w:space="0"/>
            </w:tcBorders>
          </w:tcPr>
          <w:p>
            <w:pPr>
              <w:rPr>
                <w:rFonts w:ascii="宋体" w:hAnsi="宋体"/>
                <w:szCs w:val="21"/>
              </w:rPr>
            </w:pPr>
            <w:r>
              <w:rPr>
                <w:rFonts w:ascii="宋体" w:hAnsi="宋体"/>
                <w:szCs w:val="21"/>
              </w:rPr>
              <w:t>3</w:t>
            </w:r>
            <w:r>
              <w:rPr>
                <w:rFonts w:hint="eastAsia" w:ascii="宋体" w:hAnsi="宋体"/>
                <w:szCs w:val="21"/>
              </w:rPr>
              <w:t>．监事会关于符合注销条件的意见；</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52" w:type="dxa"/>
            <w:gridSpan w:val="4"/>
            <w:tcBorders>
              <w:bottom w:val="single" w:color="auto" w:sz="4" w:space="0"/>
            </w:tcBorders>
          </w:tcPr>
          <w:p>
            <w:pPr>
              <w:rPr>
                <w:rFonts w:ascii="宋体" w:hAnsi="宋体"/>
                <w:szCs w:val="21"/>
              </w:rPr>
            </w:pPr>
            <w:r>
              <w:rPr>
                <w:rFonts w:ascii="宋体" w:hAnsi="宋体"/>
                <w:szCs w:val="21"/>
              </w:rPr>
              <w:t>4</w:t>
            </w:r>
            <w:r>
              <w:rPr>
                <w:rFonts w:hint="eastAsia" w:ascii="宋体" w:hAnsi="宋体"/>
                <w:szCs w:val="21"/>
              </w:rPr>
              <w:t>．股东大会决议（如适用）；</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52" w:type="dxa"/>
            <w:gridSpan w:val="4"/>
            <w:tcBorders>
              <w:bottom w:val="single" w:color="auto" w:sz="4" w:space="0"/>
            </w:tcBorders>
          </w:tcPr>
          <w:p>
            <w:pPr>
              <w:rPr>
                <w:rFonts w:ascii="宋体" w:hAnsi="宋体"/>
                <w:szCs w:val="21"/>
              </w:rPr>
            </w:pPr>
            <w:r>
              <w:rPr>
                <w:rFonts w:ascii="宋体" w:hAnsi="宋体"/>
                <w:szCs w:val="21"/>
              </w:rPr>
              <w:t>5</w:t>
            </w:r>
            <w:r>
              <w:rPr>
                <w:rFonts w:hint="eastAsia" w:ascii="宋体" w:hAnsi="宋体"/>
                <w:szCs w:val="21"/>
              </w:rPr>
              <w:t>．法律意见书；</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52" w:type="dxa"/>
            <w:gridSpan w:val="4"/>
            <w:tcBorders>
              <w:bottom w:val="single" w:color="auto" w:sz="4" w:space="0"/>
            </w:tcBorders>
          </w:tcPr>
          <w:p>
            <w:pPr>
              <w:rPr>
                <w:rFonts w:ascii="宋体" w:hAnsi="宋体"/>
                <w:szCs w:val="21"/>
              </w:rPr>
            </w:pPr>
            <w:r>
              <w:rPr>
                <w:rFonts w:hint="eastAsia" w:ascii="宋体" w:hAnsi="宋体"/>
                <w:szCs w:val="21"/>
              </w:rPr>
              <w:t>6．独立财务顾问意见（如适用）；</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52" w:type="dxa"/>
            <w:gridSpan w:val="4"/>
            <w:tcBorders>
              <w:bottom w:val="single" w:color="auto" w:sz="4" w:space="0"/>
            </w:tcBorders>
          </w:tcPr>
          <w:p>
            <w:pPr>
              <w:rPr>
                <w:rFonts w:ascii="宋体" w:hAnsi="宋体"/>
                <w:szCs w:val="21"/>
              </w:rPr>
            </w:pPr>
            <w:r>
              <w:rPr>
                <w:rFonts w:hint="eastAsia" w:ascii="宋体" w:hAnsi="宋体"/>
                <w:szCs w:val="21"/>
              </w:rPr>
              <w:t>7．会计师事务所的验资报告（如适用）；</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852" w:type="dxa"/>
            <w:gridSpan w:val="4"/>
            <w:tcBorders>
              <w:bottom w:val="single" w:color="auto" w:sz="4" w:space="0"/>
            </w:tcBorders>
          </w:tcPr>
          <w:p>
            <w:pPr>
              <w:rPr>
                <w:rFonts w:ascii="宋体" w:hAnsi="宋体"/>
                <w:szCs w:val="21"/>
              </w:rPr>
            </w:pPr>
            <w:r>
              <w:rPr>
                <w:rFonts w:hint="eastAsia" w:ascii="宋体" w:hAnsi="宋体"/>
                <w:szCs w:val="21"/>
              </w:rPr>
              <w:t>8．是否根据公司法一百七十七条提交债权人通知书（如适用）。</w:t>
            </w:r>
          </w:p>
        </w:tc>
        <w:tc>
          <w:tcPr>
            <w:tcW w:w="1576" w:type="dxa"/>
            <w:tcBorders>
              <w:bottom w:val="single" w:color="auto" w:sz="4" w:space="0"/>
            </w:tcBorders>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jc w:val="center"/>
        </w:trPr>
        <w:tc>
          <w:tcPr>
            <w:tcW w:w="10428" w:type="dxa"/>
            <w:gridSpan w:val="5"/>
            <w:shd w:val="clear" w:color="auto" w:fill="B3B3B3"/>
          </w:tcPr>
          <w:p>
            <w:pPr>
              <w:widowControl/>
              <w:jc w:val="center"/>
              <w:rPr>
                <w:rFonts w:ascii="宋体" w:hAnsi="宋体"/>
                <w:b/>
                <w:bCs/>
                <w:kern w:val="0"/>
                <w:szCs w:val="21"/>
              </w:rPr>
            </w:pPr>
            <w:r>
              <w:rPr>
                <w:rFonts w:hint="eastAsia" w:ascii="宋体" w:hAnsi="宋体"/>
                <w:b/>
                <w:bCs/>
                <w:kern w:val="0"/>
                <w:szCs w:val="21"/>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5" w:hRule="atLeast"/>
          <w:jc w:val="center"/>
        </w:trPr>
        <w:tc>
          <w:tcPr>
            <w:tcW w:w="10428" w:type="dxa"/>
            <w:gridSpan w:val="5"/>
            <w:tcBorders>
              <w:bottom w:val="single" w:color="auto" w:sz="4" w:space="0"/>
            </w:tcBorders>
          </w:tcPr>
          <w:p>
            <w:pPr>
              <w:widowControl/>
              <w:ind w:firstLine="540"/>
              <w:rPr>
                <w:rFonts w:ascii="宋体" w:hAnsi="宋体"/>
                <w:bCs/>
                <w:kern w:val="0"/>
                <w:szCs w:val="21"/>
              </w:rPr>
            </w:pPr>
            <w:r>
              <w:rPr>
                <w:rFonts w:hint="eastAsia" w:ascii="宋体" w:hAnsi="宋体"/>
                <w:szCs w:val="21"/>
              </w:rPr>
              <w:t>本公司董事会保证上述材料的真实、准确、完整、合法，特向深圳证券交易所、中国证券登记结算有限责任公司深圳分公司申请办理本次股权激励授予股份注销手续。</w:t>
            </w:r>
            <w:r>
              <w:rPr>
                <w:rFonts w:ascii="宋体" w:hAnsi="宋体"/>
                <w:bCs/>
                <w:kern w:val="0"/>
                <w:szCs w:val="21"/>
              </w:rPr>
              <w:t xml:space="preserve">                                                                     </w:t>
            </w:r>
          </w:p>
          <w:p>
            <w:pPr>
              <w:widowControl/>
              <w:ind w:firstLine="480"/>
              <w:jc w:val="right"/>
              <w:rPr>
                <w:rFonts w:ascii="宋体" w:hAnsi="宋体"/>
                <w:bCs/>
                <w:kern w:val="0"/>
                <w:szCs w:val="21"/>
              </w:rPr>
            </w:pPr>
          </w:p>
          <w:p>
            <w:pPr>
              <w:widowControl/>
              <w:ind w:firstLine="480"/>
              <w:jc w:val="right"/>
              <w:rPr>
                <w:rFonts w:ascii="宋体" w:hAnsi="宋体"/>
                <w:bCs/>
                <w:kern w:val="0"/>
                <w:szCs w:val="21"/>
              </w:rPr>
            </w:pPr>
          </w:p>
          <w:p>
            <w:pPr>
              <w:widowControl/>
              <w:ind w:right="484" w:firstLine="480"/>
              <w:jc w:val="right"/>
              <w:rPr>
                <w:rFonts w:ascii="宋体" w:hAnsi="宋体"/>
                <w:bCs/>
                <w:kern w:val="0"/>
                <w:szCs w:val="21"/>
              </w:rPr>
            </w:pPr>
            <w:r>
              <w:rPr>
                <w:rFonts w:ascii="宋体" w:hAnsi="宋体"/>
                <w:szCs w:val="21"/>
              </w:rPr>
              <w:t>XXX</w:t>
            </w:r>
            <w:r>
              <w:rPr>
                <w:rFonts w:hint="eastAsia" w:ascii="宋体" w:hAnsi="宋体"/>
                <w:szCs w:val="21"/>
              </w:rPr>
              <w:t>股份有限公司董事会</w:t>
            </w:r>
            <w:r>
              <w:rPr>
                <w:rFonts w:hint="eastAsia" w:ascii="宋体" w:hAnsi="宋体"/>
                <w:bCs/>
                <w:kern w:val="0"/>
                <w:szCs w:val="21"/>
              </w:rPr>
              <w:t>（董事会章）</w:t>
            </w:r>
            <w:r>
              <w:rPr>
                <w:rFonts w:ascii="宋体" w:hAnsi="宋体"/>
                <w:bCs/>
                <w:kern w:val="0"/>
                <w:szCs w:val="21"/>
              </w:rPr>
              <w:t xml:space="preserve">                                                                  </w:t>
            </w:r>
          </w:p>
          <w:p>
            <w:pPr>
              <w:widowControl/>
              <w:ind w:right="964" w:firstLine="480"/>
              <w:jc w:val="center"/>
              <w:rPr>
                <w:rFonts w:ascii="宋体" w:hAnsi="宋体"/>
                <w:b/>
                <w:bCs/>
                <w:kern w:val="0"/>
                <w:szCs w:val="21"/>
              </w:rPr>
            </w:pPr>
            <w:r>
              <w:rPr>
                <w:rFonts w:ascii="宋体" w:hAnsi="宋体"/>
                <w:bCs/>
                <w:kern w:val="0"/>
                <w:szCs w:val="21"/>
              </w:rPr>
              <w:t xml:space="preserve">                                           </w:t>
            </w:r>
            <w:r>
              <w:rPr>
                <w:rFonts w:hint="eastAsia" w:ascii="宋体" w:hAnsi="宋体"/>
                <w:bCs/>
                <w:kern w:val="0"/>
                <w:szCs w:val="21"/>
              </w:rPr>
              <w:t>年</w:t>
            </w:r>
            <w:r>
              <w:rPr>
                <w:rFonts w:ascii="宋体" w:hAnsi="宋体"/>
                <w:bCs/>
                <w:kern w:val="0"/>
                <w:szCs w:val="21"/>
              </w:rPr>
              <w:t xml:space="preserve">  </w:t>
            </w:r>
            <w:r>
              <w:rPr>
                <w:rFonts w:hint="eastAsia" w:ascii="宋体" w:hAnsi="宋体"/>
                <w:bCs/>
                <w:kern w:val="0"/>
                <w:szCs w:val="21"/>
              </w:rPr>
              <w:t>月</w:t>
            </w:r>
            <w:r>
              <w:rPr>
                <w:rFonts w:ascii="宋体" w:hAnsi="宋体"/>
                <w:bCs/>
                <w:kern w:val="0"/>
                <w:szCs w:val="21"/>
              </w:rPr>
              <w:t xml:space="preserve">  </w:t>
            </w:r>
            <w:r>
              <w:rPr>
                <w:rFonts w:hint="eastAsia" w:ascii="宋体" w:hAnsi="宋体"/>
                <w:bCs/>
                <w:kern w:val="0"/>
                <w:szCs w:val="21"/>
              </w:rPr>
              <w:t>日</w:t>
            </w:r>
            <w:r>
              <w:rPr>
                <w:rFonts w:ascii="宋体" w:hAnsi="宋体"/>
                <w:bCs/>
                <w:kern w:val="0"/>
                <w:szCs w:val="21"/>
              </w:rPr>
              <w:t xml:space="preserve"> </w:t>
            </w:r>
          </w:p>
        </w:tc>
      </w:tr>
    </w:tbl>
    <w:p/>
    <w:p>
      <w:pPr>
        <w:pStyle w:val="162"/>
        <w:ind w:firstLine="0" w:firstLineChars="0"/>
        <w:outlineLvl w:val="1"/>
        <w:rPr>
          <w:rFonts w:ascii="Times New Roman" w:hAnsi="Times New Roman" w:eastAsia="黑体"/>
        </w:rPr>
      </w:pPr>
      <w:r>
        <w:rPr>
          <w:rFonts w:ascii="Times New Roman" w:hAnsi="Times New Roman" w:eastAsia="黑体"/>
        </w:rPr>
        <w:br w:type="page"/>
      </w:r>
      <w:bookmarkStart w:id="32" w:name="_Toc25090"/>
      <w:bookmarkStart w:id="33" w:name="_Toc141954529"/>
      <w:bookmarkStart w:id="34" w:name="_Toc129272525"/>
      <w:r>
        <w:rPr>
          <w:rFonts w:hint="eastAsia" w:hAnsi="黑体"/>
          <w:sz w:val="32"/>
          <w:szCs w:val="32"/>
        </w:rPr>
        <w:t>第三节 董事会秘书和证券事务代表管理</w:t>
      </w:r>
      <w:bookmarkEnd w:id="32"/>
      <w:bookmarkEnd w:id="33"/>
      <w:bookmarkEnd w:id="34"/>
    </w:p>
    <w:p>
      <w:pPr>
        <w:tabs>
          <w:tab w:val="left" w:pos="540"/>
        </w:tabs>
        <w:spacing w:line="560" w:lineRule="exact"/>
        <w:ind w:firstLine="640" w:firstLineChars="200"/>
        <w:jc w:val="left"/>
        <w:outlineLvl w:val="2"/>
        <w:rPr>
          <w:rFonts w:ascii="黑体" w:hAnsi="黑体" w:eastAsia="黑体"/>
          <w:sz w:val="32"/>
          <w:szCs w:val="32"/>
        </w:rPr>
      </w:pPr>
      <w:r>
        <w:rPr>
          <w:rFonts w:hint="eastAsia" w:ascii="黑体" w:hAnsi="黑体" w:eastAsia="黑体"/>
          <w:sz w:val="32"/>
          <w:szCs w:val="32"/>
        </w:rPr>
        <w:t>一、任职</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（一）董事会秘书及证券事务代表应当具备《创业板上市规则》《创业板规范运作指引》要求的任职条件。</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（二）上市公司应当根据相关规定提交董事会秘书及证券事务代表候选人的个人信息、具备任职能力的相关证明。</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上述相关证明为下列文件之一：</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1．董事会秘书资格证书；</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2．董事会秘书培训证明；</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3．具备任职能力的其他证明。</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上市公司董事会正式聘任董事会秘书、证券事务代表后应当及时公告，公告内容至少包括个人简历、办公电话、传真、电子邮箱等，并向本所提交聘任书或者相关董事会决议、聘任说明文件，董事会秘书、证券事务代表的个人简历、学历证明（复印件）、通讯方式。上述通讯方式发生变更时，公司应当及时向本所提交变更后的资料并公告。</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二、培训</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（一）董事会秘书的培训内容包括：</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1．《公司法》《证券法》《中华人民共和国刑法》等法律和行政法规；</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2．《上市公司治理准则》《上市公司信息披露管理办法》《上市公司股东大会规则》《上市公司章程指引》《上市公司收购管理办法》《上市公司重大资产重组管理办法》等部门规章和规范性文件；</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3．《创业板上市规则》《创业板规范运作指引》《深圳证券交易所交易规则》等本所发布的业务规则和其他规定；</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4．与证券登记结算业务有关的业务规则和其他规定；</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5．本所要求的其他法律法规及业务规则。</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（二）本所建立董事会秘书培训信息库，记录培训情况等相关信息。</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（三）本所持续提供免费的培训服务，不断提高董事会秘书的履职能力。</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三、后续管理</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一）董事会秘书在董事会通过其任命后一个月内，应当按照本所有关规定在律师见证下签署《高级管理人员声明及承诺书》，并报送本所和公司董事会。声明与承诺事项发生重大变化（持有本公司的股票情况除外）的，董事会秘书应当在五个交易日内更新并报送本所和公司董事会。</w:t>
      </w:r>
    </w:p>
    <w:p>
      <w:pPr>
        <w:spacing w:line="560" w:lineRule="exact"/>
        <w:ind w:firstLine="640" w:firstLineChars="200"/>
        <w:rPr>
          <w:rFonts w:ascii="仿宋" w:hAnsi="仿宋" w:eastAsia="仿宋"/>
          <w:sz w:val="32"/>
          <w:szCs w:val="32"/>
        </w:rPr>
      </w:pPr>
      <w:r>
        <w:rPr>
          <w:rFonts w:hint="eastAsia" w:ascii="仿宋" w:hAnsi="仿宋" w:eastAsia="仿宋"/>
          <w:color w:val="000000"/>
          <w:kern w:val="0"/>
          <w:sz w:val="32"/>
          <w:szCs w:val="32"/>
          <w:lang w:bidi="hi-IN"/>
        </w:rPr>
        <w:t>（二）董事会秘书及证券事务代表不符合</w:t>
      </w:r>
      <w:r>
        <w:rPr>
          <w:rFonts w:hint="eastAsia" w:ascii="仿宋" w:hAnsi="仿宋" w:eastAsia="仿宋"/>
          <w:sz w:val="32"/>
          <w:szCs w:val="32"/>
        </w:rPr>
        <w:t>《创业板上市规则》《创业板规范运作指引》</w:t>
      </w:r>
      <w:r>
        <w:rPr>
          <w:rFonts w:hint="eastAsia" w:ascii="仿宋" w:hAnsi="仿宋" w:eastAsia="仿宋"/>
          <w:color w:val="000000"/>
          <w:kern w:val="0"/>
          <w:sz w:val="32"/>
          <w:szCs w:val="32"/>
          <w:lang w:bidi="hi-IN"/>
        </w:rPr>
        <w:t>要求的任职条件，或存在本所认定的其他情形的，本所可以取消其董事会秘书资格，并在本所网站公布。</w:t>
      </w:r>
    </w:p>
    <w:p>
      <w:pPr>
        <w:widowControl/>
        <w:jc w:val="left"/>
        <w:rPr>
          <w:rFonts w:ascii="方正小标宋简体" w:hAnsi="黑体" w:eastAsia="方正小标宋简体"/>
          <w:kern w:val="44"/>
          <w:sz w:val="32"/>
          <w:szCs w:val="32"/>
        </w:rPr>
      </w:pPr>
      <w:r>
        <w:rPr>
          <w:rFonts w:hAnsi="黑体"/>
          <w:sz w:val="32"/>
          <w:szCs w:val="32"/>
        </w:rPr>
        <w:br w:type="page"/>
      </w:r>
    </w:p>
    <w:p>
      <w:pPr>
        <w:pStyle w:val="162"/>
        <w:ind w:firstLine="0" w:firstLineChars="0"/>
        <w:outlineLvl w:val="1"/>
        <w:rPr>
          <w:rFonts w:hAnsi="黑体"/>
          <w:sz w:val="32"/>
          <w:szCs w:val="32"/>
        </w:rPr>
      </w:pPr>
      <w:bookmarkStart w:id="35" w:name="_Toc17990"/>
      <w:bookmarkStart w:id="36" w:name="_Toc141954530"/>
      <w:r>
        <w:rPr>
          <w:rFonts w:hint="eastAsia" w:hAnsi="黑体"/>
          <w:sz w:val="32"/>
          <w:szCs w:val="32"/>
        </w:rPr>
        <w:t>第四节 独立董事管理</w:t>
      </w:r>
      <w:bookmarkEnd w:id="35"/>
      <w:bookmarkEnd w:id="36"/>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一、提名</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（一）独立董事候选人应当具备《创业板上市规则》《创业板规范运作指引》规定的任职条件、任职资格和独立性等要求。</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二）独立董事提名人不得提名与其存在利害关系的人员或者其他可能影响独立董事履职情形的关系密切人员作为独立董事候选人。存在利害关系人员的范围参照《上市公司独立董事管理办法》第六条的规定执行，关系密切人员的范围参照《中华人民共和国刑法》第三百八十八条之一及《上市公司信息披露管理办法》第六十二条等规定执行。</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（三）存在下列情形之一的，独立董事候选人不得被提名担任上市公司独立董事：</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1.根据《公司法》等法律法规及其他有关规定不得担任董事、监事、高级管理人员的情形；</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2.被中国证监会采取不得担任上市公司董事、监事、高级管理人员的证券市场禁入措施，期限尚未届满；</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3.被证券交易场所公开认定为不适合担任上市公司董事、监事、高级管理人员，期限尚未届满；</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4.《创业板规范运作指引》第3.5.4条规定的不具备独立性的任一情形；</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5.《创业板规范运作指引》第3.5.5条规定的任一不良记录；</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6.法律法规、本所规定的其他情形。</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二、材料报送</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一）独立董事候选人应当就其是否符合法律法规和本所相关规则有关独立董事任职条件、任职资格及独立性等要求作出声明与承诺；独立董事提名人应当就独立董事候选人是否符合任职条件和任职资格、是否存在影响其独立性的情形等内容进行审慎核实，并就核实结果作出声明与承诺。</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二）上市公司最迟应当在发布召开关于选举独立董事的股东大会通知公告时向本所报送《独立董事提名人声明与承诺》《独立董事候选人声明与承诺》《独立董事候选人履历表》、独立董事培训证明或具备任职能力的其他证明（如有），披露相关声明与承诺和提名委员会或者独立董事专门会议的审查意见，并保证公告内容的真实、准确、完整。</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三、资格认定</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在对拟任独立董事资格认定过程中，上市公司董事会、独立董事候选人、独立董事提名人应当积极配合本所认定工作：</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（一）本所发现明显缺少材料、材料形式或者内容明显不符合规定的，上市公司董事会、独立董事候选人、独立董事提名人应当按要求及时补充并提交。</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二）本所认为独立董事提名相关事项需要进一步说明或作出解释的，上市公司董事会、独立董事候选人、独立董事提名人应当在规定时间内如实回答本所问询，并按要求及时向本所补充有关材料。未按要求及时回答问询或补充有关材料的，本所将根据现有材料决定是否对独立董事候选人的任职条件和独立性提出异议。</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（三）本所原则上在收到上市公司报送独立董事候选人材料后的五个交易日内完成资格审查，公司需补充材料或作出说明解释的期间不计入前述五个交易日。</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四、审查异议</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（一）本所经审查发现候选人存在不得担任独立董事情形，向上市公司出具独立董事任职异议函的，上市公司应当及时披露。</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二）在召开股东大会选举独立董事时，上市公司董事会应当对独立董事候选人是否被本所提出异议的情况进行说明。本所提出异议的独立董事候选人，上市公司不得将其提交股东大会选举为独立董事，如已提交股东大会审议的，应当取消该议案。</w:t>
      </w:r>
    </w:p>
    <w:p>
      <w:pPr>
        <w:spacing w:line="560" w:lineRule="exact"/>
        <w:ind w:firstLine="640" w:firstLineChars="200"/>
        <w:outlineLvl w:val="2"/>
        <w:rPr>
          <w:rFonts w:ascii="黑体" w:hAnsi="黑体" w:eastAsia="黑体"/>
          <w:sz w:val="32"/>
          <w:szCs w:val="32"/>
        </w:rPr>
      </w:pPr>
      <w:r>
        <w:rPr>
          <w:rFonts w:hint="eastAsia" w:ascii="黑体" w:hAnsi="黑体" w:eastAsia="黑体"/>
          <w:sz w:val="32"/>
          <w:szCs w:val="32"/>
        </w:rPr>
        <w:t>五、后续管理</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（一）独立董事履职过程中，应当持续遵守法律法规及本所相关规定的要求，确保有足够的时间和精力履行职责，作出独立判断，不受上市公司及其主要股东、实际控制人等单位或者个人的影响。</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（二）独立董事在任职后出现不符合独立性条件或任职资格的，应当立即停止履职并辞去职务，并按《创业板规范运作指引》第3.2.11条、第3.2.13条的有关规定执行。</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（三）上市公司应当做好独立董事信息的维护工作，当候选独立董事成为在任或者未获选任，任期结束或者提前离职时，应当及时进行信息更新。</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（四）本所持续提供免费的培训服务，不断提高独立董事的履职能力。</w:t>
      </w:r>
    </w:p>
    <w:p>
      <w:pPr>
        <w:pStyle w:val="162"/>
        <w:ind w:firstLine="0" w:firstLineChars="0"/>
        <w:outlineLvl w:val="1"/>
        <w:rPr>
          <w:rFonts w:ascii="Times New Roman" w:hAnsi="Times New Roman" w:eastAsia="黑体"/>
        </w:rPr>
      </w:pPr>
      <w:r>
        <w:rPr>
          <w:rFonts w:ascii="仿宋" w:eastAsia="仿宋"/>
          <w:color w:val="000000"/>
          <w:kern w:val="0"/>
          <w:sz w:val="32"/>
          <w:szCs w:val="32"/>
          <w:lang w:bidi="hi-IN"/>
        </w:rPr>
        <w:br w:type="page"/>
      </w:r>
      <w:bookmarkStart w:id="37" w:name="_Toc141954531"/>
      <w:bookmarkStart w:id="38" w:name="_Toc8049"/>
      <w:bookmarkStart w:id="39" w:name="_Toc129272526"/>
      <w:r>
        <w:rPr>
          <w:rFonts w:hint="eastAsia" w:hAnsi="黑体"/>
          <w:sz w:val="32"/>
          <w:szCs w:val="32"/>
        </w:rPr>
        <w:t xml:space="preserve">第五节 </w:t>
      </w:r>
      <w:r>
        <w:rPr>
          <w:rFonts w:hAnsi="黑体"/>
          <w:sz w:val="32"/>
          <w:szCs w:val="32"/>
        </w:rPr>
        <w:t>上市公司股东业务</w:t>
      </w:r>
      <w:bookmarkEnd w:id="37"/>
      <w:bookmarkEnd w:id="38"/>
      <w:bookmarkEnd w:id="39"/>
    </w:p>
    <w:p>
      <w:pPr>
        <w:spacing w:line="560" w:lineRule="exact"/>
        <w:ind w:firstLine="601"/>
        <w:rPr>
          <w:rFonts w:ascii="黑体" w:hAnsi="黑体" w:eastAsia="黑体"/>
          <w:sz w:val="32"/>
          <w:szCs w:val="32"/>
        </w:rPr>
      </w:pPr>
      <w:r>
        <w:rPr>
          <w:rFonts w:hint="eastAsia" w:ascii="黑体" w:hAnsi="黑体" w:eastAsia="黑体"/>
          <w:sz w:val="32"/>
          <w:szCs w:val="32"/>
        </w:rPr>
        <w:t>一、申请条件及应当提供的证明材料</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为确保股东信息披露业务办理的合规性，上市公司股东申请办理相关业务前应满足申请条件并提供相关证明材料。</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（一）申请条件</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股东申请办理相关业务前，应当同时满足以下条件：</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1</w:t>
      </w:r>
      <w:r>
        <w:rPr>
          <w:rFonts w:hint="eastAsia" w:ascii="仿宋" w:hAnsi="仿宋" w:eastAsia="仿宋"/>
          <w:sz w:val="32"/>
          <w:szCs w:val="32"/>
        </w:rPr>
        <w:t>．</w:t>
      </w:r>
      <w:r>
        <w:rPr>
          <w:rFonts w:hint="eastAsia" w:ascii="仿宋" w:hAnsi="仿宋" w:eastAsia="仿宋"/>
          <w:color w:val="000000"/>
          <w:kern w:val="0"/>
          <w:sz w:val="32"/>
          <w:szCs w:val="32"/>
          <w:lang w:bidi="hi-IN"/>
        </w:rPr>
        <w:t>已触及法律法规、部门规章、规范性文件、本所相关业务规则所规定的应履行信息披露义务的情形；</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2</w:t>
      </w:r>
      <w:r>
        <w:rPr>
          <w:rFonts w:hint="eastAsia" w:ascii="仿宋" w:hAnsi="仿宋" w:eastAsia="仿宋"/>
          <w:sz w:val="32"/>
          <w:szCs w:val="32"/>
        </w:rPr>
        <w:t>．</w:t>
      </w:r>
      <w:r>
        <w:rPr>
          <w:rFonts w:hint="eastAsia" w:ascii="仿宋" w:hAnsi="仿宋" w:eastAsia="仿宋"/>
          <w:color w:val="000000"/>
          <w:kern w:val="0"/>
          <w:sz w:val="32"/>
          <w:szCs w:val="32"/>
          <w:lang w:bidi="hi-IN"/>
        </w:rPr>
        <w:t>上市公司公告显示或相关证明文件显示，公司董事会（或监事会）已拒绝配合股东履行信息披露义务。</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（二）材料提供</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股东满足上述申请条件的，应当向本所提交以下文件：</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1</w:t>
      </w:r>
      <w:r>
        <w:rPr>
          <w:rFonts w:hint="eastAsia" w:ascii="仿宋" w:hAnsi="仿宋" w:eastAsia="仿宋"/>
          <w:sz w:val="32"/>
          <w:szCs w:val="32"/>
        </w:rPr>
        <w:t>．</w:t>
      </w:r>
      <w:r>
        <w:rPr>
          <w:rFonts w:hint="eastAsia" w:ascii="仿宋" w:hAnsi="仿宋" w:eastAsia="仿宋"/>
          <w:color w:val="000000"/>
          <w:kern w:val="0"/>
          <w:sz w:val="32"/>
          <w:szCs w:val="32"/>
          <w:lang w:bidi="hi-IN"/>
        </w:rPr>
        <w:t>股东有效身份证明以及结算公司出具的持股证明文件；</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2</w:t>
      </w:r>
      <w:r>
        <w:rPr>
          <w:rFonts w:hint="eastAsia" w:ascii="仿宋" w:hAnsi="仿宋" w:eastAsia="仿宋"/>
          <w:sz w:val="32"/>
          <w:szCs w:val="32"/>
        </w:rPr>
        <w:t>．</w:t>
      </w:r>
      <w:r>
        <w:rPr>
          <w:rFonts w:hint="eastAsia" w:ascii="仿宋" w:hAnsi="仿宋" w:eastAsia="仿宋"/>
          <w:color w:val="000000"/>
          <w:kern w:val="0"/>
          <w:sz w:val="32"/>
          <w:szCs w:val="32"/>
          <w:lang w:bidi="hi-IN"/>
        </w:rPr>
        <w:t>股东存在信息披露义务的合规性说明及相关证明材料；</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3</w:t>
      </w:r>
      <w:r>
        <w:rPr>
          <w:rFonts w:hint="eastAsia" w:ascii="仿宋" w:hAnsi="仿宋" w:eastAsia="仿宋"/>
          <w:sz w:val="32"/>
          <w:szCs w:val="32"/>
        </w:rPr>
        <w:t>．</w:t>
      </w:r>
      <w:r>
        <w:rPr>
          <w:rFonts w:hint="eastAsia" w:ascii="仿宋" w:hAnsi="仿宋" w:eastAsia="仿宋"/>
          <w:color w:val="000000"/>
          <w:kern w:val="0"/>
          <w:sz w:val="32"/>
          <w:szCs w:val="32"/>
          <w:lang w:bidi="hi-IN"/>
        </w:rPr>
        <w:t>股东向上市公司提交的相关文件、信息披露申请及上市公司拒绝配合的证明材料；</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4</w:t>
      </w:r>
      <w:r>
        <w:rPr>
          <w:rFonts w:hint="eastAsia" w:ascii="仿宋" w:hAnsi="仿宋" w:eastAsia="仿宋"/>
          <w:sz w:val="32"/>
          <w:szCs w:val="32"/>
        </w:rPr>
        <w:t>．</w:t>
      </w:r>
      <w:r>
        <w:rPr>
          <w:rFonts w:hint="eastAsia" w:ascii="仿宋" w:hAnsi="仿宋" w:eastAsia="仿宋"/>
          <w:color w:val="000000"/>
          <w:kern w:val="0"/>
          <w:sz w:val="32"/>
          <w:szCs w:val="32"/>
          <w:lang w:bidi="hi-IN"/>
        </w:rPr>
        <w:t>律师专项意见（如适用）；</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5</w:t>
      </w:r>
      <w:r>
        <w:rPr>
          <w:rFonts w:hint="eastAsia" w:ascii="仿宋" w:hAnsi="仿宋" w:eastAsia="仿宋"/>
          <w:sz w:val="32"/>
          <w:szCs w:val="32"/>
        </w:rPr>
        <w:t>．</w:t>
      </w:r>
      <w:r>
        <w:rPr>
          <w:rFonts w:hint="eastAsia" w:ascii="仿宋" w:hAnsi="仿宋" w:eastAsia="仿宋"/>
          <w:color w:val="000000"/>
          <w:kern w:val="0"/>
          <w:sz w:val="32"/>
          <w:szCs w:val="32"/>
          <w:lang w:bidi="hi-IN"/>
        </w:rPr>
        <w:t>本所要求的其他文件。</w:t>
      </w:r>
    </w:p>
    <w:p>
      <w:pPr>
        <w:spacing w:line="560" w:lineRule="exact"/>
        <w:ind w:firstLine="601"/>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、用户注册流程</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上市公司股东应当在办理相关业务前完成用户注册。</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（一）</w:t>
      </w:r>
      <w:r>
        <w:rPr>
          <w:rFonts w:ascii="楷体" w:hAnsi="楷体" w:eastAsia="楷体"/>
          <w:sz w:val="32"/>
          <w:szCs w:val="32"/>
        </w:rPr>
        <w:t>注册方式</w:t>
      </w:r>
    </w:p>
    <w:p>
      <w:pPr>
        <w:spacing w:line="560" w:lineRule="exact"/>
        <w:ind w:firstLine="640" w:firstLineChars="200"/>
        <w:rPr>
          <w:rFonts w:ascii="仿宋" w:hAnsi="仿宋" w:eastAsia="仿宋"/>
          <w:sz w:val="32"/>
          <w:szCs w:val="32"/>
        </w:rPr>
      </w:pPr>
      <w:r>
        <w:rPr>
          <w:rFonts w:ascii="仿宋" w:hAnsi="仿宋" w:eastAsia="仿宋"/>
          <w:sz w:val="32"/>
          <w:szCs w:val="32"/>
        </w:rPr>
        <w:t>上市公司股东可以选择以下两种方式之一进行股东用户注册：</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上市公司协助上市公司股东注册</w:t>
      </w:r>
    </w:p>
    <w:p>
      <w:pPr>
        <w:spacing w:line="560" w:lineRule="exact"/>
        <w:ind w:firstLine="640" w:firstLineChars="200"/>
        <w:rPr>
          <w:rFonts w:ascii="仿宋" w:hAnsi="仿宋" w:eastAsia="仿宋"/>
          <w:sz w:val="32"/>
          <w:szCs w:val="32"/>
        </w:rPr>
      </w:pPr>
      <w:r>
        <w:rPr>
          <w:rFonts w:ascii="仿宋" w:hAnsi="仿宋" w:eastAsia="仿宋"/>
          <w:sz w:val="32"/>
          <w:szCs w:val="32"/>
        </w:rPr>
        <w:t>上市公司进入“上市公司业务专区”，选择“系统管理-股东专区注册管理-代理注册账号”，根据股东类型进入相应页面完成信息填报和文件上传。上市公司在信息填报和文件上传前应当审查相关文件是否真实、准确、完整，并做好相关文件备案存档工作。</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上市公司股东自行远程预注册</w:t>
      </w:r>
    </w:p>
    <w:p>
      <w:pPr>
        <w:spacing w:line="560" w:lineRule="exact"/>
        <w:ind w:firstLine="640" w:firstLineChars="200"/>
        <w:rPr>
          <w:rFonts w:ascii="仿宋" w:hAnsi="仿宋" w:eastAsia="仿宋"/>
          <w:sz w:val="32"/>
          <w:szCs w:val="32"/>
        </w:rPr>
      </w:pPr>
      <w:r>
        <w:rPr>
          <w:rFonts w:ascii="仿宋" w:hAnsi="仿宋" w:eastAsia="仿宋"/>
          <w:sz w:val="32"/>
          <w:szCs w:val="32"/>
        </w:rPr>
        <w:t>上市公司股东登录本所官网进入“股东业务专区”，点击“用户注册”链接，根据股东类型进入相应页面填报信息和上传文件，完成股东用户预注册。</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（二）</w:t>
      </w:r>
      <w:r>
        <w:rPr>
          <w:rFonts w:ascii="楷体" w:hAnsi="楷体" w:eastAsia="楷体"/>
          <w:sz w:val="32"/>
          <w:szCs w:val="32"/>
        </w:rPr>
        <w:t>文件上传</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境内法人股东</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（1）</w:t>
      </w:r>
      <w:r>
        <w:rPr>
          <w:rFonts w:ascii="仿宋" w:hAnsi="仿宋" w:eastAsia="仿宋"/>
          <w:sz w:val="32"/>
          <w:szCs w:val="32"/>
        </w:rPr>
        <w:t>营业执照</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（2）</w:t>
      </w:r>
      <w:r>
        <w:rPr>
          <w:rFonts w:ascii="仿宋" w:hAnsi="仿宋" w:eastAsia="仿宋"/>
          <w:sz w:val="32"/>
          <w:szCs w:val="32"/>
        </w:rPr>
        <w:t>法定代表人证明书（格式参考附件1）</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（3）</w:t>
      </w:r>
      <w:r>
        <w:rPr>
          <w:rFonts w:ascii="仿宋" w:hAnsi="仿宋" w:eastAsia="仿宋"/>
          <w:sz w:val="32"/>
          <w:szCs w:val="32"/>
        </w:rPr>
        <w:t>法定代表人身份证明文件</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（4）</w:t>
      </w:r>
      <w:r>
        <w:rPr>
          <w:rFonts w:ascii="仿宋" w:hAnsi="仿宋" w:eastAsia="仿宋"/>
          <w:sz w:val="32"/>
          <w:szCs w:val="32"/>
        </w:rPr>
        <w:t>法定代表人授权委托书（格式参考附件2）</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（5）</w:t>
      </w:r>
      <w:r>
        <w:rPr>
          <w:rFonts w:ascii="仿宋" w:hAnsi="仿宋" w:eastAsia="仿宋"/>
          <w:sz w:val="32"/>
          <w:szCs w:val="32"/>
        </w:rPr>
        <w:t>经办人有效身份证明文件</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（6）</w:t>
      </w:r>
      <w:r>
        <w:rPr>
          <w:rFonts w:ascii="仿宋" w:hAnsi="仿宋" w:eastAsia="仿宋"/>
          <w:sz w:val="32"/>
          <w:szCs w:val="32"/>
        </w:rPr>
        <w:t>证券账户卡（须与填写的股东代码对应）</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（7）</w:t>
      </w:r>
      <w:r>
        <w:rPr>
          <w:rFonts w:hint="eastAsia" w:ascii="仿宋" w:hAnsi="仿宋" w:eastAsia="仿宋"/>
          <w:sz w:val="32"/>
          <w:szCs w:val="32"/>
        </w:rPr>
        <w:t>结算公司</w:t>
      </w:r>
      <w:r>
        <w:rPr>
          <w:rFonts w:ascii="仿宋" w:hAnsi="仿宋" w:eastAsia="仿宋"/>
          <w:sz w:val="32"/>
          <w:szCs w:val="32"/>
        </w:rPr>
        <w:t>出具的股份查询信息（开具日期为申请注册时五个工作日以内）扫描文件（拟转让股份涉及多个证券账户卡的，每一个账户卡的查询信息都需要上传）</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（8）</w:t>
      </w:r>
      <w:r>
        <w:rPr>
          <w:rFonts w:ascii="仿宋" w:hAnsi="仿宋" w:eastAsia="仿宋"/>
          <w:sz w:val="32"/>
          <w:szCs w:val="32"/>
        </w:rPr>
        <w:t>一致行动协议（如适用）</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（9）</w:t>
      </w:r>
      <w:r>
        <w:rPr>
          <w:rFonts w:ascii="仿宋" w:hAnsi="仿宋" w:eastAsia="仿宋"/>
          <w:sz w:val="32"/>
          <w:szCs w:val="32"/>
        </w:rPr>
        <w:t>其他本所要求的文件</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境外法人股东</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（1）</w:t>
      </w:r>
      <w:r>
        <w:rPr>
          <w:rFonts w:ascii="仿宋" w:hAnsi="仿宋" w:eastAsia="仿宋"/>
          <w:sz w:val="32"/>
          <w:szCs w:val="32"/>
        </w:rPr>
        <w:t>所在国（地区）有权机关核发的证明境外法人主体资格的证明文件（如该证明文件未包含该法人合法存续内容，应提供该法人合法存续证明）</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（2）</w:t>
      </w:r>
      <w:r>
        <w:rPr>
          <w:rFonts w:hint="eastAsia" w:ascii="仿宋" w:hAnsi="仿宋" w:eastAsia="仿宋"/>
          <w:sz w:val="32"/>
          <w:szCs w:val="32"/>
        </w:rPr>
        <w:t>法定代表人</w:t>
      </w:r>
      <w:r>
        <w:rPr>
          <w:rFonts w:ascii="仿宋" w:hAnsi="仿宋" w:eastAsia="仿宋"/>
          <w:sz w:val="32"/>
          <w:szCs w:val="32"/>
        </w:rPr>
        <w:t>签署的授权委托书（关于业务办理的授权）</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（3）</w:t>
      </w:r>
      <w:r>
        <w:rPr>
          <w:rFonts w:hint="eastAsia" w:ascii="仿宋" w:hAnsi="仿宋" w:eastAsia="仿宋"/>
          <w:sz w:val="32"/>
          <w:szCs w:val="32"/>
        </w:rPr>
        <w:t>法定代表人</w:t>
      </w:r>
      <w:r>
        <w:rPr>
          <w:rFonts w:ascii="仿宋" w:hAnsi="仿宋" w:eastAsia="仿宋"/>
          <w:sz w:val="32"/>
          <w:szCs w:val="32"/>
        </w:rPr>
        <w:t>证明文件</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（4）</w:t>
      </w:r>
      <w:r>
        <w:rPr>
          <w:rFonts w:ascii="仿宋" w:hAnsi="仿宋" w:eastAsia="仿宋"/>
          <w:sz w:val="32"/>
          <w:szCs w:val="32"/>
        </w:rPr>
        <w:t>经办人身份证明文件</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（5）</w:t>
      </w:r>
      <w:r>
        <w:rPr>
          <w:rFonts w:ascii="仿宋" w:hAnsi="仿宋" w:eastAsia="仿宋"/>
          <w:sz w:val="32"/>
          <w:szCs w:val="32"/>
        </w:rPr>
        <w:t>证券账户卡（须与填写的股东代码对应）</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（6）</w:t>
      </w:r>
      <w:r>
        <w:rPr>
          <w:rFonts w:hint="eastAsia" w:ascii="仿宋" w:hAnsi="仿宋" w:eastAsia="仿宋"/>
          <w:sz w:val="32"/>
          <w:szCs w:val="32"/>
        </w:rPr>
        <w:t>结算公司</w:t>
      </w:r>
      <w:r>
        <w:rPr>
          <w:rFonts w:ascii="仿宋" w:hAnsi="仿宋" w:eastAsia="仿宋"/>
          <w:sz w:val="32"/>
          <w:szCs w:val="32"/>
        </w:rPr>
        <w:t>出具的股份查询信息（开具日期为申请注册时五个工作日以内）扫描文件（股份涉及多个证券账户卡的，每一个账户卡的查询信息都需要上传）</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（7）</w:t>
      </w:r>
      <w:r>
        <w:rPr>
          <w:rFonts w:ascii="仿宋" w:hAnsi="仿宋" w:eastAsia="仿宋"/>
          <w:sz w:val="32"/>
          <w:szCs w:val="32"/>
        </w:rPr>
        <w:t>一致行动协议（如适用）</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（8）</w:t>
      </w:r>
      <w:r>
        <w:rPr>
          <w:rFonts w:ascii="仿宋" w:hAnsi="仿宋" w:eastAsia="仿宋"/>
          <w:sz w:val="32"/>
          <w:szCs w:val="32"/>
        </w:rPr>
        <w:t>其他本所要求的文件</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ascii="仿宋" w:hAnsi="仿宋" w:eastAsia="仿宋"/>
          <w:sz w:val="32"/>
          <w:szCs w:val="32"/>
        </w:rPr>
        <w:t>注</w:t>
      </w:r>
      <w:r>
        <w:rPr>
          <w:rFonts w:hint="eastAsia" w:ascii="仿宋" w:hAnsi="仿宋" w:eastAsia="仿宋"/>
          <w:sz w:val="32"/>
          <w:szCs w:val="32"/>
        </w:rPr>
        <w:t>1</w:t>
      </w:r>
      <w:r>
        <w:rPr>
          <w:rFonts w:ascii="仿宋" w:hAnsi="仿宋" w:eastAsia="仿宋"/>
          <w:sz w:val="32"/>
          <w:szCs w:val="32"/>
        </w:rPr>
        <w:t>：第</w:t>
      </w:r>
      <w:r>
        <w:rPr>
          <w:rFonts w:hint="eastAsia" w:ascii="仿宋" w:hAnsi="仿宋" w:eastAsia="仿宋" w:cs="宋体"/>
          <w:sz w:val="32"/>
          <w:szCs w:val="32"/>
        </w:rPr>
        <w:t>（1）</w:t>
      </w:r>
      <w:r>
        <w:rPr>
          <w:rFonts w:ascii="仿宋" w:hAnsi="仿宋" w:eastAsia="仿宋"/>
          <w:sz w:val="32"/>
          <w:szCs w:val="32"/>
        </w:rPr>
        <w:t>项</w:t>
      </w:r>
      <w:r>
        <w:rPr>
          <w:rFonts w:hint="eastAsia" w:ascii="仿宋" w:hAnsi="仿宋" w:eastAsia="仿宋"/>
          <w:sz w:val="32"/>
          <w:szCs w:val="32"/>
        </w:rPr>
        <w:t>至</w:t>
      </w:r>
      <w:r>
        <w:rPr>
          <w:rFonts w:ascii="仿宋" w:hAnsi="仿宋" w:eastAsia="仿宋"/>
          <w:sz w:val="32"/>
          <w:szCs w:val="32"/>
        </w:rPr>
        <w:t>第</w:t>
      </w:r>
      <w:r>
        <w:rPr>
          <w:rFonts w:hint="eastAsia" w:ascii="仿宋" w:hAnsi="仿宋" w:eastAsia="仿宋" w:cs="宋体"/>
          <w:sz w:val="32"/>
          <w:szCs w:val="32"/>
        </w:rPr>
        <w:t>（4）</w:t>
      </w:r>
      <w:r>
        <w:rPr>
          <w:rFonts w:ascii="仿宋" w:hAnsi="仿宋" w:eastAsia="仿宋"/>
          <w:sz w:val="32"/>
          <w:szCs w:val="32"/>
        </w:rPr>
        <w:t>项文件需经</w:t>
      </w:r>
      <w:r>
        <w:rPr>
          <w:rFonts w:hint="eastAsia" w:ascii="仿宋" w:hAnsi="仿宋" w:eastAsia="仿宋"/>
          <w:sz w:val="32"/>
          <w:szCs w:val="32"/>
        </w:rPr>
        <w:t>中国</w:t>
      </w:r>
      <w:r>
        <w:rPr>
          <w:rFonts w:ascii="仿宋" w:hAnsi="仿宋" w:eastAsia="仿宋"/>
          <w:sz w:val="32"/>
          <w:szCs w:val="32"/>
        </w:rPr>
        <w:t>驻该国</w:t>
      </w:r>
      <w:r>
        <w:rPr>
          <w:rFonts w:hint="eastAsia" w:ascii="仿宋" w:hAnsi="仿宋" w:eastAsia="仿宋"/>
          <w:sz w:val="32"/>
          <w:szCs w:val="32"/>
        </w:rPr>
        <w:t>（地区）</w:t>
      </w:r>
      <w:r>
        <w:rPr>
          <w:rFonts w:ascii="仿宋" w:hAnsi="仿宋" w:eastAsia="仿宋"/>
          <w:sz w:val="32"/>
          <w:szCs w:val="32"/>
        </w:rPr>
        <w:t>使、领馆认证，或者履行</w:t>
      </w:r>
      <w:r>
        <w:rPr>
          <w:rFonts w:hint="eastAsia" w:ascii="仿宋" w:hAnsi="仿宋" w:eastAsia="仿宋"/>
          <w:sz w:val="32"/>
          <w:szCs w:val="32"/>
        </w:rPr>
        <w:t>中国</w:t>
      </w:r>
      <w:r>
        <w:rPr>
          <w:rFonts w:ascii="仿宋" w:hAnsi="仿宋" w:eastAsia="仿宋"/>
          <w:sz w:val="32"/>
          <w:szCs w:val="32"/>
        </w:rPr>
        <w:t>与该所在国订立的有关条约中规定的身份证明手续。</w:t>
      </w:r>
    </w:p>
    <w:p>
      <w:pPr>
        <w:spacing w:line="560" w:lineRule="exact"/>
        <w:ind w:firstLine="600"/>
        <w:rPr>
          <w:rFonts w:ascii="仿宋" w:hAnsi="仿宋" w:eastAsia="仿宋"/>
          <w:sz w:val="32"/>
          <w:szCs w:val="32"/>
        </w:rPr>
      </w:pPr>
      <w:r>
        <w:rPr>
          <w:rFonts w:hint="eastAsia" w:ascii="仿宋" w:hAnsi="仿宋" w:eastAsia="仿宋"/>
          <w:sz w:val="32"/>
          <w:szCs w:val="32"/>
        </w:rPr>
        <w:t>注2：境外法人的法定代表人是指，经境外法人机构董事会授权或者按公司章程规定或者符合其所在国家或者地区法律规定，可以代表该境外法人机构的自然人，如董事会主席或首席执行官等。</w:t>
      </w:r>
    </w:p>
    <w:p>
      <w:pPr>
        <w:spacing w:line="560" w:lineRule="exact"/>
        <w:ind w:firstLine="640" w:firstLineChars="200"/>
        <w:rPr>
          <w:rFonts w:ascii="仿宋" w:hAnsi="仿宋" w:eastAsia="仿宋"/>
          <w:sz w:val="32"/>
          <w:szCs w:val="32"/>
        </w:rPr>
      </w:pPr>
      <w:r>
        <w:rPr>
          <w:rFonts w:ascii="仿宋" w:hAnsi="仿宋" w:eastAsia="仿宋"/>
          <w:sz w:val="32"/>
          <w:szCs w:val="32"/>
        </w:rPr>
        <w:t>境内外非法人机构注册文件参照境内外法人机构执行。</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境内自然人股东</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（1）</w:t>
      </w:r>
      <w:r>
        <w:rPr>
          <w:rFonts w:ascii="仿宋" w:hAnsi="仿宋" w:eastAsia="仿宋"/>
          <w:sz w:val="32"/>
          <w:szCs w:val="32"/>
        </w:rPr>
        <w:t>身份证明文件</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（2）</w:t>
      </w:r>
      <w:r>
        <w:rPr>
          <w:rFonts w:ascii="仿宋" w:hAnsi="仿宋" w:eastAsia="仿宋"/>
          <w:sz w:val="32"/>
          <w:szCs w:val="32"/>
        </w:rPr>
        <w:t>经公证的委托代办书（委托他人代办适用，格式参考附件2）</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（3）</w:t>
      </w:r>
      <w:r>
        <w:rPr>
          <w:rFonts w:ascii="仿宋" w:hAnsi="仿宋" w:eastAsia="仿宋"/>
          <w:sz w:val="32"/>
          <w:szCs w:val="32"/>
        </w:rPr>
        <w:t>代办人身份证明文件（委托他人代办适用）</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（4）</w:t>
      </w:r>
      <w:r>
        <w:rPr>
          <w:rFonts w:ascii="仿宋" w:hAnsi="仿宋" w:eastAsia="仿宋"/>
          <w:sz w:val="32"/>
          <w:szCs w:val="32"/>
        </w:rPr>
        <w:t>证券账户卡（须与填写的股东代码对应）</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（5）</w:t>
      </w:r>
      <w:r>
        <w:rPr>
          <w:rFonts w:hint="eastAsia" w:ascii="仿宋" w:hAnsi="仿宋" w:eastAsia="仿宋"/>
          <w:sz w:val="32"/>
          <w:szCs w:val="32"/>
        </w:rPr>
        <w:t>结算公司</w:t>
      </w:r>
      <w:r>
        <w:rPr>
          <w:rFonts w:ascii="仿宋" w:hAnsi="仿宋" w:eastAsia="仿宋"/>
          <w:sz w:val="32"/>
          <w:szCs w:val="32"/>
        </w:rPr>
        <w:t>出具的股份查询信息（开具日期为申请注册时五个工作日以内）扫描文件（股份涉及多个证券账户卡的，每一个账户卡的查询信息都需要上传）</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（6）</w:t>
      </w:r>
      <w:r>
        <w:rPr>
          <w:rFonts w:ascii="仿宋" w:hAnsi="仿宋" w:eastAsia="仿宋"/>
          <w:sz w:val="32"/>
          <w:szCs w:val="32"/>
        </w:rPr>
        <w:t>一致行动协议（如适用）</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（7）</w:t>
      </w:r>
      <w:r>
        <w:rPr>
          <w:rFonts w:ascii="仿宋" w:hAnsi="仿宋" w:eastAsia="仿宋"/>
          <w:sz w:val="32"/>
          <w:szCs w:val="32"/>
        </w:rPr>
        <w:t xml:space="preserve"> 其他本所要求的文件</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境外自然人股东</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（1）</w:t>
      </w:r>
      <w:r>
        <w:rPr>
          <w:rFonts w:ascii="仿宋" w:hAnsi="仿宋" w:eastAsia="仿宋"/>
          <w:sz w:val="32"/>
          <w:szCs w:val="32"/>
        </w:rPr>
        <w:t>身份证明文件（至少包括其中一种）：外国（地区）公民身份证或者护照；有外国（地区）永久居留权的中国公民的永久居留证明及中国护照；台湾居民往来大陆通行证；香港永久性居民身份证、澳门永久性居民身份证；</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（2）</w:t>
      </w:r>
      <w:r>
        <w:rPr>
          <w:rFonts w:ascii="仿宋" w:hAnsi="仿宋" w:eastAsia="仿宋"/>
          <w:sz w:val="32"/>
          <w:szCs w:val="32"/>
        </w:rPr>
        <w:t>授权委托书（委托他人代办适用）</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（3）</w:t>
      </w:r>
      <w:r>
        <w:rPr>
          <w:rFonts w:ascii="仿宋" w:hAnsi="仿宋" w:eastAsia="仿宋"/>
          <w:sz w:val="32"/>
          <w:szCs w:val="32"/>
        </w:rPr>
        <w:t xml:space="preserve"> 经办人身份证明文件（委托他人代办适用）</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（4）</w:t>
      </w:r>
      <w:r>
        <w:rPr>
          <w:rFonts w:ascii="仿宋" w:hAnsi="仿宋" w:eastAsia="仿宋"/>
          <w:sz w:val="32"/>
          <w:szCs w:val="32"/>
        </w:rPr>
        <w:t>证券账户卡（须与填写的股东代码对应）</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（5）</w:t>
      </w:r>
      <w:r>
        <w:rPr>
          <w:rFonts w:hint="eastAsia" w:ascii="仿宋" w:hAnsi="仿宋" w:eastAsia="仿宋"/>
          <w:sz w:val="32"/>
          <w:szCs w:val="32"/>
        </w:rPr>
        <w:t>结算公司</w:t>
      </w:r>
      <w:r>
        <w:rPr>
          <w:rFonts w:ascii="仿宋" w:hAnsi="仿宋" w:eastAsia="仿宋"/>
          <w:sz w:val="32"/>
          <w:szCs w:val="32"/>
        </w:rPr>
        <w:t>出具的股份查询信息（开具日期为申请注册时五个工作日以内）扫描文件（股份涉及多个证券账户卡的，每一个账户卡的查询信息都需要上传）</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（6）</w:t>
      </w:r>
      <w:r>
        <w:rPr>
          <w:rFonts w:ascii="仿宋" w:hAnsi="仿宋" w:eastAsia="仿宋"/>
          <w:sz w:val="32"/>
          <w:szCs w:val="32"/>
        </w:rPr>
        <w:t>一致行动协议（如适用）</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仿宋" w:hAnsi="仿宋" w:eastAsia="仿宋" w:cs="宋体"/>
          <w:sz w:val="32"/>
          <w:szCs w:val="32"/>
        </w:rPr>
        <w:t>（7）</w:t>
      </w:r>
      <w:r>
        <w:rPr>
          <w:rFonts w:ascii="仿宋" w:hAnsi="仿宋" w:eastAsia="仿宋"/>
          <w:sz w:val="32"/>
          <w:szCs w:val="32"/>
        </w:rPr>
        <w:t>其他本所要求的文件</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hint="eastAsia" w:ascii="楷体" w:hAnsi="楷体" w:eastAsia="楷体"/>
          <w:sz w:val="32"/>
          <w:szCs w:val="32"/>
        </w:rPr>
        <w:t>（三）</w:t>
      </w:r>
      <w:r>
        <w:rPr>
          <w:rFonts w:ascii="楷体" w:hAnsi="楷体" w:eastAsia="楷体"/>
          <w:sz w:val="32"/>
          <w:szCs w:val="32"/>
        </w:rPr>
        <w:t>申请注册审查</w:t>
      </w:r>
    </w:p>
    <w:p>
      <w:pPr>
        <w:spacing w:line="560" w:lineRule="exact"/>
        <w:ind w:firstLine="640" w:firstLineChars="200"/>
        <w:rPr>
          <w:rFonts w:ascii="仿宋" w:hAnsi="仿宋" w:eastAsia="仿宋"/>
          <w:sz w:val="32"/>
          <w:szCs w:val="32"/>
        </w:rPr>
      </w:pPr>
      <w:r>
        <w:rPr>
          <w:rFonts w:ascii="仿宋" w:hAnsi="仿宋" w:eastAsia="仿宋"/>
          <w:sz w:val="32"/>
          <w:szCs w:val="32"/>
        </w:rPr>
        <w:t>申请注册人完成信息填报和文件上传后系统会形成回执，申请注册人可通过注册</w:t>
      </w:r>
      <w:r>
        <w:rPr>
          <w:rFonts w:hint="eastAsia" w:ascii="仿宋" w:hAnsi="仿宋" w:eastAsia="仿宋"/>
          <w:sz w:val="32"/>
          <w:szCs w:val="32"/>
        </w:rPr>
        <w:t>进度</w:t>
      </w:r>
      <w:r>
        <w:rPr>
          <w:rFonts w:ascii="仿宋" w:hAnsi="仿宋" w:eastAsia="仿宋"/>
          <w:sz w:val="32"/>
          <w:szCs w:val="32"/>
        </w:rPr>
        <w:t>查询本所对该次注册申请处理的进展及确认信息。提交注册申请后可撤回申请</w:t>
      </w:r>
      <w:r>
        <w:rPr>
          <w:rFonts w:hint="eastAsia" w:ascii="仿宋" w:hAnsi="仿宋" w:eastAsia="仿宋"/>
          <w:sz w:val="32"/>
          <w:szCs w:val="32"/>
        </w:rPr>
        <w:t>但不可自行修改</w:t>
      </w:r>
      <w:r>
        <w:rPr>
          <w:rFonts w:ascii="仿宋" w:hAnsi="仿宋" w:eastAsia="仿宋"/>
          <w:sz w:val="32"/>
          <w:szCs w:val="32"/>
        </w:rPr>
        <w:t>，</w:t>
      </w:r>
      <w:r>
        <w:rPr>
          <w:rFonts w:hint="eastAsia" w:ascii="仿宋" w:hAnsi="仿宋" w:eastAsia="仿宋"/>
          <w:sz w:val="32"/>
          <w:szCs w:val="32"/>
        </w:rPr>
        <w:t>本所审查过程中要求补正材料的，申请注册人方</w:t>
      </w:r>
      <w:r>
        <w:rPr>
          <w:rFonts w:ascii="仿宋" w:hAnsi="仿宋" w:eastAsia="仿宋"/>
          <w:sz w:val="32"/>
          <w:szCs w:val="32"/>
        </w:rPr>
        <w:t>可修改相关信息后重新提交。</w:t>
      </w:r>
    </w:p>
    <w:p>
      <w:pPr>
        <w:spacing w:line="560" w:lineRule="exact"/>
        <w:ind w:firstLine="640" w:firstLineChars="200"/>
        <w:rPr>
          <w:rFonts w:ascii="仿宋" w:hAnsi="仿宋" w:eastAsia="仿宋"/>
          <w:sz w:val="32"/>
          <w:szCs w:val="32"/>
        </w:rPr>
      </w:pPr>
      <w:r>
        <w:rPr>
          <w:rFonts w:ascii="仿宋" w:hAnsi="仿宋" w:eastAsia="仿宋"/>
          <w:sz w:val="32"/>
          <w:szCs w:val="32"/>
        </w:rPr>
        <w:t>上市公司协助注册的用户在本所完成申请材料审查后，股东用户即可激活，申请</w:t>
      </w:r>
      <w:r>
        <w:rPr>
          <w:rFonts w:hint="eastAsia" w:ascii="仿宋" w:hAnsi="仿宋" w:eastAsia="仿宋"/>
          <w:sz w:val="32"/>
          <w:szCs w:val="32"/>
        </w:rPr>
        <w:t>注册</w:t>
      </w:r>
      <w:r>
        <w:rPr>
          <w:rFonts w:ascii="仿宋" w:hAnsi="仿宋" w:eastAsia="仿宋"/>
          <w:sz w:val="32"/>
          <w:szCs w:val="32"/>
        </w:rPr>
        <w:t>人可登录“股东业务专区”办理股东信息披露业务；上市公司股东自行注册的用户在本所完成申请材料审查后，应当持相关材料前来本所现场办理相关用户正式激活手续。办理激活手续时应当提交前述注册相关材料的原件和复印件，复印件应当加盖法人公章和法定代表人签名</w:t>
      </w:r>
      <w:r>
        <w:rPr>
          <w:rFonts w:hint="eastAsia" w:ascii="仿宋" w:hAnsi="仿宋" w:eastAsia="仿宋"/>
          <w:sz w:val="32"/>
          <w:szCs w:val="32"/>
        </w:rPr>
        <w:t>（如适用）</w:t>
      </w:r>
      <w:r>
        <w:rPr>
          <w:rFonts w:ascii="仿宋" w:hAnsi="仿宋" w:eastAsia="仿宋"/>
          <w:sz w:val="32"/>
          <w:szCs w:val="32"/>
        </w:rPr>
        <w:t>。</w:t>
      </w:r>
    </w:p>
    <w:p>
      <w:pPr>
        <w:spacing w:line="560" w:lineRule="exact"/>
        <w:ind w:firstLine="640" w:firstLineChars="200"/>
        <w:rPr>
          <w:rFonts w:ascii="仿宋" w:hAnsi="仿宋" w:eastAsia="仿宋"/>
          <w:sz w:val="32"/>
          <w:szCs w:val="32"/>
        </w:rPr>
      </w:pPr>
      <w:r>
        <w:rPr>
          <w:rFonts w:ascii="仿宋" w:hAnsi="仿宋" w:eastAsia="仿宋"/>
          <w:sz w:val="32"/>
          <w:szCs w:val="32"/>
        </w:rPr>
        <w:t>上市公司股东用户注册完成后即开通对应上市公司的业务办理权限，自激活日起30日内有效。未到期的用户可视情况向我所申请延期，每次可申请延期30日。超过有效期的用户仍可登录并查询用户历史注册信息，也可以再次激活用户。</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（四）已有股东账户增加业务权限</w:t>
      </w:r>
    </w:p>
    <w:p>
      <w:pPr>
        <w:spacing w:line="560" w:lineRule="exact"/>
        <w:ind w:firstLine="600"/>
        <w:rPr>
          <w:rFonts w:ascii="仿宋" w:hAnsi="仿宋" w:eastAsia="仿宋"/>
          <w:sz w:val="32"/>
          <w:szCs w:val="32"/>
        </w:rPr>
      </w:pPr>
      <w:r>
        <w:rPr>
          <w:rFonts w:hint="eastAsia" w:ascii="仿宋" w:hAnsi="仿宋" w:eastAsia="仿宋"/>
          <w:sz w:val="32"/>
          <w:szCs w:val="32"/>
        </w:rPr>
        <w:t>本所股东业务专区通过权限管理规范股东业务办理范围，上市公司股东仅可办理与已开通权限所对应的特定事项的信息披露业务。股东申请办理该公司其他事项的信息披露业务或以其持有其他上市公司股份为由申请办理其他上市公司信息披露业务的，需重新履行本指南规定的核实申请条件、提供完备材料以及用户注册程序。</w:t>
      </w:r>
    </w:p>
    <w:p>
      <w:pPr>
        <w:ind w:firstLine="600" w:firstLineChars="200"/>
        <w:rPr>
          <w:rFonts w:ascii="Times New Roman" w:hAnsi="Times New Roman" w:eastAsia="黑体"/>
          <w:sz w:val="30"/>
          <w:szCs w:val="30"/>
        </w:rPr>
      </w:pPr>
      <w:r>
        <w:rPr>
          <w:rFonts w:ascii="Times New Roman" w:hAnsi="Times New Roman" w:eastAsia="黑体"/>
          <w:sz w:val="30"/>
          <w:szCs w:val="30"/>
        </w:rPr>
        <w:t>三、股东业务专区办理信息披露业务</w:t>
      </w:r>
    </w:p>
    <w:p>
      <w:pPr>
        <w:spacing w:line="560" w:lineRule="exact"/>
        <w:ind w:firstLine="600"/>
        <w:rPr>
          <w:rFonts w:ascii="仿宋" w:hAnsi="仿宋" w:eastAsia="仿宋"/>
          <w:sz w:val="32"/>
          <w:szCs w:val="32"/>
        </w:rPr>
      </w:pPr>
      <w:r>
        <w:rPr>
          <w:rFonts w:ascii="仿宋" w:hAnsi="仿宋" w:eastAsia="仿宋"/>
          <w:sz w:val="32"/>
          <w:szCs w:val="32"/>
        </w:rPr>
        <w:t>上市公司股东通过“股东业务专区”办理信息披露业务，涉及的公告类别为股权变动及相关业务、股东大会和本所认可的其他公告类别。股东的信息披露申请均属于非直通披露的信息披露申请，须经本所事前审查通过后才能披露。</w:t>
      </w:r>
    </w:p>
    <w:p>
      <w:pPr>
        <w:spacing w:line="560" w:lineRule="exact"/>
        <w:ind w:firstLine="600"/>
        <w:rPr>
          <w:rFonts w:ascii="仿宋" w:hAnsi="仿宋" w:eastAsia="仿宋"/>
          <w:sz w:val="32"/>
          <w:szCs w:val="32"/>
        </w:rPr>
      </w:pPr>
      <w:r>
        <w:rPr>
          <w:rFonts w:ascii="仿宋" w:hAnsi="仿宋" w:eastAsia="仿宋"/>
          <w:sz w:val="32"/>
          <w:szCs w:val="32"/>
        </w:rPr>
        <w:t>股东信息披露业务办理流程与上市公司办理相应信息披露业务的流程相同。</w:t>
      </w:r>
      <w:r>
        <w:rPr>
          <w:rFonts w:hint="eastAsia" w:ascii="仿宋" w:hAnsi="仿宋" w:eastAsia="仿宋"/>
          <w:sz w:val="32"/>
          <w:szCs w:val="32"/>
        </w:rPr>
        <w:t>完成股东用户注册的股东可以向本所提供一致行动关系证明材料和授权书，经本所同意后，该股东可以为其一致行动人在股东业务专区披露股权变动相关公告。</w:t>
      </w:r>
    </w:p>
    <w:p>
      <w:pPr>
        <w:spacing w:line="560" w:lineRule="exact"/>
        <w:ind w:firstLine="600"/>
        <w:rPr>
          <w:rFonts w:ascii="仿宋" w:hAnsi="仿宋" w:eastAsia="仿宋"/>
          <w:sz w:val="32"/>
          <w:szCs w:val="32"/>
        </w:rPr>
      </w:pPr>
      <w:r>
        <w:rPr>
          <w:rFonts w:ascii="仿宋" w:hAnsi="仿宋" w:eastAsia="仿宋"/>
          <w:sz w:val="32"/>
          <w:szCs w:val="32"/>
        </w:rPr>
        <w:t>股东提交信息披露申请的时间为交易日收市后至当日下午五点（15：00-17：00）。经本所事前审查后，股东可通过“信息披露结果”栏目，完成“确认并提交媒体”的操作，将信息披露文件通过本所技术平台传送给</w:t>
      </w:r>
      <w:r>
        <w:rPr>
          <w:rFonts w:hint="eastAsia" w:ascii="仿宋" w:hAnsi="仿宋" w:eastAsia="仿宋"/>
          <w:sz w:val="32"/>
          <w:szCs w:val="32"/>
        </w:rPr>
        <w:t>符合条件媒体</w:t>
      </w:r>
      <w:r>
        <w:rPr>
          <w:rFonts w:ascii="仿宋" w:hAnsi="仿宋" w:eastAsia="仿宋"/>
          <w:sz w:val="32"/>
          <w:szCs w:val="32"/>
        </w:rPr>
        <w:t>。股东完成该操作后应当及时与</w:t>
      </w:r>
      <w:r>
        <w:rPr>
          <w:rFonts w:hint="eastAsia" w:ascii="仿宋" w:hAnsi="仿宋" w:eastAsia="仿宋"/>
          <w:sz w:val="32"/>
          <w:szCs w:val="32"/>
        </w:rPr>
        <w:t>符合条件媒体</w:t>
      </w:r>
      <w:r>
        <w:rPr>
          <w:rFonts w:ascii="仿宋" w:hAnsi="仿宋" w:eastAsia="仿宋"/>
          <w:sz w:val="32"/>
          <w:szCs w:val="32"/>
        </w:rPr>
        <w:t>确认文件是否收悉，并联络披露事宜。</w:t>
      </w:r>
    </w:p>
    <w:p>
      <w:pPr>
        <w:spacing w:line="560" w:lineRule="exact"/>
        <w:ind w:firstLine="600"/>
        <w:rPr>
          <w:rFonts w:ascii="仿宋" w:hAnsi="仿宋" w:eastAsia="仿宋"/>
          <w:sz w:val="32"/>
          <w:szCs w:val="32"/>
        </w:rPr>
      </w:pPr>
      <w:r>
        <w:rPr>
          <w:rFonts w:ascii="仿宋" w:hAnsi="仿宋" w:eastAsia="仿宋"/>
          <w:sz w:val="32"/>
          <w:szCs w:val="32"/>
        </w:rPr>
        <w:t>股东在提交媒体前务必认真检查信息披露文件的正确性和披露内容的真实、准确、完整，提交后不得随意更改信息披露文件。股东在确认并提交媒体后，如发现披露内容存在错误或遗漏的，应及时向本所报告，并</w:t>
      </w:r>
      <w:r>
        <w:rPr>
          <w:rFonts w:hint="eastAsia" w:ascii="仿宋" w:hAnsi="仿宋" w:eastAsia="仿宋"/>
          <w:sz w:val="32"/>
          <w:szCs w:val="32"/>
        </w:rPr>
        <w:t>披露</w:t>
      </w:r>
      <w:r>
        <w:rPr>
          <w:rFonts w:ascii="仿宋" w:hAnsi="仿宋" w:eastAsia="仿宋"/>
          <w:sz w:val="32"/>
          <w:szCs w:val="32"/>
        </w:rPr>
        <w:t>更正或者补充公告。股东办理信息披露业务的相关具体程序参照</w:t>
      </w:r>
      <w:r>
        <w:rPr>
          <w:rFonts w:hint="eastAsia" w:ascii="仿宋" w:hAnsi="仿宋" w:eastAsia="仿宋"/>
          <w:sz w:val="32"/>
          <w:szCs w:val="32"/>
        </w:rPr>
        <w:t>本指南第一章“信息披露事务”</w:t>
      </w:r>
      <w:r>
        <w:rPr>
          <w:rFonts w:ascii="仿宋" w:hAnsi="仿宋" w:eastAsia="仿宋"/>
          <w:sz w:val="32"/>
          <w:szCs w:val="32"/>
        </w:rPr>
        <w:t xml:space="preserve">执行。    </w:t>
      </w:r>
    </w:p>
    <w:p>
      <w:pPr>
        <w:spacing w:line="440" w:lineRule="exact"/>
        <w:rPr>
          <w:rFonts w:ascii="黑体" w:hAnsi="黑体" w:eastAsia="黑体"/>
          <w:sz w:val="32"/>
          <w:szCs w:val="32"/>
        </w:rPr>
      </w:pPr>
      <w:r>
        <w:rPr>
          <w:rFonts w:ascii="Times New Roman" w:hAnsi="Times New Roman" w:eastAsia="方正仿宋简体"/>
          <w:sz w:val="30"/>
          <w:szCs w:val="30"/>
        </w:rPr>
        <w:br w:type="page"/>
      </w:r>
      <w:r>
        <w:rPr>
          <w:rFonts w:ascii="黑体" w:hAnsi="黑体" w:eastAsia="黑体"/>
          <w:sz w:val="32"/>
          <w:szCs w:val="32"/>
        </w:rPr>
        <w:t>附件1</w:t>
      </w:r>
    </w:p>
    <w:p>
      <w:pPr>
        <w:spacing w:line="560" w:lineRule="exact"/>
        <w:rPr>
          <w:rFonts w:ascii="黑体" w:hAnsi="黑体" w:eastAsia="黑体"/>
          <w:sz w:val="32"/>
          <w:szCs w:val="32"/>
        </w:rPr>
      </w:pPr>
    </w:p>
    <w:p>
      <w:pPr>
        <w:widowControl/>
        <w:adjustRightInd w:val="0"/>
        <w:snapToGrid w:val="0"/>
        <w:spacing w:line="56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法定代表人证明书</w:t>
      </w:r>
    </w:p>
    <w:p>
      <w:pPr>
        <w:widowControl/>
        <w:adjustRightInd w:val="0"/>
        <w:snapToGrid w:val="0"/>
        <w:spacing w:line="560" w:lineRule="exact"/>
        <w:jc w:val="center"/>
        <w:rPr>
          <w:rFonts w:ascii="黑体" w:hAnsi="黑体" w:eastAsia="黑体"/>
          <w:sz w:val="32"/>
          <w:szCs w:val="32"/>
        </w:rPr>
      </w:pP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兹证明，XXX（身份证号：XXXXXXXXXXXXXXXXXX）在本公司XXX公司担任XXX职务，为本公司法定代表人。</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特此证明</w:t>
      </w:r>
    </w:p>
    <w:p>
      <w:pPr>
        <w:spacing w:line="560" w:lineRule="exact"/>
        <w:ind w:firstLine="745" w:firstLineChars="233"/>
        <w:rPr>
          <w:rFonts w:ascii="仿宋" w:hAnsi="仿宋" w:eastAsia="仿宋"/>
          <w:sz w:val="32"/>
          <w:szCs w:val="32"/>
        </w:rPr>
      </w:pPr>
    </w:p>
    <w:p>
      <w:pPr>
        <w:spacing w:line="560" w:lineRule="exact"/>
        <w:ind w:firstLine="745" w:firstLineChars="233"/>
        <w:rPr>
          <w:rFonts w:ascii="仿宋" w:hAnsi="仿宋" w:eastAsia="仿宋"/>
          <w:sz w:val="32"/>
          <w:szCs w:val="32"/>
        </w:rPr>
      </w:pPr>
    </w:p>
    <w:p>
      <w:pPr>
        <w:spacing w:line="560" w:lineRule="exact"/>
        <w:ind w:right="800"/>
        <w:jc w:val="right"/>
        <w:rPr>
          <w:rFonts w:ascii="仿宋" w:hAnsi="仿宋" w:eastAsia="仿宋"/>
          <w:sz w:val="32"/>
          <w:szCs w:val="32"/>
        </w:rPr>
      </w:pPr>
      <w:r>
        <w:rPr>
          <w:rFonts w:ascii="仿宋" w:hAnsi="仿宋" w:eastAsia="仿宋"/>
          <w:sz w:val="32"/>
          <w:szCs w:val="32"/>
        </w:rPr>
        <w:t>XXX公司（盖章）</w:t>
      </w:r>
    </w:p>
    <w:p>
      <w:pPr>
        <w:spacing w:line="560" w:lineRule="exact"/>
        <w:ind w:right="640"/>
        <w:jc w:val="center"/>
        <w:rPr>
          <w:rFonts w:ascii="仿宋" w:hAnsi="仿宋" w:eastAsia="仿宋"/>
          <w:sz w:val="32"/>
          <w:szCs w:val="32"/>
        </w:rPr>
      </w:pPr>
      <w:r>
        <w:rPr>
          <w:rFonts w:hint="eastAsia" w:ascii="仿宋" w:hAnsi="仿宋" w:eastAsia="仿宋"/>
          <w:sz w:val="32"/>
          <w:szCs w:val="32"/>
        </w:rPr>
        <w:t xml:space="preserve">                                </w:t>
      </w:r>
      <w:r>
        <w:rPr>
          <w:rFonts w:ascii="仿宋" w:hAnsi="仿宋" w:eastAsia="仿宋"/>
          <w:sz w:val="32"/>
          <w:szCs w:val="32"/>
        </w:rPr>
        <w:t>年   月   日</w:t>
      </w:r>
    </w:p>
    <w:p>
      <w:pPr>
        <w:spacing w:line="560" w:lineRule="exact"/>
        <w:ind w:firstLine="745" w:firstLineChars="233"/>
        <w:rPr>
          <w:rFonts w:ascii="仿宋" w:hAnsi="仿宋" w:eastAsia="仿宋"/>
          <w:sz w:val="32"/>
          <w:szCs w:val="32"/>
        </w:rPr>
      </w:pPr>
    </w:p>
    <w:p>
      <w:pPr>
        <w:spacing w:line="560" w:lineRule="exact"/>
        <w:ind w:firstLine="745" w:firstLineChars="233"/>
        <w:rPr>
          <w:rFonts w:ascii="仿宋" w:hAnsi="仿宋" w:eastAsia="仿宋"/>
          <w:sz w:val="32"/>
          <w:szCs w:val="32"/>
        </w:rPr>
      </w:pPr>
    </w:p>
    <w:p>
      <w:pPr>
        <w:spacing w:line="560" w:lineRule="exact"/>
        <w:ind w:firstLine="640" w:firstLineChars="200"/>
        <w:rPr>
          <w:rFonts w:ascii="仿宋" w:hAnsi="仿宋" w:eastAsia="仿宋"/>
          <w:sz w:val="32"/>
          <w:szCs w:val="32"/>
        </w:rPr>
      </w:pPr>
      <w:r>
        <w:rPr>
          <w:rFonts w:ascii="仿宋" w:hAnsi="仿宋" w:eastAsia="仿宋"/>
          <w:sz w:val="32"/>
          <w:szCs w:val="32"/>
        </w:rPr>
        <w:t>附件：法定代表人身份证复印件</w:t>
      </w:r>
    </w:p>
    <w:p>
      <w:pPr>
        <w:spacing w:line="440" w:lineRule="exact"/>
        <w:rPr>
          <w:rFonts w:ascii="黑体" w:hAnsi="黑体" w:eastAsia="黑体"/>
          <w:sz w:val="32"/>
          <w:szCs w:val="32"/>
        </w:rPr>
      </w:pPr>
      <w:r>
        <w:rPr>
          <w:rFonts w:ascii="Times New Roman" w:hAnsi="Times New Roman" w:eastAsia="方正仿宋简体"/>
          <w:sz w:val="30"/>
          <w:szCs w:val="30"/>
        </w:rPr>
        <w:br w:type="page"/>
      </w:r>
      <w:r>
        <w:rPr>
          <w:rFonts w:ascii="黑体" w:hAnsi="黑体" w:eastAsia="黑体"/>
          <w:sz w:val="32"/>
          <w:szCs w:val="32"/>
        </w:rPr>
        <w:t>附件2</w:t>
      </w:r>
    </w:p>
    <w:p>
      <w:pPr>
        <w:spacing w:line="560" w:lineRule="exact"/>
        <w:rPr>
          <w:rFonts w:ascii="黑体" w:hAnsi="黑体" w:eastAsia="黑体"/>
          <w:sz w:val="32"/>
          <w:szCs w:val="32"/>
        </w:rPr>
      </w:pPr>
    </w:p>
    <w:p>
      <w:pPr>
        <w:widowControl/>
        <w:adjustRightInd w:val="0"/>
        <w:snapToGrid w:val="0"/>
        <w:spacing w:line="560" w:lineRule="exact"/>
        <w:jc w:val="center"/>
        <w:rPr>
          <w:rFonts w:ascii="方正小标宋简体" w:hAnsi="黑体" w:eastAsia="方正小标宋简体"/>
          <w:sz w:val="32"/>
          <w:szCs w:val="32"/>
        </w:rPr>
      </w:pPr>
      <w:r>
        <w:rPr>
          <w:rFonts w:ascii="方正小标宋简体" w:hAnsi="黑体" w:eastAsia="方正小标宋简体"/>
          <w:sz w:val="32"/>
          <w:szCs w:val="32"/>
        </w:rPr>
        <w:t>法定代表人授权委托书</w:t>
      </w:r>
    </w:p>
    <w:p>
      <w:pPr>
        <w:spacing w:line="240" w:lineRule="exact"/>
        <w:rPr>
          <w:rFonts w:ascii="Times New Roman" w:hAnsi="Times New Roman" w:eastAsia="方正仿宋简体"/>
          <w:sz w:val="30"/>
          <w:szCs w:val="30"/>
        </w:rPr>
      </w:pP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兹授权XXX（身份证号：XXXXXXXXXXXXXXXXXX）代表XXX公司前往深圳证券交易所，办理XXX公司相关股东业务手续。</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授权期限：自   年   月   日至   年   月   日。</w:t>
      </w:r>
    </w:p>
    <w:p>
      <w:pPr>
        <w:adjustRightInd w:val="0"/>
        <w:snapToGrid w:val="0"/>
        <w:spacing w:line="560" w:lineRule="exact"/>
        <w:ind w:firstLine="640" w:firstLineChars="200"/>
        <w:rPr>
          <w:rFonts w:ascii="仿宋" w:hAnsi="仿宋" w:eastAsia="仿宋"/>
          <w:sz w:val="32"/>
          <w:szCs w:val="32"/>
        </w:rPr>
      </w:pPr>
    </w:p>
    <w:p>
      <w:pPr>
        <w:adjustRightInd w:val="0"/>
        <w:snapToGrid w:val="0"/>
        <w:spacing w:line="560" w:lineRule="exact"/>
        <w:ind w:right="800" w:firstLine="640" w:firstLineChars="200"/>
        <w:jc w:val="right"/>
        <w:rPr>
          <w:rFonts w:ascii="仿宋" w:hAnsi="仿宋" w:eastAsia="仿宋"/>
          <w:sz w:val="32"/>
          <w:szCs w:val="32"/>
        </w:rPr>
      </w:pPr>
      <w:r>
        <w:rPr>
          <w:rFonts w:ascii="仿宋" w:hAnsi="仿宋" w:eastAsia="仿宋"/>
          <w:sz w:val="32"/>
          <w:szCs w:val="32"/>
        </w:rPr>
        <w:t>XXX公司（盖章）</w:t>
      </w:r>
    </w:p>
    <w:p>
      <w:pPr>
        <w:adjustRightInd w:val="0"/>
        <w:snapToGrid w:val="0"/>
        <w:spacing w:line="560" w:lineRule="exact"/>
        <w:ind w:right="320" w:firstLine="640" w:firstLineChars="200"/>
        <w:jc w:val="right"/>
        <w:rPr>
          <w:rFonts w:ascii="仿宋" w:hAnsi="仿宋" w:eastAsia="仿宋"/>
          <w:sz w:val="32"/>
          <w:szCs w:val="32"/>
        </w:rPr>
      </w:pPr>
      <w:r>
        <w:rPr>
          <w:rFonts w:ascii="仿宋" w:hAnsi="仿宋" w:eastAsia="仿宋"/>
          <w:sz w:val="32"/>
          <w:szCs w:val="32"/>
        </w:rPr>
        <w:t>法定代表人（签字）：</w:t>
      </w:r>
    </w:p>
    <w:p>
      <w:pPr>
        <w:adjustRightInd w:val="0"/>
        <w:snapToGrid w:val="0"/>
        <w:spacing w:line="560" w:lineRule="exact"/>
        <w:ind w:firstLine="640" w:firstLineChars="200"/>
        <w:rPr>
          <w:rFonts w:ascii="仿宋" w:hAnsi="仿宋" w:eastAsia="仿宋"/>
          <w:sz w:val="32"/>
          <w:szCs w:val="32"/>
        </w:rPr>
      </w:pPr>
    </w:p>
    <w:p>
      <w:pPr>
        <w:adjustRightInd w:val="0"/>
        <w:snapToGrid w:val="0"/>
        <w:spacing w:line="560" w:lineRule="exact"/>
        <w:ind w:firstLine="640" w:firstLineChars="200"/>
        <w:rPr>
          <w:rFonts w:ascii="仿宋" w:hAnsi="仿宋" w:eastAsia="仿宋"/>
          <w:sz w:val="32"/>
          <w:szCs w:val="32"/>
        </w:rPr>
      </w:pP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rPr>
        <w:t>附件：被授权人身份证复印件</w:t>
      </w:r>
    </w:p>
    <w:p>
      <w:pPr>
        <w:pStyle w:val="162"/>
        <w:ind w:firstLine="0" w:firstLineChars="0"/>
        <w:outlineLvl w:val="1"/>
        <w:rPr>
          <w:rFonts w:hAnsi="黑体"/>
          <w:sz w:val="32"/>
          <w:szCs w:val="32"/>
        </w:rPr>
      </w:pPr>
      <w:r>
        <w:rPr>
          <w:rFonts w:ascii="仿宋" w:eastAsia="仿宋"/>
          <w:sz w:val="32"/>
          <w:szCs w:val="32"/>
        </w:rPr>
        <w:br w:type="page"/>
      </w:r>
      <w:bookmarkStart w:id="40" w:name="_Toc3004"/>
      <w:bookmarkStart w:id="41" w:name="_Toc141954532"/>
      <w:bookmarkStart w:id="42" w:name="_Toc129272527"/>
      <w:bookmarkStart w:id="43" w:name="_Toc89356988"/>
      <w:r>
        <w:rPr>
          <w:rFonts w:hint="eastAsia" w:hAnsi="黑体"/>
          <w:sz w:val="32"/>
          <w:szCs w:val="32"/>
        </w:rPr>
        <w:t>第六节 业绩说明会相关事宜</w:t>
      </w:r>
      <w:bookmarkEnd w:id="40"/>
      <w:bookmarkEnd w:id="41"/>
      <w:bookmarkEnd w:id="42"/>
    </w:p>
    <w:p>
      <w:pPr>
        <w:spacing w:line="560" w:lineRule="exact"/>
        <w:ind w:firstLine="601"/>
        <w:outlineLvl w:val="2"/>
        <w:rPr>
          <w:rFonts w:ascii="黑体" w:hAnsi="黑体" w:eastAsia="黑体"/>
          <w:sz w:val="32"/>
          <w:szCs w:val="32"/>
        </w:rPr>
      </w:pPr>
      <w:r>
        <w:rPr>
          <w:rFonts w:hint="eastAsia" w:ascii="黑体" w:hAnsi="黑体" w:eastAsia="黑体"/>
          <w:sz w:val="32"/>
          <w:szCs w:val="32"/>
        </w:rPr>
        <w:t>一、总体要求</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本所鼓励上市公司在定期报告披露后举行业绩说明会，对公司所处行业状况、发展战略、生产经营、财务状况、分红情况、风险与困难等投资者关心的内容进行说明。鼓励上市公司在年度报告披露后十五个交易日内举行年度报告业绩说明会。</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（二）业绩说明会的召开应当符合以下要求：</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1．业绩说明会应当立足定期报告，相关信息发布应当遵守法律法规和本所其他相关规定。</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2．业绩说明会应当平等对待所有投资者，保障全体投资者可接入并实时互动，尤其为中小投资者参与活动提供便利。</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3．上市公司召开业绩说明会应当加强与投资者之间的沟通交流，积极答复投资者提出的问题。</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4．上市公司召开业绩说明会应当注重诚信、坚守底线、规范运作、担当责任，营造健康良好的市场生态。</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5．上市公司应当注重业绩说明会互动效果，提高投资者关系管理水平。</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（三）上市公司召开业绩说明会，应当遵守法律法规和本所其他相关规定，体现公平、公正、公开原则，客观、真实、准确、完整地反映公司的实际状况。</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上市公司及其董事、监事、高级管理人员和工作人员等出席人员，不得在业绩说明会中出现下列情形：</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 透露或者发布尚未公开的重大信息，或者与依法披露的信息相冲突的信息。</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 透露或者发布含有误导性、虚假性、夸大性内容的信息。</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 选择性透露或者发布信息，或者发布的信息存在重大遗漏。</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 对公司证券价格作出预测或承诺。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5. 未得到明确授权的情况下代表公司发言。</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6. 歧视、轻视等不公平对待中小股东的行为。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7. 违反公序良俗，损害社会公共利益。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8. 其他违反信息披露规定，或者影响公司证券及其衍生品种正常交易的违法违规行为。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（四）业绩说明会原则上应当安排在非交易时段召开。</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（五）公司在业绩说明会中不慎泄露未公开披露的重大信息的，应当立即通过符合条件媒体发布公告，并采取其他必要措施。</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业绩说明会中涉及或者可能涉及股价敏感事项、未公开披露的重大信息或者可以推测出未公开披露的重大信息的提问的，公司应当告知投资者关注公司公告，并就信息披露规则进行必要的解释说明。</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（六）如上市公司在定期报告披露后，中国证监会和本所对业绩说明会的召开存在其他规定的，上市公司应当遵照执行。</w:t>
      </w:r>
    </w:p>
    <w:p>
      <w:pPr>
        <w:spacing w:line="560" w:lineRule="exact"/>
        <w:ind w:firstLine="601"/>
        <w:outlineLvl w:val="2"/>
        <w:rPr>
          <w:rFonts w:ascii="黑体" w:hAnsi="黑体" w:eastAsia="黑体"/>
          <w:sz w:val="32"/>
          <w:szCs w:val="32"/>
        </w:rPr>
      </w:pPr>
      <w:r>
        <w:rPr>
          <w:rFonts w:hint="eastAsia" w:ascii="黑体" w:hAnsi="黑体" w:eastAsia="黑体"/>
          <w:sz w:val="32"/>
          <w:szCs w:val="32"/>
        </w:rPr>
        <w:t>二、业绩说明会的召开</w:t>
      </w:r>
    </w:p>
    <w:p>
      <w:pPr>
        <w:spacing w:line="560" w:lineRule="exact"/>
        <w:ind w:firstLine="640" w:firstLineChars="200"/>
        <w:rPr>
          <w:rFonts w:ascii="仿宋" w:hAnsi="仿宋" w:eastAsia="仿宋"/>
          <w:color w:val="000000"/>
          <w:kern w:val="0"/>
          <w:sz w:val="32"/>
          <w:szCs w:val="32"/>
          <w:lang w:bidi="hi-IN"/>
        </w:rPr>
      </w:pPr>
      <w:r>
        <w:rPr>
          <w:rFonts w:hint="eastAsia" w:ascii="楷体" w:hAnsi="楷体" w:eastAsia="楷体"/>
          <w:sz w:val="32"/>
          <w:szCs w:val="32"/>
        </w:rPr>
        <w:t>（一）问题征集及公告要求</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上市公司应当提前发布召开业绩说明会的预告公告，说明召开日期及时间、召开方式、召开地点或网址、公司出席人员名单、问题征集方式等。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上市公司应当在业绩说明会召开前以及召开期间为投资者开通提问渠道，做好投资者提问征集工作。本所鼓励上市公司在召开前披露投资者关注的主要问题。</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（二）参与人员</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上市公司管理层应当积极出席业绩说明会，</w:t>
      </w:r>
      <w:r>
        <w:rPr>
          <w:rFonts w:hint="eastAsia" w:ascii="仿宋" w:hAnsi="仿宋" w:eastAsia="仿宋"/>
          <w:sz w:val="32"/>
          <w:szCs w:val="32"/>
        </w:rPr>
        <w:t>业绩说明会</w:t>
      </w:r>
      <w:r>
        <w:rPr>
          <w:rFonts w:hint="eastAsia" w:ascii="仿宋" w:hAnsi="仿宋" w:eastAsia="仿宋"/>
          <w:color w:val="000000"/>
          <w:kern w:val="0"/>
          <w:sz w:val="32"/>
          <w:szCs w:val="32"/>
          <w:lang w:bidi="hi-IN"/>
        </w:rPr>
        <w:t>参会人员应当包括董事长（或者总经理）、财务负责人、独立董事和董事会秘书。公司处于持续督导期内的，鼓励保荐代表人或独立财务顾问主办人参加。本所鼓励公司自行邀请投资者、行业分析师或媒体记者等参会，提升互动效果。</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（三）召开形式</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应当采取便于投资者参与的方式召开业绩说明会，采用现场形式召开的，鼓励通过网络等渠道进行直播。本所鼓励公司充分利用数字化技术，通过视频直播、语音、图文等多种形式进行互动，采用可视化年报、云参观等多种方式展示公司经营情况。上市公司采用录播形式的，可以录制公司介绍和征集问题回复，但不得提前与部分投资者互动并录制后回放。</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上市公司在业绩说明会上应当积极答复提前征集和会议中投资者提出的问题，预留充分的提问时间，保证较高回复率和回复质量。</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本所鼓励公司将业绩说明会与投资者实地调研活动相结合，让投资者通过实地调研进一步深入了解公司、认识公司。</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（四）召开平台</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本所“互动易”平台“云访谈”栏目可以为上市公司召开业绩说明会免费提供面向全体投资者的互动渠道。上市公司选择通过与本所建立媒体合作的其他平台召开业绩说明会的，本所可以提供转接信号同步直播和实时互动服务。</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上市公司向本所提出上述服务需求的，应当提前五个交易日进行预约。</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上市公司可通过“互动易”平台业务电话咨询相关事宜。</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（五）召开场地</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color w:val="000000"/>
          <w:kern w:val="0"/>
          <w:sz w:val="32"/>
          <w:szCs w:val="32"/>
          <w:lang w:bidi="hi-IN"/>
        </w:rPr>
        <w:t>本所在国内部分区域为上市公司提供召开业绩说明会的场地，上市公司可以结合实际需求向本所申请使用,并在业绩说明会召开前十个交易日提出申请。</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（六）嘉宾邀请</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拟邀请中证中小投资者服务中心参加业绩说明会的，可以直接与其联系，也可以向本所提出。公司在本所提供的标准化服务场地现场召开业绩说明会的，如需本所协助邀请中小投资者、机构投资者、行业分析师或媒体记者参会的，可以向本所提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上市公司向本所提出上述需求的，应当在业绩说明会召开前十个交易日提出，本所将根据实际情况协助邀请相关主体参加，并及时向公司反馈邀请结果。</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（七）信息公开</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上市公司应当按规定及时编制投资者关系活动记录表，并在互动易平台和公司网站（如有）刊载，鼓励公司通过披露公告、视频回放等多种方式公开业绩说明会召开情况。</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投资者关系活动记录表至少应当包括以下内容：</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 活动参与人员、时间、地点、形式。</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 交流内容及具体问答记录。</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 关于本次活动是否涉及应披露重大信息的说明。</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 活动过程中所使用的演示文稿、提供的文档等附件（如有）。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5. 本所要求的其他内容。</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（八）培训与其他服务</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本所适时提供业绩说明会培训服务，就相关规则、召开要求、注意事项等进行讲解。</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本所提供上市公司业绩说明会相关事项的咨询服务，上市公司对相关规则、召开方式等事项存在疑问的，可以向本所咨询。</w:t>
      </w:r>
    </w:p>
    <w:p>
      <w:pPr>
        <w:spacing w:line="560" w:lineRule="exact"/>
        <w:ind w:firstLine="640" w:firstLineChars="200"/>
        <w:rPr>
          <w:rFonts w:ascii="仿宋" w:hAnsi="仿宋" w:eastAsia="仿宋"/>
          <w:color w:val="000000"/>
          <w:kern w:val="0"/>
          <w:sz w:val="32"/>
          <w:szCs w:val="32"/>
          <w:lang w:bidi="hi-IN"/>
        </w:rPr>
      </w:pPr>
      <w:r>
        <w:rPr>
          <w:rFonts w:hint="eastAsia" w:ascii="仿宋" w:hAnsi="仿宋" w:eastAsia="仿宋"/>
          <w:sz w:val="32"/>
          <w:szCs w:val="32"/>
        </w:rPr>
        <w:t>上市公司根据自身情况，召开现金分红说明会、重大事项说明会或者其他有利于与投资者加强沟通的说明会的，可以参照本指南办理。</w:t>
      </w:r>
    </w:p>
    <w:p>
      <w:pPr>
        <w:widowControl/>
        <w:jc w:val="left"/>
        <w:rPr>
          <w:rFonts w:ascii="方正小标宋简体" w:hAnsi="黑体" w:eastAsia="方正小标宋简体"/>
          <w:kern w:val="44"/>
          <w:sz w:val="32"/>
          <w:szCs w:val="32"/>
        </w:rPr>
      </w:pPr>
      <w:bookmarkStart w:id="44" w:name="_Toc141883626"/>
      <w:r>
        <w:rPr>
          <w:rFonts w:hAnsi="黑体"/>
          <w:sz w:val="32"/>
          <w:szCs w:val="32"/>
        </w:rPr>
        <w:br w:type="page"/>
      </w:r>
    </w:p>
    <w:p>
      <w:pPr>
        <w:pStyle w:val="162"/>
        <w:ind w:firstLine="0" w:firstLineChars="0"/>
        <w:outlineLvl w:val="1"/>
        <w:rPr>
          <w:rFonts w:hAnsi="黑体"/>
          <w:sz w:val="32"/>
          <w:szCs w:val="32"/>
        </w:rPr>
      </w:pPr>
      <w:bookmarkStart w:id="45" w:name="_Toc616"/>
      <w:bookmarkStart w:id="46" w:name="_Toc141954533"/>
      <w:r>
        <w:rPr>
          <w:rFonts w:hint="eastAsia" w:hAnsi="黑体"/>
          <w:sz w:val="32"/>
          <w:szCs w:val="32"/>
        </w:rPr>
        <w:t>第七节 互动易平台相关事宜</w:t>
      </w:r>
      <w:bookmarkEnd w:id="44"/>
      <w:bookmarkEnd w:id="45"/>
      <w:bookmarkEnd w:id="46"/>
    </w:p>
    <w:p>
      <w:pPr>
        <w:tabs>
          <w:tab w:val="left" w:pos="540"/>
        </w:tabs>
        <w:spacing w:line="560" w:lineRule="exact"/>
        <w:ind w:firstLine="640" w:firstLineChars="200"/>
        <w:jc w:val="left"/>
        <w:outlineLvl w:val="2"/>
        <w:rPr>
          <w:rFonts w:ascii="黑体" w:hAnsi="黑体" w:eastAsia="黑体"/>
          <w:sz w:val="32"/>
          <w:szCs w:val="32"/>
        </w:rPr>
      </w:pPr>
      <w:r>
        <w:rPr>
          <w:rFonts w:hint="eastAsia" w:ascii="黑体" w:hAnsi="黑体" w:eastAsia="黑体"/>
          <w:sz w:val="32"/>
          <w:szCs w:val="32"/>
        </w:rPr>
        <w:t>一、总体要求</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上市公司在互动易平台发布信息及回复投资者提问，应当注重诚信，严格遵守本所</w:t>
      </w:r>
      <w:r>
        <w:rPr>
          <w:rFonts w:hint="eastAsia" w:ascii="仿宋" w:hAnsi="仿宋" w:eastAsia="仿宋"/>
          <w:sz w:val="32"/>
          <w:szCs w:val="32"/>
        </w:rPr>
        <w:t>《创业板规范运作指引》</w:t>
      </w:r>
      <w:r>
        <w:rPr>
          <w:rFonts w:hint="eastAsia" w:ascii="仿宋" w:hAnsi="仿宋" w:eastAsia="仿宋"/>
          <w:sz w:val="32"/>
          <w:szCs w:val="20"/>
        </w:rPr>
        <w:t>第八章等有关规定，尊重并平等对待所有投资者，主动加强与投资者的沟通，增进投资者对公司的了解和认同，营造健康良好的市场生态。</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上市公司在互动易平台发布信息或者回复投资者提问时，应当谨慎、理性、客观，以事实为依据，保证发布的信息和回复的内容真实、准确、完整。公司信息披露以其通过符合条件媒体披露的内容为准，不得通过互动易平台披露未公开的重大信息。公司在互动易平台发布或回复的信息不得与依法披露的信息相冲突。</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上市公司不得使用虚假性、夸大性、宣传性、误导性语言，应当注重与投资者交流互动的效果，不得误导投资者。不具备明确事实依据的，公司不得在互动易平台发布或者回复。</w:t>
      </w:r>
    </w:p>
    <w:p>
      <w:pPr>
        <w:tabs>
          <w:tab w:val="left" w:pos="540"/>
        </w:tabs>
        <w:spacing w:line="560" w:lineRule="exact"/>
        <w:ind w:firstLine="640" w:firstLineChars="200"/>
        <w:jc w:val="left"/>
        <w:outlineLvl w:val="2"/>
        <w:rPr>
          <w:rFonts w:ascii="黑体" w:hAnsi="黑体" w:eastAsia="黑体"/>
          <w:sz w:val="32"/>
          <w:szCs w:val="32"/>
        </w:rPr>
      </w:pPr>
      <w:r>
        <w:rPr>
          <w:rFonts w:hint="eastAsia" w:ascii="黑体" w:hAnsi="黑体" w:eastAsia="黑体"/>
          <w:sz w:val="32"/>
          <w:szCs w:val="32"/>
        </w:rPr>
        <w:t>二、内容规范</w:t>
      </w:r>
    </w:p>
    <w:p>
      <w:pPr>
        <w:snapToGrid w:val="0"/>
        <w:spacing w:line="560" w:lineRule="exact"/>
        <w:ind w:firstLine="640" w:firstLineChars="200"/>
        <w:contextualSpacing/>
        <w:rPr>
          <w:rFonts w:ascii="仿宋" w:hAnsi="仿宋" w:eastAsia="仿宋"/>
          <w:sz w:val="32"/>
          <w:szCs w:val="28"/>
        </w:rPr>
      </w:pPr>
      <w:r>
        <w:rPr>
          <w:rFonts w:hint="eastAsia" w:ascii="仿宋" w:hAnsi="仿宋" w:eastAsia="仿宋"/>
          <w:sz w:val="32"/>
          <w:szCs w:val="28"/>
        </w:rPr>
        <w:t>（一）不得涉及未公开重大信息。投资者提问涉及已披露事项的，上市公司可以对投资者的提问进行充分、详细地说明和答复；涉及或者可能涉及未披露事项的，公司应当告知投资者关注上市公司信息披露公告。公司不得以互动易平台发布或回复信息等形式代替信息披露或泄露未公开重大信息。</w:t>
      </w:r>
    </w:p>
    <w:p>
      <w:pPr>
        <w:snapToGrid w:val="0"/>
        <w:spacing w:line="560" w:lineRule="exact"/>
        <w:ind w:firstLine="640" w:firstLineChars="200"/>
        <w:contextualSpacing/>
        <w:rPr>
          <w:rFonts w:ascii="仿宋" w:hAnsi="仿宋" w:eastAsia="仿宋"/>
          <w:sz w:val="32"/>
          <w:szCs w:val="28"/>
        </w:rPr>
      </w:pPr>
      <w:r>
        <w:rPr>
          <w:rFonts w:hint="eastAsia" w:ascii="仿宋" w:hAnsi="仿宋" w:eastAsia="仿宋"/>
          <w:sz w:val="32"/>
          <w:szCs w:val="28"/>
        </w:rPr>
        <w:t>（二）不得选择性发布或回复。上市公司在互动易平台发布信息或者回复投资者提问时，应当保证发布信息及回复投资者提问的公平性，对所有依法合规提出的问题认真、及时予以回复，不得选择性发布信息或者回复投资者提问。</w:t>
      </w:r>
    </w:p>
    <w:p>
      <w:pPr>
        <w:snapToGrid w:val="0"/>
        <w:spacing w:line="560" w:lineRule="exact"/>
        <w:ind w:firstLine="640" w:firstLineChars="200"/>
        <w:contextualSpacing/>
        <w:rPr>
          <w:rFonts w:ascii="仿宋" w:hAnsi="仿宋" w:eastAsia="仿宋"/>
          <w:sz w:val="32"/>
          <w:szCs w:val="28"/>
        </w:rPr>
      </w:pPr>
      <w:r>
        <w:rPr>
          <w:rFonts w:hint="eastAsia" w:ascii="仿宋" w:hAnsi="仿宋" w:eastAsia="仿宋"/>
          <w:sz w:val="32"/>
          <w:szCs w:val="28"/>
        </w:rPr>
        <w:t>（三）不得涉及不宜公开的信息。上市公司在互动易平台发布信息或者回复投资者提问时，不得涉及违反公序良俗、损害社会公共利益的信息，不得涉及国家秘密、商业秘密等不宜公开的信息。公司对供应商、客户等负有保密义务的，公司应当谨慎判断拟发布的信息或者回复的内容是否违反保密义务。</w:t>
      </w:r>
    </w:p>
    <w:p>
      <w:pPr>
        <w:snapToGrid w:val="0"/>
        <w:spacing w:line="560" w:lineRule="exact"/>
        <w:ind w:firstLine="640" w:firstLineChars="200"/>
        <w:contextualSpacing/>
        <w:rPr>
          <w:rFonts w:ascii="仿宋" w:hAnsi="仿宋" w:eastAsia="仿宋"/>
          <w:sz w:val="32"/>
          <w:szCs w:val="28"/>
        </w:rPr>
      </w:pPr>
      <w:r>
        <w:rPr>
          <w:rFonts w:hint="eastAsia" w:ascii="仿宋" w:hAnsi="仿宋" w:eastAsia="仿宋"/>
          <w:sz w:val="32"/>
          <w:szCs w:val="28"/>
        </w:rPr>
        <w:t>（四）充分提示不确定性和风险。上市公司在互动易平台发布信息或者回复投资者提问时，如涉及事项存在不确定性，应当充分提示相关事项可能存在的不确定性和风险。</w:t>
      </w:r>
    </w:p>
    <w:p>
      <w:pPr>
        <w:snapToGrid w:val="0"/>
        <w:spacing w:line="560" w:lineRule="exact"/>
        <w:ind w:firstLine="640" w:firstLineChars="200"/>
        <w:contextualSpacing/>
        <w:rPr>
          <w:rFonts w:ascii="仿宋" w:hAnsi="仿宋" w:eastAsia="仿宋"/>
          <w:sz w:val="32"/>
          <w:szCs w:val="28"/>
        </w:rPr>
      </w:pPr>
      <w:r>
        <w:rPr>
          <w:rFonts w:hint="eastAsia" w:ascii="仿宋" w:hAnsi="仿宋" w:eastAsia="仿宋"/>
          <w:sz w:val="32"/>
          <w:szCs w:val="28"/>
        </w:rPr>
        <w:t>（五）不得迎合热点。上市公司在互动易平台发布信息或者回复投资者提问时，不得利用发布信息或者回复投资者提问迎合市场热点或者与市场热点不当关联。</w:t>
      </w:r>
    </w:p>
    <w:p>
      <w:pPr>
        <w:snapToGrid w:val="0"/>
        <w:spacing w:line="560" w:lineRule="exact"/>
        <w:ind w:firstLine="640" w:firstLineChars="200"/>
        <w:contextualSpacing/>
        <w:rPr>
          <w:rFonts w:ascii="仿宋" w:hAnsi="仿宋" w:eastAsia="仿宋"/>
          <w:sz w:val="32"/>
          <w:szCs w:val="28"/>
        </w:rPr>
      </w:pPr>
      <w:r>
        <w:rPr>
          <w:rFonts w:hint="eastAsia" w:ascii="仿宋" w:hAnsi="仿宋" w:eastAsia="仿宋"/>
          <w:sz w:val="32"/>
          <w:szCs w:val="28"/>
        </w:rPr>
        <w:t>（六）不得配合违法违规交易。上市公司在互动易平台发布信息或者回复投资者提问时，不得对公司股票及其衍生品种价格作出预测或者承诺，也不得利用发布信息或者回复投资者提问从事市场操纵、内幕交易或者其他影响公司股票及其衍生品种正常交易的违法违规行为。</w:t>
      </w:r>
    </w:p>
    <w:p>
      <w:pPr>
        <w:snapToGrid w:val="0"/>
        <w:spacing w:line="560" w:lineRule="exact"/>
        <w:ind w:firstLine="640" w:firstLineChars="200"/>
        <w:contextualSpacing/>
        <w:rPr>
          <w:rFonts w:ascii="仿宋" w:hAnsi="仿宋" w:eastAsia="仿宋"/>
          <w:sz w:val="32"/>
          <w:szCs w:val="28"/>
        </w:rPr>
      </w:pPr>
      <w:r>
        <w:rPr>
          <w:rFonts w:hint="eastAsia" w:ascii="仿宋" w:hAnsi="仿宋" w:eastAsia="仿宋"/>
          <w:sz w:val="32"/>
          <w:szCs w:val="28"/>
        </w:rPr>
        <w:t>（七）及时回应市场质疑。上市公司在互动易平台发布的信息或者回复的内容受到市场广泛质疑，被公共传媒广泛报道且涉及公司股票及其衍生品种交易异常波动的，公司应当关注并及时履行相应信息披露义务。</w:t>
      </w:r>
    </w:p>
    <w:p>
      <w:pPr>
        <w:tabs>
          <w:tab w:val="left" w:pos="540"/>
        </w:tabs>
        <w:spacing w:line="560" w:lineRule="exact"/>
        <w:ind w:firstLine="640" w:firstLineChars="200"/>
        <w:jc w:val="left"/>
        <w:outlineLvl w:val="2"/>
        <w:rPr>
          <w:rFonts w:ascii="黑体" w:hAnsi="黑体" w:eastAsia="黑体"/>
          <w:sz w:val="32"/>
          <w:szCs w:val="32"/>
        </w:rPr>
      </w:pPr>
      <w:r>
        <w:rPr>
          <w:rFonts w:hint="eastAsia" w:ascii="黑体" w:hAnsi="黑体" w:eastAsia="黑体"/>
          <w:sz w:val="32"/>
          <w:szCs w:val="32"/>
        </w:rPr>
        <w:t>三、内部管理</w:t>
      </w:r>
    </w:p>
    <w:p>
      <w:pPr>
        <w:snapToGrid w:val="0"/>
        <w:spacing w:line="560" w:lineRule="exact"/>
        <w:ind w:firstLine="640" w:firstLineChars="200"/>
        <w:contextualSpacing/>
        <w:rPr>
          <w:rFonts w:ascii="仿宋" w:hAnsi="仿宋" w:eastAsia="仿宋"/>
          <w:sz w:val="32"/>
          <w:szCs w:val="28"/>
        </w:rPr>
      </w:pPr>
      <w:r>
        <w:rPr>
          <w:rFonts w:hint="eastAsia" w:ascii="仿宋" w:hAnsi="仿宋" w:eastAsia="仿宋"/>
          <w:sz w:val="32"/>
          <w:szCs w:val="28"/>
        </w:rPr>
        <w:t>上市公司应当建立并严格执行互动易平台信息发布及回复内部审核制度，明确发布及回复的审核程序。涉及前述内容的制度应当经公司董事会审议通过并披露。公司董事会秘书应当按照内部制度规定的程序，对在互动易平台发布或者回复投资者提问涉及的信息进行审核。未经审核，公司不得对外发布信息或者回复投资者提问。</w:t>
      </w:r>
    </w:p>
    <w:p>
      <w:pPr>
        <w:tabs>
          <w:tab w:val="left" w:pos="540"/>
        </w:tabs>
        <w:spacing w:line="560" w:lineRule="exact"/>
        <w:ind w:firstLine="640" w:firstLineChars="200"/>
        <w:jc w:val="left"/>
        <w:outlineLvl w:val="2"/>
        <w:rPr>
          <w:rFonts w:ascii="黑体" w:hAnsi="黑体" w:eastAsia="黑体"/>
          <w:sz w:val="32"/>
          <w:szCs w:val="32"/>
        </w:rPr>
      </w:pPr>
      <w:r>
        <w:rPr>
          <w:rFonts w:hint="eastAsia" w:ascii="黑体" w:hAnsi="黑体" w:eastAsia="黑体"/>
          <w:sz w:val="32"/>
          <w:szCs w:val="32"/>
        </w:rPr>
        <w:t>四、监督管理</w:t>
      </w:r>
    </w:p>
    <w:p>
      <w:pPr>
        <w:snapToGrid w:val="0"/>
        <w:spacing w:line="560" w:lineRule="exact"/>
        <w:ind w:firstLine="640" w:firstLineChars="200"/>
        <w:contextualSpacing/>
        <w:rPr>
          <w:rFonts w:ascii="仿宋" w:hAnsi="仿宋" w:eastAsia="仿宋"/>
          <w:sz w:val="32"/>
          <w:szCs w:val="28"/>
        </w:rPr>
      </w:pPr>
      <w:r>
        <w:rPr>
          <w:rFonts w:hint="eastAsia" w:ascii="仿宋" w:hAnsi="仿宋" w:eastAsia="仿宋"/>
          <w:sz w:val="32"/>
          <w:szCs w:val="28"/>
        </w:rPr>
        <w:t>上市公司违反本节规定的，本所有权按照《</w:t>
      </w:r>
      <w:r>
        <w:rPr>
          <w:rFonts w:hint="eastAsia" w:ascii="仿宋" w:hAnsi="仿宋" w:eastAsia="仿宋"/>
          <w:color w:val="000000"/>
          <w:sz w:val="32"/>
          <w:szCs w:val="32"/>
        </w:rPr>
        <w:t>创业板上市规则</w:t>
      </w:r>
      <w:r>
        <w:rPr>
          <w:rFonts w:hint="eastAsia" w:ascii="仿宋" w:hAnsi="仿宋" w:eastAsia="仿宋"/>
          <w:sz w:val="32"/>
          <w:szCs w:val="28"/>
        </w:rPr>
        <w:t>》等相关业务规则采取自律监管措施或者纪律处分；情节严重、违规性质恶劣的，本所有权依据互动易平台网络服务协议暂停或者终止提供相关服务。</w:t>
      </w:r>
    </w:p>
    <w:p>
      <w:pPr>
        <w:spacing w:line="560" w:lineRule="exact"/>
        <w:ind w:firstLine="640" w:firstLineChars="200"/>
        <w:rPr>
          <w:rFonts w:ascii="仿宋" w:hAnsi="仿宋" w:eastAsia="仿宋"/>
          <w:color w:val="000000"/>
          <w:kern w:val="0"/>
          <w:sz w:val="32"/>
          <w:szCs w:val="32"/>
          <w:lang w:bidi="hi-IN"/>
        </w:rPr>
        <w:sectPr>
          <w:pgSz w:w="11906" w:h="16838"/>
          <w:pgMar w:top="1440" w:right="1800" w:bottom="1440" w:left="1800" w:header="851" w:footer="992" w:gutter="0"/>
          <w:cols w:space="720" w:num="1"/>
          <w:docGrid w:type="lines" w:linePitch="312" w:charSpace="0"/>
        </w:sectPr>
      </w:pPr>
    </w:p>
    <w:p>
      <w:pPr>
        <w:pStyle w:val="162"/>
        <w:spacing w:before="0" w:after="0" w:line="240" w:lineRule="auto"/>
        <w:ind w:firstLine="0" w:firstLineChars="0"/>
        <w:outlineLvl w:val="0"/>
        <w:rPr>
          <w:rFonts w:hAnsi="黑体"/>
          <w:sz w:val="36"/>
          <w:szCs w:val="36"/>
        </w:rPr>
      </w:pPr>
      <w:bookmarkStart w:id="47" w:name="_Toc17134"/>
      <w:bookmarkStart w:id="48" w:name="_Toc129272528"/>
      <w:bookmarkStart w:id="49" w:name="_Toc141954534"/>
      <w:r>
        <w:rPr>
          <w:rFonts w:hint="eastAsia" w:hAnsi="黑体"/>
          <w:sz w:val="36"/>
          <w:szCs w:val="36"/>
        </w:rPr>
        <w:t>第三</w:t>
      </w:r>
      <w:bookmarkEnd w:id="43"/>
      <w:r>
        <w:rPr>
          <w:rFonts w:hint="eastAsia" w:hAnsi="黑体"/>
          <w:sz w:val="36"/>
          <w:szCs w:val="36"/>
        </w:rPr>
        <w:t>章  再融资及并购重组</w:t>
      </w:r>
      <w:bookmarkEnd w:id="47"/>
      <w:bookmarkEnd w:id="48"/>
      <w:bookmarkEnd w:id="49"/>
    </w:p>
    <w:p>
      <w:pPr>
        <w:pStyle w:val="162"/>
        <w:spacing w:before="0" w:after="0"/>
        <w:ind w:firstLine="0" w:firstLineChars="0"/>
        <w:outlineLvl w:val="9"/>
      </w:pPr>
    </w:p>
    <w:p>
      <w:pPr>
        <w:pStyle w:val="162"/>
        <w:ind w:firstLine="0" w:firstLineChars="0"/>
        <w:outlineLvl w:val="1"/>
        <w:rPr>
          <w:rFonts w:hAnsi="黑体"/>
          <w:sz w:val="32"/>
          <w:szCs w:val="32"/>
        </w:rPr>
      </w:pPr>
      <w:bookmarkStart w:id="50" w:name="_Toc20008"/>
      <w:bookmarkStart w:id="51" w:name="_Toc141954535"/>
      <w:bookmarkStart w:id="52" w:name="_Toc129272529"/>
      <w:r>
        <w:rPr>
          <w:rFonts w:hint="eastAsia" w:hAnsi="黑体"/>
          <w:sz w:val="32"/>
          <w:szCs w:val="32"/>
        </w:rPr>
        <w:t>第一节 向不特定对象募集股份</w:t>
      </w:r>
      <w:bookmarkEnd w:id="50"/>
      <w:bookmarkEnd w:id="51"/>
      <w:bookmarkEnd w:id="52"/>
    </w:p>
    <w:p>
      <w:pPr>
        <w:spacing w:line="560" w:lineRule="exact"/>
        <w:ind w:firstLine="643" w:firstLineChars="200"/>
        <w:rPr>
          <w:rFonts w:ascii="黑体" w:hAnsi="黑体" w:eastAsia="黑体"/>
          <w:b/>
          <w:sz w:val="32"/>
          <w:szCs w:val="32"/>
        </w:rPr>
      </w:pPr>
      <w:r>
        <w:rPr>
          <w:rFonts w:ascii="黑体" w:hAnsi="黑体" w:eastAsia="黑体"/>
          <w:b/>
          <w:sz w:val="32"/>
          <w:szCs w:val="32"/>
        </w:rPr>
        <w:t>一、审核注册阶段信息披露要求</w:t>
      </w:r>
    </w:p>
    <w:p>
      <w:pPr>
        <w:spacing w:line="560" w:lineRule="exact"/>
        <w:ind w:firstLine="640" w:firstLineChars="200"/>
        <w:rPr>
          <w:rFonts w:ascii="仿宋" w:hAnsi="仿宋" w:eastAsia="仿宋"/>
          <w:sz w:val="32"/>
          <w:szCs w:val="32"/>
        </w:rPr>
      </w:pPr>
      <w:r>
        <w:rPr>
          <w:rFonts w:ascii="仿宋" w:hAnsi="仿宋" w:eastAsia="仿宋"/>
          <w:sz w:val="32"/>
          <w:szCs w:val="32"/>
        </w:rPr>
        <w:t>1．上市公司向不特定对象募集股份（以下简称增发）提出发行申请后，出现下列情形之一的，应当在次一个交易日予以公告：</w:t>
      </w:r>
    </w:p>
    <w:p>
      <w:pPr>
        <w:spacing w:line="560" w:lineRule="exact"/>
        <w:ind w:firstLine="640" w:firstLineChars="200"/>
        <w:rPr>
          <w:rFonts w:ascii="仿宋" w:hAnsi="仿宋" w:eastAsia="仿宋"/>
          <w:sz w:val="32"/>
          <w:szCs w:val="32"/>
        </w:rPr>
      </w:pPr>
      <w:r>
        <w:rPr>
          <w:rFonts w:ascii="仿宋" w:hAnsi="仿宋" w:eastAsia="仿宋"/>
          <w:sz w:val="32"/>
          <w:szCs w:val="32"/>
        </w:rPr>
        <w:t>（1）收到交易所不予受理或者终止发行上市审核决定；</w:t>
      </w:r>
    </w:p>
    <w:p>
      <w:pPr>
        <w:spacing w:line="560" w:lineRule="exact"/>
        <w:ind w:firstLine="640" w:firstLineChars="200"/>
        <w:rPr>
          <w:rFonts w:ascii="仿宋" w:hAnsi="仿宋" w:eastAsia="仿宋"/>
          <w:sz w:val="32"/>
          <w:szCs w:val="32"/>
        </w:rPr>
      </w:pPr>
      <w:r>
        <w:rPr>
          <w:rFonts w:ascii="仿宋" w:hAnsi="仿宋" w:eastAsia="仿宋"/>
          <w:sz w:val="32"/>
          <w:szCs w:val="32"/>
        </w:rPr>
        <w:t>（2）收到中国证监会终止发行注册决定；</w:t>
      </w:r>
    </w:p>
    <w:p>
      <w:pPr>
        <w:spacing w:line="560" w:lineRule="exact"/>
        <w:ind w:firstLine="640" w:firstLineChars="200"/>
        <w:rPr>
          <w:rFonts w:ascii="仿宋" w:hAnsi="仿宋" w:eastAsia="仿宋"/>
          <w:sz w:val="32"/>
          <w:szCs w:val="32"/>
        </w:rPr>
      </w:pPr>
      <w:r>
        <w:rPr>
          <w:rFonts w:ascii="仿宋" w:hAnsi="仿宋" w:eastAsia="仿宋"/>
          <w:sz w:val="32"/>
          <w:szCs w:val="32"/>
        </w:rPr>
        <w:t>（3）收到中国证监会注册或者不予注册决定；</w:t>
      </w:r>
    </w:p>
    <w:p>
      <w:pPr>
        <w:spacing w:line="560" w:lineRule="exact"/>
        <w:ind w:firstLine="640" w:firstLineChars="200"/>
        <w:rPr>
          <w:rFonts w:ascii="仿宋" w:hAnsi="仿宋" w:eastAsia="仿宋"/>
          <w:sz w:val="32"/>
          <w:szCs w:val="32"/>
        </w:rPr>
      </w:pPr>
      <w:r>
        <w:rPr>
          <w:rFonts w:ascii="仿宋" w:hAnsi="仿宋" w:eastAsia="仿宋"/>
          <w:sz w:val="32"/>
          <w:szCs w:val="32"/>
        </w:rPr>
        <w:t>（4）上市公司撤回证券发行申请。</w:t>
      </w:r>
    </w:p>
    <w:p>
      <w:pPr>
        <w:spacing w:line="560" w:lineRule="exact"/>
        <w:ind w:firstLine="640" w:firstLineChars="200"/>
        <w:rPr>
          <w:rFonts w:ascii="仿宋" w:hAnsi="仿宋" w:eastAsia="仿宋"/>
          <w:sz w:val="32"/>
          <w:szCs w:val="32"/>
        </w:rPr>
      </w:pPr>
      <w:r>
        <w:rPr>
          <w:rFonts w:ascii="仿宋" w:hAnsi="仿宋" w:eastAsia="仿宋"/>
          <w:sz w:val="32"/>
          <w:szCs w:val="32"/>
        </w:rPr>
        <w:t>2．本所受理证券发行上市申请文件当日，公司应当披露受理公告，并同时披露募集说明书、发行保荐书、上市保荐书、审计报告、法律意见书。</w:t>
      </w:r>
    </w:p>
    <w:p>
      <w:pPr>
        <w:spacing w:line="560" w:lineRule="exact"/>
        <w:ind w:firstLine="640" w:firstLineChars="200"/>
        <w:rPr>
          <w:rFonts w:ascii="仿宋" w:hAnsi="仿宋" w:eastAsia="仿宋"/>
          <w:sz w:val="32"/>
          <w:szCs w:val="32"/>
        </w:rPr>
      </w:pPr>
      <w:r>
        <w:rPr>
          <w:rFonts w:ascii="仿宋" w:hAnsi="仿宋" w:eastAsia="仿宋"/>
          <w:sz w:val="32"/>
          <w:szCs w:val="32"/>
        </w:rPr>
        <w:t>3．上市公司应当以临时公告的形式及时披露对本所审核问询的回复。</w:t>
      </w:r>
    </w:p>
    <w:p>
      <w:pPr>
        <w:spacing w:line="560" w:lineRule="exact"/>
        <w:ind w:firstLine="640" w:firstLineChars="200"/>
        <w:rPr>
          <w:rFonts w:ascii="仿宋" w:hAnsi="仿宋" w:eastAsia="仿宋"/>
          <w:sz w:val="32"/>
          <w:szCs w:val="32"/>
        </w:rPr>
      </w:pPr>
      <w:r>
        <w:rPr>
          <w:rFonts w:ascii="仿宋" w:hAnsi="仿宋" w:eastAsia="仿宋"/>
          <w:sz w:val="32"/>
          <w:szCs w:val="32"/>
        </w:rPr>
        <w:t>4．上市公司收到本所具有明确审核意见的函件或决定后，应当以临时公告的形式及时对外披露。如为符合发行条件、上市条件和信息披露要求的审核意见，公司应在公告中声明“公司本次向不特定对象募集股份尚需中国证监会注册，敬请广大投资者注意投资风险”。</w:t>
      </w:r>
    </w:p>
    <w:p>
      <w:pPr>
        <w:spacing w:line="560" w:lineRule="exact"/>
        <w:ind w:firstLine="640" w:firstLineChars="200"/>
        <w:rPr>
          <w:rFonts w:ascii="仿宋" w:hAnsi="仿宋" w:eastAsia="仿宋"/>
          <w:sz w:val="32"/>
          <w:szCs w:val="32"/>
        </w:rPr>
      </w:pPr>
      <w:r>
        <w:rPr>
          <w:rFonts w:ascii="仿宋" w:hAnsi="仿宋" w:eastAsia="仿宋"/>
          <w:sz w:val="32"/>
          <w:szCs w:val="32"/>
        </w:rPr>
        <w:t>5．上市公司披露收到中国证监会予以注册决定的公告时，应当说明取得注册</w:t>
      </w:r>
      <w:r>
        <w:rPr>
          <w:rFonts w:hint="eastAsia" w:ascii="仿宋" w:hAnsi="仿宋" w:eastAsia="仿宋"/>
          <w:sz w:val="32"/>
          <w:szCs w:val="32"/>
        </w:rPr>
        <w:t>决定</w:t>
      </w:r>
      <w:r>
        <w:rPr>
          <w:rFonts w:ascii="仿宋" w:hAnsi="仿宋" w:eastAsia="仿宋"/>
          <w:sz w:val="32"/>
          <w:szCs w:val="32"/>
        </w:rPr>
        <w:t>的日期、注册发行的股份数量等。</w:t>
      </w:r>
    </w:p>
    <w:p>
      <w:pPr>
        <w:spacing w:line="560" w:lineRule="exact"/>
        <w:ind w:firstLine="643" w:firstLineChars="200"/>
        <w:rPr>
          <w:rFonts w:ascii="黑体" w:hAnsi="黑体" w:eastAsia="黑体"/>
          <w:b/>
          <w:sz w:val="32"/>
          <w:szCs w:val="32"/>
        </w:rPr>
      </w:pPr>
      <w:r>
        <w:rPr>
          <w:rFonts w:ascii="黑体" w:hAnsi="黑体" w:eastAsia="黑体"/>
          <w:b/>
          <w:sz w:val="32"/>
          <w:szCs w:val="32"/>
        </w:rPr>
        <w:t>二、发行前的准备工作</w:t>
      </w:r>
    </w:p>
    <w:p>
      <w:pPr>
        <w:spacing w:line="560" w:lineRule="exact"/>
        <w:ind w:firstLine="640" w:firstLineChars="200"/>
        <w:rPr>
          <w:rFonts w:ascii="楷体" w:hAnsi="楷体" w:eastAsia="楷体"/>
          <w:sz w:val="32"/>
          <w:szCs w:val="32"/>
        </w:rPr>
      </w:pPr>
      <w:r>
        <w:rPr>
          <w:rFonts w:ascii="楷体" w:hAnsi="楷体" w:eastAsia="楷体"/>
          <w:sz w:val="32"/>
          <w:szCs w:val="32"/>
        </w:rPr>
        <w:t>（一）实施前注意事项</w:t>
      </w:r>
    </w:p>
    <w:p>
      <w:pPr>
        <w:spacing w:line="560" w:lineRule="exact"/>
        <w:ind w:firstLine="640" w:firstLineChars="200"/>
        <w:rPr>
          <w:rFonts w:ascii="仿宋" w:hAnsi="仿宋" w:eastAsia="仿宋"/>
          <w:sz w:val="32"/>
          <w:szCs w:val="32"/>
        </w:rPr>
      </w:pPr>
      <w:r>
        <w:rPr>
          <w:rFonts w:ascii="仿宋" w:hAnsi="仿宋" w:eastAsia="仿宋"/>
          <w:sz w:val="32"/>
          <w:szCs w:val="32"/>
        </w:rPr>
        <w:t>1．上市公司应当在注册</w:t>
      </w:r>
      <w:r>
        <w:rPr>
          <w:rFonts w:hint="eastAsia" w:ascii="仿宋" w:hAnsi="仿宋" w:eastAsia="仿宋"/>
          <w:sz w:val="32"/>
          <w:szCs w:val="32"/>
        </w:rPr>
        <w:t>文件</w:t>
      </w:r>
      <w:r>
        <w:rPr>
          <w:rFonts w:ascii="仿宋" w:hAnsi="仿宋" w:eastAsia="仿宋"/>
          <w:sz w:val="32"/>
          <w:szCs w:val="32"/>
        </w:rPr>
        <w:t>的有效期内，按照《证券发行与承销管理办法》《深圳证券交易所上市公司证券发行与承销业务实施细则》的有关规定组织增发。</w:t>
      </w:r>
    </w:p>
    <w:p>
      <w:pPr>
        <w:spacing w:line="560" w:lineRule="exact"/>
        <w:ind w:firstLine="640" w:firstLineChars="200"/>
        <w:rPr>
          <w:rFonts w:ascii="仿宋" w:hAnsi="仿宋" w:eastAsia="仿宋"/>
          <w:sz w:val="32"/>
          <w:szCs w:val="32"/>
        </w:rPr>
      </w:pPr>
      <w:r>
        <w:rPr>
          <w:rFonts w:ascii="仿宋" w:hAnsi="仿宋" w:eastAsia="仿宋"/>
          <w:sz w:val="32"/>
          <w:szCs w:val="32"/>
        </w:rPr>
        <w:t>2．上市公司增发，存在利润分配方案、公积金转增股本方案尚未提交股东大会表决或者虽经股东大会表决通过但未实施的，应当在方案实施后发行。</w:t>
      </w:r>
    </w:p>
    <w:p>
      <w:pPr>
        <w:spacing w:line="560" w:lineRule="exact"/>
        <w:ind w:firstLine="640" w:firstLineChars="200"/>
        <w:rPr>
          <w:rFonts w:ascii="仿宋" w:hAnsi="仿宋" w:eastAsia="仿宋"/>
          <w:sz w:val="32"/>
          <w:szCs w:val="32"/>
        </w:rPr>
      </w:pPr>
      <w:r>
        <w:rPr>
          <w:rFonts w:ascii="仿宋" w:hAnsi="仿宋" w:eastAsia="仿宋"/>
          <w:sz w:val="32"/>
          <w:szCs w:val="32"/>
        </w:rPr>
        <w:t>3．如果拟定的增发方案与深圳市场已实施过的增发发行方式有所不同，上市公司及主承销商应当至少在披露发行公告三个交易日前与创业板公司管理部联系，尽早与本所就发行方案的要点进行充分沟通，以确保发行方案顺利实施。</w:t>
      </w:r>
    </w:p>
    <w:p>
      <w:pPr>
        <w:spacing w:line="560" w:lineRule="exact"/>
        <w:ind w:firstLine="640" w:firstLineChars="200"/>
        <w:rPr>
          <w:rFonts w:ascii="仿宋" w:hAnsi="仿宋" w:eastAsia="仿宋"/>
          <w:sz w:val="32"/>
          <w:szCs w:val="32"/>
        </w:rPr>
      </w:pPr>
      <w:r>
        <w:rPr>
          <w:rFonts w:ascii="仿宋" w:hAnsi="仿宋" w:eastAsia="仿宋"/>
          <w:sz w:val="32"/>
          <w:szCs w:val="32"/>
        </w:rPr>
        <w:t>创业板公司管理部负责创新方案的事前沟通，并负责对创新方案实施进行内部协调以及与结算公司的沟通，并告知上市公司及主承销商该方案是否可行，如可行，告知本所完成系统准备的最后时间。</w:t>
      </w:r>
    </w:p>
    <w:p>
      <w:pPr>
        <w:spacing w:line="560" w:lineRule="exact"/>
        <w:ind w:firstLine="640" w:firstLineChars="200"/>
        <w:rPr>
          <w:rFonts w:ascii="楷体" w:hAnsi="楷体" w:eastAsia="楷体"/>
          <w:sz w:val="32"/>
          <w:szCs w:val="32"/>
        </w:rPr>
      </w:pPr>
      <w:r>
        <w:rPr>
          <w:rFonts w:ascii="楷体" w:hAnsi="楷体" w:eastAsia="楷体"/>
          <w:sz w:val="32"/>
          <w:szCs w:val="32"/>
        </w:rPr>
        <w:t>（二）增发网上业务有关要点</w:t>
      </w:r>
    </w:p>
    <w:p>
      <w:pPr>
        <w:spacing w:line="560" w:lineRule="exact"/>
        <w:ind w:firstLine="640" w:firstLineChars="200"/>
        <w:rPr>
          <w:rFonts w:ascii="仿宋" w:hAnsi="仿宋" w:eastAsia="仿宋"/>
          <w:sz w:val="32"/>
          <w:szCs w:val="32"/>
        </w:rPr>
      </w:pPr>
      <w:r>
        <w:rPr>
          <w:rFonts w:ascii="仿宋" w:hAnsi="仿宋" w:eastAsia="仿宋"/>
          <w:sz w:val="32"/>
          <w:szCs w:val="32"/>
        </w:rPr>
        <w:t>1．上市公司网上增发业务流程及时间安排详见《创业板上市公司定价增发新股发行上市业务操作流程》（附件1）。</w:t>
      </w:r>
    </w:p>
    <w:p>
      <w:pPr>
        <w:spacing w:line="560" w:lineRule="exact"/>
        <w:ind w:firstLine="640" w:firstLineChars="200"/>
        <w:rPr>
          <w:rFonts w:ascii="仿宋" w:hAnsi="仿宋" w:eastAsia="仿宋"/>
          <w:sz w:val="32"/>
          <w:szCs w:val="32"/>
        </w:rPr>
      </w:pPr>
      <w:r>
        <w:rPr>
          <w:rFonts w:ascii="仿宋" w:hAnsi="仿宋" w:eastAsia="仿宋"/>
          <w:sz w:val="32"/>
          <w:szCs w:val="32"/>
        </w:rPr>
        <w:t>2．增发新股申购代码为“37××××”，其中“××××”为上市公司股票代码后四位。</w:t>
      </w:r>
    </w:p>
    <w:p>
      <w:pPr>
        <w:spacing w:line="560" w:lineRule="exact"/>
        <w:ind w:firstLine="640" w:firstLineChars="200"/>
        <w:rPr>
          <w:rFonts w:ascii="仿宋" w:hAnsi="仿宋" w:eastAsia="仿宋"/>
          <w:sz w:val="32"/>
          <w:szCs w:val="32"/>
        </w:rPr>
      </w:pPr>
      <w:r>
        <w:rPr>
          <w:rFonts w:ascii="仿宋" w:hAnsi="仿宋" w:eastAsia="仿宋"/>
          <w:sz w:val="32"/>
          <w:szCs w:val="32"/>
        </w:rPr>
        <w:t>3．增发新股申购简称</w:t>
      </w:r>
      <w:r>
        <w:rPr>
          <w:rFonts w:hint="eastAsia" w:ascii="仿宋" w:hAnsi="仿宋" w:eastAsia="仿宋"/>
          <w:sz w:val="32"/>
          <w:szCs w:val="32"/>
        </w:rPr>
        <w:t>除“增发”以外的字符取自上市公司股票简称，后四位字符为“增发”。</w:t>
      </w:r>
    </w:p>
    <w:p>
      <w:pPr>
        <w:spacing w:line="560" w:lineRule="exact"/>
        <w:ind w:firstLine="640" w:firstLineChars="200"/>
        <w:rPr>
          <w:rFonts w:ascii="仿宋" w:hAnsi="仿宋" w:eastAsia="仿宋"/>
          <w:sz w:val="32"/>
          <w:szCs w:val="32"/>
        </w:rPr>
      </w:pPr>
      <w:r>
        <w:rPr>
          <w:rFonts w:ascii="仿宋" w:hAnsi="仿宋" w:eastAsia="仿宋"/>
          <w:sz w:val="32"/>
          <w:szCs w:val="32"/>
        </w:rPr>
        <w:t>4．网上申购过程中，每一证券账户只能申购一次，申购一经本所交易系统确认，不得撤销。同一证券账户的多次申购委托，除第一次有效申购外，均视为无效申购。</w:t>
      </w:r>
    </w:p>
    <w:p>
      <w:pPr>
        <w:spacing w:line="560" w:lineRule="exact"/>
        <w:ind w:firstLine="640" w:firstLineChars="200"/>
        <w:rPr>
          <w:rFonts w:ascii="仿宋" w:hAnsi="仿宋" w:eastAsia="仿宋"/>
          <w:sz w:val="32"/>
          <w:szCs w:val="32"/>
        </w:rPr>
      </w:pPr>
      <w:r>
        <w:rPr>
          <w:rFonts w:ascii="仿宋" w:hAnsi="仿宋" w:eastAsia="仿宋"/>
          <w:sz w:val="32"/>
          <w:szCs w:val="32"/>
        </w:rPr>
        <w:t>5．本次发行安排对原股东优先配售的，无限售条件股东需通过网上申购行使优先认购权，原有限售条件股东需根据股份性质判断能否在网上行使优先认购权，该问题应当与结算公司发行人业务部确认，并在发行公告中予以明确。</w:t>
      </w:r>
    </w:p>
    <w:p>
      <w:pPr>
        <w:spacing w:line="560" w:lineRule="exact"/>
        <w:ind w:firstLine="640" w:firstLineChars="200"/>
        <w:rPr>
          <w:rFonts w:ascii="仿宋" w:hAnsi="仿宋" w:eastAsia="仿宋"/>
          <w:sz w:val="32"/>
          <w:szCs w:val="32"/>
        </w:rPr>
      </w:pPr>
      <w:r>
        <w:rPr>
          <w:rFonts w:ascii="仿宋" w:hAnsi="仿宋" w:eastAsia="仿宋"/>
          <w:sz w:val="32"/>
          <w:szCs w:val="32"/>
        </w:rPr>
        <w:t>原股东在股权登记日持有的有优先认购权的股票托管在两个或两个以上证券营业部的，只能在其中一家证券营业部申购，优先认购权按其拥有的有优先认购权的全部股票合并计算。</w:t>
      </w:r>
    </w:p>
    <w:p>
      <w:pPr>
        <w:spacing w:line="560" w:lineRule="exact"/>
        <w:ind w:firstLine="640" w:firstLineChars="200"/>
        <w:rPr>
          <w:rFonts w:ascii="仿宋" w:hAnsi="仿宋" w:eastAsia="仿宋"/>
          <w:sz w:val="32"/>
          <w:szCs w:val="32"/>
        </w:rPr>
      </w:pPr>
      <w:r>
        <w:rPr>
          <w:rFonts w:ascii="仿宋" w:hAnsi="仿宋" w:eastAsia="仿宋"/>
          <w:sz w:val="32"/>
          <w:szCs w:val="32"/>
        </w:rPr>
        <w:t>6．增发新股不向投资者收取手续费。</w:t>
      </w:r>
    </w:p>
    <w:p>
      <w:pPr>
        <w:spacing w:line="560" w:lineRule="exact"/>
        <w:ind w:firstLine="640" w:firstLineChars="200"/>
        <w:rPr>
          <w:rFonts w:ascii="仿宋" w:hAnsi="仿宋" w:eastAsia="仿宋"/>
          <w:sz w:val="32"/>
          <w:szCs w:val="32"/>
        </w:rPr>
      </w:pPr>
      <w:r>
        <w:rPr>
          <w:rFonts w:ascii="仿宋" w:hAnsi="仿宋" w:eastAsia="仿宋"/>
          <w:sz w:val="32"/>
          <w:szCs w:val="32"/>
        </w:rPr>
        <w:t>7．机构投资者可以同时选择网上网下两种申购方式参与本次发行，发行公告对此应予以明确。</w:t>
      </w:r>
    </w:p>
    <w:p>
      <w:pPr>
        <w:spacing w:line="560" w:lineRule="exact"/>
        <w:ind w:firstLine="640" w:firstLineChars="200"/>
        <w:rPr>
          <w:rFonts w:ascii="楷体" w:hAnsi="楷体" w:eastAsia="楷体"/>
          <w:sz w:val="32"/>
          <w:szCs w:val="32"/>
        </w:rPr>
      </w:pPr>
      <w:r>
        <w:rPr>
          <w:rFonts w:ascii="楷体" w:hAnsi="楷体" w:eastAsia="楷体"/>
          <w:sz w:val="32"/>
          <w:szCs w:val="32"/>
        </w:rPr>
        <w:t>（三）与结算公司联系办理发行前的相关手续</w:t>
      </w:r>
    </w:p>
    <w:p>
      <w:pPr>
        <w:spacing w:line="560" w:lineRule="exact"/>
        <w:ind w:firstLine="640" w:firstLineChars="200"/>
        <w:rPr>
          <w:rFonts w:ascii="仿宋" w:hAnsi="仿宋" w:eastAsia="仿宋"/>
          <w:sz w:val="32"/>
          <w:szCs w:val="32"/>
        </w:rPr>
      </w:pPr>
      <w:r>
        <w:rPr>
          <w:rFonts w:ascii="仿宋" w:hAnsi="仿宋" w:eastAsia="仿宋"/>
          <w:sz w:val="32"/>
          <w:szCs w:val="32"/>
        </w:rPr>
        <w:t>上市公司及主承销商应当提前与结算公司发行人业务部、结算业务部等有关部门联系，了解增发的相关工作。</w:t>
      </w:r>
    </w:p>
    <w:p>
      <w:pPr>
        <w:spacing w:line="560" w:lineRule="exact"/>
        <w:ind w:firstLine="643" w:firstLineChars="200"/>
        <w:rPr>
          <w:rFonts w:ascii="黑体" w:hAnsi="黑体" w:eastAsia="黑体"/>
          <w:b/>
          <w:sz w:val="32"/>
          <w:szCs w:val="32"/>
        </w:rPr>
      </w:pPr>
      <w:r>
        <w:rPr>
          <w:rFonts w:ascii="黑体" w:hAnsi="黑体" w:eastAsia="黑体"/>
          <w:b/>
          <w:sz w:val="32"/>
          <w:szCs w:val="32"/>
        </w:rPr>
        <w:t>三、增发期间的工作</w:t>
      </w:r>
    </w:p>
    <w:p>
      <w:pPr>
        <w:spacing w:line="560" w:lineRule="exact"/>
        <w:ind w:firstLine="640" w:firstLineChars="200"/>
        <w:rPr>
          <w:rFonts w:ascii="楷体" w:hAnsi="楷体" w:eastAsia="楷体"/>
          <w:sz w:val="32"/>
          <w:szCs w:val="32"/>
        </w:rPr>
      </w:pPr>
      <w:r>
        <w:rPr>
          <w:rFonts w:ascii="楷体" w:hAnsi="楷体" w:eastAsia="楷体"/>
          <w:sz w:val="32"/>
          <w:szCs w:val="32"/>
        </w:rPr>
        <w:t>（一）披露《增发招股说明书》及网上网下发行公告</w:t>
      </w:r>
    </w:p>
    <w:p>
      <w:pPr>
        <w:spacing w:line="560" w:lineRule="exact"/>
        <w:ind w:firstLine="640" w:firstLineChars="200"/>
        <w:rPr>
          <w:rFonts w:ascii="仿宋" w:hAnsi="仿宋" w:eastAsia="仿宋"/>
          <w:sz w:val="32"/>
          <w:szCs w:val="32"/>
        </w:rPr>
      </w:pPr>
      <w:r>
        <w:rPr>
          <w:rFonts w:ascii="仿宋" w:hAnsi="仿宋" w:eastAsia="仿宋"/>
          <w:sz w:val="32"/>
          <w:szCs w:val="32"/>
        </w:rPr>
        <w:t>上市公司取得中国证监会予以注册决定后，应当在予以注册决定有效期内披露</w:t>
      </w:r>
      <w:r>
        <w:rPr>
          <w:rFonts w:hint="eastAsia" w:ascii="仿宋" w:hAnsi="仿宋" w:eastAsia="仿宋"/>
          <w:sz w:val="32"/>
          <w:szCs w:val="32"/>
        </w:rPr>
        <w:t>《增发招股说明书》（或《增发招股意向书》）</w:t>
      </w:r>
      <w:r>
        <w:rPr>
          <w:rFonts w:ascii="仿宋" w:hAnsi="仿宋" w:eastAsia="仿宋"/>
          <w:sz w:val="32"/>
          <w:szCs w:val="32"/>
        </w:rPr>
        <w:t>，以保证</w:t>
      </w:r>
      <w:r>
        <w:rPr>
          <w:rFonts w:hint="eastAsia" w:ascii="仿宋" w:hAnsi="仿宋" w:eastAsia="仿宋"/>
          <w:sz w:val="32"/>
          <w:szCs w:val="32"/>
        </w:rPr>
        <w:t>增发</w:t>
      </w:r>
      <w:r>
        <w:rPr>
          <w:rFonts w:ascii="仿宋" w:hAnsi="仿宋" w:eastAsia="仿宋"/>
          <w:sz w:val="32"/>
          <w:szCs w:val="32"/>
        </w:rPr>
        <w:t>顺利实施。</w:t>
      </w:r>
    </w:p>
    <w:p>
      <w:pPr>
        <w:spacing w:line="560" w:lineRule="exact"/>
        <w:ind w:firstLine="640" w:firstLineChars="200"/>
        <w:rPr>
          <w:rFonts w:ascii="仿宋" w:hAnsi="仿宋" w:eastAsia="仿宋"/>
          <w:sz w:val="32"/>
          <w:szCs w:val="32"/>
        </w:rPr>
      </w:pPr>
      <w:r>
        <w:rPr>
          <w:rFonts w:ascii="仿宋" w:hAnsi="仿宋" w:eastAsia="仿宋"/>
          <w:sz w:val="32"/>
          <w:szCs w:val="32"/>
        </w:rPr>
        <w:t xml:space="preserve">发行人及保荐人、主承销商应在披露《增发招股说明书》（或《增发招股意向书》）前一个交易日16:00前通过本所创业板公司管理部业务专区报送以下申请文件： </w:t>
      </w:r>
    </w:p>
    <w:p>
      <w:pPr>
        <w:spacing w:line="560" w:lineRule="exact"/>
        <w:ind w:firstLine="640" w:firstLineChars="200"/>
        <w:rPr>
          <w:rFonts w:ascii="仿宋" w:hAnsi="仿宋" w:eastAsia="仿宋"/>
          <w:sz w:val="32"/>
          <w:szCs w:val="32"/>
        </w:rPr>
      </w:pPr>
      <w:r>
        <w:rPr>
          <w:rFonts w:ascii="仿宋" w:hAnsi="仿宋" w:eastAsia="仿宋"/>
          <w:sz w:val="32"/>
          <w:szCs w:val="32"/>
        </w:rPr>
        <w:t>1．中国证监会予以注册决定（报备）</w:t>
      </w:r>
    </w:p>
    <w:p>
      <w:pPr>
        <w:spacing w:line="560" w:lineRule="exact"/>
        <w:ind w:firstLine="640" w:firstLineChars="200"/>
        <w:rPr>
          <w:rFonts w:ascii="仿宋" w:hAnsi="仿宋" w:eastAsia="仿宋"/>
          <w:sz w:val="32"/>
          <w:szCs w:val="32"/>
        </w:rPr>
      </w:pPr>
      <w:r>
        <w:rPr>
          <w:rFonts w:ascii="仿宋" w:hAnsi="仿宋" w:eastAsia="仿宋"/>
          <w:sz w:val="32"/>
          <w:szCs w:val="32"/>
        </w:rPr>
        <w:t>2．发行公告提示性公告、《增发招股说明书》全文、路演公告、网上发行公告、网下发行公告、发行保荐书、法律意见书（上网，其中发行公告提示性公告登报）</w:t>
      </w:r>
    </w:p>
    <w:p>
      <w:pPr>
        <w:spacing w:line="560" w:lineRule="exact"/>
        <w:ind w:firstLine="640" w:firstLineChars="200"/>
        <w:rPr>
          <w:rFonts w:ascii="仿宋" w:hAnsi="仿宋" w:eastAsia="仿宋"/>
          <w:sz w:val="32"/>
          <w:szCs w:val="32"/>
        </w:rPr>
      </w:pPr>
      <w:r>
        <w:rPr>
          <w:rFonts w:ascii="仿宋" w:hAnsi="仿宋" w:eastAsia="仿宋"/>
          <w:sz w:val="32"/>
          <w:szCs w:val="32"/>
        </w:rPr>
        <w:t>3．增发新股发行申请书（附件2，报备）</w:t>
      </w:r>
    </w:p>
    <w:p>
      <w:pPr>
        <w:spacing w:line="560" w:lineRule="exact"/>
        <w:ind w:firstLine="640" w:firstLineChars="200"/>
        <w:rPr>
          <w:rFonts w:ascii="仿宋" w:hAnsi="仿宋" w:eastAsia="仿宋"/>
          <w:sz w:val="32"/>
          <w:szCs w:val="32"/>
        </w:rPr>
      </w:pPr>
      <w:r>
        <w:rPr>
          <w:rFonts w:ascii="仿宋" w:hAnsi="仿宋" w:eastAsia="仿宋"/>
          <w:sz w:val="32"/>
          <w:szCs w:val="32"/>
        </w:rPr>
        <w:t>4．发行预计时间安排（报备）</w:t>
      </w:r>
    </w:p>
    <w:p>
      <w:pPr>
        <w:spacing w:line="560" w:lineRule="exact"/>
        <w:ind w:firstLine="640" w:firstLineChars="200"/>
        <w:rPr>
          <w:rFonts w:ascii="仿宋" w:hAnsi="仿宋" w:eastAsia="仿宋"/>
          <w:sz w:val="32"/>
          <w:szCs w:val="32"/>
        </w:rPr>
      </w:pPr>
      <w:r>
        <w:rPr>
          <w:rFonts w:ascii="仿宋" w:hAnsi="仿宋" w:eastAsia="仿宋"/>
          <w:sz w:val="32"/>
          <w:szCs w:val="32"/>
        </w:rPr>
        <w:t>5．发行方案要点（附件3）和发行公告（报备）</w:t>
      </w:r>
    </w:p>
    <w:p>
      <w:pPr>
        <w:spacing w:line="560" w:lineRule="exact"/>
        <w:ind w:firstLine="640" w:firstLineChars="200"/>
        <w:rPr>
          <w:rFonts w:ascii="仿宋" w:hAnsi="仿宋" w:eastAsia="仿宋"/>
          <w:sz w:val="32"/>
          <w:szCs w:val="32"/>
        </w:rPr>
      </w:pPr>
      <w:r>
        <w:rPr>
          <w:rFonts w:ascii="仿宋" w:hAnsi="仿宋" w:eastAsia="仿宋"/>
          <w:sz w:val="32"/>
          <w:szCs w:val="32"/>
        </w:rPr>
        <w:t>6．主承销商经办人员的身份证复印件、主承销商授权委托书及主承销商法定代表人身份证明书（报备）</w:t>
      </w:r>
    </w:p>
    <w:p>
      <w:pPr>
        <w:spacing w:line="560" w:lineRule="exact"/>
        <w:ind w:firstLine="640" w:firstLineChars="200"/>
        <w:rPr>
          <w:rFonts w:ascii="仿宋" w:hAnsi="仿宋" w:eastAsia="仿宋"/>
          <w:sz w:val="32"/>
          <w:szCs w:val="32"/>
        </w:rPr>
      </w:pPr>
      <w:r>
        <w:rPr>
          <w:rFonts w:ascii="仿宋" w:hAnsi="仿宋" w:eastAsia="仿宋"/>
          <w:sz w:val="32"/>
          <w:szCs w:val="32"/>
        </w:rPr>
        <w:t>7．公司经办人员的身份证复印件、公司授权委托书及公司法定代表人身份证明书（报备）</w:t>
      </w:r>
    </w:p>
    <w:p>
      <w:pPr>
        <w:spacing w:line="560" w:lineRule="exact"/>
        <w:ind w:firstLine="640" w:firstLineChars="200"/>
        <w:rPr>
          <w:rFonts w:ascii="仿宋" w:hAnsi="仿宋" w:eastAsia="仿宋"/>
          <w:sz w:val="32"/>
          <w:szCs w:val="32"/>
        </w:rPr>
      </w:pPr>
      <w:r>
        <w:rPr>
          <w:rFonts w:ascii="仿宋" w:hAnsi="仿宋" w:eastAsia="仿宋"/>
          <w:sz w:val="32"/>
          <w:szCs w:val="32"/>
        </w:rPr>
        <w:t>8．上市公司不存在未实施的利润分配方案的说明（报备）</w:t>
      </w:r>
    </w:p>
    <w:p>
      <w:pPr>
        <w:spacing w:line="560" w:lineRule="exact"/>
        <w:ind w:firstLine="640" w:firstLineChars="200"/>
        <w:rPr>
          <w:rFonts w:ascii="仿宋" w:hAnsi="仿宋" w:eastAsia="仿宋"/>
          <w:sz w:val="32"/>
          <w:szCs w:val="32"/>
        </w:rPr>
      </w:pPr>
      <w:r>
        <w:rPr>
          <w:rFonts w:ascii="仿宋" w:hAnsi="仿宋" w:eastAsia="仿宋"/>
          <w:sz w:val="32"/>
          <w:szCs w:val="32"/>
        </w:rPr>
        <w:t>《网上（网下）发行公告》至少应当包括以下内容：</w:t>
      </w:r>
    </w:p>
    <w:p>
      <w:pPr>
        <w:spacing w:line="560" w:lineRule="exact"/>
        <w:ind w:firstLine="640" w:firstLineChars="200"/>
        <w:rPr>
          <w:rFonts w:ascii="仿宋" w:hAnsi="仿宋" w:eastAsia="仿宋"/>
          <w:sz w:val="32"/>
          <w:szCs w:val="32"/>
        </w:rPr>
      </w:pPr>
      <w:r>
        <w:rPr>
          <w:rFonts w:ascii="仿宋" w:hAnsi="仿宋" w:eastAsia="仿宋"/>
          <w:sz w:val="32"/>
          <w:szCs w:val="32"/>
        </w:rPr>
        <w:t>1．增发说明书及网上（网下）发行公告的披露日</w:t>
      </w:r>
    </w:p>
    <w:p>
      <w:pPr>
        <w:spacing w:line="560" w:lineRule="exact"/>
        <w:ind w:firstLine="640" w:firstLineChars="200"/>
        <w:rPr>
          <w:rFonts w:ascii="仿宋" w:hAnsi="仿宋" w:eastAsia="仿宋"/>
          <w:sz w:val="32"/>
          <w:szCs w:val="32"/>
        </w:rPr>
      </w:pPr>
      <w:r>
        <w:rPr>
          <w:rFonts w:ascii="仿宋" w:hAnsi="仿宋" w:eastAsia="仿宋"/>
          <w:sz w:val="32"/>
          <w:szCs w:val="32"/>
        </w:rPr>
        <w:t>2．股权登记日、申购日（T日）</w:t>
      </w:r>
    </w:p>
    <w:p>
      <w:pPr>
        <w:spacing w:line="560" w:lineRule="exact"/>
        <w:ind w:firstLine="640" w:firstLineChars="200"/>
        <w:rPr>
          <w:rFonts w:ascii="仿宋" w:hAnsi="仿宋" w:eastAsia="仿宋"/>
          <w:sz w:val="32"/>
          <w:szCs w:val="32"/>
        </w:rPr>
      </w:pPr>
      <w:r>
        <w:rPr>
          <w:rFonts w:ascii="仿宋" w:hAnsi="仿宋" w:eastAsia="仿宋"/>
          <w:sz w:val="32"/>
          <w:szCs w:val="32"/>
        </w:rPr>
        <w:t>3．发行数量、发行价格</w:t>
      </w:r>
    </w:p>
    <w:p>
      <w:pPr>
        <w:spacing w:line="560" w:lineRule="exact"/>
        <w:ind w:firstLine="640" w:firstLineChars="200"/>
        <w:rPr>
          <w:rFonts w:ascii="仿宋" w:hAnsi="仿宋" w:eastAsia="仿宋"/>
          <w:sz w:val="32"/>
          <w:szCs w:val="32"/>
        </w:rPr>
      </w:pPr>
      <w:r>
        <w:rPr>
          <w:rFonts w:ascii="仿宋" w:hAnsi="仿宋" w:eastAsia="仿宋"/>
          <w:sz w:val="32"/>
          <w:szCs w:val="32"/>
        </w:rPr>
        <w:t>4．申购代码（37××××）、申购简称</w:t>
      </w:r>
    </w:p>
    <w:p>
      <w:pPr>
        <w:spacing w:line="560" w:lineRule="exact"/>
        <w:ind w:firstLine="640" w:firstLineChars="200"/>
        <w:rPr>
          <w:rFonts w:ascii="仿宋" w:hAnsi="仿宋" w:eastAsia="仿宋"/>
          <w:sz w:val="32"/>
          <w:szCs w:val="32"/>
        </w:rPr>
      </w:pPr>
      <w:r>
        <w:rPr>
          <w:rFonts w:ascii="仿宋" w:hAnsi="仿宋" w:eastAsia="仿宋"/>
          <w:sz w:val="32"/>
          <w:szCs w:val="32"/>
        </w:rPr>
        <w:t>5．申购方式</w:t>
      </w:r>
    </w:p>
    <w:p>
      <w:pPr>
        <w:spacing w:line="560" w:lineRule="exact"/>
        <w:ind w:firstLine="640" w:firstLineChars="200"/>
        <w:rPr>
          <w:rFonts w:ascii="仿宋" w:hAnsi="仿宋" w:eastAsia="仿宋"/>
          <w:sz w:val="32"/>
          <w:szCs w:val="32"/>
        </w:rPr>
      </w:pPr>
      <w:r>
        <w:rPr>
          <w:rFonts w:ascii="仿宋" w:hAnsi="仿宋" w:eastAsia="仿宋"/>
          <w:sz w:val="32"/>
          <w:szCs w:val="32"/>
        </w:rPr>
        <w:t>6．本所要求的其他内容</w:t>
      </w:r>
    </w:p>
    <w:p>
      <w:pPr>
        <w:spacing w:line="560" w:lineRule="exact"/>
        <w:ind w:firstLine="640" w:firstLineChars="200"/>
        <w:rPr>
          <w:rFonts w:ascii="楷体" w:hAnsi="楷体" w:eastAsia="楷体"/>
          <w:sz w:val="32"/>
          <w:szCs w:val="32"/>
        </w:rPr>
      </w:pPr>
      <w:r>
        <w:rPr>
          <w:rFonts w:ascii="楷体" w:hAnsi="楷体" w:eastAsia="楷体"/>
          <w:sz w:val="32"/>
          <w:szCs w:val="32"/>
        </w:rPr>
        <w:t>（二）披露《增发提示性公告》</w:t>
      </w:r>
    </w:p>
    <w:p>
      <w:pPr>
        <w:spacing w:line="560" w:lineRule="exact"/>
        <w:ind w:firstLine="640" w:firstLineChars="200"/>
        <w:rPr>
          <w:rFonts w:ascii="仿宋" w:hAnsi="仿宋" w:eastAsia="仿宋"/>
          <w:sz w:val="32"/>
          <w:szCs w:val="32"/>
        </w:rPr>
      </w:pPr>
      <w:r>
        <w:rPr>
          <w:rFonts w:ascii="仿宋" w:hAnsi="仿宋" w:eastAsia="仿宋"/>
          <w:sz w:val="32"/>
          <w:szCs w:val="32"/>
        </w:rPr>
        <w:t>上市公司应当在增发申购日（T日）披露《增发提示性公告》。上市公司应当在增发申购日前一交易日（T-1日）向本所提交以下文件：</w:t>
      </w:r>
    </w:p>
    <w:p>
      <w:pPr>
        <w:spacing w:line="560" w:lineRule="exact"/>
        <w:ind w:firstLine="640" w:firstLineChars="200"/>
        <w:rPr>
          <w:rFonts w:ascii="仿宋" w:hAnsi="仿宋" w:eastAsia="仿宋"/>
          <w:sz w:val="32"/>
          <w:szCs w:val="32"/>
        </w:rPr>
      </w:pPr>
      <w:r>
        <w:rPr>
          <w:rFonts w:ascii="仿宋" w:hAnsi="仿宋" w:eastAsia="仿宋"/>
          <w:sz w:val="32"/>
          <w:szCs w:val="32"/>
        </w:rPr>
        <w:t>1．增发提示性公告（上网）</w:t>
      </w:r>
    </w:p>
    <w:p>
      <w:pPr>
        <w:spacing w:line="560" w:lineRule="exact"/>
        <w:ind w:firstLine="640" w:firstLineChars="200"/>
        <w:rPr>
          <w:rFonts w:ascii="仿宋" w:hAnsi="仿宋" w:eastAsia="仿宋"/>
          <w:sz w:val="32"/>
          <w:szCs w:val="32"/>
        </w:rPr>
      </w:pPr>
      <w:r>
        <w:rPr>
          <w:rFonts w:ascii="仿宋" w:hAnsi="仿宋" w:eastAsia="仿宋"/>
          <w:sz w:val="32"/>
          <w:szCs w:val="32"/>
        </w:rPr>
        <w:t>2．上市公司股票及其衍生品种自发行申购日（T日）起停牌的申请（报备）</w:t>
      </w:r>
    </w:p>
    <w:p>
      <w:pPr>
        <w:spacing w:line="560" w:lineRule="exact"/>
        <w:ind w:firstLine="640" w:firstLineChars="200"/>
        <w:rPr>
          <w:rFonts w:ascii="仿宋" w:hAnsi="仿宋" w:eastAsia="仿宋"/>
          <w:sz w:val="32"/>
          <w:szCs w:val="32"/>
        </w:rPr>
      </w:pPr>
      <w:r>
        <w:rPr>
          <w:rFonts w:ascii="仿宋" w:hAnsi="仿宋" w:eastAsia="仿宋"/>
          <w:sz w:val="32"/>
          <w:szCs w:val="32"/>
        </w:rPr>
        <w:t>《增发提示性公告》至少应当包括的内容参照前述《网上（网下）发行公告》的相关要求及上市公司股票及其衍生品种停复牌时间。</w:t>
      </w:r>
    </w:p>
    <w:p>
      <w:pPr>
        <w:spacing w:line="560" w:lineRule="exact"/>
        <w:ind w:firstLine="640" w:firstLineChars="200"/>
        <w:rPr>
          <w:rFonts w:ascii="仿宋" w:hAnsi="仿宋" w:eastAsia="仿宋"/>
          <w:sz w:val="32"/>
          <w:szCs w:val="32"/>
        </w:rPr>
      </w:pPr>
      <w:r>
        <w:rPr>
          <w:rFonts w:ascii="仿宋" w:hAnsi="仿宋" w:eastAsia="仿宋"/>
          <w:sz w:val="32"/>
          <w:szCs w:val="32"/>
        </w:rPr>
        <w:t>相关文件应当在增发申购日前一交易日（T-1日）16：00前通过业务专区上传，相关公告经本所审</w:t>
      </w:r>
      <w:r>
        <w:rPr>
          <w:rFonts w:hint="eastAsia" w:ascii="仿宋" w:hAnsi="仿宋" w:eastAsia="仿宋"/>
          <w:sz w:val="32"/>
          <w:szCs w:val="32"/>
        </w:rPr>
        <w:t>查</w:t>
      </w:r>
      <w:r>
        <w:rPr>
          <w:rFonts w:ascii="仿宋" w:hAnsi="仿宋" w:eastAsia="仿宋"/>
          <w:sz w:val="32"/>
          <w:szCs w:val="32"/>
        </w:rPr>
        <w:t>后于次一交易日披露，上市公司股票及其衍生品种自增发申购日（T日）起停牌（注：停牌时间为T日至T+2日）。</w:t>
      </w:r>
    </w:p>
    <w:p>
      <w:pPr>
        <w:spacing w:line="560" w:lineRule="exact"/>
        <w:ind w:firstLine="640" w:firstLineChars="200"/>
        <w:rPr>
          <w:rFonts w:ascii="楷体" w:hAnsi="楷体" w:eastAsia="楷体"/>
          <w:sz w:val="32"/>
          <w:szCs w:val="32"/>
        </w:rPr>
      </w:pPr>
      <w:r>
        <w:rPr>
          <w:rFonts w:ascii="楷体" w:hAnsi="楷体" w:eastAsia="楷体"/>
          <w:sz w:val="32"/>
          <w:szCs w:val="32"/>
        </w:rPr>
        <w:t>（三）披露《增发结果公告》</w:t>
      </w:r>
    </w:p>
    <w:p>
      <w:pPr>
        <w:spacing w:line="560" w:lineRule="exact"/>
        <w:ind w:firstLine="640" w:firstLineChars="200"/>
        <w:rPr>
          <w:rFonts w:ascii="仿宋" w:hAnsi="仿宋" w:eastAsia="仿宋"/>
          <w:sz w:val="32"/>
          <w:szCs w:val="32"/>
        </w:rPr>
      </w:pPr>
      <w:r>
        <w:rPr>
          <w:rFonts w:ascii="仿宋" w:hAnsi="仿宋" w:eastAsia="仿宋"/>
          <w:sz w:val="32"/>
          <w:szCs w:val="32"/>
        </w:rPr>
        <w:t>上市公司应当在申购日后第三个交易日（T+3日）披露《增发结果公告》。上市公司应当向本所提交以下文件：</w:t>
      </w:r>
    </w:p>
    <w:p>
      <w:pPr>
        <w:spacing w:line="560" w:lineRule="exact"/>
        <w:ind w:firstLine="640" w:firstLineChars="200"/>
        <w:rPr>
          <w:rFonts w:ascii="仿宋" w:hAnsi="仿宋" w:eastAsia="仿宋"/>
          <w:sz w:val="32"/>
          <w:szCs w:val="32"/>
        </w:rPr>
      </w:pPr>
      <w:r>
        <w:rPr>
          <w:rFonts w:ascii="仿宋" w:hAnsi="仿宋" w:eastAsia="仿宋"/>
          <w:sz w:val="32"/>
          <w:szCs w:val="32"/>
        </w:rPr>
        <w:t>1．《增发结果公告》（上网）</w:t>
      </w:r>
    </w:p>
    <w:p>
      <w:pPr>
        <w:spacing w:line="560" w:lineRule="exact"/>
        <w:ind w:firstLine="640" w:firstLineChars="200"/>
        <w:rPr>
          <w:rFonts w:ascii="仿宋" w:hAnsi="仿宋" w:eastAsia="仿宋"/>
          <w:sz w:val="32"/>
          <w:szCs w:val="32"/>
        </w:rPr>
      </w:pPr>
      <w:r>
        <w:rPr>
          <w:rFonts w:ascii="仿宋" w:hAnsi="仿宋" w:eastAsia="仿宋"/>
          <w:sz w:val="32"/>
          <w:szCs w:val="32"/>
        </w:rPr>
        <w:t>2．《律师关于网下发行的见证意见》（报备）</w:t>
      </w:r>
    </w:p>
    <w:p>
      <w:pPr>
        <w:spacing w:line="560" w:lineRule="exact"/>
        <w:ind w:firstLine="640" w:firstLineChars="200"/>
        <w:rPr>
          <w:rFonts w:ascii="仿宋" w:hAnsi="仿宋" w:eastAsia="仿宋"/>
          <w:sz w:val="32"/>
          <w:szCs w:val="32"/>
        </w:rPr>
      </w:pPr>
      <w:r>
        <w:rPr>
          <w:rFonts w:ascii="仿宋" w:hAnsi="仿宋" w:eastAsia="仿宋"/>
          <w:sz w:val="32"/>
          <w:szCs w:val="32"/>
        </w:rPr>
        <w:t>《增发结果公告》应当至少包括以下内容：</w:t>
      </w:r>
    </w:p>
    <w:p>
      <w:pPr>
        <w:spacing w:line="560" w:lineRule="exact"/>
        <w:ind w:firstLine="640" w:firstLineChars="200"/>
        <w:rPr>
          <w:rFonts w:ascii="仿宋" w:hAnsi="仿宋" w:eastAsia="仿宋"/>
          <w:sz w:val="32"/>
          <w:szCs w:val="32"/>
        </w:rPr>
      </w:pPr>
      <w:r>
        <w:rPr>
          <w:rFonts w:ascii="仿宋" w:hAnsi="仿宋" w:eastAsia="仿宋"/>
          <w:sz w:val="32"/>
          <w:szCs w:val="32"/>
        </w:rPr>
        <w:t>1．发行数量、网上、网下配售比例</w:t>
      </w:r>
    </w:p>
    <w:p>
      <w:pPr>
        <w:spacing w:line="560" w:lineRule="exact"/>
        <w:ind w:firstLine="640" w:firstLineChars="200"/>
        <w:rPr>
          <w:rFonts w:ascii="仿宋" w:hAnsi="仿宋" w:eastAsia="仿宋"/>
          <w:sz w:val="32"/>
          <w:szCs w:val="32"/>
        </w:rPr>
      </w:pPr>
      <w:r>
        <w:rPr>
          <w:rFonts w:ascii="仿宋" w:hAnsi="仿宋" w:eastAsia="仿宋"/>
          <w:sz w:val="32"/>
          <w:szCs w:val="32"/>
        </w:rPr>
        <w:t>2．网上、网下有效申购户数</w:t>
      </w:r>
    </w:p>
    <w:p>
      <w:pPr>
        <w:spacing w:line="560" w:lineRule="exact"/>
        <w:ind w:firstLine="640" w:firstLineChars="200"/>
        <w:rPr>
          <w:rFonts w:ascii="仿宋" w:hAnsi="仿宋" w:eastAsia="仿宋"/>
          <w:sz w:val="32"/>
          <w:szCs w:val="32"/>
        </w:rPr>
      </w:pPr>
      <w:r>
        <w:rPr>
          <w:rFonts w:ascii="仿宋" w:hAnsi="仿宋" w:eastAsia="仿宋"/>
          <w:sz w:val="32"/>
          <w:szCs w:val="32"/>
        </w:rPr>
        <w:t>3．发行与配售结果</w:t>
      </w:r>
    </w:p>
    <w:p>
      <w:pPr>
        <w:spacing w:line="560" w:lineRule="exact"/>
        <w:ind w:firstLine="640" w:firstLineChars="200"/>
        <w:rPr>
          <w:rFonts w:ascii="仿宋" w:hAnsi="仿宋" w:eastAsia="仿宋"/>
          <w:sz w:val="32"/>
          <w:szCs w:val="32"/>
        </w:rPr>
      </w:pPr>
      <w:r>
        <w:rPr>
          <w:rFonts w:ascii="仿宋" w:hAnsi="仿宋" w:eastAsia="仿宋"/>
          <w:sz w:val="32"/>
          <w:szCs w:val="32"/>
        </w:rPr>
        <w:t>4．募集资金总额</w:t>
      </w:r>
    </w:p>
    <w:p>
      <w:pPr>
        <w:spacing w:line="560" w:lineRule="exact"/>
        <w:ind w:firstLine="640" w:firstLineChars="200"/>
        <w:rPr>
          <w:rFonts w:ascii="仿宋" w:hAnsi="仿宋" w:eastAsia="仿宋"/>
          <w:sz w:val="32"/>
          <w:szCs w:val="32"/>
        </w:rPr>
      </w:pPr>
      <w:r>
        <w:rPr>
          <w:rFonts w:ascii="仿宋" w:hAnsi="仿宋" w:eastAsia="仿宋"/>
          <w:sz w:val="32"/>
          <w:szCs w:val="32"/>
        </w:rPr>
        <w:t>相关文件应当在披露前一交易日（T+2日）16：00前通过业务专区上传，相关公告经本所审</w:t>
      </w:r>
      <w:r>
        <w:rPr>
          <w:rFonts w:hint="eastAsia" w:ascii="仿宋" w:hAnsi="仿宋" w:eastAsia="仿宋"/>
          <w:sz w:val="32"/>
          <w:szCs w:val="32"/>
        </w:rPr>
        <w:t>查</w:t>
      </w:r>
      <w:r>
        <w:rPr>
          <w:rFonts w:ascii="仿宋" w:hAnsi="仿宋" w:eastAsia="仿宋"/>
          <w:sz w:val="32"/>
          <w:szCs w:val="32"/>
        </w:rPr>
        <w:t>后于次一交易日披露。上市公司披露增发结果公告当日（T+3日），上市公司股票及其衍生品种自开市起复牌。</w:t>
      </w:r>
    </w:p>
    <w:p>
      <w:pPr>
        <w:spacing w:line="560" w:lineRule="exact"/>
        <w:ind w:firstLine="640" w:firstLineChars="200"/>
        <w:rPr>
          <w:rFonts w:ascii="仿宋" w:hAnsi="仿宋" w:eastAsia="仿宋"/>
          <w:sz w:val="32"/>
          <w:szCs w:val="32"/>
        </w:rPr>
      </w:pPr>
      <w:r>
        <w:rPr>
          <w:rFonts w:ascii="仿宋" w:hAnsi="仿宋" w:eastAsia="仿宋"/>
          <w:sz w:val="32"/>
          <w:szCs w:val="32"/>
        </w:rPr>
        <w:t>上市公司及主承销商按结算公司的要求在增发网上申购结束后第二个交易日（T+2日）到结算公司结算业务部对网上申购资金进行验资并提交新股发行划款申请（附件4）。</w:t>
      </w:r>
    </w:p>
    <w:p>
      <w:pPr>
        <w:spacing w:line="560" w:lineRule="exact"/>
        <w:ind w:firstLine="643" w:firstLineChars="200"/>
        <w:rPr>
          <w:rFonts w:ascii="黑体" w:hAnsi="黑体" w:eastAsia="黑体"/>
          <w:b/>
          <w:sz w:val="32"/>
          <w:szCs w:val="32"/>
        </w:rPr>
      </w:pPr>
      <w:r>
        <w:rPr>
          <w:rFonts w:ascii="黑体" w:hAnsi="黑体" w:eastAsia="黑体"/>
          <w:b/>
          <w:sz w:val="32"/>
          <w:szCs w:val="32"/>
        </w:rPr>
        <w:t>四、股份登记及上市的相关工作</w:t>
      </w:r>
    </w:p>
    <w:p>
      <w:pPr>
        <w:spacing w:line="560" w:lineRule="exact"/>
        <w:ind w:firstLine="640" w:firstLineChars="200"/>
        <w:rPr>
          <w:rFonts w:ascii="楷体" w:hAnsi="楷体" w:eastAsia="楷体"/>
          <w:sz w:val="32"/>
          <w:szCs w:val="32"/>
        </w:rPr>
      </w:pPr>
      <w:r>
        <w:rPr>
          <w:rFonts w:ascii="楷体" w:hAnsi="楷体" w:eastAsia="楷体"/>
          <w:sz w:val="32"/>
          <w:szCs w:val="32"/>
        </w:rPr>
        <w:t>（一）股份登记</w:t>
      </w:r>
    </w:p>
    <w:p>
      <w:pPr>
        <w:spacing w:line="560" w:lineRule="exact"/>
        <w:ind w:firstLine="640" w:firstLineChars="200"/>
        <w:rPr>
          <w:rFonts w:ascii="仿宋" w:hAnsi="仿宋" w:eastAsia="仿宋"/>
          <w:sz w:val="32"/>
          <w:szCs w:val="32"/>
        </w:rPr>
      </w:pPr>
      <w:r>
        <w:rPr>
          <w:rFonts w:ascii="仿宋" w:hAnsi="仿宋" w:eastAsia="仿宋"/>
          <w:sz w:val="32"/>
          <w:szCs w:val="32"/>
        </w:rPr>
        <w:t>发行结束后两个交易日内，上市公司及主承销商应当按照结算公司的要求办理增发股份的股份登记托管手续，具体流程</w:t>
      </w:r>
      <w:r>
        <w:rPr>
          <w:rFonts w:hint="eastAsia" w:ascii="仿宋" w:hAnsi="仿宋" w:eastAsia="仿宋"/>
          <w:sz w:val="32"/>
          <w:szCs w:val="32"/>
        </w:rPr>
        <w:t>按照</w:t>
      </w:r>
      <w:r>
        <w:rPr>
          <w:rFonts w:ascii="仿宋" w:hAnsi="仿宋" w:eastAsia="仿宋"/>
          <w:sz w:val="32"/>
          <w:szCs w:val="32"/>
        </w:rPr>
        <w:t>结算公司相关规定执行。</w:t>
      </w:r>
    </w:p>
    <w:p>
      <w:pPr>
        <w:spacing w:line="560" w:lineRule="exact"/>
        <w:ind w:firstLine="640" w:firstLineChars="200"/>
        <w:rPr>
          <w:rFonts w:ascii="楷体" w:hAnsi="楷体" w:eastAsia="楷体"/>
          <w:sz w:val="32"/>
          <w:szCs w:val="32"/>
        </w:rPr>
      </w:pPr>
      <w:r>
        <w:rPr>
          <w:rFonts w:ascii="楷体" w:hAnsi="楷体" w:eastAsia="楷体"/>
          <w:sz w:val="32"/>
          <w:szCs w:val="32"/>
        </w:rPr>
        <w:t>（二）申请上市披露文件</w:t>
      </w:r>
    </w:p>
    <w:p>
      <w:pPr>
        <w:spacing w:line="560" w:lineRule="exact"/>
        <w:ind w:firstLine="640" w:firstLineChars="200"/>
        <w:rPr>
          <w:rFonts w:ascii="仿宋" w:hAnsi="仿宋" w:eastAsia="仿宋"/>
          <w:sz w:val="32"/>
          <w:szCs w:val="32"/>
        </w:rPr>
      </w:pPr>
      <w:r>
        <w:rPr>
          <w:rFonts w:ascii="仿宋" w:hAnsi="仿宋" w:eastAsia="仿宋"/>
          <w:sz w:val="32"/>
          <w:szCs w:val="32"/>
        </w:rPr>
        <w:t>股份登记完成后两个交易日内，上市公司及保荐人应申请增发新股上市，并向本所提交以下申请文件：</w:t>
      </w:r>
    </w:p>
    <w:p>
      <w:pPr>
        <w:spacing w:line="560" w:lineRule="exact"/>
        <w:ind w:firstLine="640" w:firstLineChars="200"/>
        <w:rPr>
          <w:rFonts w:ascii="仿宋" w:hAnsi="仿宋" w:eastAsia="仿宋"/>
          <w:sz w:val="32"/>
          <w:szCs w:val="32"/>
        </w:rPr>
      </w:pPr>
      <w:r>
        <w:rPr>
          <w:rFonts w:ascii="仿宋" w:hAnsi="仿宋" w:eastAsia="仿宋"/>
          <w:sz w:val="32"/>
          <w:szCs w:val="32"/>
        </w:rPr>
        <w:t>1．上市申请书（报备）</w:t>
      </w:r>
    </w:p>
    <w:p>
      <w:pPr>
        <w:spacing w:line="560" w:lineRule="exact"/>
        <w:ind w:firstLine="640" w:firstLineChars="200"/>
        <w:rPr>
          <w:rFonts w:ascii="仿宋" w:hAnsi="仿宋" w:eastAsia="仿宋"/>
          <w:sz w:val="32"/>
          <w:szCs w:val="32"/>
        </w:rPr>
      </w:pPr>
      <w:r>
        <w:rPr>
          <w:rFonts w:ascii="仿宋" w:hAnsi="仿宋" w:eastAsia="仿宋"/>
          <w:sz w:val="32"/>
          <w:szCs w:val="32"/>
        </w:rPr>
        <w:t>2．股份变动及股份上市公告书（上网）</w:t>
      </w:r>
    </w:p>
    <w:p>
      <w:pPr>
        <w:spacing w:line="560" w:lineRule="exact"/>
        <w:ind w:firstLine="640" w:firstLineChars="200"/>
        <w:rPr>
          <w:rFonts w:ascii="仿宋" w:hAnsi="仿宋" w:eastAsia="仿宋"/>
          <w:sz w:val="32"/>
          <w:szCs w:val="32"/>
        </w:rPr>
      </w:pPr>
      <w:r>
        <w:rPr>
          <w:rFonts w:ascii="仿宋" w:hAnsi="仿宋" w:eastAsia="仿宋"/>
          <w:sz w:val="32"/>
          <w:szCs w:val="32"/>
        </w:rPr>
        <w:t>3．上市保荐书（上网）、保荐协议（报备）</w:t>
      </w:r>
    </w:p>
    <w:p>
      <w:pPr>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符合《证券法》规定的会计师事务所</w:t>
      </w:r>
      <w:r>
        <w:rPr>
          <w:rFonts w:ascii="仿宋" w:hAnsi="仿宋" w:eastAsia="仿宋"/>
          <w:sz w:val="32"/>
          <w:szCs w:val="32"/>
        </w:rPr>
        <w:t>出具的验资报告（报备）</w:t>
      </w:r>
    </w:p>
    <w:p>
      <w:pPr>
        <w:spacing w:line="560" w:lineRule="exact"/>
        <w:ind w:firstLine="640" w:firstLineChars="200"/>
        <w:rPr>
          <w:rFonts w:ascii="仿宋" w:hAnsi="仿宋" w:eastAsia="仿宋"/>
          <w:sz w:val="32"/>
          <w:szCs w:val="32"/>
        </w:rPr>
      </w:pPr>
      <w:r>
        <w:rPr>
          <w:rFonts w:ascii="仿宋" w:hAnsi="仿宋" w:eastAsia="仿宋"/>
          <w:sz w:val="32"/>
          <w:szCs w:val="32"/>
        </w:rPr>
        <w:t>5．结算公司对新增股份登记的书面证明、前十大股东名册（报备）</w:t>
      </w:r>
    </w:p>
    <w:p>
      <w:pPr>
        <w:spacing w:line="560" w:lineRule="exact"/>
        <w:ind w:firstLine="640" w:firstLineChars="200"/>
        <w:rPr>
          <w:rFonts w:ascii="仿宋" w:hAnsi="仿宋" w:eastAsia="仿宋"/>
          <w:sz w:val="32"/>
          <w:szCs w:val="32"/>
        </w:rPr>
      </w:pPr>
      <w:r>
        <w:rPr>
          <w:rFonts w:ascii="仿宋" w:hAnsi="仿宋" w:eastAsia="仿宋"/>
          <w:sz w:val="32"/>
          <w:szCs w:val="32"/>
        </w:rPr>
        <w:t>6．董事、监事和高级管理人员持股情况变动的报告（如适用，上网）</w:t>
      </w:r>
    </w:p>
    <w:p>
      <w:pPr>
        <w:spacing w:line="560" w:lineRule="exact"/>
        <w:ind w:firstLine="640" w:firstLineChars="200"/>
        <w:rPr>
          <w:rFonts w:ascii="仿宋" w:hAnsi="仿宋" w:eastAsia="仿宋"/>
          <w:sz w:val="32"/>
          <w:szCs w:val="32"/>
        </w:rPr>
      </w:pPr>
      <w:r>
        <w:rPr>
          <w:rFonts w:ascii="仿宋" w:hAnsi="仿宋" w:eastAsia="仿宋"/>
          <w:sz w:val="32"/>
          <w:szCs w:val="32"/>
        </w:rPr>
        <w:t>7．公司仍符合增发发行条件的说明。说明截至上市申请日，公司仍符合增发发行条件（报备）</w:t>
      </w:r>
    </w:p>
    <w:p>
      <w:pPr>
        <w:spacing w:line="560" w:lineRule="exact"/>
        <w:ind w:firstLine="640" w:firstLineChars="200"/>
        <w:rPr>
          <w:rFonts w:ascii="仿宋" w:hAnsi="仿宋" w:eastAsia="仿宋"/>
          <w:sz w:val="32"/>
          <w:szCs w:val="32"/>
        </w:rPr>
      </w:pPr>
      <w:r>
        <w:rPr>
          <w:rFonts w:ascii="仿宋" w:hAnsi="仿宋" w:eastAsia="仿宋"/>
          <w:sz w:val="32"/>
          <w:szCs w:val="32"/>
        </w:rPr>
        <w:t>8．无会后事项承诺函（报备）</w:t>
      </w:r>
    </w:p>
    <w:p>
      <w:pPr>
        <w:spacing w:line="560" w:lineRule="exact"/>
        <w:ind w:firstLine="640" w:firstLineChars="200"/>
        <w:rPr>
          <w:rFonts w:ascii="仿宋" w:hAnsi="仿宋" w:eastAsia="仿宋"/>
          <w:sz w:val="32"/>
          <w:szCs w:val="32"/>
        </w:rPr>
      </w:pPr>
      <w:r>
        <w:rPr>
          <w:rFonts w:ascii="仿宋" w:hAnsi="仿宋" w:eastAsia="仿宋"/>
          <w:sz w:val="32"/>
          <w:szCs w:val="32"/>
        </w:rPr>
        <w:t>9．本所要求的其他文件</w:t>
      </w:r>
    </w:p>
    <w:p>
      <w:pPr>
        <w:spacing w:line="560" w:lineRule="exact"/>
        <w:ind w:firstLine="640" w:firstLineChars="200"/>
        <w:rPr>
          <w:rFonts w:ascii="楷体" w:hAnsi="楷体" w:eastAsia="楷体"/>
          <w:sz w:val="32"/>
          <w:szCs w:val="32"/>
        </w:rPr>
      </w:pPr>
      <w:r>
        <w:rPr>
          <w:rFonts w:ascii="楷体" w:hAnsi="楷体" w:eastAsia="楷体"/>
          <w:sz w:val="32"/>
          <w:szCs w:val="32"/>
        </w:rPr>
        <w:t>（三）上市公告书</w:t>
      </w:r>
      <w:r>
        <w:rPr>
          <w:rFonts w:hint="eastAsia" w:ascii="楷体" w:hAnsi="楷体" w:eastAsia="楷体"/>
          <w:sz w:val="32"/>
          <w:szCs w:val="32"/>
        </w:rPr>
        <w:t>等</w:t>
      </w:r>
      <w:r>
        <w:rPr>
          <w:rFonts w:ascii="楷体" w:hAnsi="楷体" w:eastAsia="楷体"/>
          <w:sz w:val="32"/>
          <w:szCs w:val="32"/>
        </w:rPr>
        <w:t>披露要求</w:t>
      </w:r>
    </w:p>
    <w:p>
      <w:pPr>
        <w:spacing w:line="560" w:lineRule="exact"/>
        <w:ind w:firstLine="640" w:firstLineChars="200"/>
        <w:rPr>
          <w:rFonts w:ascii="仿宋" w:hAnsi="仿宋" w:eastAsia="仿宋"/>
          <w:sz w:val="32"/>
          <w:szCs w:val="32"/>
        </w:rPr>
      </w:pPr>
      <w:r>
        <w:rPr>
          <w:rFonts w:ascii="仿宋" w:hAnsi="仿宋" w:eastAsia="仿宋"/>
          <w:sz w:val="32"/>
          <w:szCs w:val="32"/>
        </w:rPr>
        <w:t>1．上市公司应当在增发股份上市流通前五个交易日内披露《股份变动报告及上市公告书》，上市公司应当按照《公开发行证券的公司信息披露内容与格式准则第5号——公司股份变动报告的内容与格式》等规定，以及本所《创业板上市公司新增股份变动报告及上市公告书格式》的要求编制《股份变动报告及上市公告书》。</w:t>
      </w:r>
    </w:p>
    <w:p>
      <w:pPr>
        <w:spacing w:line="560" w:lineRule="exact"/>
        <w:ind w:firstLine="640" w:firstLineChars="200"/>
        <w:rPr>
          <w:rFonts w:ascii="仿宋" w:hAnsi="仿宋" w:eastAsia="仿宋"/>
          <w:sz w:val="32"/>
          <w:szCs w:val="32"/>
        </w:rPr>
      </w:pPr>
      <w:r>
        <w:rPr>
          <w:rFonts w:ascii="仿宋" w:hAnsi="仿宋" w:eastAsia="仿宋"/>
          <w:sz w:val="32"/>
          <w:szCs w:val="32"/>
        </w:rPr>
        <w:t>2．因增发导致部分股东持股比例触及</w:t>
      </w:r>
      <w:r>
        <w:rPr>
          <w:rFonts w:hint="eastAsia" w:ascii="仿宋" w:hAnsi="仿宋" w:eastAsia="仿宋"/>
          <w:sz w:val="32"/>
          <w:szCs w:val="32"/>
        </w:rPr>
        <w:t>《上市公司收购管理办法》（以下简称《收购管理办法》）</w:t>
      </w:r>
      <w:r>
        <w:rPr>
          <w:rFonts w:ascii="仿宋" w:hAnsi="仿宋" w:eastAsia="仿宋"/>
          <w:sz w:val="32"/>
          <w:szCs w:val="32"/>
        </w:rPr>
        <w:t>所规范的收购及股份权益变动披露标准的，应按《收购管理办法》及相关法律法规、规范性文件要求，履行权益变动披露程序。相关股东应在披露《增发结果公告》3日内披露《简式权益变动报告书》《详式权益变动报告书》等文件。</w:t>
      </w:r>
    </w:p>
    <w:p>
      <w:pPr>
        <w:pStyle w:val="36"/>
        <w:ind w:firstLine="0" w:firstLineChars="0"/>
        <w:rPr>
          <w:rFonts w:ascii="黑体" w:hAnsi="黑体" w:eastAsia="黑体"/>
          <w:color w:val="000000"/>
          <w:sz w:val="32"/>
          <w:szCs w:val="32"/>
        </w:rPr>
      </w:pPr>
      <w:r>
        <w:rPr>
          <w:color w:val="000000"/>
          <w:szCs w:val="28"/>
        </w:rPr>
        <w:br w:type="page"/>
      </w:r>
      <w:r>
        <w:rPr>
          <w:rFonts w:ascii="黑体" w:hAnsi="黑体" w:eastAsia="黑体"/>
          <w:sz w:val="32"/>
          <w:szCs w:val="32"/>
        </w:rPr>
        <w:t>附件1</w:t>
      </w:r>
    </w:p>
    <w:p>
      <w:pPr>
        <w:pStyle w:val="36"/>
        <w:spacing w:line="560" w:lineRule="exact"/>
        <w:ind w:firstLine="0" w:firstLineChars="0"/>
        <w:rPr>
          <w:rFonts w:ascii="黑体" w:hAnsi="黑体" w:eastAsia="黑体"/>
          <w:color w:val="000000"/>
          <w:sz w:val="32"/>
          <w:szCs w:val="32"/>
        </w:rPr>
      </w:pPr>
    </w:p>
    <w:p>
      <w:pPr>
        <w:pStyle w:val="36"/>
        <w:spacing w:line="560" w:lineRule="exact"/>
        <w:ind w:firstLine="0" w:firstLineChars="0"/>
        <w:jc w:val="center"/>
        <w:rPr>
          <w:rFonts w:ascii="方正小标宋简体" w:hAnsi="黑体" w:eastAsia="方正小标宋简体"/>
          <w:color w:val="000000"/>
          <w:sz w:val="32"/>
          <w:szCs w:val="32"/>
        </w:rPr>
      </w:pPr>
      <w:r>
        <w:rPr>
          <w:rFonts w:hint="eastAsia" w:ascii="方正小标宋简体" w:hAnsi="黑体" w:eastAsia="方正小标宋简体"/>
          <w:color w:val="000000"/>
          <w:sz w:val="32"/>
          <w:szCs w:val="32"/>
        </w:rPr>
        <w:t>创业板上市公司增发上市业务操作流程</w:t>
      </w:r>
    </w:p>
    <w:p>
      <w:pPr>
        <w:ind w:left="376" w:leftChars="-43" w:hanging="466" w:hangingChars="222"/>
        <w:jc w:val="center"/>
        <w:rPr>
          <w:rFonts w:ascii="宋体" w:hAnsi="宋体"/>
        </w:rPr>
      </w:pPr>
      <w:r>
        <w:rPr>
          <w:rFonts w:ascii="宋体" w:hAnsi="宋体"/>
        </w:rPr>
        <w:t>（注：T日：上网发行申购日  L日：增发新股上市日）</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534"/>
        <w:gridCol w:w="1534"/>
        <w:gridCol w:w="4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23" w:type="dxa"/>
          </w:tcPr>
          <w:p>
            <w:pPr>
              <w:jc w:val="center"/>
              <w:rPr>
                <w:rFonts w:ascii="宋体" w:hAnsi="宋体"/>
                <w:b/>
              </w:rPr>
            </w:pPr>
            <w:r>
              <w:rPr>
                <w:rFonts w:ascii="宋体" w:hAnsi="宋体"/>
                <w:b/>
              </w:rPr>
              <w:t>序号</w:t>
            </w:r>
          </w:p>
        </w:tc>
        <w:tc>
          <w:tcPr>
            <w:tcW w:w="1534" w:type="dxa"/>
          </w:tcPr>
          <w:p>
            <w:pPr>
              <w:jc w:val="center"/>
              <w:rPr>
                <w:rFonts w:ascii="宋体" w:hAnsi="宋体"/>
                <w:b/>
              </w:rPr>
            </w:pPr>
            <w:r>
              <w:rPr>
                <w:rFonts w:ascii="宋体" w:hAnsi="宋体"/>
                <w:b/>
              </w:rPr>
              <w:t>阶段</w:t>
            </w:r>
          </w:p>
        </w:tc>
        <w:tc>
          <w:tcPr>
            <w:tcW w:w="1534" w:type="dxa"/>
          </w:tcPr>
          <w:p>
            <w:pPr>
              <w:jc w:val="center"/>
              <w:rPr>
                <w:rFonts w:ascii="宋体" w:hAnsi="宋体"/>
                <w:b/>
              </w:rPr>
            </w:pPr>
            <w:r>
              <w:rPr>
                <w:rFonts w:ascii="宋体" w:hAnsi="宋体"/>
                <w:b/>
              </w:rPr>
              <w:t>时间</w:t>
            </w:r>
          </w:p>
        </w:tc>
        <w:tc>
          <w:tcPr>
            <w:tcW w:w="4431" w:type="dxa"/>
          </w:tcPr>
          <w:p>
            <w:pPr>
              <w:jc w:val="center"/>
              <w:rPr>
                <w:rFonts w:ascii="宋体" w:hAnsi="宋体"/>
                <w:b/>
              </w:rPr>
            </w:pPr>
            <w:r>
              <w:rPr>
                <w:rFonts w:ascii="宋体" w:hAnsi="宋体"/>
                <w:b/>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Pr>
          <w:p>
            <w:pPr>
              <w:jc w:val="center"/>
              <w:rPr>
                <w:rFonts w:ascii="宋体" w:hAnsi="宋体"/>
              </w:rPr>
            </w:pPr>
            <w:r>
              <w:rPr>
                <w:rFonts w:ascii="宋体" w:hAnsi="宋体"/>
              </w:rPr>
              <w:t>1</w:t>
            </w:r>
          </w:p>
        </w:tc>
        <w:tc>
          <w:tcPr>
            <w:tcW w:w="1534" w:type="dxa"/>
          </w:tcPr>
          <w:p>
            <w:pPr>
              <w:jc w:val="center"/>
              <w:rPr>
                <w:rFonts w:ascii="宋体" w:hAnsi="宋体"/>
                <w:b/>
              </w:rPr>
            </w:pPr>
            <w:r>
              <w:rPr>
                <w:rFonts w:ascii="宋体" w:hAnsi="宋体"/>
                <w:b/>
              </w:rPr>
              <w:t>沟通发行安排</w:t>
            </w:r>
          </w:p>
        </w:tc>
        <w:tc>
          <w:tcPr>
            <w:tcW w:w="1534" w:type="dxa"/>
            <w:vMerge w:val="restart"/>
          </w:tcPr>
          <w:p>
            <w:pPr>
              <w:rPr>
                <w:rFonts w:ascii="宋体" w:hAnsi="宋体"/>
              </w:rPr>
            </w:pPr>
            <w:r>
              <w:rPr>
                <w:rFonts w:ascii="宋体" w:hAnsi="宋体"/>
              </w:rPr>
              <w:t>T-3日或之前</w:t>
            </w:r>
          </w:p>
        </w:tc>
        <w:tc>
          <w:tcPr>
            <w:tcW w:w="4431" w:type="dxa"/>
          </w:tcPr>
          <w:p>
            <w:pPr>
              <w:rPr>
                <w:rFonts w:ascii="宋体" w:hAnsi="宋体"/>
              </w:rPr>
            </w:pPr>
            <w:r>
              <w:rPr>
                <w:rFonts w:ascii="宋体" w:hAnsi="宋体"/>
              </w:rPr>
              <w:t>上市公司及</w:t>
            </w:r>
            <w:r>
              <w:rPr>
                <w:rFonts w:hint="eastAsia" w:ascii="宋体" w:hAnsi="宋体"/>
              </w:rPr>
              <w:t>主承销商</w:t>
            </w:r>
            <w:r>
              <w:rPr>
                <w:rFonts w:ascii="宋体" w:hAnsi="宋体"/>
              </w:rPr>
              <w:t>应当在披露</w:t>
            </w:r>
            <w:r>
              <w:rPr>
                <w:rFonts w:hint="eastAsia" w:ascii="宋体" w:hAnsi="宋体"/>
              </w:rPr>
              <w:t>发行公告</w:t>
            </w:r>
            <w:r>
              <w:rPr>
                <w:rFonts w:ascii="宋体" w:hAnsi="宋体"/>
              </w:rPr>
              <w:t>三个工作日之前与创业板公司管理部联系，就本次发行方案的要点，特别是其中的创新部分进行充分沟通，以确保增发方案顺利实施。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Pr>
          <w:p>
            <w:pPr>
              <w:jc w:val="center"/>
              <w:rPr>
                <w:rFonts w:ascii="宋体" w:hAnsi="宋体"/>
              </w:rPr>
            </w:pPr>
            <w:r>
              <w:rPr>
                <w:rFonts w:ascii="宋体" w:hAnsi="宋体"/>
              </w:rPr>
              <w:t>2</w:t>
            </w:r>
          </w:p>
        </w:tc>
        <w:tc>
          <w:tcPr>
            <w:tcW w:w="1534" w:type="dxa"/>
          </w:tcPr>
          <w:p>
            <w:pPr>
              <w:jc w:val="center"/>
              <w:rPr>
                <w:rFonts w:ascii="宋体" w:hAnsi="宋体"/>
                <w:b/>
              </w:rPr>
            </w:pPr>
            <w:r>
              <w:rPr>
                <w:rFonts w:ascii="宋体" w:hAnsi="宋体"/>
                <w:b/>
              </w:rPr>
              <w:t>披露《增发招股</w:t>
            </w:r>
            <w:r>
              <w:rPr>
                <w:rFonts w:hint="eastAsia" w:ascii="宋体" w:hAnsi="宋体"/>
                <w:b/>
              </w:rPr>
              <w:t>说明</w:t>
            </w:r>
            <w:r>
              <w:rPr>
                <w:rFonts w:ascii="宋体" w:hAnsi="宋体"/>
                <w:b/>
              </w:rPr>
              <w:t>书》准备</w:t>
            </w:r>
          </w:p>
        </w:tc>
        <w:tc>
          <w:tcPr>
            <w:tcW w:w="1534" w:type="dxa"/>
            <w:vMerge w:val="continue"/>
          </w:tcPr>
          <w:p>
            <w:pPr>
              <w:rPr>
                <w:rFonts w:ascii="宋体" w:hAnsi="宋体"/>
              </w:rPr>
            </w:pPr>
          </w:p>
        </w:tc>
        <w:tc>
          <w:tcPr>
            <w:tcW w:w="4431" w:type="dxa"/>
          </w:tcPr>
          <w:p>
            <w:pPr>
              <w:rPr>
                <w:rFonts w:ascii="宋体" w:hAnsi="宋体"/>
              </w:rPr>
            </w:pPr>
            <w:r>
              <w:rPr>
                <w:rFonts w:ascii="宋体" w:hAnsi="宋体"/>
              </w:rPr>
              <w:t>上市公司及</w:t>
            </w:r>
            <w:r>
              <w:rPr>
                <w:rFonts w:hint="eastAsia" w:ascii="宋体" w:hAnsi="宋体"/>
              </w:rPr>
              <w:t>主承销商</w:t>
            </w:r>
            <w:r>
              <w:rPr>
                <w:rFonts w:ascii="宋体" w:hAnsi="宋体"/>
              </w:rPr>
              <w:t>应在T-3日16：00之前，提交发行申请及相关信息披露文件：</w:t>
            </w:r>
          </w:p>
          <w:p>
            <w:pPr>
              <w:rPr>
                <w:rFonts w:ascii="宋体" w:hAnsi="宋体"/>
              </w:rPr>
            </w:pPr>
            <w:r>
              <w:rPr>
                <w:rFonts w:ascii="宋体" w:hAnsi="宋体"/>
              </w:rPr>
              <w:t>（1）中国证监会予以注册决定（报备）；</w:t>
            </w:r>
          </w:p>
          <w:p>
            <w:pPr>
              <w:rPr>
                <w:rFonts w:ascii="宋体" w:hAnsi="宋体"/>
              </w:rPr>
            </w:pPr>
            <w:r>
              <w:rPr>
                <w:rFonts w:ascii="宋体" w:hAnsi="宋体"/>
              </w:rPr>
              <w:t>（2）发行公告提示性公告、《增发招股</w:t>
            </w:r>
            <w:r>
              <w:rPr>
                <w:rFonts w:hint="eastAsia" w:ascii="宋体" w:hAnsi="宋体"/>
              </w:rPr>
              <w:t>说明</w:t>
            </w:r>
            <w:r>
              <w:rPr>
                <w:rFonts w:ascii="宋体" w:hAnsi="宋体"/>
              </w:rPr>
              <w:t>书》全文、路演公告、网上发行公告、网下发行公告、发行保荐书、法律意见书上网，其中发行公告提示性公告登报；</w:t>
            </w:r>
          </w:p>
          <w:p>
            <w:pPr>
              <w:rPr>
                <w:rFonts w:ascii="宋体" w:hAnsi="宋体"/>
              </w:rPr>
            </w:pPr>
            <w:r>
              <w:rPr>
                <w:rFonts w:ascii="宋体" w:hAnsi="宋体"/>
              </w:rPr>
              <w:t>（3）《增发新股发行申请书》（附件2，公司和主承销商盖章，报备）；</w:t>
            </w:r>
          </w:p>
          <w:p>
            <w:pPr>
              <w:rPr>
                <w:rFonts w:ascii="宋体" w:hAnsi="宋体"/>
              </w:rPr>
            </w:pPr>
            <w:r>
              <w:rPr>
                <w:rFonts w:ascii="宋体" w:hAnsi="宋体"/>
              </w:rPr>
              <w:t>（4）发行预计时间安排（公司盖章，报备）；</w:t>
            </w:r>
          </w:p>
          <w:p>
            <w:pPr>
              <w:rPr>
                <w:rFonts w:ascii="宋体" w:hAnsi="宋体"/>
              </w:rPr>
            </w:pPr>
            <w:r>
              <w:rPr>
                <w:rFonts w:ascii="宋体" w:hAnsi="宋体"/>
              </w:rPr>
              <w:t>（5）发行方案要点（附件3）和发行公告（报备）；</w:t>
            </w:r>
          </w:p>
          <w:p>
            <w:pPr>
              <w:rPr>
                <w:rFonts w:ascii="宋体" w:hAnsi="宋体"/>
              </w:rPr>
            </w:pPr>
            <w:r>
              <w:rPr>
                <w:rFonts w:ascii="宋体" w:hAnsi="宋体"/>
              </w:rPr>
              <w:t>（6）主承销商经办人员的身份证复印件、主承销商授权委托书（需主承销商法定代表人签字）及主承销商法定代表人身份证明书（主承销商盖章，需附法定代表人身份证复印件）（报备）；</w:t>
            </w:r>
          </w:p>
          <w:p>
            <w:pPr>
              <w:rPr>
                <w:rFonts w:ascii="宋体" w:hAnsi="宋体"/>
              </w:rPr>
            </w:pPr>
            <w:r>
              <w:rPr>
                <w:rFonts w:ascii="宋体" w:hAnsi="宋体"/>
              </w:rPr>
              <w:t>（7）公司经办人员的身份证复印件、公司授权委托书（需公司法定代表人签字）及公司法定代表人身份证明书（公司盖章，需附法定代表人身份证复印件）（报备）。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23" w:type="dxa"/>
          </w:tcPr>
          <w:p>
            <w:pPr>
              <w:jc w:val="center"/>
              <w:rPr>
                <w:rFonts w:ascii="宋体" w:hAnsi="宋体"/>
              </w:rPr>
            </w:pPr>
            <w:r>
              <w:rPr>
                <w:rFonts w:ascii="宋体" w:hAnsi="宋体"/>
              </w:rPr>
              <w:t>3</w:t>
            </w:r>
          </w:p>
        </w:tc>
        <w:tc>
          <w:tcPr>
            <w:tcW w:w="1534" w:type="dxa"/>
          </w:tcPr>
          <w:p>
            <w:pPr>
              <w:rPr>
                <w:rFonts w:ascii="宋体" w:hAnsi="宋体"/>
                <w:b/>
              </w:rPr>
            </w:pPr>
            <w:r>
              <w:rPr>
                <w:rFonts w:ascii="宋体" w:hAnsi="宋体"/>
                <w:b/>
              </w:rPr>
              <w:t>披露《增发招股</w:t>
            </w:r>
            <w:r>
              <w:rPr>
                <w:rFonts w:hint="eastAsia" w:ascii="宋体" w:hAnsi="宋体"/>
                <w:b/>
              </w:rPr>
              <w:t>说明</w:t>
            </w:r>
            <w:r>
              <w:rPr>
                <w:rFonts w:ascii="宋体" w:hAnsi="宋体"/>
                <w:b/>
              </w:rPr>
              <w:t>书》</w:t>
            </w:r>
          </w:p>
        </w:tc>
        <w:tc>
          <w:tcPr>
            <w:tcW w:w="1534" w:type="dxa"/>
          </w:tcPr>
          <w:p>
            <w:pPr>
              <w:rPr>
                <w:rFonts w:ascii="宋体" w:hAnsi="宋体"/>
              </w:rPr>
            </w:pPr>
            <w:r>
              <w:rPr>
                <w:rFonts w:ascii="宋体" w:hAnsi="宋体"/>
              </w:rPr>
              <w:t>T-2日</w:t>
            </w:r>
          </w:p>
        </w:tc>
        <w:tc>
          <w:tcPr>
            <w:tcW w:w="4431" w:type="dxa"/>
          </w:tcPr>
          <w:p>
            <w:pPr>
              <w:rPr>
                <w:rFonts w:ascii="宋体" w:hAnsi="宋体"/>
              </w:rPr>
            </w:pPr>
            <w:r>
              <w:rPr>
                <w:rFonts w:ascii="宋体" w:hAnsi="宋体"/>
              </w:rPr>
              <w:t>（1）披露《增发招股</w:t>
            </w:r>
            <w:r>
              <w:rPr>
                <w:rFonts w:hint="eastAsia" w:ascii="宋体" w:hAnsi="宋体"/>
              </w:rPr>
              <w:t>说明</w:t>
            </w:r>
            <w:r>
              <w:rPr>
                <w:rFonts w:ascii="宋体" w:hAnsi="宋体"/>
              </w:rPr>
              <w:t>书》及网上网下发行公告等相关公告，提示性公告登报；</w:t>
            </w:r>
          </w:p>
          <w:p>
            <w:pPr>
              <w:rPr>
                <w:rFonts w:ascii="宋体" w:hAnsi="宋体"/>
              </w:rPr>
            </w:pPr>
            <w:r>
              <w:rPr>
                <w:rFonts w:ascii="宋体" w:hAnsi="宋体"/>
              </w:rPr>
              <w:t>（2）准备《新股发行认购资金划款申请》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Pr>
          <w:p>
            <w:pPr>
              <w:jc w:val="center"/>
              <w:rPr>
                <w:rFonts w:ascii="宋体" w:hAnsi="宋体"/>
              </w:rPr>
            </w:pPr>
            <w:r>
              <w:rPr>
                <w:rFonts w:ascii="宋体" w:hAnsi="宋体"/>
              </w:rPr>
              <w:t>4</w:t>
            </w:r>
          </w:p>
        </w:tc>
        <w:tc>
          <w:tcPr>
            <w:tcW w:w="1534" w:type="dxa"/>
          </w:tcPr>
          <w:p>
            <w:pPr>
              <w:jc w:val="center"/>
              <w:rPr>
                <w:rFonts w:ascii="宋体" w:hAnsi="宋体"/>
                <w:b/>
              </w:rPr>
            </w:pPr>
            <w:r>
              <w:rPr>
                <w:rFonts w:ascii="宋体" w:hAnsi="宋体"/>
                <w:b/>
              </w:rPr>
              <w:t>网上申购准备</w:t>
            </w:r>
          </w:p>
        </w:tc>
        <w:tc>
          <w:tcPr>
            <w:tcW w:w="1534" w:type="dxa"/>
          </w:tcPr>
          <w:p>
            <w:pPr>
              <w:rPr>
                <w:rFonts w:ascii="宋体" w:hAnsi="宋体"/>
              </w:rPr>
            </w:pPr>
            <w:r>
              <w:rPr>
                <w:rFonts w:ascii="宋体" w:hAnsi="宋体"/>
              </w:rPr>
              <w:t>T-1日</w:t>
            </w:r>
          </w:p>
        </w:tc>
        <w:tc>
          <w:tcPr>
            <w:tcW w:w="4431" w:type="dxa"/>
          </w:tcPr>
          <w:p>
            <w:pPr>
              <w:rPr>
                <w:rFonts w:ascii="宋体" w:hAnsi="宋体"/>
              </w:rPr>
            </w:pPr>
            <w:r>
              <w:rPr>
                <w:rFonts w:ascii="宋体" w:hAnsi="宋体"/>
              </w:rPr>
              <w:t>（1）16：00前，提交《增发提示性公告》（登报、上网）及停牌申请；</w:t>
            </w:r>
          </w:p>
          <w:p>
            <w:pPr>
              <w:rPr>
                <w:rFonts w:ascii="宋体" w:hAnsi="宋体"/>
              </w:rPr>
            </w:pPr>
            <w:r>
              <w:rPr>
                <w:rFonts w:ascii="宋体" w:hAnsi="宋体"/>
              </w:rPr>
              <w:t>（2）在14:00前，向结算公司结算业务部提供会计师事务所信息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8" w:hRule="atLeast"/>
        </w:trPr>
        <w:tc>
          <w:tcPr>
            <w:tcW w:w="1023" w:type="dxa"/>
          </w:tcPr>
          <w:p>
            <w:pPr>
              <w:jc w:val="center"/>
              <w:rPr>
                <w:rFonts w:ascii="宋体" w:hAnsi="宋体"/>
              </w:rPr>
            </w:pPr>
            <w:r>
              <w:rPr>
                <w:rFonts w:ascii="宋体" w:hAnsi="宋体"/>
              </w:rPr>
              <w:t>5</w:t>
            </w:r>
          </w:p>
        </w:tc>
        <w:tc>
          <w:tcPr>
            <w:tcW w:w="1534" w:type="dxa"/>
          </w:tcPr>
          <w:p>
            <w:pPr>
              <w:rPr>
                <w:rFonts w:ascii="宋体" w:hAnsi="宋体"/>
                <w:b/>
              </w:rPr>
            </w:pPr>
            <w:r>
              <w:rPr>
                <w:rFonts w:ascii="宋体" w:hAnsi="宋体"/>
                <w:b/>
              </w:rPr>
              <w:t>网上申购</w:t>
            </w:r>
          </w:p>
        </w:tc>
        <w:tc>
          <w:tcPr>
            <w:tcW w:w="1534" w:type="dxa"/>
          </w:tcPr>
          <w:p>
            <w:pPr>
              <w:rPr>
                <w:rFonts w:ascii="宋体" w:hAnsi="宋体"/>
              </w:rPr>
            </w:pPr>
            <w:r>
              <w:rPr>
                <w:rFonts w:ascii="宋体" w:hAnsi="宋体"/>
              </w:rPr>
              <w:t>T日（停牌）</w:t>
            </w:r>
          </w:p>
        </w:tc>
        <w:tc>
          <w:tcPr>
            <w:tcW w:w="4431" w:type="dxa"/>
          </w:tcPr>
          <w:p>
            <w:pPr>
              <w:rPr>
                <w:rFonts w:ascii="宋体" w:hAnsi="宋体"/>
              </w:rPr>
            </w:pPr>
            <w:r>
              <w:rPr>
                <w:rFonts w:ascii="宋体" w:hAnsi="宋体"/>
              </w:rPr>
              <w:t>（1）披露《增发提示性公告》并登报；</w:t>
            </w:r>
          </w:p>
          <w:p>
            <w:pPr>
              <w:rPr>
                <w:rFonts w:ascii="宋体" w:hAnsi="宋体"/>
              </w:rPr>
            </w:pPr>
            <w:r>
              <w:rPr>
                <w:rFonts w:ascii="宋体" w:hAnsi="宋体"/>
              </w:rPr>
              <w:t>（2）联系创业板公司管理部领取《增发网上发行初步结果</w:t>
            </w:r>
          </w:p>
          <w:p>
            <w:pPr>
              <w:rPr>
                <w:rFonts w:ascii="宋体" w:hAnsi="宋体"/>
              </w:rPr>
            </w:pPr>
            <w:r>
              <w:rPr>
                <w:rFonts w:ascii="宋体" w:hAnsi="宋体"/>
              </w:rPr>
              <w:t>（3）申购日股票停牌（停牌期间：T日至T+2日，共3个交易日）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Pr>
          <w:p>
            <w:pPr>
              <w:jc w:val="center"/>
              <w:rPr>
                <w:rFonts w:ascii="宋体" w:hAnsi="宋体"/>
              </w:rPr>
            </w:pPr>
            <w:r>
              <w:rPr>
                <w:rFonts w:ascii="宋体" w:hAnsi="宋体"/>
              </w:rPr>
              <w:t>6</w:t>
            </w:r>
          </w:p>
        </w:tc>
        <w:tc>
          <w:tcPr>
            <w:tcW w:w="1534" w:type="dxa"/>
          </w:tcPr>
          <w:p>
            <w:pPr>
              <w:jc w:val="center"/>
              <w:rPr>
                <w:rFonts w:ascii="宋体" w:hAnsi="宋体"/>
                <w:b/>
              </w:rPr>
            </w:pPr>
            <w:r>
              <w:rPr>
                <w:rFonts w:ascii="宋体" w:hAnsi="宋体"/>
                <w:b/>
              </w:rPr>
              <w:t>网上申购验资</w:t>
            </w:r>
          </w:p>
        </w:tc>
        <w:tc>
          <w:tcPr>
            <w:tcW w:w="1534" w:type="dxa"/>
          </w:tcPr>
          <w:p>
            <w:pPr>
              <w:rPr>
                <w:rFonts w:ascii="宋体" w:hAnsi="宋体"/>
              </w:rPr>
            </w:pPr>
            <w:r>
              <w:rPr>
                <w:rFonts w:ascii="宋体" w:hAnsi="宋体"/>
              </w:rPr>
              <w:t>T+2日（停牌）</w:t>
            </w:r>
          </w:p>
        </w:tc>
        <w:tc>
          <w:tcPr>
            <w:tcW w:w="4431" w:type="dxa"/>
          </w:tcPr>
          <w:p>
            <w:pPr>
              <w:rPr>
                <w:rFonts w:ascii="宋体" w:hAnsi="宋体"/>
              </w:rPr>
            </w:pPr>
            <w:r>
              <w:rPr>
                <w:rFonts w:ascii="宋体" w:hAnsi="宋体"/>
              </w:rPr>
              <w:t>（1）主承销商确定最终发行数量、新老股东配售比例；</w:t>
            </w:r>
          </w:p>
          <w:p>
            <w:pPr>
              <w:rPr>
                <w:rFonts w:ascii="宋体" w:hAnsi="宋体"/>
              </w:rPr>
            </w:pPr>
            <w:r>
              <w:rPr>
                <w:rFonts w:ascii="宋体" w:hAnsi="宋体"/>
              </w:rPr>
              <w:t>（2）16：00前向创业板公司管理部提交《增发结果公告》及相关材料；</w:t>
            </w:r>
          </w:p>
          <w:p>
            <w:pPr>
              <w:rPr>
                <w:rFonts w:ascii="宋体" w:hAnsi="宋体"/>
              </w:rPr>
            </w:pPr>
            <w:r>
              <w:rPr>
                <w:rFonts w:ascii="宋体" w:hAnsi="宋体"/>
              </w:rPr>
              <w:t>（3）受委托的会计师事务所对网上申购资金出具验资报告（主送主承销商发行认购资金划款申请》（附件4）交结算公司结算业务部</w:t>
            </w:r>
          </w:p>
          <w:p>
            <w:pPr>
              <w:rPr>
                <w:rFonts w:ascii="宋体" w:hAnsi="宋体"/>
              </w:rPr>
            </w:pPr>
            <w:r>
              <w:rPr>
                <w:rFonts w:ascii="宋体" w:hAnsi="宋体"/>
              </w:rPr>
              <w:t>（4）14:00前将《新股发行认购资金划款申请》（附件4）交结算公司结算业务部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Pr>
          <w:p>
            <w:pPr>
              <w:jc w:val="center"/>
              <w:rPr>
                <w:rFonts w:ascii="宋体" w:hAnsi="宋体"/>
              </w:rPr>
            </w:pPr>
            <w:r>
              <w:rPr>
                <w:rFonts w:ascii="宋体" w:hAnsi="宋体"/>
              </w:rPr>
              <w:t>7</w:t>
            </w:r>
          </w:p>
        </w:tc>
        <w:tc>
          <w:tcPr>
            <w:tcW w:w="1534" w:type="dxa"/>
          </w:tcPr>
          <w:p>
            <w:pPr>
              <w:rPr>
                <w:rFonts w:ascii="宋体" w:hAnsi="宋体"/>
                <w:b/>
              </w:rPr>
            </w:pPr>
            <w:r>
              <w:rPr>
                <w:rFonts w:ascii="宋体" w:hAnsi="宋体"/>
                <w:b/>
              </w:rPr>
              <w:t>确定配售比例</w:t>
            </w:r>
          </w:p>
        </w:tc>
        <w:tc>
          <w:tcPr>
            <w:tcW w:w="1534" w:type="dxa"/>
          </w:tcPr>
          <w:p>
            <w:pPr>
              <w:rPr>
                <w:rFonts w:ascii="宋体" w:hAnsi="宋体"/>
              </w:rPr>
            </w:pPr>
            <w:r>
              <w:rPr>
                <w:rFonts w:ascii="宋体" w:hAnsi="宋体"/>
              </w:rPr>
              <w:t>T+3日（复牌）</w:t>
            </w:r>
          </w:p>
        </w:tc>
        <w:tc>
          <w:tcPr>
            <w:tcW w:w="4431" w:type="dxa"/>
          </w:tcPr>
          <w:p>
            <w:pPr>
              <w:rPr>
                <w:rFonts w:ascii="宋体" w:hAnsi="宋体"/>
              </w:rPr>
            </w:pPr>
            <w:r>
              <w:rPr>
                <w:rFonts w:ascii="宋体" w:hAnsi="宋体"/>
              </w:rPr>
              <w:t>（1）披露《增发结果公告》；</w:t>
            </w:r>
          </w:p>
          <w:p>
            <w:pPr>
              <w:rPr>
                <w:rFonts w:ascii="宋体" w:hAnsi="宋体"/>
              </w:rPr>
            </w:pPr>
            <w:r>
              <w:rPr>
                <w:rFonts w:ascii="宋体" w:hAnsi="宋体"/>
              </w:rPr>
              <w:t>（2）</w:t>
            </w:r>
            <w:r>
              <w:rPr>
                <w:rFonts w:hint="eastAsia" w:ascii="宋体" w:hAnsi="宋体"/>
              </w:rPr>
              <w:t>主承销商</w:t>
            </w:r>
            <w:r>
              <w:rPr>
                <w:rFonts w:ascii="宋体" w:hAnsi="宋体"/>
              </w:rPr>
              <w:t>10：30后与创业板公司管理部联系领取《网上发行余股数量通知》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Pr>
          <w:p>
            <w:pPr>
              <w:jc w:val="center"/>
              <w:rPr>
                <w:rFonts w:ascii="宋体" w:hAnsi="宋体"/>
              </w:rPr>
            </w:pPr>
            <w:r>
              <w:rPr>
                <w:rFonts w:ascii="宋体" w:hAnsi="宋体"/>
              </w:rPr>
              <w:t>8</w:t>
            </w:r>
          </w:p>
        </w:tc>
        <w:tc>
          <w:tcPr>
            <w:tcW w:w="1534" w:type="dxa"/>
          </w:tcPr>
          <w:p>
            <w:pPr>
              <w:rPr>
                <w:rFonts w:ascii="宋体" w:hAnsi="宋体"/>
                <w:b/>
              </w:rPr>
            </w:pPr>
            <w:r>
              <w:rPr>
                <w:rFonts w:ascii="宋体" w:hAnsi="宋体"/>
                <w:b/>
              </w:rPr>
              <w:t>发行结束</w:t>
            </w:r>
          </w:p>
        </w:tc>
        <w:tc>
          <w:tcPr>
            <w:tcW w:w="1534" w:type="dxa"/>
          </w:tcPr>
          <w:p>
            <w:pPr>
              <w:rPr>
                <w:rFonts w:ascii="宋体" w:hAnsi="宋体"/>
              </w:rPr>
            </w:pPr>
            <w:r>
              <w:rPr>
                <w:rFonts w:ascii="宋体" w:hAnsi="宋体"/>
              </w:rPr>
              <w:t>T+4日</w:t>
            </w:r>
          </w:p>
        </w:tc>
        <w:tc>
          <w:tcPr>
            <w:tcW w:w="4431" w:type="dxa"/>
          </w:tcPr>
          <w:p>
            <w:pPr>
              <w:rPr>
                <w:rFonts w:ascii="宋体" w:hAnsi="宋体"/>
              </w:rPr>
            </w:pPr>
            <w:r>
              <w:rPr>
                <w:rFonts w:ascii="宋体" w:hAnsi="宋体"/>
              </w:rPr>
              <w:t>（1）</w:t>
            </w:r>
            <w:r>
              <w:rPr>
                <w:rFonts w:hint="eastAsia" w:ascii="宋体" w:hAnsi="宋体"/>
              </w:rPr>
              <w:t>主承销商</w:t>
            </w:r>
            <w:r>
              <w:rPr>
                <w:rFonts w:ascii="宋体" w:hAnsi="宋体"/>
              </w:rPr>
              <w:t>8：30前将从结算公司划来的新股募集资金划至公司处</w:t>
            </w:r>
          </w:p>
          <w:p>
            <w:pPr>
              <w:rPr>
                <w:rFonts w:ascii="宋体" w:hAnsi="宋体"/>
              </w:rPr>
            </w:pPr>
            <w:r>
              <w:rPr>
                <w:rFonts w:ascii="宋体" w:hAnsi="宋体"/>
              </w:rPr>
              <w:t>（2）联系结算公司结算业务部领取新股发行认购情况说明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Merge w:val="restart"/>
          </w:tcPr>
          <w:p>
            <w:pPr>
              <w:jc w:val="center"/>
              <w:rPr>
                <w:rFonts w:ascii="宋体" w:hAnsi="宋体"/>
              </w:rPr>
            </w:pPr>
            <w:r>
              <w:rPr>
                <w:rFonts w:ascii="宋体" w:hAnsi="宋体"/>
              </w:rPr>
              <w:t>9</w:t>
            </w:r>
          </w:p>
        </w:tc>
        <w:tc>
          <w:tcPr>
            <w:tcW w:w="1534" w:type="dxa"/>
            <w:vMerge w:val="restart"/>
          </w:tcPr>
          <w:p>
            <w:pPr>
              <w:jc w:val="center"/>
              <w:rPr>
                <w:rFonts w:ascii="宋体" w:hAnsi="宋体"/>
                <w:b/>
              </w:rPr>
            </w:pPr>
            <w:r>
              <w:rPr>
                <w:rFonts w:ascii="宋体" w:hAnsi="宋体"/>
                <w:b/>
              </w:rPr>
              <w:t>办理登记托管</w:t>
            </w:r>
          </w:p>
        </w:tc>
        <w:tc>
          <w:tcPr>
            <w:tcW w:w="1534" w:type="dxa"/>
            <w:vMerge w:val="restart"/>
          </w:tcPr>
          <w:p>
            <w:pPr>
              <w:rPr>
                <w:rFonts w:ascii="宋体" w:hAnsi="宋体"/>
              </w:rPr>
            </w:pPr>
            <w:r>
              <w:rPr>
                <w:rFonts w:ascii="宋体" w:hAnsi="宋体"/>
              </w:rPr>
              <w:t>T+1日至T+5日</w:t>
            </w:r>
          </w:p>
        </w:tc>
        <w:tc>
          <w:tcPr>
            <w:tcW w:w="4431" w:type="dxa"/>
          </w:tcPr>
          <w:p>
            <w:pPr>
              <w:rPr>
                <w:rFonts w:ascii="宋体" w:hAnsi="宋体"/>
              </w:rPr>
            </w:pPr>
            <w:r>
              <w:rPr>
                <w:rFonts w:ascii="宋体" w:hAnsi="宋体"/>
              </w:rPr>
              <w:t>（1）主承销商向发行人业务部提供网下申购数据及网上申购零股数量，并向发行人业务部申请网下申购登记托管手续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vMerge w:val="continue"/>
          </w:tcPr>
          <w:p>
            <w:pPr>
              <w:jc w:val="center"/>
              <w:rPr>
                <w:rFonts w:ascii="宋体" w:hAnsi="宋体"/>
              </w:rPr>
            </w:pPr>
          </w:p>
        </w:tc>
        <w:tc>
          <w:tcPr>
            <w:tcW w:w="1534" w:type="dxa"/>
            <w:vMerge w:val="continue"/>
          </w:tcPr>
          <w:p>
            <w:pPr>
              <w:jc w:val="center"/>
              <w:rPr>
                <w:rFonts w:ascii="宋体" w:hAnsi="宋体"/>
                <w:b/>
              </w:rPr>
            </w:pPr>
          </w:p>
        </w:tc>
        <w:tc>
          <w:tcPr>
            <w:tcW w:w="1534" w:type="dxa"/>
            <w:vMerge w:val="continue"/>
          </w:tcPr>
          <w:p>
            <w:pPr>
              <w:rPr>
                <w:rFonts w:ascii="宋体" w:hAnsi="宋体"/>
              </w:rPr>
            </w:pPr>
          </w:p>
        </w:tc>
        <w:tc>
          <w:tcPr>
            <w:tcW w:w="4431" w:type="dxa"/>
          </w:tcPr>
          <w:p>
            <w:pPr>
              <w:rPr>
                <w:rFonts w:ascii="宋体" w:hAnsi="宋体"/>
              </w:rPr>
            </w:pPr>
            <w:r>
              <w:rPr>
                <w:rFonts w:ascii="宋体" w:hAnsi="宋体"/>
              </w:rPr>
              <w:t>（2）公司向发行人业务部提供股份增发的托管材料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0" w:hRule="atLeast"/>
        </w:trPr>
        <w:tc>
          <w:tcPr>
            <w:tcW w:w="1023" w:type="dxa"/>
          </w:tcPr>
          <w:p>
            <w:pPr>
              <w:jc w:val="center"/>
              <w:rPr>
                <w:rFonts w:ascii="宋体" w:hAnsi="宋体"/>
              </w:rPr>
            </w:pPr>
            <w:r>
              <w:rPr>
                <w:rFonts w:ascii="宋体" w:hAnsi="宋体"/>
              </w:rPr>
              <w:t>10</w:t>
            </w:r>
          </w:p>
        </w:tc>
        <w:tc>
          <w:tcPr>
            <w:tcW w:w="1534" w:type="dxa"/>
          </w:tcPr>
          <w:p>
            <w:pPr>
              <w:rPr>
                <w:rFonts w:ascii="宋体" w:hAnsi="宋体"/>
                <w:b/>
              </w:rPr>
            </w:pPr>
            <w:r>
              <w:rPr>
                <w:rFonts w:ascii="宋体" w:hAnsi="宋体"/>
                <w:b/>
              </w:rPr>
              <w:t>上市准备</w:t>
            </w:r>
          </w:p>
        </w:tc>
        <w:tc>
          <w:tcPr>
            <w:tcW w:w="1534" w:type="dxa"/>
          </w:tcPr>
          <w:p>
            <w:pPr>
              <w:rPr>
                <w:rFonts w:ascii="宋体" w:hAnsi="宋体"/>
              </w:rPr>
            </w:pPr>
            <w:r>
              <w:rPr>
                <w:rFonts w:ascii="宋体" w:hAnsi="宋体"/>
              </w:rPr>
              <w:t>股份预登记完成后两个交易日内</w:t>
            </w:r>
          </w:p>
        </w:tc>
        <w:tc>
          <w:tcPr>
            <w:tcW w:w="4431" w:type="dxa"/>
          </w:tcPr>
          <w:p>
            <w:pPr>
              <w:rPr>
                <w:rFonts w:ascii="宋体" w:hAnsi="宋体"/>
              </w:rPr>
            </w:pPr>
            <w:r>
              <w:rPr>
                <w:rFonts w:ascii="宋体" w:hAnsi="宋体"/>
              </w:rPr>
              <w:t>向创业板公司管理部提交上市申请文件，包括：</w:t>
            </w:r>
          </w:p>
          <w:p>
            <w:pPr>
              <w:rPr>
                <w:rFonts w:ascii="宋体" w:hAnsi="宋体"/>
              </w:rPr>
            </w:pPr>
            <w:r>
              <w:rPr>
                <w:rFonts w:ascii="宋体" w:hAnsi="宋体"/>
              </w:rPr>
              <w:t>（1）增发股份上市申请书（报备）；</w:t>
            </w:r>
          </w:p>
          <w:p>
            <w:pPr>
              <w:rPr>
                <w:rFonts w:ascii="宋体" w:hAnsi="宋体"/>
              </w:rPr>
            </w:pPr>
            <w:r>
              <w:rPr>
                <w:rFonts w:ascii="宋体" w:hAnsi="宋体"/>
              </w:rPr>
              <w:t>（2）保荐协议（报备）和保荐机构出具的上市保荐书（上网）；</w:t>
            </w:r>
          </w:p>
          <w:p>
            <w:pPr>
              <w:rPr>
                <w:rFonts w:ascii="宋体" w:hAnsi="宋体"/>
              </w:rPr>
            </w:pPr>
            <w:r>
              <w:rPr>
                <w:rFonts w:ascii="宋体" w:hAnsi="宋体"/>
              </w:rPr>
              <w:t>（3）发行完成后经</w:t>
            </w:r>
            <w:r>
              <w:rPr>
                <w:rFonts w:hint="eastAsia" w:ascii="宋体" w:hAnsi="宋体"/>
              </w:rPr>
              <w:t>符合《证券法》规定</w:t>
            </w:r>
            <w:r>
              <w:rPr>
                <w:rFonts w:ascii="宋体" w:hAnsi="宋体"/>
              </w:rPr>
              <w:t>的会计师事务所出具的验资报告（报备）；</w:t>
            </w:r>
          </w:p>
          <w:p>
            <w:pPr>
              <w:rPr>
                <w:rFonts w:ascii="宋体" w:hAnsi="宋体"/>
              </w:rPr>
            </w:pPr>
            <w:r>
              <w:rPr>
                <w:rFonts w:ascii="宋体" w:hAnsi="宋体"/>
              </w:rPr>
              <w:t>（4）结算公司对新增股份已登记托管的书面确认文件（报备）；</w:t>
            </w:r>
          </w:p>
          <w:p>
            <w:pPr>
              <w:rPr>
                <w:rFonts w:ascii="宋体" w:hAnsi="宋体"/>
              </w:rPr>
            </w:pPr>
            <w:r>
              <w:rPr>
                <w:rFonts w:ascii="宋体" w:hAnsi="宋体"/>
              </w:rPr>
              <w:t>（5）董事、监事和高级管理人员持股情况变动的报告（上网，报备）；</w:t>
            </w:r>
          </w:p>
          <w:p>
            <w:pPr>
              <w:rPr>
                <w:rFonts w:ascii="宋体" w:hAnsi="宋体"/>
              </w:rPr>
            </w:pPr>
            <w:r>
              <w:rPr>
                <w:rFonts w:ascii="宋体" w:hAnsi="宋体"/>
              </w:rPr>
              <w:t>（6）《股份变动报告及上市公告书》（上网）；</w:t>
            </w:r>
          </w:p>
          <w:p>
            <w:pPr>
              <w:rPr>
                <w:rFonts w:ascii="宋体" w:hAnsi="宋体"/>
              </w:rPr>
            </w:pPr>
            <w:r>
              <w:rPr>
                <w:rFonts w:ascii="宋体" w:hAnsi="宋体"/>
              </w:rPr>
              <w:t>（7）保荐机构法定代表人签署的授权保荐代表人保荐工作的专项授权委托书（报备）；</w:t>
            </w:r>
          </w:p>
          <w:p>
            <w:pPr>
              <w:rPr>
                <w:rFonts w:ascii="宋体" w:hAnsi="宋体"/>
              </w:rPr>
            </w:pPr>
            <w:r>
              <w:rPr>
                <w:rFonts w:ascii="宋体" w:hAnsi="宋体"/>
              </w:rPr>
              <w:t>（8）招股说明书（报备）；</w:t>
            </w:r>
          </w:p>
          <w:p>
            <w:pPr>
              <w:rPr>
                <w:rFonts w:ascii="宋体" w:hAnsi="宋体"/>
              </w:rPr>
            </w:pPr>
            <w:r>
              <w:rPr>
                <w:rFonts w:ascii="宋体" w:hAnsi="宋体"/>
              </w:rPr>
              <w:t>（9）律师专项核查意见（上网）。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Pr>
          <w:p>
            <w:pPr>
              <w:jc w:val="center"/>
              <w:rPr>
                <w:rFonts w:ascii="宋体" w:hAnsi="宋体"/>
              </w:rPr>
            </w:pPr>
            <w:r>
              <w:rPr>
                <w:rFonts w:ascii="宋体" w:hAnsi="宋体"/>
              </w:rPr>
              <w:t>11</w:t>
            </w:r>
          </w:p>
        </w:tc>
        <w:tc>
          <w:tcPr>
            <w:tcW w:w="1534" w:type="dxa"/>
          </w:tcPr>
          <w:p>
            <w:pPr>
              <w:rPr>
                <w:rFonts w:ascii="宋体" w:hAnsi="宋体"/>
                <w:b/>
              </w:rPr>
            </w:pPr>
            <w:r>
              <w:rPr>
                <w:rFonts w:ascii="宋体" w:hAnsi="宋体"/>
                <w:b/>
              </w:rPr>
              <w:t>披露上市公告</w:t>
            </w:r>
          </w:p>
        </w:tc>
        <w:tc>
          <w:tcPr>
            <w:tcW w:w="1534" w:type="dxa"/>
          </w:tcPr>
          <w:p>
            <w:pPr>
              <w:rPr>
                <w:rFonts w:ascii="宋体" w:hAnsi="宋体"/>
              </w:rPr>
            </w:pPr>
            <w:r>
              <w:rPr>
                <w:rFonts w:ascii="宋体" w:hAnsi="宋体"/>
              </w:rPr>
              <w:t>L-5日内</w:t>
            </w:r>
          </w:p>
        </w:tc>
        <w:tc>
          <w:tcPr>
            <w:tcW w:w="4431" w:type="dxa"/>
          </w:tcPr>
          <w:p>
            <w:pPr>
              <w:rPr>
                <w:rFonts w:ascii="宋体" w:hAnsi="宋体"/>
              </w:rPr>
            </w:pPr>
            <w:r>
              <w:rPr>
                <w:rFonts w:ascii="宋体" w:hAnsi="宋体"/>
              </w:rPr>
              <w:t>L-5日内披露（最晚L-1日）《股份变动及增发股份上市公告》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3" w:type="dxa"/>
          </w:tcPr>
          <w:p>
            <w:pPr>
              <w:jc w:val="center"/>
              <w:rPr>
                <w:rFonts w:ascii="宋体" w:hAnsi="宋体"/>
              </w:rPr>
            </w:pPr>
            <w:r>
              <w:rPr>
                <w:rFonts w:ascii="宋体" w:hAnsi="宋体"/>
              </w:rPr>
              <w:t>12</w:t>
            </w:r>
          </w:p>
        </w:tc>
        <w:tc>
          <w:tcPr>
            <w:tcW w:w="1534" w:type="dxa"/>
          </w:tcPr>
          <w:p>
            <w:pPr>
              <w:rPr>
                <w:rFonts w:ascii="宋体" w:hAnsi="宋体"/>
                <w:b/>
              </w:rPr>
            </w:pPr>
            <w:r>
              <w:rPr>
                <w:rFonts w:ascii="宋体" w:hAnsi="宋体"/>
                <w:b/>
              </w:rPr>
              <w:t>上市</w:t>
            </w:r>
          </w:p>
        </w:tc>
        <w:tc>
          <w:tcPr>
            <w:tcW w:w="1534" w:type="dxa"/>
          </w:tcPr>
          <w:p>
            <w:pPr>
              <w:rPr>
                <w:rFonts w:ascii="宋体" w:hAnsi="宋体"/>
              </w:rPr>
            </w:pPr>
            <w:r>
              <w:rPr>
                <w:rFonts w:ascii="宋体" w:hAnsi="宋体"/>
              </w:rPr>
              <w:t>L日</w:t>
            </w:r>
          </w:p>
        </w:tc>
        <w:tc>
          <w:tcPr>
            <w:tcW w:w="4431" w:type="dxa"/>
          </w:tcPr>
          <w:p>
            <w:pPr>
              <w:rPr>
                <w:rFonts w:ascii="宋体" w:hAnsi="宋体"/>
              </w:rPr>
            </w:pPr>
            <w:r>
              <w:rPr>
                <w:rFonts w:ascii="宋体" w:hAnsi="宋体"/>
              </w:rPr>
              <w:t>增发股份上市交易</w:t>
            </w:r>
          </w:p>
        </w:tc>
      </w:tr>
    </w:tbl>
    <w:p>
      <w:pPr>
        <w:jc w:val="left"/>
        <w:rPr>
          <w:rFonts w:ascii="Times New Roman" w:hAnsi="Times New Roman" w:eastAsia="方正仿宋简体"/>
          <w:color w:val="000000"/>
          <w:sz w:val="28"/>
        </w:rPr>
      </w:pPr>
    </w:p>
    <w:p>
      <w:pPr>
        <w:pStyle w:val="36"/>
        <w:ind w:firstLine="0" w:firstLineChars="0"/>
        <w:rPr>
          <w:rFonts w:ascii="黑体" w:hAnsi="黑体" w:eastAsia="黑体"/>
          <w:color w:val="000000"/>
          <w:sz w:val="32"/>
          <w:szCs w:val="32"/>
        </w:rPr>
      </w:pPr>
      <w:r>
        <w:rPr>
          <w:rFonts w:eastAsia="方正仿宋简体"/>
          <w:color w:val="000000"/>
        </w:rPr>
        <w:br w:type="page"/>
      </w:r>
      <w:r>
        <w:rPr>
          <w:rFonts w:ascii="黑体" w:hAnsi="黑体" w:eastAsia="黑体"/>
          <w:sz w:val="32"/>
          <w:szCs w:val="32"/>
        </w:rPr>
        <w:t>附件2</w:t>
      </w:r>
    </w:p>
    <w:p>
      <w:pPr>
        <w:widowControl/>
        <w:spacing w:line="560" w:lineRule="exact"/>
        <w:jc w:val="left"/>
        <w:rPr>
          <w:rFonts w:ascii="黑体" w:hAnsi="黑体" w:eastAsia="黑体"/>
          <w:color w:val="000000"/>
          <w:sz w:val="32"/>
          <w:szCs w:val="32"/>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u w:val="single"/>
        </w:rPr>
        <w:t xml:space="preserve">              </w:t>
      </w:r>
      <w:r>
        <w:rPr>
          <w:rFonts w:hint="eastAsia" w:ascii="方正小标宋简体" w:hAnsi="黑体" w:eastAsia="方正小标宋简体"/>
          <w:b/>
          <w:bCs/>
          <w:color w:val="000000"/>
          <w:sz w:val="32"/>
          <w:szCs w:val="32"/>
        </w:rPr>
        <w:t>股份有限公司增发新股发行申请书</w:t>
      </w:r>
    </w:p>
    <w:p>
      <w:pPr>
        <w:spacing w:line="360" w:lineRule="auto"/>
        <w:rPr>
          <w:rFonts w:ascii="Times New Roman" w:hAnsi="Times New Roman" w:eastAsia="方正仿宋简体"/>
          <w:b/>
          <w:bCs/>
          <w:color w:val="000000"/>
        </w:rPr>
      </w:pPr>
    </w:p>
    <w:p>
      <w:pPr>
        <w:spacing w:line="560" w:lineRule="exact"/>
        <w:rPr>
          <w:rFonts w:ascii="仿宋" w:hAnsi="仿宋" w:eastAsia="仿宋"/>
          <w:b/>
          <w:bCs/>
          <w:color w:val="000000"/>
          <w:sz w:val="32"/>
          <w:szCs w:val="32"/>
        </w:rPr>
      </w:pPr>
      <w:r>
        <w:rPr>
          <w:rFonts w:ascii="仿宋" w:hAnsi="仿宋" w:eastAsia="仿宋"/>
          <w:b/>
          <w:bCs/>
          <w:color w:val="000000"/>
          <w:sz w:val="32"/>
          <w:szCs w:val="32"/>
        </w:rPr>
        <w:t>深圳证券交易所：</w:t>
      </w:r>
    </w:p>
    <w:p>
      <w:pPr>
        <w:adjustRightInd w:val="0"/>
        <w:snapToGrid w:val="0"/>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u w:val="single"/>
        </w:rPr>
        <w:t xml:space="preserve">               </w:t>
      </w:r>
      <w:r>
        <w:rPr>
          <w:rFonts w:ascii="仿宋" w:hAnsi="仿宋" w:eastAsia="仿宋"/>
          <w:color w:val="000000"/>
          <w:sz w:val="32"/>
          <w:szCs w:val="32"/>
        </w:rPr>
        <w:t>股份有限公司增发新股</w:t>
      </w:r>
      <w:r>
        <w:rPr>
          <w:rFonts w:ascii="仿宋" w:hAnsi="仿宋" w:eastAsia="仿宋"/>
          <w:color w:val="000000"/>
          <w:sz w:val="32"/>
          <w:szCs w:val="32"/>
          <w:u w:val="single"/>
        </w:rPr>
        <w:t xml:space="preserve">      </w:t>
      </w:r>
      <w:r>
        <w:rPr>
          <w:rFonts w:ascii="仿宋" w:hAnsi="仿宋" w:eastAsia="仿宋"/>
          <w:color w:val="000000"/>
          <w:sz w:val="32"/>
          <w:szCs w:val="32"/>
        </w:rPr>
        <w:t>万股人民币普通股股票的申请已获中国证监会</w:t>
      </w:r>
      <w:r>
        <w:rPr>
          <w:rFonts w:ascii="仿宋" w:hAnsi="仿宋" w:eastAsia="仿宋"/>
          <w:color w:val="000000"/>
          <w:sz w:val="32"/>
          <w:szCs w:val="32"/>
          <w:u w:val="single"/>
        </w:rPr>
        <w:t xml:space="preserve">       </w:t>
      </w:r>
      <w:r>
        <w:rPr>
          <w:rFonts w:ascii="仿宋" w:hAnsi="仿宋" w:eastAsia="仿宋"/>
          <w:color w:val="000000"/>
          <w:sz w:val="32"/>
          <w:szCs w:val="32"/>
        </w:rPr>
        <w:t>号文予以注册。主承销商和发行人申请于</w:t>
      </w:r>
      <w:r>
        <w:rPr>
          <w:rFonts w:ascii="仿宋" w:hAnsi="仿宋" w:eastAsia="仿宋"/>
          <w:color w:val="000000"/>
          <w:sz w:val="32"/>
          <w:szCs w:val="32"/>
          <w:u w:val="single"/>
        </w:rPr>
        <w:t xml:space="preserve">     </w:t>
      </w:r>
      <w:r>
        <w:rPr>
          <w:rFonts w:ascii="仿宋" w:hAnsi="仿宋" w:eastAsia="仿宋"/>
          <w:color w:val="000000"/>
          <w:sz w:val="32"/>
          <w:szCs w:val="32"/>
        </w:rPr>
        <w:t>年</w:t>
      </w:r>
      <w:r>
        <w:rPr>
          <w:rFonts w:ascii="仿宋" w:hAnsi="仿宋" w:eastAsia="仿宋"/>
          <w:color w:val="000000"/>
          <w:sz w:val="32"/>
          <w:szCs w:val="32"/>
          <w:u w:val="single"/>
        </w:rPr>
        <w:t xml:space="preserve">   </w:t>
      </w:r>
      <w:r>
        <w:rPr>
          <w:rFonts w:ascii="仿宋" w:hAnsi="仿宋" w:eastAsia="仿宋"/>
          <w:color w:val="000000"/>
          <w:sz w:val="32"/>
          <w:szCs w:val="32"/>
        </w:rPr>
        <w:t>月</w:t>
      </w:r>
      <w:r>
        <w:rPr>
          <w:rFonts w:ascii="仿宋" w:hAnsi="仿宋" w:eastAsia="仿宋"/>
          <w:color w:val="000000"/>
          <w:sz w:val="32"/>
          <w:szCs w:val="32"/>
          <w:u w:val="single"/>
        </w:rPr>
        <w:t xml:space="preserve">  </w:t>
      </w:r>
      <w:r>
        <w:rPr>
          <w:rFonts w:ascii="仿宋" w:hAnsi="仿宋" w:eastAsia="仿宋"/>
          <w:color w:val="000000"/>
          <w:sz w:val="32"/>
          <w:szCs w:val="32"/>
        </w:rPr>
        <w:t xml:space="preserve">日通过贵所证券交易系统采用资金申购上网定价方式发行本次“ </w:t>
      </w:r>
      <w:r>
        <w:rPr>
          <w:rFonts w:ascii="仿宋" w:hAnsi="仿宋" w:eastAsia="仿宋"/>
          <w:color w:val="000000"/>
          <w:sz w:val="32"/>
          <w:szCs w:val="32"/>
          <w:u w:val="single"/>
        </w:rPr>
        <w:t xml:space="preserve">              </w:t>
      </w:r>
      <w:r>
        <w:rPr>
          <w:rFonts w:ascii="仿宋" w:hAnsi="仿宋" w:eastAsia="仿宋"/>
          <w:color w:val="000000"/>
          <w:sz w:val="32"/>
          <w:szCs w:val="32"/>
        </w:rPr>
        <w:t>”股票，增发股票的申购简称拟定为“</w:t>
      </w:r>
      <w:r>
        <w:rPr>
          <w:rFonts w:ascii="仿宋" w:hAnsi="仿宋" w:eastAsia="仿宋"/>
          <w:color w:val="000000"/>
          <w:sz w:val="32"/>
          <w:szCs w:val="32"/>
          <w:u w:val="single"/>
        </w:rPr>
        <w:t xml:space="preserve">                </w:t>
      </w:r>
      <w:r>
        <w:rPr>
          <w:rFonts w:ascii="仿宋" w:hAnsi="仿宋" w:eastAsia="仿宋"/>
          <w:color w:val="000000"/>
          <w:sz w:val="32"/>
          <w:szCs w:val="32"/>
        </w:rPr>
        <w:t>”。我们承诺按照贵所要求做好本次发行工作。</w:t>
      </w:r>
    </w:p>
    <w:p>
      <w:pPr>
        <w:spacing w:line="560" w:lineRule="exact"/>
        <w:rPr>
          <w:rFonts w:ascii="仿宋" w:hAnsi="仿宋" w:eastAsia="仿宋"/>
          <w:b/>
          <w:bCs/>
          <w:color w:val="000000"/>
          <w:sz w:val="32"/>
          <w:szCs w:val="32"/>
        </w:rPr>
      </w:pPr>
    </w:p>
    <w:p>
      <w:pPr>
        <w:spacing w:line="560" w:lineRule="exact"/>
        <w:ind w:firstLine="3840" w:firstLineChars="1200"/>
        <w:jc w:val="left"/>
        <w:rPr>
          <w:rFonts w:ascii="仿宋" w:hAnsi="仿宋" w:eastAsia="仿宋"/>
          <w:color w:val="000000"/>
          <w:sz w:val="32"/>
          <w:szCs w:val="32"/>
        </w:rPr>
      </w:pPr>
      <w:r>
        <w:rPr>
          <w:rFonts w:ascii="仿宋" w:hAnsi="仿宋" w:eastAsia="仿宋"/>
          <w:color w:val="000000"/>
          <w:sz w:val="32"/>
          <w:szCs w:val="32"/>
        </w:rPr>
        <w:t>发行人：</w:t>
      </w:r>
      <w:r>
        <w:rPr>
          <w:rFonts w:ascii="仿宋" w:hAnsi="仿宋" w:eastAsia="仿宋"/>
          <w:color w:val="000000"/>
          <w:sz w:val="32"/>
          <w:szCs w:val="32"/>
          <w:u w:val="single"/>
        </w:rPr>
        <w:t xml:space="preserve">                </w:t>
      </w:r>
    </w:p>
    <w:p>
      <w:pPr>
        <w:spacing w:line="560" w:lineRule="exact"/>
        <w:ind w:firstLine="3840" w:firstLineChars="1200"/>
        <w:jc w:val="left"/>
        <w:rPr>
          <w:rFonts w:ascii="仿宋" w:hAnsi="仿宋" w:eastAsia="仿宋"/>
          <w:color w:val="000000"/>
          <w:sz w:val="32"/>
          <w:szCs w:val="32"/>
        </w:rPr>
      </w:pPr>
      <w:r>
        <w:rPr>
          <w:rFonts w:ascii="仿宋" w:hAnsi="仿宋" w:eastAsia="仿宋"/>
          <w:color w:val="000000"/>
          <w:sz w:val="32"/>
          <w:szCs w:val="32"/>
        </w:rPr>
        <w:t>（加盖公章）</w:t>
      </w:r>
    </w:p>
    <w:p>
      <w:pPr>
        <w:spacing w:line="560" w:lineRule="exact"/>
        <w:ind w:firstLine="3840" w:firstLineChars="1200"/>
        <w:jc w:val="left"/>
        <w:rPr>
          <w:rFonts w:ascii="仿宋" w:hAnsi="仿宋" w:eastAsia="仿宋"/>
          <w:color w:val="000000"/>
          <w:sz w:val="32"/>
          <w:szCs w:val="32"/>
        </w:rPr>
      </w:pPr>
      <w:r>
        <w:rPr>
          <w:rFonts w:ascii="仿宋" w:hAnsi="仿宋" w:eastAsia="仿宋"/>
          <w:color w:val="000000"/>
          <w:sz w:val="32"/>
          <w:szCs w:val="32"/>
          <w:u w:val="single"/>
        </w:rPr>
        <w:t xml:space="preserve">    </w:t>
      </w:r>
      <w:r>
        <w:rPr>
          <w:rFonts w:ascii="仿宋" w:hAnsi="仿宋" w:eastAsia="仿宋"/>
          <w:color w:val="000000"/>
          <w:sz w:val="32"/>
          <w:szCs w:val="32"/>
        </w:rPr>
        <w:t>年</w:t>
      </w:r>
      <w:r>
        <w:rPr>
          <w:rFonts w:ascii="仿宋" w:hAnsi="仿宋" w:eastAsia="仿宋"/>
          <w:color w:val="000000"/>
          <w:sz w:val="32"/>
          <w:szCs w:val="32"/>
          <w:u w:val="single"/>
        </w:rPr>
        <w:t xml:space="preserve">    </w:t>
      </w:r>
      <w:r>
        <w:rPr>
          <w:rFonts w:ascii="仿宋" w:hAnsi="仿宋" w:eastAsia="仿宋"/>
          <w:color w:val="000000"/>
          <w:sz w:val="32"/>
          <w:szCs w:val="32"/>
        </w:rPr>
        <w:t xml:space="preserve">月 </w:t>
      </w:r>
      <w:r>
        <w:rPr>
          <w:rFonts w:ascii="仿宋" w:hAnsi="仿宋" w:eastAsia="仿宋"/>
          <w:color w:val="000000"/>
          <w:sz w:val="32"/>
          <w:szCs w:val="32"/>
          <w:u w:val="single"/>
        </w:rPr>
        <w:t xml:space="preserve">   </w:t>
      </w:r>
      <w:r>
        <w:rPr>
          <w:rFonts w:ascii="仿宋" w:hAnsi="仿宋" w:eastAsia="仿宋"/>
          <w:color w:val="000000"/>
          <w:sz w:val="32"/>
          <w:szCs w:val="32"/>
        </w:rPr>
        <w:t>日</w:t>
      </w:r>
    </w:p>
    <w:p>
      <w:pPr>
        <w:spacing w:line="560" w:lineRule="exact"/>
        <w:ind w:firstLine="3840" w:firstLineChars="1200"/>
        <w:jc w:val="left"/>
        <w:rPr>
          <w:rFonts w:ascii="仿宋" w:hAnsi="仿宋" w:eastAsia="仿宋"/>
          <w:color w:val="000000"/>
          <w:sz w:val="32"/>
          <w:szCs w:val="32"/>
        </w:rPr>
      </w:pPr>
    </w:p>
    <w:p>
      <w:pPr>
        <w:spacing w:line="560" w:lineRule="exact"/>
        <w:ind w:firstLine="3840" w:firstLineChars="1200"/>
        <w:jc w:val="left"/>
        <w:rPr>
          <w:rFonts w:ascii="仿宋" w:hAnsi="仿宋" w:eastAsia="仿宋"/>
          <w:color w:val="000000"/>
          <w:sz w:val="32"/>
          <w:szCs w:val="32"/>
        </w:rPr>
      </w:pPr>
    </w:p>
    <w:p>
      <w:pPr>
        <w:spacing w:line="560" w:lineRule="exact"/>
        <w:ind w:firstLine="3840" w:firstLineChars="1200"/>
        <w:jc w:val="left"/>
        <w:rPr>
          <w:rFonts w:ascii="仿宋" w:hAnsi="仿宋" w:eastAsia="仿宋"/>
          <w:color w:val="000000"/>
          <w:sz w:val="32"/>
          <w:szCs w:val="32"/>
          <w:u w:val="single"/>
        </w:rPr>
      </w:pPr>
      <w:r>
        <w:rPr>
          <w:rFonts w:ascii="仿宋" w:hAnsi="仿宋" w:eastAsia="仿宋"/>
          <w:color w:val="000000"/>
          <w:sz w:val="32"/>
          <w:szCs w:val="32"/>
        </w:rPr>
        <w:t>主承销商：</w:t>
      </w:r>
      <w:r>
        <w:rPr>
          <w:rFonts w:ascii="仿宋" w:hAnsi="仿宋" w:eastAsia="仿宋"/>
          <w:color w:val="000000"/>
          <w:sz w:val="32"/>
          <w:szCs w:val="32"/>
          <w:u w:val="single"/>
        </w:rPr>
        <w:t xml:space="preserve">                </w:t>
      </w:r>
    </w:p>
    <w:p>
      <w:pPr>
        <w:spacing w:line="560" w:lineRule="exact"/>
        <w:ind w:firstLine="3840" w:firstLineChars="1200"/>
        <w:jc w:val="left"/>
        <w:rPr>
          <w:rFonts w:ascii="仿宋" w:hAnsi="仿宋" w:eastAsia="仿宋"/>
          <w:color w:val="000000"/>
          <w:sz w:val="32"/>
          <w:szCs w:val="32"/>
        </w:rPr>
      </w:pPr>
      <w:r>
        <w:rPr>
          <w:rFonts w:ascii="仿宋" w:hAnsi="仿宋" w:eastAsia="仿宋"/>
          <w:color w:val="000000"/>
          <w:sz w:val="32"/>
          <w:szCs w:val="32"/>
        </w:rPr>
        <w:t>（加盖公章）</w:t>
      </w:r>
    </w:p>
    <w:p>
      <w:pPr>
        <w:spacing w:line="560" w:lineRule="exact"/>
        <w:ind w:firstLine="3840" w:firstLineChars="1200"/>
        <w:jc w:val="left"/>
        <w:rPr>
          <w:rFonts w:ascii="仿宋" w:hAnsi="仿宋" w:eastAsia="仿宋"/>
          <w:color w:val="000000"/>
          <w:sz w:val="32"/>
          <w:szCs w:val="32"/>
        </w:rPr>
      </w:pPr>
      <w:r>
        <w:rPr>
          <w:rFonts w:ascii="仿宋" w:hAnsi="仿宋" w:eastAsia="仿宋"/>
          <w:color w:val="000000"/>
          <w:sz w:val="32"/>
          <w:szCs w:val="32"/>
        </w:rPr>
        <w:t xml:space="preserve"> </w:t>
      </w:r>
      <w:r>
        <w:rPr>
          <w:rFonts w:ascii="仿宋" w:hAnsi="仿宋" w:eastAsia="仿宋"/>
          <w:color w:val="000000"/>
          <w:sz w:val="32"/>
          <w:szCs w:val="32"/>
          <w:u w:val="single"/>
        </w:rPr>
        <w:t xml:space="preserve">    </w:t>
      </w:r>
      <w:r>
        <w:rPr>
          <w:rFonts w:ascii="仿宋" w:hAnsi="仿宋" w:eastAsia="仿宋"/>
          <w:color w:val="000000"/>
          <w:sz w:val="32"/>
          <w:szCs w:val="32"/>
        </w:rPr>
        <w:t>年</w:t>
      </w:r>
      <w:r>
        <w:rPr>
          <w:rFonts w:ascii="仿宋" w:hAnsi="仿宋" w:eastAsia="仿宋"/>
          <w:color w:val="000000"/>
          <w:sz w:val="32"/>
          <w:szCs w:val="32"/>
          <w:u w:val="single"/>
        </w:rPr>
        <w:t xml:space="preserve">    </w:t>
      </w:r>
      <w:r>
        <w:rPr>
          <w:rFonts w:ascii="仿宋" w:hAnsi="仿宋" w:eastAsia="仿宋"/>
          <w:color w:val="000000"/>
          <w:sz w:val="32"/>
          <w:szCs w:val="32"/>
        </w:rPr>
        <w:t xml:space="preserve">月 </w:t>
      </w:r>
      <w:r>
        <w:rPr>
          <w:rFonts w:ascii="仿宋" w:hAnsi="仿宋" w:eastAsia="仿宋"/>
          <w:color w:val="000000"/>
          <w:sz w:val="32"/>
          <w:szCs w:val="32"/>
          <w:u w:val="single"/>
        </w:rPr>
        <w:t xml:space="preserve">   </w:t>
      </w:r>
      <w:r>
        <w:rPr>
          <w:rFonts w:ascii="仿宋" w:hAnsi="仿宋" w:eastAsia="仿宋"/>
          <w:color w:val="000000"/>
          <w:sz w:val="32"/>
          <w:szCs w:val="32"/>
        </w:rPr>
        <w:t>日</w:t>
      </w:r>
    </w:p>
    <w:p>
      <w:pPr>
        <w:spacing w:line="360" w:lineRule="auto"/>
        <w:rPr>
          <w:rFonts w:ascii="Times New Roman" w:hAnsi="Times New Roman" w:eastAsia="方正仿宋简体"/>
          <w:color w:val="000000"/>
        </w:rPr>
      </w:pPr>
    </w:p>
    <w:p>
      <w:pPr>
        <w:spacing w:line="480" w:lineRule="auto"/>
        <w:rPr>
          <w:rFonts w:ascii="Times New Roman" w:hAnsi="Times New Roman" w:eastAsia="方正仿宋简体"/>
          <w:b/>
          <w:bCs/>
          <w:color w:val="000000"/>
        </w:rPr>
      </w:pPr>
    </w:p>
    <w:p>
      <w:pPr>
        <w:spacing w:line="480" w:lineRule="auto"/>
        <w:rPr>
          <w:rFonts w:ascii="Times New Roman" w:hAnsi="Times New Roman" w:eastAsia="方正仿宋简体"/>
          <w:b/>
          <w:bCs/>
          <w:color w:val="000000"/>
        </w:rPr>
      </w:pPr>
    </w:p>
    <w:p>
      <w:pPr>
        <w:pStyle w:val="36"/>
        <w:ind w:firstLine="0" w:firstLineChars="0"/>
        <w:rPr>
          <w:rFonts w:ascii="黑体" w:hAnsi="黑体" w:eastAsia="黑体"/>
          <w:color w:val="000000"/>
          <w:sz w:val="32"/>
          <w:szCs w:val="32"/>
        </w:rPr>
      </w:pPr>
      <w:r>
        <w:rPr>
          <w:rFonts w:eastAsia="方正仿宋简体"/>
          <w:b/>
        </w:rPr>
        <w:br w:type="page"/>
      </w:r>
      <w:r>
        <w:rPr>
          <w:rFonts w:ascii="黑体" w:hAnsi="黑体" w:eastAsia="黑体"/>
          <w:sz w:val="32"/>
          <w:szCs w:val="32"/>
        </w:rPr>
        <w:t>附件3</w:t>
      </w:r>
    </w:p>
    <w:p>
      <w:pPr>
        <w:widowControl/>
        <w:spacing w:line="560" w:lineRule="exact"/>
        <w:jc w:val="left"/>
        <w:rPr>
          <w:rFonts w:ascii="Times New Roman" w:hAnsi="Times New Roman" w:eastAsia="方正仿宋简体"/>
          <w:sz w:val="28"/>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增发发行方案要点</w:t>
      </w:r>
    </w:p>
    <w:p>
      <w:pPr>
        <w:ind w:left="-502"/>
        <w:rPr>
          <w:rFonts w:ascii="宋体" w:hAnsi="宋体"/>
          <w:szCs w:val="21"/>
        </w:rPr>
      </w:pPr>
      <w:r>
        <w:rPr>
          <w:rFonts w:ascii="宋体" w:hAnsi="宋体"/>
          <w:szCs w:val="21"/>
        </w:rPr>
        <w:t>填表日期：</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2302"/>
        <w:gridCol w:w="2511"/>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宋体" w:hAnsi="宋体"/>
                <w:color w:val="000000"/>
                <w:szCs w:val="21"/>
              </w:rPr>
            </w:pPr>
            <w:r>
              <w:rPr>
                <w:rFonts w:ascii="宋体" w:hAnsi="宋体"/>
                <w:color w:val="000000"/>
                <w:szCs w:val="21"/>
              </w:rPr>
              <w:t>上市证券代码</w:t>
            </w:r>
          </w:p>
        </w:tc>
        <w:tc>
          <w:tcPr>
            <w:tcW w:w="2302" w:type="dxa"/>
            <w:vAlign w:val="center"/>
          </w:tcPr>
          <w:p>
            <w:pPr>
              <w:jc w:val="center"/>
              <w:rPr>
                <w:rFonts w:ascii="宋体" w:hAnsi="宋体"/>
                <w:color w:val="000000"/>
                <w:szCs w:val="21"/>
              </w:rPr>
            </w:pPr>
          </w:p>
        </w:tc>
        <w:tc>
          <w:tcPr>
            <w:tcW w:w="2511" w:type="dxa"/>
            <w:vAlign w:val="center"/>
          </w:tcPr>
          <w:p>
            <w:pPr>
              <w:jc w:val="center"/>
              <w:rPr>
                <w:rFonts w:ascii="宋体" w:hAnsi="宋体"/>
                <w:color w:val="000000"/>
                <w:szCs w:val="21"/>
              </w:rPr>
            </w:pPr>
            <w:r>
              <w:rPr>
                <w:rFonts w:ascii="宋体" w:hAnsi="宋体"/>
                <w:color w:val="000000"/>
                <w:szCs w:val="21"/>
              </w:rPr>
              <w:t>上市证券简称</w:t>
            </w:r>
          </w:p>
        </w:tc>
        <w:tc>
          <w:tcPr>
            <w:tcW w:w="232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2520" w:type="dxa"/>
            <w:vAlign w:val="center"/>
          </w:tcPr>
          <w:p>
            <w:pPr>
              <w:jc w:val="center"/>
              <w:rPr>
                <w:rFonts w:ascii="宋体" w:hAnsi="宋体"/>
                <w:color w:val="000000"/>
                <w:szCs w:val="21"/>
              </w:rPr>
            </w:pPr>
            <w:r>
              <w:rPr>
                <w:rFonts w:ascii="宋体" w:hAnsi="宋体"/>
                <w:color w:val="000000"/>
                <w:szCs w:val="21"/>
              </w:rPr>
              <w:t>主承销商</w:t>
            </w:r>
          </w:p>
        </w:tc>
        <w:tc>
          <w:tcPr>
            <w:tcW w:w="2302" w:type="dxa"/>
            <w:vAlign w:val="center"/>
          </w:tcPr>
          <w:p>
            <w:pPr>
              <w:jc w:val="center"/>
              <w:rPr>
                <w:rFonts w:ascii="宋体" w:hAnsi="宋体"/>
                <w:color w:val="000000"/>
                <w:szCs w:val="21"/>
              </w:rPr>
            </w:pPr>
          </w:p>
        </w:tc>
        <w:tc>
          <w:tcPr>
            <w:tcW w:w="2511" w:type="dxa"/>
            <w:vAlign w:val="center"/>
          </w:tcPr>
          <w:p>
            <w:pPr>
              <w:jc w:val="center"/>
              <w:rPr>
                <w:rFonts w:ascii="宋体" w:hAnsi="宋体"/>
                <w:color w:val="000000"/>
                <w:szCs w:val="21"/>
              </w:rPr>
            </w:pPr>
            <w:r>
              <w:rPr>
                <w:rFonts w:ascii="宋体" w:hAnsi="宋体"/>
                <w:color w:val="000000"/>
                <w:szCs w:val="21"/>
              </w:rPr>
              <w:t>主承销商会员代号</w:t>
            </w:r>
          </w:p>
        </w:tc>
        <w:tc>
          <w:tcPr>
            <w:tcW w:w="2327" w:type="dxa"/>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2520" w:type="dxa"/>
            <w:vAlign w:val="center"/>
          </w:tcPr>
          <w:p>
            <w:pPr>
              <w:jc w:val="center"/>
              <w:rPr>
                <w:rFonts w:ascii="宋体" w:hAnsi="宋体"/>
                <w:color w:val="000000"/>
                <w:szCs w:val="21"/>
              </w:rPr>
            </w:pPr>
            <w:r>
              <w:rPr>
                <w:rFonts w:ascii="宋体" w:hAnsi="宋体"/>
                <w:color w:val="000000"/>
                <w:szCs w:val="21"/>
              </w:rPr>
              <w:t>主承销商自营席位号</w:t>
            </w:r>
          </w:p>
        </w:tc>
        <w:tc>
          <w:tcPr>
            <w:tcW w:w="2302" w:type="dxa"/>
            <w:vAlign w:val="center"/>
          </w:tcPr>
          <w:p>
            <w:pPr>
              <w:jc w:val="center"/>
              <w:rPr>
                <w:rFonts w:ascii="宋体" w:hAnsi="宋体"/>
                <w:color w:val="000000"/>
                <w:szCs w:val="21"/>
              </w:rPr>
            </w:pPr>
          </w:p>
        </w:tc>
        <w:tc>
          <w:tcPr>
            <w:tcW w:w="2511" w:type="dxa"/>
            <w:vAlign w:val="center"/>
          </w:tcPr>
          <w:p>
            <w:pPr>
              <w:jc w:val="center"/>
              <w:rPr>
                <w:rFonts w:ascii="宋体" w:hAnsi="宋体"/>
                <w:color w:val="000000"/>
                <w:szCs w:val="21"/>
              </w:rPr>
            </w:pPr>
            <w:r>
              <w:rPr>
                <w:rFonts w:ascii="宋体" w:hAnsi="宋体"/>
                <w:color w:val="000000"/>
                <w:szCs w:val="21"/>
              </w:rPr>
              <w:t>主承销商自营资金结算备付金账号</w:t>
            </w:r>
          </w:p>
        </w:tc>
        <w:tc>
          <w:tcPr>
            <w:tcW w:w="2327" w:type="dxa"/>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tcBorders>
              <w:bottom w:val="single" w:color="auto" w:sz="4" w:space="0"/>
            </w:tcBorders>
            <w:vAlign w:val="center"/>
          </w:tcPr>
          <w:p>
            <w:pPr>
              <w:jc w:val="center"/>
              <w:rPr>
                <w:rFonts w:ascii="宋体" w:hAnsi="宋体"/>
                <w:color w:val="000000"/>
                <w:szCs w:val="21"/>
              </w:rPr>
            </w:pPr>
            <w:r>
              <w:rPr>
                <w:rFonts w:ascii="宋体" w:hAnsi="宋体"/>
                <w:color w:val="000000"/>
                <w:szCs w:val="21"/>
              </w:rPr>
              <w:t>主承销商联系人</w:t>
            </w:r>
          </w:p>
        </w:tc>
        <w:tc>
          <w:tcPr>
            <w:tcW w:w="2302" w:type="dxa"/>
            <w:tcBorders>
              <w:bottom w:val="single" w:color="auto" w:sz="4" w:space="0"/>
            </w:tcBorders>
            <w:vAlign w:val="center"/>
          </w:tcPr>
          <w:p>
            <w:pPr>
              <w:rPr>
                <w:rFonts w:ascii="宋体" w:hAnsi="宋体"/>
                <w:color w:val="000000"/>
                <w:szCs w:val="21"/>
              </w:rPr>
            </w:pPr>
            <w:r>
              <w:rPr>
                <w:rFonts w:ascii="宋体" w:hAnsi="宋体"/>
                <w:color w:val="000000"/>
                <w:szCs w:val="21"/>
              </w:rPr>
              <w:t xml:space="preserve">        </w:t>
            </w:r>
          </w:p>
        </w:tc>
        <w:tc>
          <w:tcPr>
            <w:tcW w:w="2511" w:type="dxa"/>
            <w:tcBorders>
              <w:bottom w:val="single" w:color="auto" w:sz="4" w:space="0"/>
            </w:tcBorders>
            <w:vAlign w:val="center"/>
          </w:tcPr>
          <w:p>
            <w:pPr>
              <w:jc w:val="center"/>
              <w:rPr>
                <w:rFonts w:ascii="宋体" w:hAnsi="宋体"/>
                <w:color w:val="000000"/>
                <w:szCs w:val="21"/>
              </w:rPr>
            </w:pPr>
            <w:r>
              <w:rPr>
                <w:rFonts w:ascii="宋体" w:hAnsi="宋体"/>
                <w:color w:val="000000"/>
                <w:szCs w:val="21"/>
              </w:rPr>
              <w:t>上市公司联系人</w:t>
            </w:r>
          </w:p>
        </w:tc>
        <w:tc>
          <w:tcPr>
            <w:tcW w:w="2327" w:type="dxa"/>
            <w:tcBorders>
              <w:bottom w:val="single" w:color="auto" w:sz="4" w:space="0"/>
            </w:tcBorders>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tcBorders>
              <w:bottom w:val="single" w:color="auto" w:sz="4" w:space="0"/>
            </w:tcBorders>
            <w:vAlign w:val="center"/>
          </w:tcPr>
          <w:p>
            <w:pPr>
              <w:jc w:val="center"/>
              <w:rPr>
                <w:rFonts w:ascii="宋体" w:hAnsi="宋体"/>
                <w:color w:val="000000"/>
                <w:szCs w:val="21"/>
              </w:rPr>
            </w:pPr>
            <w:r>
              <w:rPr>
                <w:rFonts w:ascii="宋体" w:hAnsi="宋体"/>
                <w:color w:val="000000"/>
                <w:szCs w:val="21"/>
              </w:rPr>
              <w:t>联系电话（手机）</w:t>
            </w:r>
          </w:p>
        </w:tc>
        <w:tc>
          <w:tcPr>
            <w:tcW w:w="2302" w:type="dxa"/>
            <w:tcBorders>
              <w:bottom w:val="single" w:color="auto" w:sz="4" w:space="0"/>
            </w:tcBorders>
            <w:vAlign w:val="center"/>
          </w:tcPr>
          <w:p>
            <w:pPr>
              <w:rPr>
                <w:rFonts w:ascii="宋体" w:hAnsi="宋体"/>
                <w:color w:val="000000"/>
                <w:szCs w:val="21"/>
              </w:rPr>
            </w:pPr>
          </w:p>
        </w:tc>
        <w:tc>
          <w:tcPr>
            <w:tcW w:w="2511" w:type="dxa"/>
            <w:tcBorders>
              <w:bottom w:val="single" w:color="auto" w:sz="4" w:space="0"/>
            </w:tcBorders>
            <w:vAlign w:val="center"/>
          </w:tcPr>
          <w:p>
            <w:pPr>
              <w:jc w:val="center"/>
              <w:rPr>
                <w:rFonts w:ascii="宋体" w:hAnsi="宋体"/>
                <w:color w:val="000000"/>
                <w:szCs w:val="21"/>
              </w:rPr>
            </w:pPr>
            <w:r>
              <w:rPr>
                <w:rFonts w:ascii="宋体" w:hAnsi="宋体"/>
                <w:color w:val="000000"/>
                <w:szCs w:val="21"/>
              </w:rPr>
              <w:t>联系电话（手机）</w:t>
            </w:r>
          </w:p>
        </w:tc>
        <w:tc>
          <w:tcPr>
            <w:tcW w:w="2327" w:type="dxa"/>
            <w:tcBorders>
              <w:bottom w:val="single" w:color="auto" w:sz="4" w:space="0"/>
            </w:tcBorders>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9660" w:type="dxa"/>
            <w:gridSpan w:val="4"/>
            <w:shd w:val="clear" w:color="auto" w:fill="C0C0C0"/>
            <w:vAlign w:val="center"/>
          </w:tcPr>
          <w:p>
            <w:pPr>
              <w:jc w:val="center"/>
              <w:rPr>
                <w:rFonts w:ascii="宋体" w:hAnsi="宋体"/>
                <w:b/>
                <w:color w:val="000000"/>
                <w:szCs w:val="21"/>
              </w:rPr>
            </w:pPr>
            <w:r>
              <w:rPr>
                <w:rFonts w:ascii="宋体" w:hAnsi="宋体"/>
                <w:b/>
                <w:color w:val="000000"/>
                <w:szCs w:val="21"/>
              </w:rPr>
              <w:t>发行情况简述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宋体" w:hAnsi="宋体"/>
                <w:color w:val="000000"/>
                <w:szCs w:val="21"/>
              </w:rPr>
            </w:pPr>
            <w:r>
              <w:rPr>
                <w:rFonts w:ascii="宋体" w:hAnsi="宋体"/>
                <w:color w:val="000000"/>
                <w:szCs w:val="21"/>
              </w:rPr>
              <w:t>申购代码</w:t>
            </w:r>
          </w:p>
        </w:tc>
        <w:tc>
          <w:tcPr>
            <w:tcW w:w="2302" w:type="dxa"/>
            <w:vAlign w:val="center"/>
          </w:tcPr>
          <w:p>
            <w:pPr>
              <w:jc w:val="center"/>
              <w:rPr>
                <w:rFonts w:ascii="宋体" w:hAnsi="宋体"/>
                <w:color w:val="000000"/>
                <w:szCs w:val="21"/>
              </w:rPr>
            </w:pPr>
          </w:p>
        </w:tc>
        <w:tc>
          <w:tcPr>
            <w:tcW w:w="2511" w:type="dxa"/>
            <w:vAlign w:val="center"/>
          </w:tcPr>
          <w:p>
            <w:pPr>
              <w:jc w:val="center"/>
              <w:rPr>
                <w:rFonts w:ascii="宋体" w:hAnsi="宋体"/>
                <w:color w:val="000000"/>
                <w:szCs w:val="21"/>
              </w:rPr>
            </w:pPr>
            <w:r>
              <w:rPr>
                <w:rFonts w:ascii="宋体" w:hAnsi="宋体"/>
                <w:color w:val="000000"/>
                <w:szCs w:val="21"/>
              </w:rPr>
              <w:t>申购简称</w:t>
            </w:r>
          </w:p>
        </w:tc>
        <w:tc>
          <w:tcPr>
            <w:tcW w:w="2327" w:type="dxa"/>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宋体" w:hAnsi="宋体"/>
                <w:color w:val="000000"/>
                <w:szCs w:val="21"/>
              </w:rPr>
            </w:pPr>
            <w:r>
              <w:rPr>
                <w:rFonts w:ascii="宋体" w:hAnsi="宋体"/>
                <w:color w:val="000000"/>
                <w:szCs w:val="21"/>
              </w:rPr>
              <w:t>发行规模（万股）</w:t>
            </w:r>
          </w:p>
        </w:tc>
        <w:tc>
          <w:tcPr>
            <w:tcW w:w="2302" w:type="dxa"/>
            <w:vAlign w:val="center"/>
          </w:tcPr>
          <w:p>
            <w:pPr>
              <w:jc w:val="center"/>
              <w:rPr>
                <w:rFonts w:ascii="宋体" w:hAnsi="宋体"/>
                <w:color w:val="000000"/>
                <w:szCs w:val="21"/>
              </w:rPr>
            </w:pPr>
          </w:p>
        </w:tc>
        <w:tc>
          <w:tcPr>
            <w:tcW w:w="2511" w:type="dxa"/>
            <w:vAlign w:val="center"/>
          </w:tcPr>
          <w:p>
            <w:pPr>
              <w:jc w:val="center"/>
              <w:rPr>
                <w:rFonts w:ascii="宋体" w:hAnsi="宋体"/>
                <w:color w:val="000000"/>
                <w:szCs w:val="21"/>
              </w:rPr>
            </w:pPr>
            <w:r>
              <w:rPr>
                <w:rFonts w:ascii="宋体" w:hAnsi="宋体"/>
                <w:color w:val="000000"/>
                <w:szCs w:val="21"/>
              </w:rPr>
              <w:t>募集资金数量（亿元）</w:t>
            </w:r>
          </w:p>
        </w:tc>
        <w:tc>
          <w:tcPr>
            <w:tcW w:w="2327"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宋体" w:hAnsi="宋体"/>
                <w:color w:val="000000"/>
                <w:szCs w:val="21"/>
              </w:rPr>
            </w:pPr>
            <w:r>
              <w:rPr>
                <w:rFonts w:ascii="宋体" w:hAnsi="宋体"/>
                <w:color w:val="000000"/>
                <w:szCs w:val="21"/>
              </w:rPr>
              <w:t>发行方式</w:t>
            </w:r>
          </w:p>
        </w:tc>
        <w:tc>
          <w:tcPr>
            <w:tcW w:w="2302" w:type="dxa"/>
            <w:vAlign w:val="center"/>
          </w:tcPr>
          <w:p>
            <w:pPr>
              <w:rPr>
                <w:rFonts w:ascii="宋体" w:hAnsi="宋体"/>
                <w:color w:val="000000"/>
                <w:szCs w:val="21"/>
              </w:rPr>
            </w:pPr>
            <w:r>
              <w:rPr>
                <w:rFonts w:ascii="宋体" w:hAnsi="宋体"/>
                <w:color w:val="000000"/>
                <w:szCs w:val="21"/>
              </w:rPr>
              <w:t>□网上   □ 网下</w:t>
            </w:r>
          </w:p>
        </w:tc>
        <w:tc>
          <w:tcPr>
            <w:tcW w:w="2511" w:type="dxa"/>
            <w:vAlign w:val="center"/>
          </w:tcPr>
          <w:p>
            <w:pPr>
              <w:jc w:val="center"/>
              <w:rPr>
                <w:rFonts w:ascii="宋体" w:hAnsi="宋体"/>
                <w:color w:val="000000"/>
                <w:szCs w:val="21"/>
              </w:rPr>
            </w:pPr>
            <w:r>
              <w:rPr>
                <w:rFonts w:ascii="宋体" w:hAnsi="宋体"/>
                <w:color w:val="000000"/>
                <w:szCs w:val="21"/>
              </w:rPr>
              <w:t>机构投资者</w:t>
            </w:r>
          </w:p>
          <w:p>
            <w:pPr>
              <w:jc w:val="center"/>
              <w:rPr>
                <w:rFonts w:ascii="宋体" w:hAnsi="宋体"/>
                <w:color w:val="000000"/>
                <w:szCs w:val="21"/>
              </w:rPr>
            </w:pPr>
            <w:r>
              <w:rPr>
                <w:rFonts w:ascii="宋体" w:hAnsi="宋体"/>
                <w:color w:val="000000"/>
                <w:szCs w:val="21"/>
              </w:rPr>
              <w:t>允许的申购方式</w:t>
            </w:r>
          </w:p>
        </w:tc>
        <w:tc>
          <w:tcPr>
            <w:tcW w:w="2327" w:type="dxa"/>
            <w:vAlign w:val="center"/>
          </w:tcPr>
          <w:p>
            <w:pPr>
              <w:rPr>
                <w:rFonts w:ascii="宋体" w:hAnsi="宋体"/>
                <w:color w:val="000000"/>
                <w:szCs w:val="21"/>
              </w:rPr>
            </w:pPr>
            <w:r>
              <w:rPr>
                <w:rFonts w:ascii="宋体" w:hAnsi="宋体"/>
                <w:color w:val="000000"/>
                <w:szCs w:val="21"/>
              </w:rPr>
              <w:t>□网上   □ 网下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vAlign w:val="center"/>
          </w:tcPr>
          <w:p>
            <w:pPr>
              <w:jc w:val="center"/>
              <w:rPr>
                <w:rFonts w:ascii="宋体" w:hAnsi="宋体"/>
                <w:color w:val="000000"/>
                <w:szCs w:val="21"/>
              </w:rPr>
            </w:pPr>
            <w:r>
              <w:rPr>
                <w:rFonts w:ascii="宋体" w:hAnsi="宋体"/>
                <w:color w:val="000000"/>
                <w:szCs w:val="21"/>
              </w:rPr>
              <w:t>网上发行数量</w:t>
            </w:r>
          </w:p>
        </w:tc>
        <w:tc>
          <w:tcPr>
            <w:tcW w:w="2302" w:type="dxa"/>
            <w:vAlign w:val="center"/>
          </w:tcPr>
          <w:p>
            <w:pPr>
              <w:rPr>
                <w:rFonts w:ascii="宋体" w:hAnsi="宋体"/>
                <w:color w:val="000000"/>
                <w:szCs w:val="21"/>
              </w:rPr>
            </w:pPr>
          </w:p>
        </w:tc>
        <w:tc>
          <w:tcPr>
            <w:tcW w:w="2511" w:type="dxa"/>
            <w:vAlign w:val="center"/>
          </w:tcPr>
          <w:p>
            <w:pPr>
              <w:jc w:val="center"/>
              <w:rPr>
                <w:rFonts w:ascii="宋体" w:hAnsi="宋体"/>
                <w:color w:val="000000"/>
                <w:szCs w:val="21"/>
              </w:rPr>
            </w:pPr>
            <w:r>
              <w:rPr>
                <w:rFonts w:ascii="宋体" w:hAnsi="宋体"/>
                <w:color w:val="000000"/>
                <w:szCs w:val="21"/>
              </w:rPr>
              <w:t>网上申购上限</w:t>
            </w:r>
          </w:p>
        </w:tc>
        <w:tc>
          <w:tcPr>
            <w:tcW w:w="2327" w:type="dxa"/>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tcBorders>
              <w:bottom w:val="single" w:color="auto" w:sz="4" w:space="0"/>
            </w:tcBorders>
            <w:vAlign w:val="center"/>
          </w:tcPr>
          <w:p>
            <w:pPr>
              <w:jc w:val="center"/>
              <w:rPr>
                <w:rFonts w:ascii="宋体" w:hAnsi="宋体"/>
                <w:color w:val="000000"/>
                <w:szCs w:val="21"/>
              </w:rPr>
            </w:pPr>
            <w:r>
              <w:rPr>
                <w:rFonts w:ascii="宋体" w:hAnsi="宋体"/>
                <w:color w:val="000000"/>
                <w:szCs w:val="21"/>
              </w:rPr>
              <w:t>发行回拨机制</w:t>
            </w:r>
          </w:p>
        </w:tc>
        <w:tc>
          <w:tcPr>
            <w:tcW w:w="7140" w:type="dxa"/>
            <w:gridSpan w:val="3"/>
            <w:tcBorders>
              <w:bottom w:val="single" w:color="auto" w:sz="4" w:space="0"/>
            </w:tcBorders>
            <w:vAlign w:val="center"/>
          </w:tcPr>
          <w:p>
            <w:pPr>
              <w:jc w:val="center"/>
              <w:rPr>
                <w:rFonts w:ascii="宋体" w:hAnsi="宋体"/>
                <w:color w:val="000000"/>
                <w:szCs w:val="21"/>
              </w:rPr>
            </w:pPr>
            <w:r>
              <w:rPr>
                <w:rFonts w:ascii="宋体" w:hAnsi="宋体"/>
                <w:color w:val="000000"/>
                <w:szCs w:val="21"/>
              </w:rPr>
              <w:t xml:space="preserve">  □无      □单项回拨（请注明方向）    □双向回拨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4822" w:type="dxa"/>
            <w:gridSpan w:val="2"/>
            <w:tcBorders>
              <w:bottom w:val="single" w:color="auto" w:sz="4" w:space="0"/>
            </w:tcBorders>
            <w:vAlign w:val="center"/>
          </w:tcPr>
          <w:p>
            <w:pPr>
              <w:jc w:val="center"/>
              <w:rPr>
                <w:rFonts w:ascii="宋体" w:hAnsi="宋体"/>
                <w:color w:val="000000"/>
                <w:szCs w:val="21"/>
              </w:rPr>
            </w:pPr>
            <w:r>
              <w:rPr>
                <w:rFonts w:ascii="宋体" w:hAnsi="宋体"/>
                <w:color w:val="000000"/>
                <w:szCs w:val="21"/>
              </w:rPr>
              <w:t>老股东优先配售比例</w:t>
            </w:r>
          </w:p>
        </w:tc>
        <w:tc>
          <w:tcPr>
            <w:tcW w:w="4838" w:type="dxa"/>
            <w:gridSpan w:val="2"/>
            <w:tcBorders>
              <w:bottom w:val="single" w:color="auto" w:sz="4" w:space="0"/>
            </w:tcBorders>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2" w:hRule="atLeast"/>
          <w:jc w:val="center"/>
        </w:trPr>
        <w:tc>
          <w:tcPr>
            <w:tcW w:w="2520" w:type="dxa"/>
            <w:tcBorders>
              <w:bottom w:val="single" w:color="auto" w:sz="4" w:space="0"/>
            </w:tcBorders>
            <w:vAlign w:val="center"/>
          </w:tcPr>
          <w:p>
            <w:pPr>
              <w:jc w:val="center"/>
              <w:rPr>
                <w:rFonts w:ascii="宋体" w:hAnsi="宋体"/>
                <w:color w:val="000000"/>
                <w:szCs w:val="21"/>
              </w:rPr>
            </w:pPr>
            <w:r>
              <w:rPr>
                <w:rFonts w:ascii="宋体" w:hAnsi="宋体"/>
                <w:color w:val="000000"/>
                <w:szCs w:val="21"/>
              </w:rPr>
              <w:t>享有优先配售权</w:t>
            </w:r>
          </w:p>
          <w:p>
            <w:pPr>
              <w:jc w:val="center"/>
              <w:rPr>
                <w:rFonts w:ascii="宋体" w:hAnsi="宋体"/>
                <w:color w:val="000000"/>
                <w:szCs w:val="21"/>
              </w:rPr>
            </w:pPr>
            <w:r>
              <w:rPr>
                <w:rFonts w:ascii="宋体" w:hAnsi="宋体"/>
                <w:color w:val="000000"/>
                <w:szCs w:val="21"/>
              </w:rPr>
              <w:t>的老股东的定义</w:t>
            </w:r>
          </w:p>
        </w:tc>
        <w:tc>
          <w:tcPr>
            <w:tcW w:w="7140" w:type="dxa"/>
            <w:gridSpan w:val="3"/>
            <w:tcBorders>
              <w:bottom w:val="single" w:color="auto" w:sz="4" w:space="0"/>
            </w:tcBorders>
            <w:vAlign w:val="center"/>
          </w:tcPr>
          <w:p>
            <w:pPr>
              <w:ind w:firstLine="378" w:firstLineChars="180"/>
              <w:rPr>
                <w:rFonts w:ascii="宋体" w:hAnsi="宋体"/>
                <w:color w:val="000000"/>
                <w:szCs w:val="21"/>
              </w:rPr>
            </w:pPr>
            <w:r>
              <w:rPr>
                <w:rFonts w:ascii="宋体" w:hAnsi="宋体"/>
                <w:color w:val="000000"/>
                <w:szCs w:val="21"/>
              </w:rPr>
              <w:t>目前结算系统处理的老股东优先配售权所指的老股东指股权登记日在册的全体股东。</w:t>
            </w:r>
          </w:p>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tcBorders>
              <w:bottom w:val="single" w:color="auto" w:sz="4" w:space="0"/>
            </w:tcBorders>
            <w:vAlign w:val="center"/>
          </w:tcPr>
          <w:p>
            <w:pPr>
              <w:jc w:val="center"/>
              <w:rPr>
                <w:rFonts w:ascii="宋体" w:hAnsi="宋体"/>
                <w:color w:val="000000"/>
                <w:szCs w:val="21"/>
              </w:rPr>
            </w:pPr>
            <w:r>
              <w:rPr>
                <w:rFonts w:ascii="宋体" w:hAnsi="宋体"/>
                <w:color w:val="000000"/>
                <w:szCs w:val="21"/>
              </w:rPr>
              <w:t>股权登记日期</w:t>
            </w:r>
          </w:p>
        </w:tc>
        <w:tc>
          <w:tcPr>
            <w:tcW w:w="2302" w:type="dxa"/>
            <w:tcBorders>
              <w:bottom w:val="single" w:color="auto" w:sz="4" w:space="0"/>
            </w:tcBorders>
            <w:vAlign w:val="center"/>
          </w:tcPr>
          <w:p>
            <w:pPr>
              <w:jc w:val="center"/>
              <w:rPr>
                <w:rFonts w:ascii="宋体" w:hAnsi="宋体"/>
                <w:color w:val="000000"/>
                <w:szCs w:val="21"/>
              </w:rPr>
            </w:pPr>
          </w:p>
        </w:tc>
        <w:tc>
          <w:tcPr>
            <w:tcW w:w="2511" w:type="dxa"/>
            <w:tcBorders>
              <w:bottom w:val="single" w:color="auto" w:sz="2" w:space="0"/>
            </w:tcBorders>
            <w:vAlign w:val="center"/>
          </w:tcPr>
          <w:p>
            <w:pPr>
              <w:jc w:val="center"/>
              <w:rPr>
                <w:rFonts w:ascii="宋体" w:hAnsi="宋体"/>
                <w:color w:val="000000"/>
                <w:szCs w:val="21"/>
              </w:rPr>
            </w:pPr>
            <w:r>
              <w:rPr>
                <w:rFonts w:ascii="宋体" w:hAnsi="宋体"/>
                <w:color w:val="000000"/>
                <w:szCs w:val="21"/>
              </w:rPr>
              <w:t>网上申购日</w:t>
            </w:r>
          </w:p>
        </w:tc>
        <w:tc>
          <w:tcPr>
            <w:tcW w:w="2327" w:type="dxa"/>
            <w:tcBorders>
              <w:bottom w:val="single" w:color="auto" w:sz="4" w:space="0"/>
            </w:tcBorders>
            <w:vAlign w:val="center"/>
          </w:tcPr>
          <w:p>
            <w:pPr>
              <w:ind w:firstLine="105" w:firstLineChars="50"/>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tcBorders>
              <w:bottom w:val="single" w:color="auto" w:sz="4" w:space="0"/>
            </w:tcBorders>
            <w:vAlign w:val="center"/>
          </w:tcPr>
          <w:p>
            <w:pPr>
              <w:jc w:val="center"/>
              <w:rPr>
                <w:rFonts w:ascii="宋体" w:hAnsi="宋体"/>
                <w:color w:val="000000"/>
                <w:szCs w:val="21"/>
              </w:rPr>
            </w:pPr>
            <w:r>
              <w:rPr>
                <w:rFonts w:ascii="宋体" w:hAnsi="宋体"/>
                <w:color w:val="000000"/>
                <w:szCs w:val="21"/>
              </w:rPr>
              <w:t>网下申购日</w:t>
            </w:r>
          </w:p>
        </w:tc>
        <w:tc>
          <w:tcPr>
            <w:tcW w:w="2302" w:type="dxa"/>
            <w:tcBorders>
              <w:bottom w:val="single" w:color="auto" w:sz="4" w:space="0"/>
            </w:tcBorders>
            <w:vAlign w:val="center"/>
          </w:tcPr>
          <w:p>
            <w:pPr>
              <w:jc w:val="center"/>
              <w:rPr>
                <w:rFonts w:ascii="宋体" w:hAnsi="宋体"/>
                <w:color w:val="000000"/>
                <w:szCs w:val="21"/>
              </w:rPr>
            </w:pPr>
          </w:p>
        </w:tc>
        <w:tc>
          <w:tcPr>
            <w:tcW w:w="2511" w:type="dxa"/>
            <w:tcBorders>
              <w:bottom w:val="single" w:color="auto" w:sz="4" w:space="0"/>
            </w:tcBorders>
            <w:vAlign w:val="center"/>
          </w:tcPr>
          <w:p>
            <w:pPr>
              <w:jc w:val="center"/>
              <w:rPr>
                <w:rFonts w:ascii="宋体" w:hAnsi="宋体"/>
                <w:color w:val="000000"/>
                <w:szCs w:val="21"/>
              </w:rPr>
            </w:pPr>
            <w:r>
              <w:rPr>
                <w:rFonts w:ascii="宋体" w:hAnsi="宋体"/>
                <w:color w:val="000000"/>
                <w:szCs w:val="21"/>
              </w:rPr>
              <w:t>网下申购定金折扣</w:t>
            </w:r>
          </w:p>
        </w:tc>
        <w:tc>
          <w:tcPr>
            <w:tcW w:w="2327" w:type="dxa"/>
            <w:tcBorders>
              <w:bottom w:val="single" w:color="auto" w:sz="4" w:space="0"/>
            </w:tcBorders>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520" w:type="dxa"/>
            <w:tcBorders>
              <w:bottom w:val="single" w:color="auto" w:sz="4" w:space="0"/>
            </w:tcBorders>
            <w:vAlign w:val="center"/>
          </w:tcPr>
          <w:p>
            <w:pPr>
              <w:jc w:val="center"/>
              <w:rPr>
                <w:rFonts w:ascii="宋体" w:hAnsi="宋体"/>
                <w:color w:val="000000"/>
                <w:szCs w:val="21"/>
              </w:rPr>
            </w:pPr>
            <w:r>
              <w:rPr>
                <w:rFonts w:ascii="宋体" w:hAnsi="宋体"/>
                <w:color w:val="000000"/>
                <w:szCs w:val="21"/>
              </w:rPr>
              <w:t>价格</w:t>
            </w:r>
          </w:p>
        </w:tc>
        <w:tc>
          <w:tcPr>
            <w:tcW w:w="7140" w:type="dxa"/>
            <w:gridSpan w:val="3"/>
            <w:tcBorders>
              <w:bottom w:val="single" w:color="auto" w:sz="4" w:space="0"/>
            </w:tcBorders>
            <w:vAlign w:val="center"/>
          </w:tcPr>
          <w:p>
            <w:pPr>
              <w:jc w:val="center"/>
              <w:rPr>
                <w:rFonts w:ascii="宋体" w:hAnsi="宋体"/>
                <w:color w:val="000000"/>
                <w:szCs w:val="21"/>
              </w:rPr>
            </w:pPr>
            <w:r>
              <w:rPr>
                <w:rFonts w:ascii="宋体" w:hAnsi="宋体"/>
                <w:color w:val="000000"/>
                <w:szCs w:val="21"/>
              </w:rPr>
              <w:t xml:space="preserve">   元/股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jc w:val="center"/>
        </w:trPr>
        <w:tc>
          <w:tcPr>
            <w:tcW w:w="2520" w:type="dxa"/>
            <w:tcBorders>
              <w:top w:val="single" w:color="auto" w:sz="6" w:space="0"/>
              <w:left w:val="single" w:color="auto" w:sz="2" w:space="0"/>
              <w:bottom w:val="single" w:color="auto" w:sz="2" w:space="0"/>
              <w:right w:val="single" w:color="auto" w:sz="6" w:space="0"/>
            </w:tcBorders>
            <w:vAlign w:val="center"/>
          </w:tcPr>
          <w:p>
            <w:pPr>
              <w:jc w:val="center"/>
              <w:rPr>
                <w:rFonts w:ascii="宋体" w:hAnsi="宋体"/>
                <w:color w:val="000000"/>
                <w:szCs w:val="21"/>
              </w:rPr>
            </w:pPr>
            <w:r>
              <w:rPr>
                <w:rFonts w:ascii="宋体" w:hAnsi="宋体"/>
                <w:color w:val="000000"/>
                <w:szCs w:val="21"/>
              </w:rPr>
              <w:t>本次发行方案中</w:t>
            </w:r>
          </w:p>
          <w:p>
            <w:pPr>
              <w:jc w:val="center"/>
              <w:rPr>
                <w:rFonts w:ascii="宋体" w:hAnsi="宋体"/>
                <w:color w:val="000000"/>
                <w:szCs w:val="21"/>
              </w:rPr>
            </w:pPr>
            <w:r>
              <w:rPr>
                <w:rFonts w:ascii="宋体" w:hAnsi="宋体"/>
                <w:color w:val="000000"/>
                <w:szCs w:val="21"/>
              </w:rPr>
              <w:t>创新内容简述</w:t>
            </w:r>
          </w:p>
        </w:tc>
        <w:tc>
          <w:tcPr>
            <w:tcW w:w="7140" w:type="dxa"/>
            <w:gridSpan w:val="3"/>
            <w:tcBorders>
              <w:top w:val="single" w:color="auto" w:sz="6" w:space="0"/>
              <w:left w:val="single" w:color="auto" w:sz="6" w:space="0"/>
              <w:bottom w:val="single" w:color="auto" w:sz="2" w:space="0"/>
              <w:right w:val="single" w:color="auto" w:sz="2" w:space="0"/>
            </w:tcBorders>
            <w:vAlign w:val="center"/>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9660" w:type="dxa"/>
            <w:gridSpan w:val="4"/>
            <w:shd w:val="clear" w:color="auto" w:fill="C0C0C0"/>
            <w:vAlign w:val="center"/>
          </w:tcPr>
          <w:p>
            <w:pPr>
              <w:jc w:val="center"/>
              <w:rPr>
                <w:rFonts w:ascii="宋体" w:hAnsi="宋体"/>
                <w:color w:val="000000"/>
                <w:szCs w:val="21"/>
              </w:rPr>
            </w:pPr>
            <w:r>
              <w:rPr>
                <w:rFonts w:ascii="宋体" w:hAnsi="宋体"/>
                <w:b/>
                <w:color w:val="000000"/>
                <w:szCs w:val="21"/>
              </w:rPr>
              <w:t>主承销商授权经办人确认以上内容无误并签字（加盖单位公章）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atLeast"/>
          <w:jc w:val="center"/>
        </w:trPr>
        <w:tc>
          <w:tcPr>
            <w:tcW w:w="9660" w:type="dxa"/>
            <w:gridSpan w:val="4"/>
            <w:tcBorders>
              <w:top w:val="single" w:color="auto" w:sz="6" w:space="0"/>
              <w:left w:val="single" w:color="auto" w:sz="2" w:space="0"/>
              <w:bottom w:val="single" w:color="auto" w:sz="2" w:space="0"/>
              <w:right w:val="single" w:color="auto" w:sz="2" w:space="0"/>
            </w:tcBorders>
            <w:vAlign w:val="center"/>
          </w:tcPr>
          <w:p>
            <w:pPr>
              <w:ind w:firstLine="1050" w:firstLineChars="500"/>
              <w:rPr>
                <w:rFonts w:ascii="宋体" w:hAnsi="宋体"/>
                <w:color w:val="000000"/>
                <w:szCs w:val="21"/>
              </w:rPr>
            </w:pPr>
          </w:p>
        </w:tc>
      </w:tr>
    </w:tbl>
    <w:p>
      <w:pPr>
        <w:pStyle w:val="36"/>
        <w:ind w:firstLine="0" w:firstLineChars="0"/>
        <w:rPr>
          <w:rFonts w:ascii="黑体" w:hAnsi="黑体" w:eastAsia="黑体"/>
          <w:color w:val="000000"/>
          <w:sz w:val="32"/>
          <w:szCs w:val="32"/>
        </w:rPr>
      </w:pPr>
      <w:r>
        <w:rPr>
          <w:rFonts w:eastAsia="方正仿宋简体"/>
          <w:color w:val="000000"/>
        </w:rPr>
        <w:br w:type="page"/>
      </w:r>
      <w:r>
        <w:rPr>
          <w:rFonts w:ascii="黑体" w:hAnsi="黑体" w:eastAsia="黑体"/>
          <w:sz w:val="32"/>
          <w:szCs w:val="32"/>
        </w:rPr>
        <w:t>附件4</w:t>
      </w:r>
    </w:p>
    <w:p>
      <w:pPr>
        <w:widowControl/>
        <w:spacing w:line="560" w:lineRule="exact"/>
        <w:jc w:val="left"/>
        <w:rPr>
          <w:rFonts w:ascii="Times New Roman" w:hAnsi="Times New Roman" w:eastAsia="方正仿宋简体"/>
          <w:color w:val="000000"/>
          <w:sz w:val="28"/>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中国证券登记结算有限责任公司深圳分公司</w:t>
      </w: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股票增发网上认购资金划款申请表</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27" w:type="dxa"/>
          <w:bottom w:w="0" w:type="dxa"/>
          <w:right w:w="227" w:type="dxa"/>
        </w:tblCellMar>
      </w:tblPr>
      <w:tblGrid>
        <w:gridCol w:w="2694"/>
        <w:gridCol w:w="567"/>
        <w:gridCol w:w="1519"/>
        <w:gridCol w:w="617"/>
        <w:gridCol w:w="1974"/>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cantSplit/>
          <w:trHeight w:val="503" w:hRule="atLeast"/>
          <w:jc w:val="center"/>
        </w:trPr>
        <w:tc>
          <w:tcPr>
            <w:tcW w:w="3261" w:type="dxa"/>
            <w:gridSpan w:val="2"/>
            <w:vAlign w:val="center"/>
          </w:tcPr>
          <w:p>
            <w:pPr>
              <w:jc w:val="center"/>
              <w:rPr>
                <w:rFonts w:ascii="宋体" w:hAnsi="宋体"/>
                <w:color w:val="000000"/>
                <w:szCs w:val="21"/>
              </w:rPr>
            </w:pPr>
            <w:r>
              <w:rPr>
                <w:rFonts w:ascii="宋体" w:hAnsi="宋体"/>
                <w:color w:val="000000"/>
                <w:szCs w:val="21"/>
              </w:rPr>
              <w:t>主承销商</w:t>
            </w:r>
          </w:p>
        </w:tc>
        <w:tc>
          <w:tcPr>
            <w:tcW w:w="5916" w:type="dxa"/>
            <w:gridSpan w:val="4"/>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jc w:val="center"/>
        </w:trPr>
        <w:tc>
          <w:tcPr>
            <w:tcW w:w="3261" w:type="dxa"/>
            <w:gridSpan w:val="2"/>
            <w:vAlign w:val="center"/>
          </w:tcPr>
          <w:p>
            <w:pPr>
              <w:jc w:val="center"/>
              <w:rPr>
                <w:rFonts w:ascii="宋体" w:hAnsi="宋体"/>
                <w:color w:val="000000"/>
                <w:szCs w:val="21"/>
              </w:rPr>
            </w:pPr>
            <w:r>
              <w:rPr>
                <w:rFonts w:ascii="宋体" w:hAnsi="宋体"/>
                <w:color w:val="000000"/>
                <w:szCs w:val="21"/>
              </w:rPr>
              <w:t>主承销商联系人</w:t>
            </w:r>
          </w:p>
        </w:tc>
        <w:tc>
          <w:tcPr>
            <w:tcW w:w="2136" w:type="dxa"/>
            <w:gridSpan w:val="2"/>
            <w:vAlign w:val="center"/>
          </w:tcPr>
          <w:p>
            <w:pPr>
              <w:jc w:val="center"/>
              <w:rPr>
                <w:rFonts w:ascii="宋体" w:hAnsi="宋体"/>
                <w:color w:val="000000"/>
                <w:szCs w:val="21"/>
              </w:rPr>
            </w:pPr>
          </w:p>
        </w:tc>
        <w:tc>
          <w:tcPr>
            <w:tcW w:w="1974" w:type="dxa"/>
            <w:vAlign w:val="center"/>
          </w:tcPr>
          <w:p>
            <w:pPr>
              <w:jc w:val="center"/>
              <w:rPr>
                <w:rFonts w:ascii="宋体" w:hAnsi="宋体"/>
                <w:color w:val="000000"/>
                <w:szCs w:val="21"/>
              </w:rPr>
            </w:pPr>
            <w:r>
              <w:rPr>
                <w:rFonts w:ascii="宋体" w:hAnsi="宋体"/>
                <w:color w:val="000000"/>
                <w:szCs w:val="21"/>
              </w:rPr>
              <w:t>联系电话</w:t>
            </w:r>
          </w:p>
        </w:tc>
        <w:tc>
          <w:tcPr>
            <w:tcW w:w="180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jc w:val="center"/>
        </w:trPr>
        <w:tc>
          <w:tcPr>
            <w:tcW w:w="3261" w:type="dxa"/>
            <w:gridSpan w:val="2"/>
            <w:vAlign w:val="center"/>
          </w:tcPr>
          <w:p>
            <w:pPr>
              <w:jc w:val="center"/>
              <w:rPr>
                <w:rFonts w:ascii="宋体" w:hAnsi="宋体"/>
                <w:color w:val="000000"/>
                <w:szCs w:val="21"/>
              </w:rPr>
            </w:pPr>
            <w:r>
              <w:rPr>
                <w:rFonts w:ascii="宋体" w:hAnsi="宋体"/>
                <w:color w:val="000000"/>
                <w:szCs w:val="21"/>
              </w:rPr>
              <w:t>证券简称</w:t>
            </w:r>
          </w:p>
        </w:tc>
        <w:tc>
          <w:tcPr>
            <w:tcW w:w="2136" w:type="dxa"/>
            <w:gridSpan w:val="2"/>
            <w:vAlign w:val="center"/>
          </w:tcPr>
          <w:p>
            <w:pPr>
              <w:jc w:val="center"/>
              <w:rPr>
                <w:rFonts w:ascii="宋体" w:hAnsi="宋体"/>
                <w:color w:val="000000"/>
                <w:szCs w:val="21"/>
              </w:rPr>
            </w:pPr>
          </w:p>
        </w:tc>
        <w:tc>
          <w:tcPr>
            <w:tcW w:w="1974" w:type="dxa"/>
            <w:vAlign w:val="center"/>
          </w:tcPr>
          <w:p>
            <w:pPr>
              <w:jc w:val="center"/>
              <w:rPr>
                <w:rFonts w:ascii="宋体" w:hAnsi="宋体"/>
                <w:color w:val="000000"/>
                <w:szCs w:val="21"/>
              </w:rPr>
            </w:pPr>
            <w:r>
              <w:rPr>
                <w:rFonts w:ascii="宋体" w:hAnsi="宋体"/>
                <w:color w:val="000000"/>
                <w:szCs w:val="21"/>
              </w:rPr>
              <w:t>证券代码</w:t>
            </w:r>
          </w:p>
        </w:tc>
        <w:tc>
          <w:tcPr>
            <w:tcW w:w="1806" w:type="dxa"/>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jc w:val="center"/>
        </w:trPr>
        <w:tc>
          <w:tcPr>
            <w:tcW w:w="3261" w:type="dxa"/>
            <w:gridSpan w:val="2"/>
            <w:vAlign w:val="center"/>
          </w:tcPr>
          <w:p>
            <w:pPr>
              <w:jc w:val="center"/>
              <w:rPr>
                <w:rFonts w:ascii="宋体" w:hAnsi="宋体"/>
                <w:color w:val="000000"/>
                <w:szCs w:val="21"/>
              </w:rPr>
            </w:pPr>
            <w:r>
              <w:rPr>
                <w:rFonts w:ascii="宋体" w:hAnsi="宋体"/>
                <w:color w:val="000000"/>
                <w:szCs w:val="21"/>
              </w:rPr>
              <w:t>网上发行数量（股）</w:t>
            </w:r>
          </w:p>
        </w:tc>
        <w:tc>
          <w:tcPr>
            <w:tcW w:w="5916" w:type="dxa"/>
            <w:gridSpan w:val="4"/>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jc w:val="center"/>
        </w:trPr>
        <w:tc>
          <w:tcPr>
            <w:tcW w:w="3261" w:type="dxa"/>
            <w:gridSpan w:val="2"/>
            <w:vAlign w:val="center"/>
          </w:tcPr>
          <w:p>
            <w:pPr>
              <w:jc w:val="center"/>
              <w:rPr>
                <w:rFonts w:ascii="宋体" w:hAnsi="宋体"/>
                <w:color w:val="000000"/>
                <w:szCs w:val="21"/>
              </w:rPr>
            </w:pPr>
            <w:r>
              <w:rPr>
                <w:rFonts w:ascii="宋体" w:hAnsi="宋体"/>
                <w:color w:val="000000"/>
                <w:szCs w:val="21"/>
              </w:rPr>
              <w:t>网上申购日期（T日）</w:t>
            </w:r>
          </w:p>
        </w:tc>
        <w:tc>
          <w:tcPr>
            <w:tcW w:w="2136" w:type="dxa"/>
            <w:gridSpan w:val="2"/>
            <w:vAlign w:val="center"/>
          </w:tcPr>
          <w:p>
            <w:pPr>
              <w:jc w:val="center"/>
              <w:rPr>
                <w:rFonts w:ascii="宋体" w:hAnsi="宋体"/>
                <w:color w:val="000000"/>
                <w:szCs w:val="21"/>
              </w:rPr>
            </w:pPr>
            <w:r>
              <w:rPr>
                <w:rFonts w:ascii="宋体" w:hAnsi="宋体"/>
                <w:color w:val="000000"/>
                <w:szCs w:val="21"/>
              </w:rPr>
              <w:t xml:space="preserve"> 年  月  日   </w:t>
            </w:r>
          </w:p>
        </w:tc>
        <w:tc>
          <w:tcPr>
            <w:tcW w:w="1974" w:type="dxa"/>
            <w:vAlign w:val="center"/>
          </w:tcPr>
          <w:p>
            <w:pPr>
              <w:jc w:val="center"/>
              <w:rPr>
                <w:rFonts w:ascii="宋体" w:hAnsi="宋体"/>
                <w:color w:val="000000"/>
                <w:szCs w:val="21"/>
              </w:rPr>
            </w:pPr>
            <w:r>
              <w:rPr>
                <w:rFonts w:ascii="宋体" w:hAnsi="宋体"/>
                <w:color w:val="000000"/>
                <w:szCs w:val="21"/>
              </w:rPr>
              <w:t>认购资金划付日期（T+4日）</w:t>
            </w:r>
          </w:p>
        </w:tc>
        <w:tc>
          <w:tcPr>
            <w:tcW w:w="1806" w:type="dxa"/>
            <w:vAlign w:val="center"/>
          </w:tcPr>
          <w:p>
            <w:pPr>
              <w:jc w:val="center"/>
              <w:rPr>
                <w:rFonts w:ascii="宋体" w:hAnsi="宋体"/>
                <w:color w:val="000000"/>
                <w:szCs w:val="21"/>
              </w:rPr>
            </w:pPr>
            <w:r>
              <w:rPr>
                <w:rFonts w:ascii="宋体" w:hAnsi="宋体"/>
                <w:color w:val="000000"/>
                <w:szCs w:val="21"/>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cantSplit/>
          <w:trHeight w:val="764" w:hRule="atLeast"/>
          <w:jc w:val="center"/>
        </w:trPr>
        <w:tc>
          <w:tcPr>
            <w:tcW w:w="3261" w:type="dxa"/>
            <w:gridSpan w:val="2"/>
            <w:vAlign w:val="center"/>
          </w:tcPr>
          <w:p>
            <w:pPr>
              <w:jc w:val="center"/>
              <w:rPr>
                <w:rFonts w:ascii="宋体" w:hAnsi="宋体"/>
                <w:color w:val="000000"/>
                <w:szCs w:val="21"/>
              </w:rPr>
            </w:pPr>
            <w:r>
              <w:rPr>
                <w:rFonts w:ascii="宋体" w:hAnsi="宋体"/>
                <w:color w:val="000000"/>
                <w:szCs w:val="21"/>
              </w:rPr>
              <w:t>主承销商自营</w:t>
            </w:r>
          </w:p>
          <w:p>
            <w:pPr>
              <w:jc w:val="center"/>
              <w:rPr>
                <w:rFonts w:ascii="宋体" w:hAnsi="宋体"/>
                <w:color w:val="000000"/>
                <w:szCs w:val="21"/>
              </w:rPr>
            </w:pPr>
            <w:r>
              <w:rPr>
                <w:rFonts w:ascii="宋体" w:hAnsi="宋体"/>
                <w:color w:val="000000"/>
                <w:szCs w:val="21"/>
              </w:rPr>
              <w:t>结算备付金账号</w:t>
            </w:r>
          </w:p>
        </w:tc>
        <w:tc>
          <w:tcPr>
            <w:tcW w:w="5916" w:type="dxa"/>
            <w:gridSpan w:val="4"/>
            <w:vAlign w:val="center"/>
          </w:tcPr>
          <w:p>
            <w:pPr>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cantSplit/>
          <w:trHeight w:val="2612" w:hRule="atLeast"/>
          <w:jc w:val="center"/>
        </w:trPr>
        <w:tc>
          <w:tcPr>
            <w:tcW w:w="4780" w:type="dxa"/>
            <w:gridSpan w:val="3"/>
            <w:vAlign w:val="center"/>
          </w:tcPr>
          <w:p>
            <w:pPr>
              <w:jc w:val="center"/>
              <w:rPr>
                <w:rFonts w:ascii="宋体" w:hAnsi="宋体"/>
                <w:color w:val="000000"/>
                <w:szCs w:val="21"/>
              </w:rPr>
            </w:pPr>
            <w:r>
              <w:rPr>
                <w:rFonts w:ascii="宋体" w:hAnsi="宋体"/>
                <w:color w:val="000000"/>
                <w:szCs w:val="21"/>
              </w:rPr>
              <w:t>主承销商确认：</w:t>
            </w:r>
          </w:p>
          <w:p>
            <w:pPr>
              <w:jc w:val="center"/>
              <w:rPr>
                <w:rFonts w:ascii="宋体" w:hAnsi="宋体"/>
                <w:color w:val="000000"/>
                <w:szCs w:val="21"/>
              </w:rPr>
            </w:pPr>
          </w:p>
          <w:p>
            <w:pPr>
              <w:jc w:val="center"/>
              <w:rPr>
                <w:rFonts w:ascii="宋体" w:hAnsi="宋体"/>
                <w:color w:val="000000"/>
                <w:szCs w:val="21"/>
              </w:rPr>
            </w:pPr>
            <w:r>
              <w:rPr>
                <w:rFonts w:ascii="宋体" w:hAnsi="宋体"/>
                <w:color w:val="000000"/>
                <w:szCs w:val="21"/>
              </w:rPr>
              <w:t>法人公章</w:t>
            </w:r>
          </w:p>
          <w:p>
            <w:pPr>
              <w:jc w:val="center"/>
              <w:rPr>
                <w:rFonts w:ascii="宋体" w:hAnsi="宋体"/>
                <w:color w:val="000000"/>
                <w:szCs w:val="21"/>
              </w:rPr>
            </w:pPr>
            <w:r>
              <w:rPr>
                <w:rFonts w:ascii="宋体" w:hAnsi="宋体"/>
                <w:color w:val="000000"/>
                <w:szCs w:val="21"/>
              </w:rPr>
              <w:t>法定代表人（或授权代表）</w:t>
            </w:r>
          </w:p>
        </w:tc>
        <w:tc>
          <w:tcPr>
            <w:tcW w:w="4397" w:type="dxa"/>
            <w:gridSpan w:val="3"/>
            <w:vAlign w:val="center"/>
          </w:tcPr>
          <w:p>
            <w:pPr>
              <w:jc w:val="center"/>
              <w:rPr>
                <w:rFonts w:ascii="宋体" w:hAnsi="宋体"/>
                <w:color w:val="000000"/>
                <w:szCs w:val="21"/>
              </w:rPr>
            </w:pPr>
            <w:r>
              <w:rPr>
                <w:rFonts w:ascii="宋体" w:hAnsi="宋体"/>
                <w:color w:val="000000"/>
                <w:szCs w:val="21"/>
              </w:rPr>
              <w:t>发行人确认：</w:t>
            </w:r>
          </w:p>
          <w:p>
            <w:pPr>
              <w:jc w:val="center"/>
              <w:rPr>
                <w:rFonts w:ascii="宋体" w:hAnsi="宋体"/>
                <w:color w:val="000000"/>
                <w:szCs w:val="21"/>
              </w:rPr>
            </w:pPr>
          </w:p>
          <w:p>
            <w:pPr>
              <w:jc w:val="center"/>
              <w:rPr>
                <w:rFonts w:ascii="宋体" w:hAnsi="宋体"/>
                <w:color w:val="000000"/>
                <w:szCs w:val="21"/>
              </w:rPr>
            </w:pPr>
            <w:r>
              <w:rPr>
                <w:rFonts w:ascii="宋体" w:hAnsi="宋体"/>
                <w:color w:val="000000"/>
                <w:szCs w:val="21"/>
              </w:rPr>
              <w:t>法人公章</w:t>
            </w:r>
          </w:p>
          <w:p>
            <w:pPr>
              <w:jc w:val="center"/>
              <w:rPr>
                <w:rFonts w:ascii="宋体" w:hAnsi="宋体"/>
                <w:color w:val="000000"/>
                <w:szCs w:val="21"/>
              </w:rPr>
            </w:pPr>
            <w:r>
              <w:rPr>
                <w:rFonts w:ascii="宋体" w:hAnsi="宋体"/>
                <w:color w:val="000000"/>
                <w:szCs w:val="21"/>
              </w:rPr>
              <w:t>法定代表人（或授权代表）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27" w:type="dxa"/>
            <w:bottom w:w="0" w:type="dxa"/>
            <w:right w:w="227" w:type="dxa"/>
          </w:tblCellMar>
        </w:tblPrEx>
        <w:trPr>
          <w:cantSplit/>
          <w:trHeight w:val="848" w:hRule="atLeast"/>
          <w:jc w:val="center"/>
        </w:trPr>
        <w:tc>
          <w:tcPr>
            <w:tcW w:w="2694" w:type="dxa"/>
            <w:vAlign w:val="center"/>
          </w:tcPr>
          <w:p>
            <w:pPr>
              <w:jc w:val="center"/>
              <w:rPr>
                <w:rFonts w:ascii="宋体" w:hAnsi="宋体"/>
                <w:color w:val="000000"/>
                <w:szCs w:val="21"/>
              </w:rPr>
            </w:pPr>
            <w:r>
              <w:rPr>
                <w:rFonts w:ascii="宋体" w:hAnsi="宋体"/>
                <w:color w:val="000000"/>
                <w:szCs w:val="21"/>
              </w:rPr>
              <w:t>验资会计师事务所</w:t>
            </w:r>
          </w:p>
          <w:p>
            <w:pPr>
              <w:jc w:val="center"/>
              <w:rPr>
                <w:rFonts w:ascii="宋体" w:hAnsi="宋体"/>
                <w:color w:val="000000"/>
                <w:szCs w:val="21"/>
              </w:rPr>
            </w:pPr>
            <w:r>
              <w:rPr>
                <w:rFonts w:ascii="宋体" w:hAnsi="宋体"/>
                <w:color w:val="000000"/>
                <w:szCs w:val="21"/>
              </w:rPr>
              <w:t>（网上部分）</w:t>
            </w:r>
          </w:p>
        </w:tc>
        <w:tc>
          <w:tcPr>
            <w:tcW w:w="6483" w:type="dxa"/>
            <w:gridSpan w:val="5"/>
            <w:vAlign w:val="center"/>
          </w:tcPr>
          <w:p>
            <w:pPr>
              <w:jc w:val="center"/>
              <w:rPr>
                <w:rFonts w:ascii="宋体" w:hAnsi="宋体"/>
                <w:color w:val="000000"/>
                <w:szCs w:val="21"/>
              </w:rPr>
            </w:pPr>
          </w:p>
        </w:tc>
      </w:tr>
    </w:tbl>
    <w:p>
      <w:pPr>
        <w:jc w:val="left"/>
        <w:rPr>
          <w:rFonts w:ascii="宋体" w:hAnsi="宋体"/>
          <w:color w:val="000000"/>
          <w:szCs w:val="21"/>
        </w:rPr>
      </w:pPr>
      <w:r>
        <w:rPr>
          <w:rFonts w:ascii="宋体" w:hAnsi="宋体"/>
          <w:color w:val="000000"/>
          <w:szCs w:val="21"/>
        </w:rPr>
        <w:t>1</w:t>
      </w:r>
      <w:r>
        <w:rPr>
          <w:rFonts w:hint="eastAsia" w:ascii="宋体" w:hAnsi="宋体"/>
          <w:color w:val="000000"/>
          <w:szCs w:val="21"/>
        </w:rPr>
        <w:t>．</w:t>
      </w:r>
      <w:r>
        <w:rPr>
          <w:rFonts w:ascii="宋体" w:hAnsi="宋体"/>
          <w:color w:val="000000"/>
          <w:szCs w:val="21"/>
        </w:rPr>
        <w:t>本申请表原件须于股票增发T＋2日17：00前送达或寄达我公司。可先将扫描或拍照件发送至fxyw@chinaclear</w:t>
      </w:r>
      <w:r>
        <w:rPr>
          <w:rFonts w:hint="eastAsia" w:ascii="宋体" w:hAnsi="宋体"/>
          <w:color w:val="000000"/>
          <w:szCs w:val="21"/>
        </w:rPr>
        <w:t>.</w:t>
      </w:r>
      <w:r>
        <w:rPr>
          <w:rFonts w:ascii="宋体" w:hAnsi="宋体"/>
          <w:color w:val="000000"/>
          <w:szCs w:val="21"/>
        </w:rPr>
        <w:t>com</w:t>
      </w:r>
      <w:r>
        <w:rPr>
          <w:rFonts w:hint="eastAsia" w:ascii="宋体" w:hAnsi="宋体"/>
          <w:color w:val="000000"/>
          <w:szCs w:val="21"/>
        </w:rPr>
        <w:t>.</w:t>
      </w:r>
      <w:r>
        <w:rPr>
          <w:rFonts w:ascii="宋体" w:hAnsi="宋体"/>
          <w:color w:val="000000"/>
          <w:szCs w:val="21"/>
        </w:rPr>
        <w:t>cn；</w:t>
      </w:r>
    </w:p>
    <w:p>
      <w:pPr>
        <w:rPr>
          <w:rFonts w:ascii="Times New Roman" w:hAnsi="Times New Roman"/>
        </w:rPr>
      </w:pPr>
      <w:r>
        <w:rPr>
          <w:rFonts w:ascii="宋体" w:hAnsi="宋体"/>
          <w:color w:val="000000"/>
          <w:szCs w:val="21"/>
        </w:rPr>
        <w:t>2</w:t>
      </w:r>
      <w:r>
        <w:rPr>
          <w:rFonts w:hint="eastAsia" w:ascii="宋体" w:hAnsi="宋体"/>
          <w:color w:val="000000"/>
          <w:szCs w:val="21"/>
        </w:rPr>
        <w:t>．</w:t>
      </w:r>
      <w:r>
        <w:rPr>
          <w:rFonts w:ascii="宋体" w:hAnsi="宋体"/>
          <w:color w:val="000000"/>
          <w:szCs w:val="21"/>
        </w:rPr>
        <w:t>联系人：结算公司结算业务部送达或邮寄地址：深圳市深南大道2012号深圳证券交易所广场25楼（邮编：518038）联系电话：0755-21899224、21899201</w:t>
      </w:r>
    </w:p>
    <w:p>
      <w:pPr>
        <w:rPr>
          <w:rFonts w:ascii="Times New Roman" w:hAnsi="Times New Roman"/>
        </w:rPr>
      </w:pPr>
      <w:r>
        <w:rPr>
          <w:rFonts w:ascii="Times New Roman" w:hAnsi="Times New Roman"/>
        </w:rPr>
        <w:br w:type="page"/>
      </w:r>
    </w:p>
    <w:p>
      <w:pPr>
        <w:pStyle w:val="162"/>
        <w:ind w:firstLine="0" w:firstLineChars="0"/>
        <w:outlineLvl w:val="1"/>
        <w:rPr>
          <w:rFonts w:hAnsi="黑体"/>
          <w:sz w:val="32"/>
          <w:szCs w:val="32"/>
        </w:rPr>
      </w:pPr>
      <w:bookmarkStart w:id="53" w:name="_Toc22212"/>
      <w:bookmarkStart w:id="54" w:name="_Toc141954536"/>
      <w:bookmarkStart w:id="55" w:name="_Toc129272530"/>
      <w:r>
        <w:rPr>
          <w:rFonts w:hint="eastAsia" w:hAnsi="黑体"/>
          <w:sz w:val="32"/>
          <w:szCs w:val="32"/>
        </w:rPr>
        <w:t xml:space="preserve">第二节 </w:t>
      </w:r>
      <w:r>
        <w:rPr>
          <w:rFonts w:hAnsi="黑体"/>
          <w:sz w:val="32"/>
          <w:szCs w:val="32"/>
        </w:rPr>
        <w:t>向特定对象发行股票</w:t>
      </w:r>
      <w:bookmarkEnd w:id="53"/>
      <w:bookmarkEnd w:id="54"/>
      <w:bookmarkEnd w:id="55"/>
    </w:p>
    <w:p>
      <w:pPr>
        <w:spacing w:line="560" w:lineRule="exact"/>
        <w:ind w:firstLine="643" w:firstLineChars="200"/>
        <w:rPr>
          <w:rFonts w:ascii="黑体" w:hAnsi="黑体" w:eastAsia="黑体"/>
          <w:b/>
          <w:sz w:val="32"/>
          <w:szCs w:val="32"/>
        </w:rPr>
      </w:pPr>
      <w:r>
        <w:rPr>
          <w:rFonts w:ascii="黑体" w:hAnsi="黑体" w:eastAsia="黑体"/>
          <w:b/>
          <w:sz w:val="32"/>
          <w:szCs w:val="32"/>
        </w:rPr>
        <w:t>一、审核注册阶段信息披露要求</w:t>
      </w:r>
    </w:p>
    <w:p>
      <w:pPr>
        <w:spacing w:line="560" w:lineRule="exact"/>
        <w:ind w:firstLine="640" w:firstLineChars="200"/>
        <w:rPr>
          <w:rFonts w:ascii="仿宋" w:hAnsi="仿宋" w:eastAsia="仿宋"/>
          <w:sz w:val="32"/>
          <w:szCs w:val="32"/>
        </w:rPr>
      </w:pPr>
      <w:r>
        <w:rPr>
          <w:rFonts w:ascii="仿宋" w:hAnsi="仿宋" w:eastAsia="仿宋"/>
          <w:sz w:val="32"/>
          <w:szCs w:val="32"/>
        </w:rPr>
        <w:t>1．上市公司提出向特定对象发行股票发行申请后，出现下列情形之一的，应当在次一个交易日予以公告：</w:t>
      </w:r>
    </w:p>
    <w:p>
      <w:pPr>
        <w:spacing w:line="560" w:lineRule="exact"/>
        <w:ind w:firstLine="640" w:firstLineChars="200"/>
        <w:rPr>
          <w:rFonts w:ascii="仿宋" w:hAnsi="仿宋" w:eastAsia="仿宋"/>
          <w:sz w:val="32"/>
          <w:szCs w:val="32"/>
        </w:rPr>
      </w:pPr>
      <w:r>
        <w:rPr>
          <w:rFonts w:ascii="仿宋" w:hAnsi="仿宋" w:eastAsia="仿宋"/>
          <w:sz w:val="32"/>
          <w:szCs w:val="32"/>
        </w:rPr>
        <w:t>（1）收到交易所不予受理或者终止发行上市审核决定；</w:t>
      </w:r>
    </w:p>
    <w:p>
      <w:pPr>
        <w:spacing w:line="560" w:lineRule="exact"/>
        <w:ind w:firstLine="640" w:firstLineChars="200"/>
        <w:rPr>
          <w:rFonts w:ascii="仿宋" w:hAnsi="仿宋" w:eastAsia="仿宋"/>
          <w:sz w:val="32"/>
          <w:szCs w:val="32"/>
        </w:rPr>
      </w:pPr>
      <w:r>
        <w:rPr>
          <w:rFonts w:ascii="仿宋" w:hAnsi="仿宋" w:eastAsia="仿宋"/>
          <w:sz w:val="32"/>
          <w:szCs w:val="32"/>
        </w:rPr>
        <w:t>（2）收到中国证监会终止发行注册决定；</w:t>
      </w:r>
    </w:p>
    <w:p>
      <w:pPr>
        <w:spacing w:line="560" w:lineRule="exact"/>
        <w:ind w:firstLine="640" w:firstLineChars="200"/>
        <w:rPr>
          <w:rFonts w:ascii="仿宋" w:hAnsi="仿宋" w:eastAsia="仿宋"/>
          <w:sz w:val="32"/>
          <w:szCs w:val="32"/>
        </w:rPr>
      </w:pPr>
      <w:r>
        <w:rPr>
          <w:rFonts w:ascii="仿宋" w:hAnsi="仿宋" w:eastAsia="仿宋"/>
          <w:sz w:val="32"/>
          <w:szCs w:val="32"/>
        </w:rPr>
        <w:t>（3）收到中国证监会注册或者不予注册决定；</w:t>
      </w:r>
    </w:p>
    <w:p>
      <w:pPr>
        <w:spacing w:line="560" w:lineRule="exact"/>
        <w:ind w:firstLine="640" w:firstLineChars="200"/>
        <w:rPr>
          <w:rFonts w:ascii="仿宋" w:hAnsi="仿宋" w:eastAsia="仿宋"/>
          <w:sz w:val="32"/>
          <w:szCs w:val="32"/>
        </w:rPr>
      </w:pPr>
      <w:r>
        <w:rPr>
          <w:rFonts w:ascii="仿宋" w:hAnsi="仿宋" w:eastAsia="仿宋"/>
          <w:sz w:val="32"/>
          <w:szCs w:val="32"/>
        </w:rPr>
        <w:t>（4）上市公司撤回证券发行申请。</w:t>
      </w:r>
    </w:p>
    <w:p>
      <w:pPr>
        <w:spacing w:line="560" w:lineRule="exact"/>
        <w:ind w:firstLine="640" w:firstLineChars="200"/>
        <w:rPr>
          <w:rFonts w:ascii="仿宋" w:hAnsi="仿宋" w:eastAsia="仿宋"/>
          <w:sz w:val="32"/>
          <w:szCs w:val="32"/>
        </w:rPr>
      </w:pPr>
      <w:r>
        <w:rPr>
          <w:rFonts w:ascii="仿宋" w:hAnsi="仿宋" w:eastAsia="仿宋"/>
          <w:sz w:val="32"/>
          <w:szCs w:val="32"/>
        </w:rPr>
        <w:t>2．本所受理证券发行上市申请文件当日，公司应当披露受理公告，并同时披露募集说明书、发行保荐书、上市保荐书、审计报告、法律意见书。</w:t>
      </w:r>
    </w:p>
    <w:p>
      <w:pPr>
        <w:spacing w:line="560" w:lineRule="exact"/>
        <w:ind w:firstLine="640" w:firstLineChars="200"/>
        <w:rPr>
          <w:rFonts w:ascii="仿宋" w:hAnsi="仿宋" w:eastAsia="仿宋"/>
          <w:sz w:val="32"/>
          <w:szCs w:val="32"/>
        </w:rPr>
      </w:pPr>
      <w:r>
        <w:rPr>
          <w:rFonts w:ascii="仿宋" w:hAnsi="仿宋" w:eastAsia="仿宋"/>
          <w:sz w:val="32"/>
          <w:szCs w:val="32"/>
        </w:rPr>
        <w:t>3．上市公司应当以临时公告的形式及时披露对本所审核问询的回复。</w:t>
      </w:r>
    </w:p>
    <w:p>
      <w:pPr>
        <w:spacing w:line="560" w:lineRule="exact"/>
        <w:ind w:firstLine="640" w:firstLineChars="200"/>
        <w:rPr>
          <w:rFonts w:ascii="仿宋" w:hAnsi="仿宋" w:eastAsia="仿宋"/>
          <w:sz w:val="32"/>
          <w:szCs w:val="32"/>
        </w:rPr>
      </w:pPr>
      <w:r>
        <w:rPr>
          <w:rFonts w:ascii="仿宋" w:hAnsi="仿宋" w:eastAsia="仿宋"/>
          <w:sz w:val="32"/>
          <w:szCs w:val="32"/>
        </w:rPr>
        <w:t>4．上市公司收到本所具有明确审核意见的函件或决定后，应当以临时公告的形式及时对外披露。如为符合发行条件、上市条件和信息披露要求的审核意见，公司应在公告中声明“公司本次向特定对象发行股票尚需中国证监会注册，敬请广大投资者注意投资风险”。</w:t>
      </w:r>
    </w:p>
    <w:p>
      <w:pPr>
        <w:spacing w:line="560" w:lineRule="exact"/>
        <w:ind w:firstLine="640" w:firstLineChars="200"/>
        <w:rPr>
          <w:rFonts w:ascii="仿宋" w:hAnsi="仿宋" w:eastAsia="仿宋"/>
          <w:sz w:val="32"/>
          <w:szCs w:val="32"/>
        </w:rPr>
      </w:pPr>
      <w:r>
        <w:rPr>
          <w:rFonts w:ascii="仿宋" w:hAnsi="仿宋" w:eastAsia="仿宋"/>
          <w:sz w:val="32"/>
          <w:szCs w:val="32"/>
        </w:rPr>
        <w:t>5．上市公司披露收到中国证监会予以注册决定的公告时，应当说明取得注册</w:t>
      </w:r>
      <w:r>
        <w:rPr>
          <w:rFonts w:hint="eastAsia" w:ascii="仿宋" w:hAnsi="仿宋" w:eastAsia="仿宋"/>
          <w:sz w:val="32"/>
          <w:szCs w:val="32"/>
        </w:rPr>
        <w:t>文件</w:t>
      </w:r>
      <w:r>
        <w:rPr>
          <w:rFonts w:ascii="仿宋" w:hAnsi="仿宋" w:eastAsia="仿宋"/>
          <w:sz w:val="32"/>
          <w:szCs w:val="32"/>
        </w:rPr>
        <w:t>的日期、注册发行的股份数量，并公告本次发行的保荐人</w:t>
      </w:r>
      <w:r>
        <w:rPr>
          <w:rFonts w:hint="eastAsia" w:ascii="仿宋" w:hAnsi="仿宋" w:eastAsia="仿宋"/>
          <w:sz w:val="32"/>
          <w:szCs w:val="32"/>
        </w:rPr>
        <w:t>、主承销商</w:t>
      </w:r>
      <w:r>
        <w:rPr>
          <w:rFonts w:ascii="仿宋" w:hAnsi="仿宋" w:eastAsia="仿宋"/>
          <w:sz w:val="32"/>
          <w:szCs w:val="32"/>
        </w:rPr>
        <w:t>，公开上市公司和保荐人</w:t>
      </w:r>
      <w:r>
        <w:rPr>
          <w:rFonts w:hint="eastAsia" w:ascii="仿宋" w:hAnsi="仿宋" w:eastAsia="仿宋"/>
          <w:sz w:val="32"/>
          <w:szCs w:val="32"/>
        </w:rPr>
        <w:t>、主承销商</w:t>
      </w:r>
      <w:r>
        <w:rPr>
          <w:rFonts w:ascii="仿宋" w:hAnsi="仿宋" w:eastAsia="仿宋"/>
          <w:sz w:val="32"/>
          <w:szCs w:val="32"/>
        </w:rPr>
        <w:t>指定办理本次发行的负责人及其有效联系方式。</w:t>
      </w:r>
    </w:p>
    <w:p>
      <w:pPr>
        <w:spacing w:line="560" w:lineRule="exact"/>
        <w:ind w:firstLine="640" w:firstLineChars="200"/>
        <w:rPr>
          <w:rFonts w:ascii="仿宋" w:hAnsi="仿宋" w:eastAsia="仿宋"/>
          <w:sz w:val="32"/>
          <w:szCs w:val="32"/>
        </w:rPr>
      </w:pPr>
      <w:r>
        <w:rPr>
          <w:rFonts w:ascii="仿宋" w:hAnsi="仿宋" w:eastAsia="仿宋"/>
          <w:sz w:val="32"/>
          <w:szCs w:val="32"/>
        </w:rPr>
        <w:t>6．上市公司应当在收到中国证监会予以注册决定后的两个交易日内，以临时公告的形式披露经证监会予以注册的募集说明书。</w:t>
      </w:r>
    </w:p>
    <w:p>
      <w:pPr>
        <w:spacing w:line="560" w:lineRule="exact"/>
        <w:ind w:firstLine="643" w:firstLineChars="200"/>
        <w:rPr>
          <w:rFonts w:ascii="黑体" w:hAnsi="黑体" w:eastAsia="黑体"/>
          <w:b/>
          <w:sz w:val="32"/>
          <w:szCs w:val="32"/>
        </w:rPr>
      </w:pPr>
      <w:r>
        <w:rPr>
          <w:rFonts w:ascii="黑体" w:hAnsi="黑体" w:eastAsia="黑体"/>
          <w:b/>
          <w:sz w:val="32"/>
          <w:szCs w:val="32"/>
        </w:rPr>
        <w:t>二、组织发行</w:t>
      </w:r>
    </w:p>
    <w:p>
      <w:pPr>
        <w:spacing w:line="560" w:lineRule="exact"/>
        <w:ind w:firstLine="640" w:firstLineChars="200"/>
        <w:rPr>
          <w:rFonts w:ascii="仿宋" w:hAnsi="仿宋" w:eastAsia="仿宋"/>
          <w:sz w:val="32"/>
          <w:szCs w:val="32"/>
        </w:rPr>
      </w:pPr>
      <w:r>
        <w:rPr>
          <w:rFonts w:ascii="仿宋" w:hAnsi="仿宋" w:eastAsia="仿宋"/>
          <w:sz w:val="32"/>
          <w:szCs w:val="32"/>
        </w:rPr>
        <w:t>上市公司应当在注册</w:t>
      </w:r>
      <w:r>
        <w:rPr>
          <w:rFonts w:hint="eastAsia" w:ascii="仿宋" w:hAnsi="仿宋" w:eastAsia="仿宋"/>
          <w:sz w:val="32"/>
          <w:szCs w:val="32"/>
        </w:rPr>
        <w:t>文件</w:t>
      </w:r>
      <w:r>
        <w:rPr>
          <w:rFonts w:ascii="仿宋" w:hAnsi="仿宋" w:eastAsia="仿宋"/>
          <w:sz w:val="32"/>
          <w:szCs w:val="32"/>
        </w:rPr>
        <w:t>的有效期内，按照《证券发行与承销管理办法》《深圳证券交易所上市公司证券发行与承销业务实施细则》等有关规定组织发行。</w:t>
      </w:r>
    </w:p>
    <w:p>
      <w:pPr>
        <w:spacing w:line="560" w:lineRule="exact"/>
        <w:ind w:firstLine="643" w:firstLineChars="200"/>
        <w:rPr>
          <w:rFonts w:ascii="黑体" w:hAnsi="黑体" w:eastAsia="黑体"/>
          <w:b/>
          <w:sz w:val="32"/>
          <w:szCs w:val="32"/>
        </w:rPr>
      </w:pPr>
      <w:r>
        <w:rPr>
          <w:rFonts w:ascii="黑体" w:hAnsi="黑体" w:eastAsia="黑体"/>
          <w:b/>
          <w:sz w:val="32"/>
          <w:szCs w:val="32"/>
        </w:rPr>
        <w:t>三、披露发行情况报告书</w:t>
      </w:r>
    </w:p>
    <w:p>
      <w:pPr>
        <w:spacing w:line="560" w:lineRule="exact"/>
        <w:ind w:firstLine="640" w:firstLineChars="200"/>
        <w:rPr>
          <w:rFonts w:ascii="仿宋" w:hAnsi="仿宋" w:eastAsia="仿宋"/>
          <w:sz w:val="32"/>
          <w:szCs w:val="32"/>
        </w:rPr>
      </w:pPr>
      <w:r>
        <w:rPr>
          <w:rFonts w:ascii="仿宋" w:hAnsi="仿宋" w:eastAsia="仿宋"/>
          <w:sz w:val="32"/>
          <w:szCs w:val="32"/>
        </w:rPr>
        <w:t>1．上市公司向特定对象发行股票结束后，应在两个交易日</w:t>
      </w:r>
      <w:r>
        <w:rPr>
          <w:rFonts w:hint="eastAsia" w:ascii="仿宋" w:hAnsi="仿宋" w:eastAsia="仿宋"/>
          <w:sz w:val="32"/>
          <w:szCs w:val="32"/>
        </w:rPr>
        <w:t>内</w:t>
      </w:r>
      <w:r>
        <w:rPr>
          <w:rFonts w:ascii="仿宋" w:hAnsi="仿宋" w:eastAsia="仿宋"/>
          <w:sz w:val="32"/>
          <w:szCs w:val="32"/>
        </w:rPr>
        <w:t>提交以下资料并履行相应的信息披露义务。</w:t>
      </w:r>
    </w:p>
    <w:p>
      <w:pPr>
        <w:spacing w:line="560" w:lineRule="exact"/>
        <w:ind w:firstLine="640" w:firstLineChars="200"/>
        <w:rPr>
          <w:rFonts w:ascii="仿宋" w:hAnsi="仿宋" w:eastAsia="仿宋"/>
          <w:sz w:val="32"/>
          <w:szCs w:val="32"/>
        </w:rPr>
      </w:pPr>
      <w:r>
        <w:rPr>
          <w:rFonts w:ascii="仿宋" w:hAnsi="仿宋" w:eastAsia="仿宋"/>
          <w:sz w:val="32"/>
          <w:szCs w:val="32"/>
        </w:rPr>
        <w:t>（1）发行情况报告书（上网）</w:t>
      </w:r>
    </w:p>
    <w:p>
      <w:pPr>
        <w:spacing w:line="560" w:lineRule="exact"/>
        <w:ind w:firstLine="640" w:firstLineChars="200"/>
        <w:rPr>
          <w:rFonts w:ascii="仿宋" w:hAnsi="仿宋" w:eastAsia="仿宋"/>
          <w:sz w:val="32"/>
          <w:szCs w:val="32"/>
        </w:rPr>
      </w:pPr>
      <w:r>
        <w:rPr>
          <w:rFonts w:ascii="仿宋" w:hAnsi="仿宋" w:eastAsia="仿宋"/>
          <w:sz w:val="32"/>
          <w:szCs w:val="32"/>
        </w:rPr>
        <w:t>（2） 保荐人关于本次发行过程和认购对象合规性的报告（上网）</w:t>
      </w:r>
    </w:p>
    <w:p>
      <w:pPr>
        <w:spacing w:line="560" w:lineRule="exact"/>
        <w:ind w:firstLine="640" w:firstLineChars="200"/>
        <w:rPr>
          <w:rFonts w:ascii="仿宋" w:hAnsi="仿宋" w:eastAsia="仿宋"/>
          <w:sz w:val="32"/>
          <w:szCs w:val="32"/>
        </w:rPr>
      </w:pPr>
      <w:r>
        <w:rPr>
          <w:rFonts w:ascii="仿宋" w:hAnsi="仿宋" w:eastAsia="仿宋"/>
          <w:sz w:val="32"/>
          <w:szCs w:val="32"/>
        </w:rPr>
        <w:t>（3）律师关于本次发行过程和认购对象合规性的报告（上网）</w:t>
      </w:r>
    </w:p>
    <w:p>
      <w:pPr>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符合《证券法》规定的会计师事务所</w:t>
      </w:r>
      <w:r>
        <w:rPr>
          <w:rFonts w:ascii="仿宋" w:hAnsi="仿宋" w:eastAsia="仿宋"/>
          <w:sz w:val="32"/>
          <w:szCs w:val="32"/>
        </w:rPr>
        <w:t>出具的验资报告（报备）</w:t>
      </w:r>
    </w:p>
    <w:p>
      <w:pPr>
        <w:spacing w:line="560" w:lineRule="exact"/>
        <w:ind w:firstLine="640" w:firstLineChars="200"/>
        <w:rPr>
          <w:rFonts w:ascii="仿宋" w:hAnsi="仿宋" w:eastAsia="仿宋"/>
          <w:sz w:val="32"/>
          <w:szCs w:val="32"/>
        </w:rPr>
      </w:pPr>
      <w:r>
        <w:rPr>
          <w:rFonts w:ascii="仿宋" w:hAnsi="仿宋" w:eastAsia="仿宋"/>
          <w:sz w:val="32"/>
          <w:szCs w:val="32"/>
        </w:rPr>
        <w:t>2．上市公司应当按照《公开发行证券的公司信息披露内容与格式准则第</w:t>
      </w:r>
      <w:r>
        <w:rPr>
          <w:rFonts w:hint="eastAsia" w:ascii="仿宋" w:hAnsi="仿宋" w:eastAsia="仿宋"/>
          <w:sz w:val="32"/>
          <w:szCs w:val="32"/>
        </w:rPr>
        <w:t>61</w:t>
      </w:r>
      <w:r>
        <w:rPr>
          <w:rFonts w:ascii="仿宋" w:hAnsi="仿宋" w:eastAsia="仿宋"/>
          <w:sz w:val="32"/>
          <w:szCs w:val="32"/>
        </w:rPr>
        <w:t>号——上市公司向特定对象发行证券募集说明书和发行情况报告书》第三章“发行情况报告书”的规定编制本次发行情况报告书的详细内容。</w:t>
      </w:r>
    </w:p>
    <w:p>
      <w:pPr>
        <w:spacing w:line="560" w:lineRule="exact"/>
        <w:ind w:firstLine="643" w:firstLineChars="200"/>
        <w:rPr>
          <w:rFonts w:ascii="黑体" w:hAnsi="黑体" w:eastAsia="黑体"/>
          <w:b/>
          <w:sz w:val="32"/>
          <w:szCs w:val="32"/>
        </w:rPr>
      </w:pPr>
      <w:r>
        <w:rPr>
          <w:rFonts w:ascii="黑体" w:hAnsi="黑体" w:eastAsia="黑体"/>
          <w:b/>
          <w:sz w:val="32"/>
          <w:szCs w:val="32"/>
        </w:rPr>
        <w:t>四、股份登记及上市的相关工作</w:t>
      </w:r>
    </w:p>
    <w:p>
      <w:pPr>
        <w:spacing w:line="560" w:lineRule="exact"/>
        <w:ind w:firstLine="640" w:firstLineChars="200"/>
        <w:rPr>
          <w:rFonts w:ascii="楷体" w:hAnsi="楷体" w:eastAsia="楷体"/>
          <w:sz w:val="32"/>
          <w:szCs w:val="32"/>
        </w:rPr>
      </w:pPr>
      <w:r>
        <w:rPr>
          <w:rFonts w:ascii="楷体" w:hAnsi="楷体" w:eastAsia="楷体"/>
          <w:sz w:val="32"/>
          <w:szCs w:val="32"/>
        </w:rPr>
        <w:t>（一）股份登记</w:t>
      </w:r>
    </w:p>
    <w:p>
      <w:pPr>
        <w:spacing w:line="560" w:lineRule="exact"/>
        <w:ind w:firstLine="640" w:firstLineChars="200"/>
        <w:rPr>
          <w:rFonts w:ascii="仿宋" w:hAnsi="仿宋" w:eastAsia="仿宋"/>
          <w:sz w:val="32"/>
          <w:szCs w:val="32"/>
        </w:rPr>
      </w:pPr>
      <w:r>
        <w:rPr>
          <w:rFonts w:ascii="仿宋" w:hAnsi="仿宋" w:eastAsia="仿宋"/>
          <w:sz w:val="32"/>
          <w:szCs w:val="32"/>
        </w:rPr>
        <w:t>发行结束后，上市公司应及时向结算公司申请办理新增股份登记，具体流程</w:t>
      </w:r>
      <w:r>
        <w:rPr>
          <w:rFonts w:hint="eastAsia" w:ascii="仿宋" w:hAnsi="仿宋" w:eastAsia="仿宋"/>
          <w:sz w:val="32"/>
          <w:szCs w:val="32"/>
        </w:rPr>
        <w:t>按照</w:t>
      </w:r>
      <w:r>
        <w:rPr>
          <w:rFonts w:ascii="仿宋" w:hAnsi="仿宋" w:eastAsia="仿宋"/>
          <w:sz w:val="32"/>
          <w:szCs w:val="32"/>
        </w:rPr>
        <w:t xml:space="preserve">结算公司相关规定执行。 </w:t>
      </w:r>
    </w:p>
    <w:p>
      <w:pPr>
        <w:spacing w:line="560" w:lineRule="exact"/>
        <w:ind w:firstLine="640" w:firstLineChars="200"/>
        <w:rPr>
          <w:rFonts w:ascii="楷体" w:hAnsi="楷体" w:eastAsia="楷体"/>
          <w:sz w:val="32"/>
          <w:szCs w:val="32"/>
        </w:rPr>
      </w:pPr>
      <w:r>
        <w:rPr>
          <w:rFonts w:ascii="楷体" w:hAnsi="楷体" w:eastAsia="楷体"/>
          <w:sz w:val="32"/>
          <w:szCs w:val="32"/>
        </w:rPr>
        <w:t>（二）申请上市披露文件</w:t>
      </w:r>
    </w:p>
    <w:p>
      <w:pPr>
        <w:spacing w:line="560" w:lineRule="exact"/>
        <w:ind w:firstLine="640" w:firstLineChars="200"/>
        <w:rPr>
          <w:rFonts w:ascii="仿宋" w:hAnsi="仿宋" w:eastAsia="仿宋"/>
          <w:sz w:val="32"/>
          <w:szCs w:val="32"/>
        </w:rPr>
      </w:pPr>
      <w:r>
        <w:rPr>
          <w:rFonts w:ascii="仿宋" w:hAnsi="仿宋" w:eastAsia="仿宋"/>
          <w:sz w:val="32"/>
          <w:szCs w:val="32"/>
        </w:rPr>
        <w:t>上市公司在办理完毕新增股份登记后，可向本所申请新增股份上市。经本所审查并确定新增股份上市日后，上市公司应在新增股份上市日前五个交易日内披露《上市公告书》及相关文件。上市公司申请办理新增股份上市时，需向本所提交和披露文件如下：</w:t>
      </w:r>
    </w:p>
    <w:p>
      <w:pPr>
        <w:spacing w:line="560" w:lineRule="exact"/>
        <w:ind w:firstLine="640" w:firstLineChars="200"/>
        <w:rPr>
          <w:rFonts w:ascii="仿宋" w:hAnsi="仿宋" w:eastAsia="仿宋"/>
          <w:sz w:val="32"/>
          <w:szCs w:val="32"/>
        </w:rPr>
      </w:pPr>
      <w:r>
        <w:rPr>
          <w:rFonts w:ascii="仿宋" w:hAnsi="仿宋" w:eastAsia="仿宋"/>
          <w:sz w:val="32"/>
          <w:szCs w:val="32"/>
        </w:rPr>
        <w:t>1．向特定对象发行股票新增股份上市申请书（报备）</w:t>
      </w:r>
    </w:p>
    <w:p>
      <w:pPr>
        <w:spacing w:line="560" w:lineRule="exact"/>
        <w:ind w:firstLine="640" w:firstLineChars="200"/>
        <w:rPr>
          <w:rFonts w:ascii="仿宋" w:hAnsi="仿宋" w:eastAsia="仿宋"/>
          <w:sz w:val="32"/>
          <w:szCs w:val="32"/>
        </w:rPr>
      </w:pPr>
      <w:r>
        <w:rPr>
          <w:rFonts w:ascii="仿宋" w:hAnsi="仿宋" w:eastAsia="仿宋"/>
          <w:sz w:val="32"/>
          <w:szCs w:val="32"/>
        </w:rPr>
        <w:t>2．上市公告书（上网）</w:t>
      </w:r>
    </w:p>
    <w:p>
      <w:pPr>
        <w:spacing w:line="560" w:lineRule="exact"/>
        <w:ind w:firstLine="640" w:firstLineChars="200"/>
        <w:rPr>
          <w:rFonts w:ascii="仿宋" w:hAnsi="仿宋" w:eastAsia="仿宋"/>
          <w:sz w:val="32"/>
          <w:szCs w:val="32"/>
        </w:rPr>
      </w:pPr>
      <w:r>
        <w:rPr>
          <w:rFonts w:ascii="仿宋" w:hAnsi="仿宋" w:eastAsia="仿宋"/>
          <w:sz w:val="32"/>
          <w:szCs w:val="32"/>
        </w:rPr>
        <w:t>3．上市保荐书（上网）</w:t>
      </w:r>
    </w:p>
    <w:p>
      <w:pPr>
        <w:spacing w:line="560" w:lineRule="exact"/>
        <w:ind w:firstLine="640" w:firstLineChars="200"/>
        <w:rPr>
          <w:rFonts w:ascii="仿宋" w:hAnsi="仿宋" w:eastAsia="仿宋"/>
          <w:sz w:val="32"/>
          <w:szCs w:val="32"/>
        </w:rPr>
      </w:pPr>
      <w:r>
        <w:rPr>
          <w:rFonts w:ascii="仿宋" w:hAnsi="仿宋" w:eastAsia="仿宋"/>
          <w:sz w:val="32"/>
          <w:szCs w:val="32"/>
        </w:rPr>
        <w:t>4．保荐协议（报备）</w:t>
      </w:r>
    </w:p>
    <w:p>
      <w:pPr>
        <w:spacing w:line="560" w:lineRule="exact"/>
        <w:ind w:firstLine="640" w:firstLineChars="200"/>
        <w:rPr>
          <w:rFonts w:ascii="仿宋" w:hAnsi="仿宋" w:eastAsia="仿宋"/>
          <w:sz w:val="32"/>
          <w:szCs w:val="32"/>
        </w:rPr>
      </w:pPr>
      <w:r>
        <w:rPr>
          <w:rFonts w:ascii="仿宋" w:hAnsi="仿宋" w:eastAsia="仿宋"/>
          <w:sz w:val="32"/>
          <w:szCs w:val="32"/>
        </w:rPr>
        <w:t>5．结算公司对新增股份已登记的书面确认文件（报备）</w:t>
      </w:r>
    </w:p>
    <w:p>
      <w:pPr>
        <w:spacing w:line="560" w:lineRule="exact"/>
        <w:ind w:firstLine="640" w:firstLineChars="200"/>
        <w:rPr>
          <w:rFonts w:ascii="仿宋" w:hAnsi="仿宋" w:eastAsia="仿宋"/>
          <w:sz w:val="32"/>
          <w:szCs w:val="32"/>
        </w:rPr>
      </w:pPr>
      <w:r>
        <w:rPr>
          <w:rFonts w:ascii="仿宋" w:hAnsi="仿宋" w:eastAsia="仿宋"/>
          <w:sz w:val="32"/>
          <w:szCs w:val="32"/>
        </w:rPr>
        <w:t>6．特定投资者分别出具的关于在一定期间内不转让所认购股份的承诺函及股份锁定申请（如适用，报备）</w:t>
      </w:r>
    </w:p>
    <w:p>
      <w:pPr>
        <w:spacing w:line="560" w:lineRule="exact"/>
        <w:ind w:firstLine="640" w:firstLineChars="200"/>
        <w:rPr>
          <w:rFonts w:ascii="仿宋" w:hAnsi="仿宋" w:eastAsia="仿宋"/>
          <w:sz w:val="32"/>
          <w:szCs w:val="32"/>
        </w:rPr>
      </w:pPr>
      <w:r>
        <w:rPr>
          <w:rFonts w:ascii="仿宋" w:hAnsi="仿宋" w:eastAsia="仿宋"/>
          <w:sz w:val="32"/>
          <w:szCs w:val="32"/>
        </w:rPr>
        <w:t>7．公司董事、监事和高级管理人员持股情况变动的报告（如适用，上网）</w:t>
      </w:r>
    </w:p>
    <w:p>
      <w:pPr>
        <w:spacing w:line="560" w:lineRule="exact"/>
        <w:ind w:firstLine="640" w:firstLineChars="200"/>
        <w:rPr>
          <w:rFonts w:ascii="仿宋" w:hAnsi="仿宋" w:eastAsia="仿宋"/>
          <w:sz w:val="32"/>
          <w:szCs w:val="32"/>
        </w:rPr>
      </w:pPr>
      <w:r>
        <w:rPr>
          <w:rFonts w:ascii="仿宋" w:hAnsi="仿宋" w:eastAsia="仿宋"/>
          <w:sz w:val="32"/>
          <w:szCs w:val="32"/>
        </w:rPr>
        <w:t>8．公司仍符合发行条件的说明。说明截至上市申请日，公司仍符合向特定对象发行股票条件（报备）</w:t>
      </w:r>
    </w:p>
    <w:p>
      <w:pPr>
        <w:spacing w:line="560" w:lineRule="exact"/>
        <w:ind w:firstLine="640" w:firstLineChars="200"/>
        <w:rPr>
          <w:rFonts w:ascii="仿宋" w:hAnsi="仿宋" w:eastAsia="仿宋"/>
          <w:sz w:val="32"/>
          <w:szCs w:val="32"/>
        </w:rPr>
      </w:pPr>
      <w:r>
        <w:rPr>
          <w:rFonts w:ascii="仿宋" w:hAnsi="仿宋" w:eastAsia="仿宋"/>
          <w:sz w:val="32"/>
          <w:szCs w:val="32"/>
        </w:rPr>
        <w:t>9．无会后事项承诺函（报备）</w:t>
      </w:r>
    </w:p>
    <w:p>
      <w:pPr>
        <w:spacing w:line="560" w:lineRule="exact"/>
        <w:ind w:firstLine="640" w:firstLineChars="200"/>
        <w:rPr>
          <w:rFonts w:ascii="仿宋" w:hAnsi="仿宋" w:eastAsia="仿宋"/>
          <w:sz w:val="32"/>
          <w:szCs w:val="32"/>
        </w:rPr>
      </w:pPr>
      <w:r>
        <w:rPr>
          <w:rFonts w:ascii="仿宋" w:hAnsi="仿宋" w:eastAsia="仿宋"/>
          <w:sz w:val="32"/>
          <w:szCs w:val="32"/>
        </w:rPr>
        <w:t>10．本所要求的其他文件</w:t>
      </w:r>
    </w:p>
    <w:p>
      <w:pPr>
        <w:spacing w:line="560" w:lineRule="exact"/>
        <w:ind w:firstLine="640" w:firstLineChars="200"/>
        <w:rPr>
          <w:rFonts w:ascii="楷体" w:hAnsi="楷体" w:eastAsia="楷体"/>
          <w:sz w:val="32"/>
          <w:szCs w:val="32"/>
        </w:rPr>
      </w:pPr>
      <w:r>
        <w:rPr>
          <w:rFonts w:ascii="楷体" w:hAnsi="楷体" w:eastAsia="楷体"/>
          <w:sz w:val="32"/>
          <w:szCs w:val="32"/>
        </w:rPr>
        <w:t>（三）上市公告书</w:t>
      </w:r>
      <w:r>
        <w:rPr>
          <w:rFonts w:hint="eastAsia" w:ascii="楷体" w:hAnsi="楷体" w:eastAsia="楷体"/>
          <w:sz w:val="32"/>
          <w:szCs w:val="32"/>
        </w:rPr>
        <w:t>等</w:t>
      </w:r>
      <w:r>
        <w:rPr>
          <w:rFonts w:ascii="楷体" w:hAnsi="楷体" w:eastAsia="楷体"/>
          <w:sz w:val="32"/>
          <w:szCs w:val="32"/>
        </w:rPr>
        <w:t>披露要求</w:t>
      </w:r>
    </w:p>
    <w:p>
      <w:pPr>
        <w:spacing w:line="560" w:lineRule="exact"/>
        <w:ind w:firstLine="640" w:firstLineChars="200"/>
        <w:rPr>
          <w:rFonts w:ascii="仿宋" w:hAnsi="仿宋" w:eastAsia="仿宋"/>
          <w:sz w:val="32"/>
          <w:szCs w:val="32"/>
        </w:rPr>
      </w:pPr>
      <w:r>
        <w:rPr>
          <w:rFonts w:ascii="仿宋" w:hAnsi="仿宋" w:eastAsia="仿宋"/>
          <w:sz w:val="32"/>
          <w:szCs w:val="32"/>
        </w:rPr>
        <w:t>1．上市公司应当按照《公开发行证券的公司信息披露内容与格式准则第5号——公司股份变动报告的内容与格式》等规定以及本所《创业板上市公司新增股份变动报告及上市公告书格式》的要求编制《上市公告书》。</w:t>
      </w:r>
    </w:p>
    <w:p>
      <w:pPr>
        <w:spacing w:line="560" w:lineRule="exact"/>
        <w:ind w:firstLine="640" w:firstLineChars="200"/>
        <w:rPr>
          <w:rFonts w:ascii="仿宋" w:hAnsi="仿宋" w:eastAsia="仿宋"/>
          <w:sz w:val="32"/>
          <w:szCs w:val="32"/>
        </w:rPr>
      </w:pPr>
      <w:r>
        <w:rPr>
          <w:rFonts w:ascii="仿宋" w:hAnsi="仿宋" w:eastAsia="仿宋"/>
          <w:sz w:val="32"/>
          <w:szCs w:val="32"/>
        </w:rPr>
        <w:t>2．《上市公告书》中应提示新增股份上市首日公司股价不除权。新增股份如存在锁定期安排，应提示向特定对象发行股票的限售期从新增股份上市首日起算。</w:t>
      </w:r>
    </w:p>
    <w:p>
      <w:pPr>
        <w:spacing w:line="560" w:lineRule="exact"/>
        <w:ind w:firstLine="640" w:firstLineChars="200"/>
        <w:rPr>
          <w:rFonts w:ascii="仿宋" w:hAnsi="仿宋" w:eastAsia="仿宋"/>
          <w:sz w:val="32"/>
          <w:szCs w:val="32"/>
        </w:rPr>
      </w:pPr>
      <w:r>
        <w:rPr>
          <w:rFonts w:ascii="仿宋" w:hAnsi="仿宋" w:eastAsia="仿宋"/>
          <w:sz w:val="32"/>
          <w:szCs w:val="32"/>
        </w:rPr>
        <w:t>3．公司原股东因认购本次发行的股份触发要约收购义务并申请豁免要约收购义务等原因需对本次发行前所持股份延长限售期的，还应在《上市公告书》中说明该股东持有的本次发行前所持股份新的限售期。</w:t>
      </w:r>
    </w:p>
    <w:p>
      <w:pPr>
        <w:spacing w:line="560" w:lineRule="exact"/>
        <w:ind w:firstLine="640" w:firstLineChars="200"/>
        <w:rPr>
          <w:rFonts w:ascii="仿宋" w:hAnsi="仿宋" w:eastAsia="仿宋"/>
          <w:sz w:val="32"/>
          <w:szCs w:val="32"/>
        </w:rPr>
      </w:pPr>
      <w:r>
        <w:rPr>
          <w:rFonts w:ascii="仿宋" w:hAnsi="仿宋" w:eastAsia="仿宋"/>
          <w:sz w:val="32"/>
          <w:szCs w:val="32"/>
        </w:rPr>
        <w:t>4．特定对象拟认购本次发行股票，属于《收购管理办法》所规范的收购及股份权益变动的，应按《收购管理办法》及相关法律法规、规范性文件要求，履行权益变动的审议、审批及披露程序，应在公司董事会作出申请股票发行的决议后三日内披露《简式权益变动报告书》或《详式权益变动报告书》、《收购报告书》或《要约收购报告书》等文件。</w:t>
      </w:r>
    </w:p>
    <w:p>
      <w:pPr>
        <w:spacing w:line="560" w:lineRule="exact"/>
        <w:ind w:firstLine="640" w:firstLineChars="200"/>
        <w:rPr>
          <w:rFonts w:ascii="仿宋" w:hAnsi="仿宋" w:eastAsia="仿宋"/>
          <w:sz w:val="32"/>
          <w:szCs w:val="32"/>
        </w:rPr>
      </w:pPr>
      <w:r>
        <w:rPr>
          <w:rFonts w:ascii="仿宋" w:hAnsi="仿宋" w:eastAsia="仿宋"/>
          <w:sz w:val="32"/>
          <w:szCs w:val="32"/>
        </w:rPr>
        <w:t>董事会未确定发行对象的，应在《发行情况报告书》公告之日起三日内披露上述权益变动公告。</w:t>
      </w:r>
    </w:p>
    <w:p>
      <w:pPr>
        <w:spacing w:line="560" w:lineRule="exact"/>
        <w:ind w:firstLine="643" w:firstLineChars="200"/>
        <w:rPr>
          <w:rFonts w:ascii="黑体" w:hAnsi="黑体" w:eastAsia="黑体"/>
          <w:b/>
          <w:sz w:val="32"/>
          <w:szCs w:val="32"/>
        </w:rPr>
      </w:pPr>
      <w:r>
        <w:rPr>
          <w:rFonts w:ascii="黑体" w:hAnsi="黑体" w:eastAsia="黑体"/>
          <w:b/>
          <w:sz w:val="32"/>
          <w:szCs w:val="32"/>
        </w:rPr>
        <w:t>五、适用简易审核程序发行股票快速上市流程</w:t>
      </w:r>
    </w:p>
    <w:p>
      <w:pPr>
        <w:spacing w:line="560" w:lineRule="exact"/>
        <w:ind w:firstLine="640" w:firstLineChars="200"/>
        <w:rPr>
          <w:rFonts w:ascii="仿宋" w:hAnsi="仿宋" w:eastAsia="仿宋"/>
          <w:sz w:val="32"/>
          <w:szCs w:val="32"/>
        </w:rPr>
      </w:pPr>
      <w:r>
        <w:rPr>
          <w:rFonts w:ascii="仿宋" w:hAnsi="仿宋" w:eastAsia="仿宋"/>
          <w:sz w:val="32"/>
          <w:szCs w:val="32"/>
        </w:rPr>
        <w:t>上市公司向特定对象发行股票适用简易审核程序的，公司在完成验资程序，取得</w:t>
      </w:r>
      <w:r>
        <w:rPr>
          <w:rFonts w:hint="eastAsia" w:ascii="仿宋" w:hAnsi="仿宋" w:eastAsia="仿宋"/>
          <w:sz w:val="32"/>
          <w:szCs w:val="32"/>
        </w:rPr>
        <w:t>符合《证券法》规定的</w:t>
      </w:r>
      <w:r>
        <w:rPr>
          <w:rFonts w:ascii="仿宋" w:hAnsi="仿宋" w:eastAsia="仿宋"/>
          <w:sz w:val="32"/>
          <w:szCs w:val="32"/>
        </w:rPr>
        <w:t>会计师事务所出具的验资报告后，可向本所及结算公司同时申请办理新增股份登记与上市手续，实现新增股份快速上市。</w:t>
      </w:r>
    </w:p>
    <w:p>
      <w:pPr>
        <w:spacing w:line="560" w:lineRule="exact"/>
        <w:ind w:firstLine="640" w:firstLineChars="200"/>
        <w:rPr>
          <w:rFonts w:ascii="仿宋" w:hAnsi="仿宋" w:eastAsia="仿宋"/>
          <w:sz w:val="32"/>
          <w:szCs w:val="32"/>
        </w:rPr>
      </w:pPr>
      <w:r>
        <w:rPr>
          <w:rFonts w:ascii="仿宋" w:hAnsi="仿宋" w:eastAsia="仿宋"/>
          <w:sz w:val="32"/>
          <w:szCs w:val="32"/>
        </w:rPr>
        <w:t>1．上市公司应在验资报告出具当日或后一个交易日9：30以前，通过业务专区提交申请文件，同时通过传真等方式向结算公司提供必要的资料，办理新增股份登记，具体流程</w:t>
      </w:r>
      <w:r>
        <w:rPr>
          <w:rFonts w:hint="eastAsia" w:ascii="仿宋" w:hAnsi="仿宋" w:eastAsia="仿宋"/>
          <w:sz w:val="32"/>
          <w:szCs w:val="32"/>
        </w:rPr>
        <w:t>按照</w:t>
      </w:r>
      <w:r>
        <w:rPr>
          <w:rFonts w:ascii="仿宋" w:hAnsi="仿宋" w:eastAsia="仿宋"/>
          <w:sz w:val="32"/>
          <w:szCs w:val="32"/>
        </w:rPr>
        <w:t>结算公司相关规定执行。</w:t>
      </w:r>
    </w:p>
    <w:p>
      <w:pPr>
        <w:spacing w:line="560" w:lineRule="exact"/>
        <w:ind w:firstLine="640" w:firstLineChars="200"/>
        <w:rPr>
          <w:rFonts w:ascii="仿宋" w:hAnsi="仿宋" w:eastAsia="仿宋"/>
          <w:sz w:val="32"/>
          <w:szCs w:val="32"/>
        </w:rPr>
      </w:pPr>
      <w:r>
        <w:rPr>
          <w:rFonts w:ascii="仿宋" w:hAnsi="仿宋" w:eastAsia="仿宋"/>
          <w:sz w:val="32"/>
          <w:szCs w:val="32"/>
        </w:rPr>
        <w:t>2．本所在上市公司提交前述申请文件当日完成审查工作，并在确定新增股份上市日后通知上市公司对外披露《发行情况报告》《上市公告书》及其他相关文件。</w:t>
      </w:r>
    </w:p>
    <w:p>
      <w:pPr>
        <w:spacing w:line="560" w:lineRule="exact"/>
        <w:ind w:firstLine="640" w:firstLineChars="200"/>
        <w:rPr>
          <w:rFonts w:ascii="仿宋" w:hAnsi="仿宋" w:eastAsia="仿宋"/>
          <w:sz w:val="32"/>
          <w:szCs w:val="32"/>
        </w:rPr>
      </w:pPr>
    </w:p>
    <w:p>
      <w:pPr>
        <w:spacing w:line="560" w:lineRule="exact"/>
        <w:rPr>
          <w:rFonts w:ascii="Times New Roman" w:hAnsi="Times New Roman" w:eastAsia="方正仿宋简体"/>
          <w:sz w:val="28"/>
          <w:szCs w:val="30"/>
        </w:rPr>
      </w:pPr>
    </w:p>
    <w:p>
      <w:pPr>
        <w:pStyle w:val="36"/>
        <w:ind w:firstLine="0" w:firstLineChars="0"/>
        <w:rPr>
          <w:rFonts w:ascii="黑体" w:hAnsi="黑体" w:eastAsia="黑体"/>
          <w:sz w:val="32"/>
          <w:szCs w:val="32"/>
        </w:rPr>
      </w:pPr>
      <w:r>
        <w:rPr>
          <w:rFonts w:eastAsia="方正仿宋简体"/>
          <w:szCs w:val="30"/>
        </w:rPr>
        <w:br w:type="page"/>
      </w:r>
      <w:r>
        <w:rPr>
          <w:rFonts w:ascii="黑体" w:hAnsi="黑体" w:eastAsia="黑体"/>
          <w:sz w:val="32"/>
          <w:szCs w:val="32"/>
        </w:rPr>
        <w:t>附件1</w:t>
      </w:r>
    </w:p>
    <w:p>
      <w:pPr>
        <w:pStyle w:val="36"/>
        <w:spacing w:line="560" w:lineRule="exact"/>
        <w:ind w:firstLine="0" w:firstLineChars="0"/>
        <w:rPr>
          <w:rFonts w:ascii="黑体" w:hAnsi="黑体" w:eastAsia="黑体"/>
          <w:sz w:val="32"/>
          <w:szCs w:val="32"/>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上市公司向特定对象发行股票发行上市参考流程</w:t>
      </w:r>
    </w:p>
    <w:p>
      <w:pPr>
        <w:spacing w:line="560" w:lineRule="exact"/>
        <w:jc w:val="center"/>
        <w:rPr>
          <w:rFonts w:ascii="黑体" w:hAnsi="黑体" w:eastAsia="黑体"/>
          <w:b/>
          <w:bCs/>
          <w:color w:val="000000"/>
          <w:sz w:val="32"/>
          <w:szCs w:val="32"/>
        </w:rPr>
      </w:pPr>
      <w:r>
        <w:rPr>
          <w:rFonts w:ascii="黑体" w:hAnsi="黑体" w:eastAsia="黑体"/>
          <w:b/>
          <w:bCs/>
          <w:color w:val="000000"/>
          <w:sz w:val="32"/>
          <w:szCs w:val="32"/>
        </w:rPr>
        <w:t>（非简易审核程序适用）</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277"/>
        <w:gridCol w:w="6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ascii="宋体" w:hAnsi="宋体"/>
                <w:b/>
              </w:rPr>
              <w:t>序号</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ascii="宋体" w:hAnsi="宋体"/>
                <w:b/>
              </w:rPr>
              <w:t>时间</w:t>
            </w:r>
          </w:p>
        </w:tc>
        <w:tc>
          <w:tcPr>
            <w:tcW w:w="6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ascii="宋体" w:hAnsi="宋体"/>
                <w:b/>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277" w:type="dxa"/>
            <w:tcBorders>
              <w:top w:val="single" w:color="auto" w:sz="4" w:space="0"/>
              <w:left w:val="single" w:color="auto" w:sz="4" w:space="0"/>
              <w:right w:val="single" w:color="auto" w:sz="4" w:space="0"/>
            </w:tcBorders>
            <w:vAlign w:val="center"/>
          </w:tcPr>
          <w:p>
            <w:pPr>
              <w:jc w:val="center"/>
              <w:rPr>
                <w:rFonts w:ascii="宋体" w:hAnsi="宋体"/>
              </w:rPr>
            </w:pPr>
            <w:r>
              <w:rPr>
                <w:rFonts w:ascii="宋体" w:hAnsi="宋体"/>
              </w:rPr>
              <w:t>1</w:t>
            </w:r>
          </w:p>
        </w:tc>
        <w:tc>
          <w:tcPr>
            <w:tcW w:w="1277" w:type="dxa"/>
            <w:tcBorders>
              <w:top w:val="single" w:color="auto" w:sz="4" w:space="0"/>
              <w:left w:val="single" w:color="auto" w:sz="4" w:space="0"/>
              <w:right w:val="single" w:color="auto" w:sz="4" w:space="0"/>
            </w:tcBorders>
            <w:vAlign w:val="center"/>
          </w:tcPr>
          <w:p>
            <w:pPr>
              <w:rPr>
                <w:rFonts w:ascii="宋体" w:hAnsi="宋体"/>
              </w:rPr>
            </w:pPr>
            <w:r>
              <w:rPr>
                <w:rFonts w:ascii="宋体" w:hAnsi="宋体"/>
              </w:rPr>
              <w:t>收到注册</w:t>
            </w:r>
            <w:r>
              <w:rPr>
                <w:rFonts w:hint="eastAsia" w:ascii="宋体" w:hAnsi="宋体"/>
              </w:rPr>
              <w:t>文件</w:t>
            </w:r>
            <w:r>
              <w:rPr>
                <w:rFonts w:ascii="宋体" w:hAnsi="宋体"/>
              </w:rPr>
              <w:t>后的两个交易日内</w:t>
            </w:r>
          </w:p>
        </w:tc>
        <w:tc>
          <w:tcPr>
            <w:tcW w:w="6271" w:type="dxa"/>
            <w:tcBorders>
              <w:top w:val="single" w:color="auto" w:sz="4" w:space="0"/>
              <w:left w:val="single" w:color="auto" w:sz="4" w:space="0"/>
              <w:right w:val="single" w:color="auto" w:sz="4" w:space="0"/>
            </w:tcBorders>
            <w:vAlign w:val="center"/>
          </w:tcPr>
          <w:p>
            <w:pPr>
              <w:ind w:firstLine="315" w:firstLineChars="150"/>
              <w:rPr>
                <w:rFonts w:ascii="宋体" w:hAnsi="宋体"/>
              </w:rPr>
            </w:pPr>
            <w:r>
              <w:rPr>
                <w:rFonts w:ascii="宋体" w:hAnsi="宋体"/>
              </w:rPr>
              <w:t>上市公司应当在收到中国证监会予以注册决定后，应在两个交易日内提交经证监会予以注册的募集说明书并履行信息披露义务。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jc w:val="center"/>
        </w:trPr>
        <w:tc>
          <w:tcPr>
            <w:tcW w:w="1277" w:type="dxa"/>
            <w:tcBorders>
              <w:top w:val="single" w:color="auto" w:sz="4" w:space="0"/>
              <w:left w:val="single" w:color="auto" w:sz="4" w:space="0"/>
              <w:right w:val="single" w:color="auto" w:sz="4" w:space="0"/>
            </w:tcBorders>
            <w:vAlign w:val="center"/>
          </w:tcPr>
          <w:p>
            <w:pPr>
              <w:jc w:val="center"/>
              <w:rPr>
                <w:rFonts w:ascii="宋体" w:hAnsi="宋体"/>
              </w:rPr>
            </w:pPr>
            <w:r>
              <w:rPr>
                <w:rFonts w:ascii="宋体" w:hAnsi="宋体"/>
              </w:rPr>
              <w:t>2</w:t>
            </w:r>
          </w:p>
        </w:tc>
        <w:tc>
          <w:tcPr>
            <w:tcW w:w="1277" w:type="dxa"/>
            <w:tcBorders>
              <w:top w:val="single" w:color="auto" w:sz="4" w:space="0"/>
              <w:left w:val="single" w:color="auto" w:sz="4" w:space="0"/>
              <w:right w:val="single" w:color="auto" w:sz="4" w:space="0"/>
            </w:tcBorders>
            <w:vAlign w:val="center"/>
          </w:tcPr>
          <w:p>
            <w:pPr>
              <w:rPr>
                <w:rFonts w:ascii="宋体" w:hAnsi="宋体"/>
              </w:rPr>
            </w:pPr>
            <w:r>
              <w:rPr>
                <w:rFonts w:ascii="宋体" w:hAnsi="宋体"/>
              </w:rPr>
              <w:t>发行结束后两个交易日内</w:t>
            </w:r>
          </w:p>
        </w:tc>
        <w:tc>
          <w:tcPr>
            <w:tcW w:w="6271" w:type="dxa"/>
            <w:tcBorders>
              <w:top w:val="single" w:color="auto" w:sz="4" w:space="0"/>
              <w:left w:val="single" w:color="auto" w:sz="4" w:space="0"/>
              <w:right w:val="single" w:color="auto" w:sz="4" w:space="0"/>
            </w:tcBorders>
            <w:vAlign w:val="center"/>
          </w:tcPr>
          <w:p>
            <w:pPr>
              <w:ind w:firstLine="315" w:firstLineChars="150"/>
              <w:rPr>
                <w:rFonts w:ascii="宋体" w:hAnsi="宋体"/>
              </w:rPr>
            </w:pPr>
            <w:r>
              <w:rPr>
                <w:rFonts w:ascii="宋体" w:hAnsi="宋体"/>
              </w:rPr>
              <w:t>上市公司向特定对象发行股票结束后，应在两个交易日提交以下资料并履行相应的信息披露义务：</w:t>
            </w:r>
          </w:p>
          <w:p>
            <w:pPr>
              <w:ind w:firstLine="315" w:firstLineChars="150"/>
              <w:rPr>
                <w:rFonts w:ascii="宋体" w:hAnsi="宋体"/>
              </w:rPr>
            </w:pPr>
            <w:r>
              <w:rPr>
                <w:rFonts w:ascii="宋体" w:hAnsi="宋体"/>
              </w:rPr>
              <w:t>1． 发行情况报告书（上网）</w:t>
            </w:r>
          </w:p>
          <w:p>
            <w:pPr>
              <w:ind w:firstLine="315" w:firstLineChars="150"/>
              <w:rPr>
                <w:rFonts w:ascii="宋体" w:hAnsi="宋体"/>
              </w:rPr>
            </w:pPr>
            <w:r>
              <w:rPr>
                <w:rFonts w:ascii="宋体" w:hAnsi="宋体"/>
              </w:rPr>
              <w:t>2． 保荐人关于本次发行过程和认购对象合规性的报告（上网）</w:t>
            </w:r>
          </w:p>
          <w:p>
            <w:pPr>
              <w:ind w:firstLine="315" w:firstLineChars="150"/>
              <w:rPr>
                <w:rFonts w:ascii="宋体" w:hAnsi="宋体"/>
              </w:rPr>
            </w:pPr>
            <w:r>
              <w:rPr>
                <w:rFonts w:ascii="宋体" w:hAnsi="宋体"/>
              </w:rPr>
              <w:t>3． 律师关于本次发行过程和认购对象合规性的报告（上网）</w:t>
            </w:r>
          </w:p>
          <w:p>
            <w:pPr>
              <w:ind w:firstLine="315" w:firstLineChars="150"/>
              <w:rPr>
                <w:rFonts w:ascii="宋体" w:hAnsi="宋体"/>
              </w:rPr>
            </w:pPr>
            <w:r>
              <w:rPr>
                <w:rFonts w:ascii="宋体" w:hAnsi="宋体"/>
              </w:rPr>
              <w:t>4． 符合《证券法》规定的会计师事务所出具的验资报告（报备）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3</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ascii="宋体" w:hAnsi="宋体"/>
              </w:rPr>
              <w:t>L-5日前</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rPr>
            </w:pPr>
            <w:r>
              <w:rPr>
                <w:rFonts w:ascii="宋体" w:hAnsi="宋体"/>
              </w:rPr>
              <w:t>发行结束后，上市公司应及时向结算公司申请办理新增股份登记，并取得登记确认证明文件。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4</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ascii="宋体" w:hAnsi="宋体"/>
              </w:rPr>
              <w:t>L－5日前</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rPr>
            </w:pPr>
            <w:r>
              <w:rPr>
                <w:rFonts w:ascii="宋体" w:hAnsi="宋体"/>
              </w:rPr>
              <w:t>上市公司新增股份登记完成并取得结算公司出具的登记证明文件后应及时向创业板公司管理部提交以下材料：</w:t>
            </w:r>
          </w:p>
          <w:p>
            <w:pPr>
              <w:ind w:firstLine="315" w:firstLineChars="150"/>
              <w:rPr>
                <w:rFonts w:ascii="宋体" w:hAnsi="宋体"/>
              </w:rPr>
            </w:pPr>
            <w:r>
              <w:rPr>
                <w:rFonts w:ascii="宋体" w:hAnsi="宋体"/>
              </w:rPr>
              <w:t>1．向特定对象发行股票新增股份上市申请书</w:t>
            </w:r>
          </w:p>
          <w:p>
            <w:pPr>
              <w:ind w:firstLine="315" w:firstLineChars="150"/>
              <w:rPr>
                <w:rFonts w:ascii="宋体" w:hAnsi="宋体"/>
              </w:rPr>
            </w:pPr>
            <w:r>
              <w:rPr>
                <w:rFonts w:ascii="宋体" w:hAnsi="宋体"/>
              </w:rPr>
              <w:t>2．上市公告书</w:t>
            </w:r>
          </w:p>
          <w:p>
            <w:pPr>
              <w:ind w:firstLine="315" w:firstLineChars="150"/>
              <w:rPr>
                <w:rFonts w:ascii="宋体" w:hAnsi="宋体"/>
              </w:rPr>
            </w:pPr>
            <w:r>
              <w:rPr>
                <w:rFonts w:ascii="宋体" w:hAnsi="宋体"/>
              </w:rPr>
              <w:t>3．上市保荐书</w:t>
            </w:r>
          </w:p>
          <w:p>
            <w:pPr>
              <w:ind w:firstLine="315" w:firstLineChars="150"/>
              <w:rPr>
                <w:rFonts w:ascii="宋体" w:hAnsi="宋体"/>
              </w:rPr>
            </w:pPr>
            <w:r>
              <w:rPr>
                <w:rFonts w:ascii="宋体" w:hAnsi="宋体"/>
              </w:rPr>
              <w:t>4．保荐协议</w:t>
            </w:r>
          </w:p>
          <w:p>
            <w:pPr>
              <w:ind w:firstLine="315" w:firstLineChars="150"/>
              <w:rPr>
                <w:rFonts w:ascii="宋体" w:hAnsi="宋体"/>
              </w:rPr>
            </w:pPr>
            <w:r>
              <w:rPr>
                <w:rFonts w:ascii="宋体" w:hAnsi="宋体"/>
              </w:rPr>
              <w:t>5．结算公司对新增股份已登记的书面确认文件</w:t>
            </w:r>
          </w:p>
          <w:p>
            <w:pPr>
              <w:ind w:firstLine="315" w:firstLineChars="150"/>
              <w:rPr>
                <w:rFonts w:ascii="宋体" w:hAnsi="宋体"/>
              </w:rPr>
            </w:pPr>
            <w:r>
              <w:rPr>
                <w:rFonts w:ascii="宋体" w:hAnsi="宋体"/>
              </w:rPr>
              <w:t>6．特定投资者分别出具的关于在一定期间内不转让所认购股份的承诺函及股份锁定申请（如适用）</w:t>
            </w:r>
          </w:p>
          <w:p>
            <w:pPr>
              <w:ind w:firstLine="315" w:firstLineChars="150"/>
              <w:rPr>
                <w:rFonts w:ascii="宋体" w:hAnsi="宋体"/>
              </w:rPr>
            </w:pPr>
            <w:r>
              <w:rPr>
                <w:rFonts w:ascii="宋体" w:hAnsi="宋体"/>
              </w:rPr>
              <w:t>7．公司董事、监事和高级管理人员持股情况变动的报告（如适用）</w:t>
            </w:r>
          </w:p>
          <w:p>
            <w:pPr>
              <w:ind w:firstLine="315" w:firstLineChars="150"/>
              <w:rPr>
                <w:rFonts w:ascii="宋体" w:hAnsi="宋体"/>
              </w:rPr>
            </w:pPr>
            <w:r>
              <w:rPr>
                <w:rFonts w:ascii="宋体" w:hAnsi="宋体"/>
              </w:rPr>
              <w:t>8．公司仍符合发行条件的说明。说明截至上市申请日，公司仍符合向特定对象发行股票条件</w:t>
            </w:r>
          </w:p>
          <w:p>
            <w:pPr>
              <w:ind w:firstLine="315" w:firstLineChars="150"/>
              <w:rPr>
                <w:rFonts w:ascii="宋体" w:hAnsi="宋体"/>
              </w:rPr>
            </w:pPr>
            <w:r>
              <w:rPr>
                <w:rFonts w:ascii="宋体" w:hAnsi="宋体"/>
              </w:rPr>
              <w:t>9．无会后事项承诺函</w:t>
            </w:r>
          </w:p>
          <w:p>
            <w:pPr>
              <w:ind w:firstLine="315" w:firstLineChars="150"/>
              <w:rPr>
                <w:rFonts w:ascii="宋体" w:hAnsi="宋体"/>
              </w:rPr>
            </w:pPr>
            <w:r>
              <w:rPr>
                <w:rFonts w:ascii="宋体" w:hAnsi="宋体"/>
              </w:rPr>
              <w:t>10．本所要求的其他文件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5</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ascii="宋体" w:hAnsi="宋体"/>
              </w:rPr>
              <w:t>L－5日内</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rPr>
            </w:pPr>
            <w:r>
              <w:rPr>
                <w:rFonts w:ascii="宋体" w:hAnsi="宋体"/>
              </w:rPr>
              <w:t>上市公司披露以下文件：</w:t>
            </w:r>
          </w:p>
          <w:p>
            <w:pPr>
              <w:ind w:firstLine="315" w:firstLineChars="150"/>
              <w:rPr>
                <w:rFonts w:ascii="宋体" w:hAnsi="宋体"/>
              </w:rPr>
            </w:pPr>
            <w:r>
              <w:rPr>
                <w:rFonts w:ascii="宋体" w:hAnsi="宋体"/>
              </w:rPr>
              <w:t>1．上市公告书</w:t>
            </w:r>
          </w:p>
          <w:p>
            <w:pPr>
              <w:ind w:firstLine="315" w:firstLineChars="150"/>
              <w:rPr>
                <w:rFonts w:ascii="宋体" w:hAnsi="宋体"/>
              </w:rPr>
            </w:pPr>
            <w:r>
              <w:rPr>
                <w:rFonts w:ascii="宋体" w:hAnsi="宋体"/>
              </w:rPr>
              <w:t>2．上市保荐书</w:t>
            </w:r>
          </w:p>
          <w:p>
            <w:pPr>
              <w:ind w:firstLine="315" w:firstLineChars="150"/>
              <w:rPr>
                <w:rFonts w:ascii="宋体" w:hAnsi="宋体"/>
              </w:rPr>
            </w:pPr>
            <w:r>
              <w:rPr>
                <w:rFonts w:ascii="宋体" w:hAnsi="宋体"/>
              </w:rPr>
              <w:t>3．公司董事、监事和高级管理人员持股情况变动的报告（如适用）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6</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ascii="宋体" w:hAnsi="宋体"/>
              </w:rPr>
              <w:t>L日</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rPr>
            </w:pPr>
            <w:r>
              <w:rPr>
                <w:rFonts w:ascii="宋体" w:hAnsi="宋体"/>
              </w:rPr>
              <w:t>上市日</w:t>
            </w:r>
          </w:p>
        </w:tc>
      </w:tr>
    </w:tbl>
    <w:p>
      <w:pPr>
        <w:spacing w:line="560" w:lineRule="exact"/>
        <w:rPr>
          <w:rFonts w:ascii="Times New Roman" w:hAnsi="Times New Roman" w:eastAsia="方正仿宋简体"/>
          <w:sz w:val="28"/>
          <w:szCs w:val="30"/>
        </w:rPr>
      </w:pPr>
    </w:p>
    <w:p>
      <w:pPr>
        <w:pStyle w:val="36"/>
        <w:ind w:firstLine="0" w:firstLineChars="0"/>
        <w:rPr>
          <w:rFonts w:eastAsia="方正仿宋简体"/>
          <w:szCs w:val="28"/>
        </w:rPr>
      </w:pPr>
      <w:r>
        <w:rPr>
          <w:rFonts w:ascii="黑体" w:hAnsi="黑体" w:eastAsia="黑体"/>
          <w:sz w:val="32"/>
          <w:szCs w:val="32"/>
        </w:rPr>
        <w:t>附件2</w:t>
      </w:r>
    </w:p>
    <w:p>
      <w:pPr>
        <w:spacing w:line="560" w:lineRule="exact"/>
        <w:jc w:val="center"/>
        <w:rPr>
          <w:rFonts w:ascii="方正小标宋简体" w:hAnsi="Times New Roman" w:eastAsia="方正小标宋简体"/>
          <w:b/>
          <w:bCs/>
          <w:color w:val="000000"/>
          <w:sz w:val="32"/>
          <w:szCs w:val="32"/>
        </w:rPr>
      </w:pPr>
      <w:r>
        <w:rPr>
          <w:rFonts w:hint="eastAsia" w:ascii="方正小标宋简体" w:hAnsi="Times New Roman" w:eastAsia="方正小标宋简体"/>
          <w:b/>
          <w:bCs/>
          <w:color w:val="000000"/>
          <w:sz w:val="32"/>
          <w:szCs w:val="32"/>
        </w:rPr>
        <w:t>上市公司向特定对象发行股票发行上市参考流程</w:t>
      </w:r>
    </w:p>
    <w:p>
      <w:pPr>
        <w:spacing w:line="560" w:lineRule="exact"/>
        <w:jc w:val="center"/>
        <w:rPr>
          <w:rFonts w:ascii="黑体" w:hAnsi="黑体" w:eastAsia="黑体"/>
          <w:b/>
          <w:bCs/>
          <w:color w:val="000000"/>
          <w:sz w:val="32"/>
          <w:szCs w:val="32"/>
        </w:rPr>
      </w:pPr>
      <w:r>
        <w:rPr>
          <w:rFonts w:ascii="黑体" w:hAnsi="黑体" w:eastAsia="黑体"/>
          <w:b/>
          <w:bCs/>
          <w:color w:val="000000"/>
          <w:sz w:val="32"/>
          <w:szCs w:val="32"/>
        </w:rPr>
        <w:t>（简易审核程序适用）</w:t>
      </w:r>
    </w:p>
    <w:tbl>
      <w:tblPr>
        <w:tblStyle w:val="56"/>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277"/>
        <w:gridCol w:w="6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ascii="宋体" w:hAnsi="宋体"/>
                <w:b/>
              </w:rPr>
              <w:t>序号</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ascii="宋体" w:hAnsi="宋体"/>
                <w:b/>
              </w:rPr>
              <w:t>时间</w:t>
            </w:r>
          </w:p>
        </w:tc>
        <w:tc>
          <w:tcPr>
            <w:tcW w:w="6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ascii="宋体" w:hAnsi="宋体"/>
                <w:b/>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1</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ascii="宋体" w:hAnsi="宋体"/>
              </w:rPr>
              <w:t>收到注册</w:t>
            </w:r>
            <w:r>
              <w:rPr>
                <w:rFonts w:hint="eastAsia" w:ascii="宋体" w:hAnsi="宋体"/>
              </w:rPr>
              <w:t>文件</w:t>
            </w:r>
            <w:r>
              <w:rPr>
                <w:rFonts w:ascii="宋体" w:hAnsi="宋体"/>
              </w:rPr>
              <w:t>后的两个交易日内</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rPr>
            </w:pPr>
            <w:r>
              <w:rPr>
                <w:rFonts w:ascii="宋体" w:hAnsi="宋体"/>
              </w:rPr>
              <w:t>上市公司应当在收到中国证监会予以注册决定后，应在两个交易日内提交经证监会予以注册的募集说明书并履行信息披露义务。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trPr>
        <w:tc>
          <w:tcPr>
            <w:tcW w:w="1277" w:type="dxa"/>
            <w:tcBorders>
              <w:top w:val="single" w:color="auto" w:sz="4" w:space="0"/>
              <w:left w:val="single" w:color="auto" w:sz="4" w:space="0"/>
              <w:right w:val="single" w:color="auto" w:sz="4" w:space="0"/>
            </w:tcBorders>
            <w:vAlign w:val="center"/>
          </w:tcPr>
          <w:p>
            <w:pPr>
              <w:jc w:val="center"/>
              <w:rPr>
                <w:rFonts w:ascii="宋体" w:hAnsi="宋体"/>
              </w:rPr>
            </w:pPr>
            <w:r>
              <w:rPr>
                <w:rFonts w:ascii="宋体" w:hAnsi="宋体"/>
              </w:rPr>
              <w:t>2</w:t>
            </w:r>
          </w:p>
        </w:tc>
        <w:tc>
          <w:tcPr>
            <w:tcW w:w="1277" w:type="dxa"/>
            <w:vMerge w:val="restart"/>
            <w:tcBorders>
              <w:top w:val="single" w:color="auto" w:sz="4" w:space="0"/>
              <w:left w:val="single" w:color="auto" w:sz="4" w:space="0"/>
              <w:right w:val="single" w:color="auto" w:sz="4" w:space="0"/>
            </w:tcBorders>
            <w:vAlign w:val="center"/>
          </w:tcPr>
          <w:p>
            <w:pPr>
              <w:rPr>
                <w:rFonts w:ascii="宋体" w:hAnsi="宋体"/>
              </w:rPr>
            </w:pPr>
            <w:r>
              <w:rPr>
                <w:rFonts w:ascii="宋体" w:hAnsi="宋体"/>
              </w:rPr>
              <w:t>验资报告出具当日或后一个交易日9：30前</w:t>
            </w:r>
          </w:p>
        </w:tc>
        <w:tc>
          <w:tcPr>
            <w:tcW w:w="6271" w:type="dxa"/>
            <w:tcBorders>
              <w:top w:val="single" w:color="auto" w:sz="4" w:space="0"/>
              <w:left w:val="single" w:color="auto" w:sz="4" w:space="0"/>
              <w:right w:val="single" w:color="auto" w:sz="4" w:space="0"/>
            </w:tcBorders>
            <w:vAlign w:val="center"/>
          </w:tcPr>
          <w:p>
            <w:pPr>
              <w:ind w:firstLine="315" w:firstLineChars="150"/>
              <w:rPr>
                <w:rFonts w:ascii="宋体" w:hAnsi="宋体"/>
              </w:rPr>
            </w:pPr>
            <w:r>
              <w:rPr>
                <w:rFonts w:ascii="宋体" w:hAnsi="宋体"/>
              </w:rPr>
              <w:t>上市公司通过业务专区提交以下申请文件：</w:t>
            </w:r>
          </w:p>
          <w:p>
            <w:pPr>
              <w:ind w:firstLine="315" w:firstLineChars="150"/>
              <w:rPr>
                <w:rFonts w:ascii="宋体" w:hAnsi="宋体"/>
              </w:rPr>
            </w:pPr>
            <w:r>
              <w:rPr>
                <w:rFonts w:ascii="宋体" w:hAnsi="宋体"/>
              </w:rPr>
              <w:t>1．发行情况报告书</w:t>
            </w:r>
          </w:p>
          <w:p>
            <w:pPr>
              <w:ind w:firstLine="315" w:firstLineChars="150"/>
              <w:rPr>
                <w:rFonts w:ascii="宋体" w:hAnsi="宋体"/>
              </w:rPr>
            </w:pPr>
            <w:r>
              <w:rPr>
                <w:rFonts w:ascii="宋体" w:hAnsi="宋体"/>
              </w:rPr>
              <w:t>2．上市公告书</w:t>
            </w:r>
          </w:p>
          <w:p>
            <w:pPr>
              <w:ind w:firstLine="315" w:firstLineChars="150"/>
              <w:rPr>
                <w:rFonts w:ascii="宋体" w:hAnsi="宋体"/>
              </w:rPr>
            </w:pPr>
            <w:r>
              <w:rPr>
                <w:rFonts w:ascii="宋体" w:hAnsi="宋体"/>
              </w:rPr>
              <w:t>3．保荐人关于本次发行过程和认购对象合规性的报告</w:t>
            </w:r>
          </w:p>
          <w:p>
            <w:pPr>
              <w:ind w:firstLine="315" w:firstLineChars="150"/>
              <w:rPr>
                <w:rFonts w:ascii="宋体" w:hAnsi="宋体"/>
              </w:rPr>
            </w:pPr>
            <w:r>
              <w:rPr>
                <w:rFonts w:ascii="宋体" w:hAnsi="宋体"/>
              </w:rPr>
              <w:t>4．上市保荐书</w:t>
            </w:r>
          </w:p>
          <w:p>
            <w:pPr>
              <w:ind w:firstLine="315" w:firstLineChars="150"/>
              <w:rPr>
                <w:rFonts w:ascii="宋体" w:hAnsi="宋体"/>
              </w:rPr>
            </w:pPr>
            <w:r>
              <w:rPr>
                <w:rFonts w:ascii="宋体" w:hAnsi="宋体"/>
              </w:rPr>
              <w:t>5．律师关于本次发行过程和认购对象合规性的报告</w:t>
            </w:r>
          </w:p>
          <w:p>
            <w:pPr>
              <w:ind w:firstLine="315" w:firstLineChars="150"/>
              <w:rPr>
                <w:rFonts w:ascii="宋体" w:hAnsi="宋体"/>
              </w:rPr>
            </w:pPr>
            <w:r>
              <w:rPr>
                <w:rFonts w:ascii="宋体" w:hAnsi="宋体"/>
              </w:rPr>
              <w:t>6．公司董事、监事和高级管理人员持股情况变动的报告（如适用）</w:t>
            </w:r>
          </w:p>
          <w:p>
            <w:pPr>
              <w:ind w:firstLine="315" w:firstLineChars="150"/>
              <w:rPr>
                <w:rFonts w:ascii="宋体" w:hAnsi="宋体"/>
              </w:rPr>
            </w:pPr>
            <w:r>
              <w:rPr>
                <w:rFonts w:ascii="宋体" w:hAnsi="宋体"/>
              </w:rPr>
              <w:t>7．符合《证券法》规定的会计师事务所出具的验资报告</w:t>
            </w:r>
          </w:p>
          <w:p>
            <w:pPr>
              <w:ind w:firstLine="315" w:firstLineChars="150"/>
              <w:rPr>
                <w:rFonts w:ascii="宋体" w:hAnsi="宋体"/>
              </w:rPr>
            </w:pPr>
            <w:r>
              <w:rPr>
                <w:rFonts w:ascii="宋体" w:hAnsi="宋体"/>
              </w:rPr>
              <w:t>8．向特定对象发行股票新增股份上市申请书</w:t>
            </w:r>
          </w:p>
          <w:p>
            <w:pPr>
              <w:ind w:firstLine="315" w:firstLineChars="150"/>
              <w:rPr>
                <w:rFonts w:ascii="宋体" w:hAnsi="宋体"/>
              </w:rPr>
            </w:pPr>
            <w:r>
              <w:rPr>
                <w:rFonts w:ascii="宋体" w:hAnsi="宋体"/>
              </w:rPr>
              <w:t>9．保荐协议</w:t>
            </w:r>
          </w:p>
          <w:p>
            <w:pPr>
              <w:ind w:firstLine="315" w:firstLineChars="150"/>
              <w:rPr>
                <w:rFonts w:ascii="宋体" w:hAnsi="宋体"/>
              </w:rPr>
            </w:pPr>
            <w:r>
              <w:rPr>
                <w:rFonts w:ascii="宋体" w:hAnsi="宋体"/>
              </w:rPr>
              <w:t>10．结算公司对新增股份已登记的书面确认文件</w:t>
            </w:r>
          </w:p>
          <w:p>
            <w:pPr>
              <w:ind w:firstLine="315" w:firstLineChars="150"/>
              <w:rPr>
                <w:rFonts w:ascii="宋体" w:hAnsi="宋体"/>
              </w:rPr>
            </w:pPr>
            <w:r>
              <w:rPr>
                <w:rFonts w:ascii="宋体" w:hAnsi="宋体"/>
              </w:rPr>
              <w:t>11．特定投资者分别出具的关于在一定期间内不转让所认购股份的承诺函及股份锁定申请（如适用）</w:t>
            </w:r>
          </w:p>
          <w:p>
            <w:pPr>
              <w:ind w:firstLine="315" w:firstLineChars="150"/>
              <w:rPr>
                <w:rFonts w:ascii="宋体" w:hAnsi="宋体"/>
              </w:rPr>
            </w:pPr>
            <w:r>
              <w:rPr>
                <w:rFonts w:ascii="宋体" w:hAnsi="宋体"/>
              </w:rPr>
              <w:t>12．公司仍符合发行条件的说明。说明截至上市申请日，公司仍符合向特定对象发行股票条件</w:t>
            </w:r>
          </w:p>
          <w:p>
            <w:pPr>
              <w:ind w:firstLine="315" w:firstLineChars="150"/>
              <w:rPr>
                <w:rFonts w:ascii="宋体" w:hAnsi="宋体"/>
              </w:rPr>
            </w:pPr>
            <w:r>
              <w:rPr>
                <w:rFonts w:ascii="宋体" w:hAnsi="宋体"/>
              </w:rPr>
              <w:t>13．无会后事项承诺函</w:t>
            </w:r>
          </w:p>
          <w:p>
            <w:pPr>
              <w:ind w:firstLine="315" w:firstLineChars="150"/>
              <w:rPr>
                <w:rFonts w:ascii="宋体" w:hAnsi="宋体"/>
              </w:rPr>
            </w:pPr>
            <w:r>
              <w:rPr>
                <w:rFonts w:ascii="宋体" w:hAnsi="宋体"/>
              </w:rPr>
              <w:t>14．本所要求的其他文件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77" w:type="dxa"/>
            <w:tcBorders>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3</w:t>
            </w:r>
          </w:p>
        </w:tc>
        <w:tc>
          <w:tcPr>
            <w:tcW w:w="1277" w:type="dxa"/>
            <w:vMerge w:val="continue"/>
            <w:tcBorders>
              <w:left w:val="single" w:color="auto" w:sz="4" w:space="0"/>
              <w:bottom w:val="single" w:color="auto" w:sz="4" w:space="0"/>
              <w:right w:val="single" w:color="auto" w:sz="4" w:space="0"/>
            </w:tcBorders>
            <w:vAlign w:val="center"/>
          </w:tcPr>
          <w:p>
            <w:pPr>
              <w:rPr>
                <w:rFonts w:ascii="宋体" w:hAnsi="宋体"/>
              </w:rPr>
            </w:pPr>
          </w:p>
        </w:tc>
        <w:tc>
          <w:tcPr>
            <w:tcW w:w="6271"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rPr>
            </w:pPr>
            <w:r>
              <w:rPr>
                <w:rFonts w:ascii="宋体" w:hAnsi="宋体"/>
              </w:rPr>
              <w:t>上市公司通过传真等方式向结算公司提供必要的资料，办理新增股份登记，具体流程</w:t>
            </w:r>
            <w:r>
              <w:rPr>
                <w:rFonts w:hint="eastAsia" w:ascii="宋体" w:hAnsi="宋体"/>
              </w:rPr>
              <w:t>按照</w:t>
            </w:r>
            <w:r>
              <w:rPr>
                <w:rFonts w:ascii="宋体" w:hAnsi="宋体"/>
              </w:rPr>
              <w:t>结算公司相关规定执行。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4</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ascii="宋体" w:hAnsi="宋体"/>
              </w:rPr>
              <w:t>L－5日内</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rPr>
            </w:pPr>
            <w:r>
              <w:rPr>
                <w:rFonts w:ascii="宋体" w:hAnsi="宋体"/>
              </w:rPr>
              <w:t>新增股份上市日确定后，上市公司应对外披露以下文件：</w:t>
            </w:r>
          </w:p>
          <w:p>
            <w:pPr>
              <w:ind w:firstLine="315" w:firstLineChars="150"/>
              <w:rPr>
                <w:rFonts w:ascii="宋体" w:hAnsi="宋体"/>
              </w:rPr>
            </w:pPr>
            <w:r>
              <w:rPr>
                <w:rFonts w:ascii="宋体" w:hAnsi="宋体"/>
              </w:rPr>
              <w:t>1．发行情况报告书</w:t>
            </w:r>
          </w:p>
          <w:p>
            <w:pPr>
              <w:ind w:firstLine="315" w:firstLineChars="150"/>
              <w:rPr>
                <w:rFonts w:ascii="宋体" w:hAnsi="宋体"/>
              </w:rPr>
            </w:pPr>
            <w:r>
              <w:rPr>
                <w:rFonts w:ascii="宋体" w:hAnsi="宋体"/>
              </w:rPr>
              <w:t>2．上市公告书</w:t>
            </w:r>
          </w:p>
          <w:p>
            <w:pPr>
              <w:ind w:firstLine="315" w:firstLineChars="150"/>
              <w:rPr>
                <w:rFonts w:ascii="宋体" w:hAnsi="宋体"/>
              </w:rPr>
            </w:pPr>
            <w:r>
              <w:rPr>
                <w:rFonts w:ascii="宋体" w:hAnsi="宋体"/>
              </w:rPr>
              <w:t>3．保荐人关于本次发行过程和认购对象合规性的报告</w:t>
            </w:r>
          </w:p>
          <w:p>
            <w:pPr>
              <w:ind w:firstLine="315" w:firstLineChars="150"/>
              <w:rPr>
                <w:rFonts w:ascii="宋体" w:hAnsi="宋体"/>
              </w:rPr>
            </w:pPr>
            <w:r>
              <w:rPr>
                <w:rFonts w:ascii="宋体" w:hAnsi="宋体"/>
              </w:rPr>
              <w:t>4．上市保荐书</w:t>
            </w:r>
          </w:p>
          <w:p>
            <w:pPr>
              <w:ind w:firstLine="315" w:firstLineChars="150"/>
              <w:rPr>
                <w:rFonts w:ascii="宋体" w:hAnsi="宋体"/>
              </w:rPr>
            </w:pPr>
            <w:r>
              <w:rPr>
                <w:rFonts w:ascii="宋体" w:hAnsi="宋体"/>
              </w:rPr>
              <w:t>5．律师关于本次发行过程和认购对象合规性的报告</w:t>
            </w:r>
          </w:p>
          <w:p>
            <w:pPr>
              <w:ind w:firstLine="315" w:firstLineChars="150"/>
              <w:rPr>
                <w:rFonts w:ascii="宋体" w:hAnsi="宋体"/>
              </w:rPr>
            </w:pPr>
            <w:r>
              <w:rPr>
                <w:rFonts w:ascii="宋体" w:hAnsi="宋体"/>
              </w:rPr>
              <w:t>6．公司董事、监事和高级管理人员持股情况变动的报告（如适用）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5</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ascii="宋体" w:hAnsi="宋体"/>
              </w:rPr>
              <w:t>L日</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rPr>
            </w:pPr>
            <w:r>
              <w:rPr>
                <w:rFonts w:ascii="宋体" w:hAnsi="宋体"/>
              </w:rPr>
              <w:t>上市日</w:t>
            </w:r>
          </w:p>
        </w:tc>
      </w:tr>
    </w:tbl>
    <w:p>
      <w:pPr>
        <w:rPr>
          <w:rFonts w:ascii="Times New Roman" w:hAnsi="Times New Roman"/>
        </w:rPr>
      </w:pPr>
    </w:p>
    <w:p>
      <w:pPr>
        <w:rPr>
          <w:rFonts w:ascii="Times New Roman" w:hAnsi="Times New Roman"/>
        </w:rPr>
      </w:pPr>
    </w:p>
    <w:p>
      <w:pPr>
        <w:pStyle w:val="162"/>
        <w:ind w:firstLine="0" w:firstLineChars="0"/>
        <w:outlineLvl w:val="1"/>
        <w:rPr>
          <w:rFonts w:hAnsi="黑体"/>
          <w:sz w:val="32"/>
          <w:szCs w:val="32"/>
        </w:rPr>
      </w:pPr>
      <w:bookmarkStart w:id="56" w:name="_Toc19456"/>
      <w:bookmarkStart w:id="57" w:name="_Toc129272531"/>
      <w:bookmarkStart w:id="58" w:name="_Toc141954537"/>
      <w:r>
        <w:rPr>
          <w:rFonts w:hint="eastAsia" w:hAnsi="黑体"/>
          <w:sz w:val="32"/>
          <w:szCs w:val="32"/>
        </w:rPr>
        <w:t>第三节 向不特定对象发行可转换公司债券</w:t>
      </w:r>
      <w:bookmarkEnd w:id="56"/>
      <w:bookmarkEnd w:id="57"/>
      <w:bookmarkEnd w:id="58"/>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一、审核注册阶段信息披露要求</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1．上市公司向不特定对象发行可转换公司债券（以下简称可转债）提出发行申请后，出现下列情形之一的，应当在次一个交易日予以公告：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（1）收到交易所不予受理或者终止发行上市审核决定；</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（2）收到中国证监会终止发行注册决定；</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（3）收到中国证监会注册或者不予注册决定；</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（4）上市公司撤回证券发行申请。</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2．本所受理证券发行上市申请文件当日，公司应当披露受理公告，并同时披露募集说明书、发行保荐书、上市保荐书、审计报告、法律意见书。</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3．上市公司应当以临时公告的形式及时披露对本所审核问询的回复。</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4．上市公司收到本所具有明确审核意见的函件或决定后，应当以临时公告的形式及时对外披露。如为符合发行条件、上市条件和信息披露要求的审核意见，公司应在公告中声明“公司本次向不特定对象发行可转换公司债券尚需中国证监会注册，敬请广大投资者注意投资风险”。</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5．上市公司披露收到中国证监会予以注册决定的公告时，应当说明取得注册文件的日期、注册发行的债券数量等。</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二、可转债发行前的准备工作</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（一）沟通发行方案</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根据《证券发行与承销管理办法》的相关规定，上市公司发行证券，存在利润分配方案、公积金转增股本方案尚未提交股东大会表决或者虽经股东大会表决通过但未实施的，应当在方案实施后发行。相关方案实施前，主承销商不得承销上市公司发行的证券。</w:t>
      </w:r>
    </w:p>
    <w:p>
      <w:pPr>
        <w:spacing w:line="560" w:lineRule="exact"/>
        <w:ind w:firstLine="614" w:firstLineChars="192"/>
        <w:rPr>
          <w:rFonts w:ascii="仿宋" w:hAnsi="仿宋" w:eastAsia="仿宋"/>
          <w:sz w:val="32"/>
          <w:szCs w:val="32"/>
        </w:rPr>
      </w:pPr>
      <w:r>
        <w:rPr>
          <w:rFonts w:hint="eastAsia" w:ascii="仿宋" w:hAnsi="仿宋" w:eastAsia="仿宋"/>
          <w:sz w:val="32"/>
          <w:szCs w:val="32"/>
        </w:rPr>
        <w:t>可转债发行工作正式开始前，上市公司及主承销商应在发行方案基本确定时做出基本判断，如果拟定的发行方案与深圳市场已实施过的可转债发行方式有所不同，上市公司及主承销商应当至少在披露发行公告三个交易日前与创业板公司管理部联系，尽早与本所就发行方案的要点进行充分沟通，以确保发行方案顺利实施。</w:t>
      </w:r>
    </w:p>
    <w:p>
      <w:pPr>
        <w:spacing w:line="560" w:lineRule="exact"/>
        <w:ind w:firstLine="614" w:firstLineChars="192"/>
        <w:rPr>
          <w:rFonts w:ascii="仿宋" w:hAnsi="仿宋" w:eastAsia="仿宋"/>
          <w:sz w:val="32"/>
          <w:szCs w:val="32"/>
        </w:rPr>
      </w:pPr>
      <w:r>
        <w:rPr>
          <w:rFonts w:hint="eastAsia" w:ascii="仿宋" w:hAnsi="仿宋" w:eastAsia="仿宋"/>
          <w:sz w:val="32"/>
          <w:szCs w:val="32"/>
        </w:rPr>
        <w:t>创业板公司管理部负责创新方案的事前沟通，并负责对创新方案实施进行内部协调以及与结算公司的沟通，并告知上市公司及主承销商该方案是否可行，如可行，告知本所完成系统准备的最后时间。</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（二）可转债网上发行业务有关要点</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上市公司可转债发行上市业务流程及时间安排请参见《上市公司向不特定对象发行可转债发行上市参考流程》（附件1）。</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 上市公司首次发行可转债，可转债简称除“转债”以外的字符取自上市公司A股证券简称，后四位字符为“转债”；若再次发行可转债，后面的字符根据其发行批次分别为“转02”“转03”等。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上市公司可转债申购代码为“37××××”，其中“××××”为上市公司股票代码后四位；申购简称除“发债”以外的字符取自上市公司A股证券简称，后四位字符为“发债”。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sz w:val="32"/>
          <w:szCs w:val="32"/>
        </w:rPr>
        <w:t>上市公司可转债老股东优先配售代码为“38××××”，其中“××××”为上市公司股票代码后四位；配售简称除“配债”以外的字符取自上市公司A股证券简称，后四位字符为“配债”。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5.上市公司发行可转债，可以采用网上发行方式，或者同时采用网上、网下两种发行方式。网上发行应当通过本所交易系统进行，网下发行由上市公司与主承销商自行组织实施。</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w:t>
      </w:r>
      <w:r>
        <w:rPr>
          <w:rFonts w:hint="eastAsia" w:ascii="仿宋" w:hAnsi="仿宋" w:eastAsia="仿宋"/>
          <w:sz w:val="32"/>
          <w:szCs w:val="32"/>
        </w:rPr>
        <w:t>上市公司发行可转债，向股权登记日登记在册的原股东优先配售的，应当在发行公告中披露配售比例。</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本次发行安排对原股东优先配售的，原股东可通过网上申购行使优先认购权。原股东因发行可交换公司债券将股份划转至质押专户等原因导致无法通过网上行使优先认购权的，可联系上市公司和承销商通过网下行使优先认购权，并由上市公司向结算公司发行人业务部申请办理网下优先认购获得的可转债的登记事宜。</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原股东在股权登记日持有的有优先认购权的股票托管在两个或两个以上证券营业部的，原股东行使优先认购权按其托管的证券营业部分别申购。</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原股东参与优先配售后，余额部分用于网上、网下申购。原股东参与优先配售的申购通过网上或者网下的方式进行。原股东除可以参与优先配售外，还可以参与优先配售后的余额申购。</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7.</w:t>
      </w:r>
      <w:r>
        <w:rPr>
          <w:rFonts w:hint="eastAsia"/>
        </w:rPr>
        <w:t xml:space="preserve"> </w:t>
      </w:r>
      <w:r>
        <w:rPr>
          <w:rFonts w:hint="eastAsia" w:ascii="仿宋" w:hAnsi="仿宋" w:eastAsia="仿宋"/>
          <w:sz w:val="32"/>
          <w:szCs w:val="32"/>
        </w:rPr>
        <w:t>上市公司发行可转债，发行公告中应当明确承销方式，网上、网下有效申购不足发行总量部分和投资者申购后未足额缴付认购资金部分的处理安排，以及中止发行情形和相应处置安排。</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8</w:t>
      </w:r>
      <w:r>
        <w:rPr>
          <w:rFonts w:ascii="仿宋" w:hAnsi="仿宋" w:eastAsia="仿宋"/>
          <w:sz w:val="32"/>
          <w:szCs w:val="32"/>
        </w:rPr>
        <w:t>．</w:t>
      </w:r>
      <w:r>
        <w:rPr>
          <w:rFonts w:hint="eastAsia" w:ascii="仿宋" w:hAnsi="仿宋" w:eastAsia="仿宋"/>
          <w:sz w:val="32"/>
          <w:szCs w:val="32"/>
        </w:rPr>
        <w:t xml:space="preserve">上市公司发行可转债，发行方案中应当合理确定并披露网上申购上限。网上申购最小单位为1手（1000元），申购数量应当为1手或者1手的整数倍。网上申购数量不得高于发行方案中确定的申购上限，否则该笔申购无效。  </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为保证申购的有序进行，本所可以根据市场情况和技术系统承载能力对申购单位、最大申购数量、申购时间进行调整，并向市场公告。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9. 投资者参与可转债网上申购只能使用一个证券账户。同一投资者使用多个证券账户参与同一只可转债申购的，或投资者使用同一证券账户多次参与同一只可转债申购的，以该投资者的第一笔申购为有效申购，其余申购均为无效申购。申购一经本所交易系统确认，不得撤销。</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确认多个证券账户为同一投资者持有的原则为证券账户注册资料中的“账户持有人名称”“有效身份证明文件号码”均相同。企业年金账户以及职业年金账户，证券账户注册资料中“账户持有人名称”相同且“有效身份证明文件号码”相同的，按不同投资者进行统计。</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不合格、休眠和注销的证券账户不得参与可转债的申购。</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10. 投资者可以使用所持深圳市场证券账户在网上申购日（即网上发行日，以下简称T日）申购上市公司发行的可转债，申购时间为T日9：15-11：30、13：00-15：00。</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申购时间内，投资者以发行价格填写网上申购的委托单。申购一经本所交易系统确认，不得撤销。申购配号根据实际有效申购进行，每一有效申购单位配一个号，对所有有效申购单位按时间顺序连续配号。</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11. 投资者在进行可转债网上申购时无需缴付申购资金。</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原股东参与可转债优先配售的部分，应当在申购同时缴付足额资金。原股东参与优先配售后的余额网上申购部分无需缴付申购资金。</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12．机构投资者可以参与可转债的网下申购，上市公司应当在募集说明书与发行方案中确定并披露具体条件和程序，网下申购日应不晚于T日。</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网下发行相关事宜由主承销商及上市公司自行组织实施。对于可转债的网下投资者，主承销商可向网下单一申购账户收取不超过50万元的申购保证金，并在发行方案中明确网下投资者具体违约情形以及违约时申购保证金的处理方式。</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13. 网下投资者申购可转债时应当结合行业监管要求及相应资产规模，合理确定申购金额，不得超资产规模申购。投资者参与可转债网下发行时，应当出具申购量不超资产规模的承诺。承销商对申购金额应当保持必要关注，并可以认定超资产规模的申购为无效申购。</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同一网下投资者的每个配售对象参与可转债网下申购只能使用一个证券账户。投资者管理多个证券投资产品的，每个产品可视作一个配售对象。其他投资者，每个投资者视作一个配售对象。</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14. 上市公司和主承销商应当在网下配售和网上发行之间建立回拨机制，回拨后网上发行中签率和网下发行的最低获配比例趋于一致。</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15. 投资者有效申购数量与网上、网下配售额确定后，按照以下原则配售可转债：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（1）当网上申购总量等于网上发行总量时，按投资者的实际申购量配售；</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（2）当网上申购总量小于网上发行总量时，按投资者的实际申购量配售后，余额部分按照可转债募集说明书与发行方案确定的方式处理；</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（3）当网上申购总量大于网上发行总量时，按投资者摇号中签结果确定配售数量。</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16</w:t>
      </w:r>
      <w:r>
        <w:rPr>
          <w:rFonts w:ascii="仿宋" w:hAnsi="仿宋" w:eastAsia="仿宋"/>
          <w:sz w:val="32"/>
          <w:szCs w:val="32"/>
        </w:rPr>
        <w:t>．</w:t>
      </w:r>
      <w:r>
        <w:rPr>
          <w:rFonts w:hint="eastAsia" w:ascii="仿宋" w:hAnsi="仿宋" w:eastAsia="仿宋"/>
          <w:sz w:val="32"/>
          <w:szCs w:val="32"/>
        </w:rPr>
        <w:t>投资者网上申购可转债中签后，应依据中签结果履行资金交收义务，确保其资金账户在T+2日日终有足额的认购资金。投资者认购资金不足的，不足部分视为放弃认购，由此产生的后果及相关法律责任，由投资者自行承担。</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对于因投资者资金不足而全部或部分放弃认购的情况，结算参与人（包括证券公司及托管人等，下同）应当认真核验，并在T+3日15：00前如实向结算公司申报。放弃认购的张数以实际不足资金为准，最小单位为1张，可不为10张的整数倍。投资者放弃认购的可转债由主承销商负责包销或根据上市公司和主承销商事先确定并披露的其他方式处理。</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对于主承销商根据发行方案采取余额包销的可转债，网上发行结束后，主承销商自行与上市公司完成相关资金的划付。</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17</w:t>
      </w:r>
      <w:r>
        <w:rPr>
          <w:rFonts w:ascii="仿宋" w:hAnsi="仿宋" w:eastAsia="仿宋"/>
          <w:sz w:val="32"/>
          <w:szCs w:val="32"/>
        </w:rPr>
        <w:t>．</w:t>
      </w:r>
      <w:r>
        <w:rPr>
          <w:rFonts w:hint="eastAsia" w:ascii="仿宋" w:hAnsi="仿宋" w:eastAsia="仿宋"/>
          <w:sz w:val="32"/>
          <w:szCs w:val="32"/>
        </w:rPr>
        <w:t>投资者连续12个月内累计出现3次中签但未足额缴款的情形的，自结算参与人最近一次申报其放弃认购的次日起6个月（按180个自然日计算，含次日）内不得参与网上新股、存托凭证、可转债及可交换公司债券网上申购。</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放弃认购情形以投资者为单位进行判断。放弃认购的次数按照投资者实际放弃认购的新股、存托凭证、可转债、可交换公司债券累计计算；投资者持有多个证券账户的，其任何一个证券账户发生放弃认购情形的，放弃认购次数累计计算。不合格、注销证券账户所发生过的放弃认购情形也纳入统计次数。</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18</w:t>
      </w:r>
      <w:r>
        <w:rPr>
          <w:rFonts w:ascii="仿宋" w:hAnsi="仿宋" w:eastAsia="仿宋"/>
          <w:sz w:val="32"/>
          <w:szCs w:val="32"/>
        </w:rPr>
        <w:t>．</w:t>
      </w:r>
      <w:r>
        <w:rPr>
          <w:rFonts w:hint="eastAsia" w:ascii="仿宋" w:hAnsi="仿宋" w:eastAsia="仿宋"/>
          <w:sz w:val="32"/>
          <w:szCs w:val="32"/>
        </w:rPr>
        <w:t>当出现网下和网上投资者缴款认购的可转债数量合计不足本次发行数量的70%的情形，上市公司或主承销商可在T+3日（存在二次配售的，在T+4日）17:00前向本所提出中止发行的申请，上市公司与主承销商应对可能发生此情形时向本所提出中止发行申请的法律主体进行约定，募集说明书与发行公告应载明相关安排。</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19</w:t>
      </w:r>
      <w:r>
        <w:rPr>
          <w:rFonts w:ascii="仿宋" w:hAnsi="仿宋" w:eastAsia="仿宋"/>
          <w:sz w:val="32"/>
          <w:szCs w:val="32"/>
        </w:rPr>
        <w:t>．</w:t>
      </w:r>
      <w:r>
        <w:rPr>
          <w:rFonts w:hint="eastAsia" w:ascii="仿宋" w:hAnsi="仿宋" w:eastAsia="仿宋"/>
          <w:sz w:val="32"/>
          <w:szCs w:val="32"/>
        </w:rPr>
        <w:t>可转债发行不向投资者收取手续费。</w:t>
      </w:r>
    </w:p>
    <w:p>
      <w:pPr>
        <w:spacing w:line="560" w:lineRule="exact"/>
        <w:ind w:firstLine="640" w:firstLineChars="200"/>
        <w:rPr>
          <w:rFonts w:ascii="方正仿宋简体" w:eastAsia="方正仿宋简体"/>
          <w:b/>
          <w:sz w:val="28"/>
          <w:szCs w:val="28"/>
        </w:rPr>
      </w:pPr>
      <w:r>
        <w:rPr>
          <w:rFonts w:hint="eastAsia" w:ascii="楷体" w:hAnsi="楷体" w:eastAsia="楷体"/>
          <w:sz w:val="32"/>
          <w:szCs w:val="32"/>
        </w:rPr>
        <w:t>（三）与结算公司联系办理发行前的相关手续</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上市公司及主承销商应当提前与结算公司发行人业务部、结算业务部等有关部门联系，了解可转债发行的相关工作。</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三、可转债发行期间的工作</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（一）披露《可转债募集说明书》及网上（网下）发行公告、路演公告</w:t>
      </w:r>
    </w:p>
    <w:p>
      <w:pPr>
        <w:spacing w:line="560" w:lineRule="exact"/>
        <w:ind w:firstLine="614" w:firstLineChars="192"/>
        <w:rPr>
          <w:rFonts w:ascii="仿宋" w:hAnsi="仿宋" w:eastAsia="仿宋"/>
          <w:sz w:val="32"/>
          <w:szCs w:val="32"/>
        </w:rPr>
      </w:pPr>
      <w:r>
        <w:rPr>
          <w:rFonts w:hint="eastAsia" w:ascii="仿宋" w:hAnsi="仿宋" w:eastAsia="仿宋"/>
          <w:sz w:val="32"/>
          <w:szCs w:val="32"/>
        </w:rPr>
        <w:t>上市公司取得中国证监会予以注册决定后，应当在予以注册文件有效期内披露《可转债募集说明书》，以保证可转债发行顺利实施。</w:t>
      </w:r>
    </w:p>
    <w:p>
      <w:pPr>
        <w:spacing w:line="560" w:lineRule="exact"/>
        <w:ind w:firstLine="614" w:firstLineChars="192"/>
        <w:rPr>
          <w:rFonts w:ascii="仿宋" w:hAnsi="仿宋" w:eastAsia="仿宋"/>
          <w:sz w:val="32"/>
          <w:szCs w:val="32"/>
        </w:rPr>
      </w:pPr>
      <w:r>
        <w:rPr>
          <w:rFonts w:hint="eastAsia" w:ascii="仿宋" w:hAnsi="仿宋" w:eastAsia="仿宋"/>
          <w:sz w:val="32"/>
          <w:szCs w:val="32"/>
        </w:rPr>
        <w:t>上市公司及保荐人、主承销商在披露《可转债募集说明书》前一个交易日之前应向创业板公司管理部报送以下发行申请文件：</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可转债募集说明书提示性公告、可转债募集说明书全文及摘要、路演公告、网上（网下）发行公告、发行保荐书、法律意见书、资信评级报告、担保合同（如有）等（上网，其中可转债募集说明书提示性公告登报）</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可转债发行申请书（附件2，报备）</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拟上市公司证券简称及证券代码申请书（附件3，报备）</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sz w:val="32"/>
          <w:szCs w:val="32"/>
        </w:rPr>
        <w:t>发行上市一般时间安排（附件4，报备）</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5</w:t>
      </w:r>
      <w:r>
        <w:rPr>
          <w:rFonts w:ascii="仿宋" w:hAnsi="仿宋" w:eastAsia="仿宋"/>
          <w:sz w:val="32"/>
          <w:szCs w:val="32"/>
        </w:rPr>
        <w:t>．</w:t>
      </w:r>
      <w:r>
        <w:rPr>
          <w:rFonts w:hint="eastAsia" w:ascii="仿宋" w:hAnsi="仿宋" w:eastAsia="仿宋"/>
          <w:sz w:val="32"/>
          <w:szCs w:val="32"/>
        </w:rPr>
        <w:t>可转债定价发行方案要点（附件5，报备）</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w:t>
      </w:r>
      <w:r>
        <w:rPr>
          <w:rFonts w:hint="eastAsia" w:ascii="仿宋" w:hAnsi="仿宋" w:eastAsia="仿宋"/>
          <w:sz w:val="32"/>
          <w:szCs w:val="32"/>
        </w:rPr>
        <w:t>主承销商经办人员的身份证复印件、主承销商授权委托书及主承销商法定代表人身份证明书（报备）</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7</w:t>
      </w:r>
      <w:r>
        <w:rPr>
          <w:rFonts w:ascii="仿宋" w:hAnsi="仿宋" w:eastAsia="仿宋"/>
          <w:sz w:val="32"/>
          <w:szCs w:val="32"/>
        </w:rPr>
        <w:t>．</w:t>
      </w:r>
      <w:r>
        <w:rPr>
          <w:rFonts w:hint="eastAsia" w:ascii="仿宋" w:hAnsi="仿宋" w:eastAsia="仿宋"/>
          <w:sz w:val="32"/>
          <w:szCs w:val="32"/>
        </w:rPr>
        <w:t>公司经办人员的身份证复印件、公司授权委托书及公司法定代表人身份证明书（报备）</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相关文件应当在《可转债募集说明书》披露前一交易日</w:t>
      </w:r>
      <w:r>
        <w:rPr>
          <w:rFonts w:ascii="仿宋" w:hAnsi="仿宋" w:eastAsia="仿宋"/>
          <w:sz w:val="32"/>
          <w:szCs w:val="32"/>
        </w:rPr>
        <w:t>1</w:t>
      </w:r>
      <w:r>
        <w:rPr>
          <w:rFonts w:hint="eastAsia" w:ascii="仿宋" w:hAnsi="仿宋" w:eastAsia="仿宋"/>
          <w:sz w:val="32"/>
          <w:szCs w:val="32"/>
        </w:rPr>
        <w:t>6</w:t>
      </w:r>
      <w:r>
        <w:rPr>
          <w:rFonts w:ascii="仿宋" w:hAnsi="仿宋" w:eastAsia="仿宋"/>
          <w:sz w:val="32"/>
          <w:szCs w:val="32"/>
        </w:rPr>
        <w:t>:</w:t>
      </w:r>
      <w:r>
        <w:rPr>
          <w:rFonts w:hint="eastAsia" w:ascii="仿宋" w:hAnsi="仿宋" w:eastAsia="仿宋"/>
          <w:sz w:val="32"/>
          <w:szCs w:val="32"/>
        </w:rPr>
        <w:t>0</w:t>
      </w:r>
      <w:r>
        <w:rPr>
          <w:rFonts w:ascii="仿宋" w:hAnsi="仿宋" w:eastAsia="仿宋"/>
          <w:sz w:val="32"/>
          <w:szCs w:val="32"/>
        </w:rPr>
        <w:t>0</w:t>
      </w:r>
      <w:r>
        <w:rPr>
          <w:rFonts w:hint="eastAsia" w:ascii="仿宋" w:hAnsi="仿宋" w:eastAsia="仿宋"/>
          <w:sz w:val="32"/>
          <w:szCs w:val="32"/>
        </w:rPr>
        <w:t>前通过业务专区上传。相关公告经本所审查后于次一交易日披露。</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《网上（网下）发行公告》至少应当包括以下内容：</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可转债募集说明书及网上（网下）发行公告的披露日</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股权登记日（如有）、网上申购日（T日）</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网下发行日程安排（不得晚于T日）</w:t>
      </w:r>
    </w:p>
    <w:p>
      <w:pPr>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发行数量、发行价格</w:t>
      </w:r>
    </w:p>
    <w:p>
      <w:pPr>
        <w:spacing w:line="560" w:lineRule="exact"/>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申购代码（37××××）、申购简称</w:t>
      </w:r>
    </w:p>
    <w:p>
      <w:pPr>
        <w:spacing w:line="560" w:lineRule="exact"/>
        <w:ind w:firstLine="640" w:firstLineChars="200"/>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申购方式</w:t>
      </w:r>
    </w:p>
    <w:p>
      <w:pPr>
        <w:spacing w:line="560" w:lineRule="exact"/>
        <w:ind w:firstLine="640" w:firstLineChars="200"/>
        <w:rPr>
          <w:rFonts w:ascii="仿宋" w:hAnsi="仿宋" w:eastAsia="仿宋"/>
          <w:sz w:val="32"/>
          <w:szCs w:val="32"/>
        </w:rPr>
      </w:pPr>
      <w:r>
        <w:rPr>
          <w:rFonts w:ascii="仿宋" w:hAnsi="仿宋" w:eastAsia="仿宋"/>
          <w:sz w:val="32"/>
          <w:szCs w:val="32"/>
        </w:rPr>
        <w:t>7．</w:t>
      </w:r>
      <w:r>
        <w:rPr>
          <w:rFonts w:hint="eastAsia" w:ascii="仿宋" w:hAnsi="仿宋" w:eastAsia="仿宋"/>
          <w:sz w:val="32"/>
          <w:szCs w:val="32"/>
        </w:rPr>
        <w:t>配售代码（38××××）、配售简称</w:t>
      </w:r>
    </w:p>
    <w:p>
      <w:pPr>
        <w:spacing w:line="560" w:lineRule="exact"/>
        <w:ind w:firstLine="640" w:firstLineChars="200"/>
        <w:rPr>
          <w:rFonts w:ascii="仿宋" w:hAnsi="仿宋" w:eastAsia="仿宋"/>
          <w:sz w:val="32"/>
          <w:szCs w:val="32"/>
        </w:rPr>
      </w:pPr>
      <w:r>
        <w:rPr>
          <w:rFonts w:ascii="仿宋" w:hAnsi="仿宋" w:eastAsia="仿宋"/>
          <w:sz w:val="32"/>
          <w:szCs w:val="32"/>
        </w:rPr>
        <w:t>8．</w:t>
      </w:r>
      <w:r>
        <w:rPr>
          <w:rFonts w:hint="eastAsia" w:ascii="仿宋" w:hAnsi="仿宋" w:eastAsia="仿宋"/>
          <w:sz w:val="32"/>
          <w:szCs w:val="32"/>
        </w:rPr>
        <w:t>配售方式（如有）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9．转股来源</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10</w:t>
      </w:r>
      <w:r>
        <w:rPr>
          <w:rFonts w:ascii="仿宋" w:hAnsi="仿宋" w:eastAsia="仿宋"/>
          <w:sz w:val="32"/>
          <w:szCs w:val="32"/>
        </w:rPr>
        <w:t>．</w:t>
      </w:r>
      <w:r>
        <w:rPr>
          <w:rFonts w:hint="eastAsia" w:ascii="仿宋" w:hAnsi="仿宋" w:eastAsia="仿宋"/>
          <w:sz w:val="32"/>
          <w:szCs w:val="32"/>
        </w:rPr>
        <w:t>中止发行安排</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11．二次配售安排（如有）</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本所要求的其他内容</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以回购股份与新增股份结合作为转股来源的，需披露转股来源的优先级，应当优先以回购股份，不足部分以新增股份，以及拟用于转股的回购股份数量或者资金总额的上下限。以回购股份作为单一转股来源的，需披露用于转股的回购股份数量的预计上限，转股期开始前的回购安排，转股过程中出现回购股份不足时公司拟采取的解决措施及可能存在的无法转股、转股失败及暂停转股的风险。</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（二）披露《可转债发行提示性公告》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上市公司应当在可转债发行申购日披露《可转债发行提示性公告》，在可转债发行申购日前一交易日15:00前通过业务专区上传《可转债发行提示性公告》后披露。</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《可转债发行提示性公告》至少应当包括的内容参照前述《网上（网下）发行公告》的相关要求。</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（三）披露《网上发行中签率及网下发行配售结果公告》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可转债网上申购结束后的当日，主承销商在收到创业板公司管理部的发行结果数据后确定网上、网下最终发行数量、配售比例，并应将回拨情况于</w:t>
      </w:r>
      <w:r>
        <w:rPr>
          <w:rFonts w:ascii="仿宋" w:hAnsi="仿宋" w:eastAsia="仿宋"/>
          <w:sz w:val="32"/>
          <w:szCs w:val="32"/>
        </w:rPr>
        <w:t>17:3</w:t>
      </w:r>
      <w:r>
        <w:rPr>
          <w:rFonts w:hint="eastAsia" w:ascii="仿宋" w:hAnsi="仿宋" w:eastAsia="仿宋"/>
          <w:sz w:val="32"/>
          <w:szCs w:val="32"/>
        </w:rPr>
        <w:t>0前告知创业板公司管理部。</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上市公司及主承销商将可转债发行网上认购资金划款申请表（附件</w:t>
      </w:r>
      <w:r>
        <w:rPr>
          <w:rFonts w:ascii="仿宋" w:hAnsi="仿宋" w:eastAsia="仿宋"/>
          <w:sz w:val="32"/>
          <w:szCs w:val="32"/>
        </w:rPr>
        <w:t>6</w:t>
      </w:r>
      <w:r>
        <w:rPr>
          <w:rFonts w:hint="eastAsia" w:ascii="仿宋" w:hAnsi="仿宋" w:eastAsia="仿宋"/>
          <w:sz w:val="32"/>
          <w:szCs w:val="32"/>
        </w:rPr>
        <w:t>）交结算公司结算业务部。</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上市公司应于可转债网上申购结束当日</w:t>
      </w:r>
      <w:r>
        <w:rPr>
          <w:rFonts w:ascii="仿宋" w:hAnsi="仿宋" w:eastAsia="仿宋"/>
          <w:sz w:val="32"/>
          <w:szCs w:val="32"/>
        </w:rPr>
        <w:t>18:0</w:t>
      </w:r>
      <w:r>
        <w:rPr>
          <w:rFonts w:hint="eastAsia" w:ascii="仿宋" w:hAnsi="仿宋" w:eastAsia="仿宋"/>
          <w:sz w:val="32"/>
          <w:szCs w:val="32"/>
        </w:rPr>
        <w:t>0前通过业务专区向本所提交《网上发行中签率及网下发行配售结果公告》，同时报备《律师关于网下发行的见证意见》。《网上发行中签率及网下发行配售结果公告》至少应当包括以下内容：</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发行数量、网上网下配售比例</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网上网下有效申购数量</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发行与配售结果（包括向控股股东、实际控制人及其一致行动人的配售数量、比例）</w:t>
      </w:r>
    </w:p>
    <w:p>
      <w:pPr>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募集资金总额</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若发行失败，上市公司及其保荐人、主承销商应于17:00前提交《可转债中止发行公告》，于次日披露。</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（四）披露《可转换公司债券中签号码公告》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可转债网上申购结束后的第一个交易日（T+</w:t>
      </w:r>
      <w:r>
        <w:rPr>
          <w:rFonts w:ascii="仿宋" w:hAnsi="仿宋" w:eastAsia="仿宋"/>
          <w:sz w:val="32"/>
          <w:szCs w:val="32"/>
        </w:rPr>
        <w:t>1</w:t>
      </w:r>
      <w:r>
        <w:rPr>
          <w:rFonts w:hint="eastAsia" w:ascii="仿宋" w:hAnsi="仿宋" w:eastAsia="仿宋"/>
          <w:sz w:val="32"/>
          <w:szCs w:val="32"/>
        </w:rPr>
        <w:t>），主承销商联系信息公司组织摇号。上市公司于当日15:00前将《可转换公司债券中签号码公告》通过业务专区上传，并将经公证的摇号结果文件作为报备文件报送创业板公司管理部。</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（五）披露《可转换公司债券发行结果公告》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1．不存在二次配售情形</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不存在二次配售情形的，可转债网上申购结束后的第三个交易日（T+3），上市公司于当日</w:t>
      </w:r>
      <w:r>
        <w:rPr>
          <w:rFonts w:ascii="仿宋" w:hAnsi="仿宋" w:eastAsia="仿宋"/>
          <w:sz w:val="32"/>
          <w:szCs w:val="32"/>
        </w:rPr>
        <w:t>17</w:t>
      </w:r>
      <w:r>
        <w:rPr>
          <w:rFonts w:hint="eastAsia" w:ascii="仿宋" w:hAnsi="仿宋" w:eastAsia="仿宋"/>
          <w:sz w:val="32"/>
          <w:szCs w:val="32"/>
        </w:rPr>
        <w:t>:00前通过业务专区上传《可转换公司债券发行结果公告》，披露网上、网下以及老股东优先配售的最终发行认购结果。</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如因发生网下和网上投资者缴款认购的可转债数量合计不足本次发行数量的70%的情形，主承销商或上市公司申请中止本次发行的，应在T+3当日17:00前向本所提出申请，并安排披露《可转债中止发行公告》。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2．存在二次配售情形</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拟进行二次配售的，可转债网上申购结束后的第三个交易日（T+3），上市公司于当日</w:t>
      </w:r>
      <w:r>
        <w:rPr>
          <w:rFonts w:ascii="仿宋" w:hAnsi="仿宋" w:eastAsia="仿宋"/>
          <w:sz w:val="32"/>
          <w:szCs w:val="32"/>
        </w:rPr>
        <w:t>17</w:t>
      </w:r>
      <w:r>
        <w:rPr>
          <w:rFonts w:hint="eastAsia" w:ascii="仿宋" w:hAnsi="仿宋" w:eastAsia="仿宋"/>
          <w:sz w:val="32"/>
          <w:szCs w:val="32"/>
        </w:rPr>
        <w:t>:00前通过业务专区上传《网下二次配售公告》，按照发行方案中关于二次配售的安排，披露网上网下发行认购结果、参与二次配售股份的数量、配售对象、配售程序、缴款时间及二次配售后剩余股份的安排等。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完成二次配售后，上市公司于T+4日</w:t>
      </w:r>
      <w:r>
        <w:rPr>
          <w:rFonts w:ascii="仿宋" w:hAnsi="仿宋" w:eastAsia="仿宋"/>
          <w:sz w:val="32"/>
          <w:szCs w:val="32"/>
        </w:rPr>
        <w:t>17</w:t>
      </w:r>
      <w:r>
        <w:rPr>
          <w:rFonts w:hint="eastAsia" w:ascii="仿宋" w:hAnsi="仿宋" w:eastAsia="仿宋"/>
          <w:sz w:val="32"/>
          <w:szCs w:val="32"/>
        </w:rPr>
        <w:t>:00前通过业务专区上传《可转换公司债券发行结果公告》，披露网上、网下以及老股东优先配售的最终发行认购结果。</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如因发生网下和网上投资者缴款认购的可转债数量合计不足本次发行数量的70%的情形，主承销商或上市公司申请中止本次发行的，应在T+4当日17:00前向本所提出申请，并安排披露《可转债中止发行公告》。</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四、可转债登记及上市的相关工作</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（一）可转债登记</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发行结束后，上市公司及主承销商应在两个交易日内向结算公司发行人业务部提交登记材料申请办理可转债登记。如有网下发行、网下配售或余债包销的，应及时提供网下申购、网下配售或余债包销登记数据，以便办理网下申购、网下配售或余债包销的登记托管手续。具体流程按照结算公司相关规定执行。</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结算公司发行人业务部在完成债券登记托管手续及确认发行登记费足额缴纳后，向上市公司出具登记结果确认文件。</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（二）申请可转债上市披露文件</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登记业务完成后两个交易日内，上市公司及保荐人申请可转债上市，并向本所提交以下申请文件：</w:t>
      </w:r>
    </w:p>
    <w:p>
      <w:pPr>
        <w:spacing w:line="560" w:lineRule="exact"/>
        <w:ind w:left="640"/>
        <w:rPr>
          <w:rFonts w:ascii="仿宋" w:hAnsi="仿宋" w:eastAsia="仿宋"/>
          <w:sz w:val="32"/>
          <w:szCs w:val="32"/>
        </w:rPr>
      </w:pPr>
      <w:r>
        <w:rPr>
          <w:rFonts w:hint="eastAsia" w:ascii="仿宋" w:hAnsi="仿宋" w:eastAsia="仿宋"/>
          <w:sz w:val="32"/>
          <w:szCs w:val="32"/>
        </w:rPr>
        <w:t>1. 可转债上市申请书（报备）</w:t>
      </w:r>
    </w:p>
    <w:p>
      <w:pPr>
        <w:spacing w:line="560" w:lineRule="exact"/>
        <w:ind w:left="640"/>
        <w:rPr>
          <w:rFonts w:ascii="仿宋" w:hAnsi="仿宋" w:eastAsia="仿宋"/>
          <w:sz w:val="32"/>
          <w:szCs w:val="32"/>
        </w:rPr>
      </w:pPr>
      <w:r>
        <w:rPr>
          <w:rFonts w:hint="eastAsia" w:ascii="仿宋" w:hAnsi="仿宋" w:eastAsia="仿宋"/>
          <w:sz w:val="32"/>
          <w:szCs w:val="32"/>
        </w:rPr>
        <w:t>2. 申请可转债上市的董事会决议（上网）</w:t>
      </w:r>
    </w:p>
    <w:p>
      <w:pPr>
        <w:spacing w:line="560" w:lineRule="exact"/>
        <w:ind w:left="640"/>
        <w:rPr>
          <w:rFonts w:ascii="仿宋" w:hAnsi="仿宋" w:eastAsia="仿宋"/>
          <w:sz w:val="32"/>
          <w:szCs w:val="32"/>
        </w:rPr>
      </w:pPr>
      <w:r>
        <w:rPr>
          <w:rFonts w:hint="eastAsia" w:ascii="仿宋" w:hAnsi="仿宋" w:eastAsia="仿宋"/>
          <w:sz w:val="32"/>
          <w:szCs w:val="32"/>
        </w:rPr>
        <w:t>3. 可转债上市公告书（上网）</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sz w:val="32"/>
          <w:szCs w:val="32"/>
        </w:rPr>
        <w:t>保荐协议（报备）和保荐人出具的上市保荐书（上网。以季度为单位，结合上市公司最近一期业绩情况、未来一期业绩预告及其他重大事项，对上市公司是否符合可转债上市条件发表明确意见）</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5</w:t>
      </w:r>
      <w:r>
        <w:rPr>
          <w:rFonts w:ascii="仿宋" w:hAnsi="仿宋" w:eastAsia="仿宋"/>
          <w:sz w:val="32"/>
          <w:szCs w:val="32"/>
        </w:rPr>
        <w:t>．</w:t>
      </w:r>
      <w:r>
        <w:rPr>
          <w:rFonts w:hint="eastAsia" w:ascii="仿宋" w:hAnsi="仿宋" w:eastAsia="仿宋"/>
          <w:sz w:val="32"/>
          <w:szCs w:val="32"/>
        </w:rPr>
        <w:t>法律意见书（上网）</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w:t>
      </w:r>
      <w:r>
        <w:rPr>
          <w:rFonts w:hint="eastAsia" w:ascii="仿宋" w:hAnsi="仿宋" w:eastAsia="仿宋"/>
          <w:sz w:val="32"/>
          <w:szCs w:val="32"/>
        </w:rPr>
        <w:t>发行完成后经会计师事务所出具的验资报告（报备）</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7</w:t>
      </w:r>
      <w:r>
        <w:rPr>
          <w:rFonts w:ascii="仿宋" w:hAnsi="仿宋" w:eastAsia="仿宋"/>
          <w:sz w:val="32"/>
          <w:szCs w:val="32"/>
        </w:rPr>
        <w:t>．</w:t>
      </w:r>
      <w:r>
        <w:rPr>
          <w:rFonts w:hint="eastAsia" w:ascii="仿宋" w:hAnsi="仿宋" w:eastAsia="仿宋"/>
          <w:sz w:val="32"/>
          <w:szCs w:val="32"/>
        </w:rPr>
        <w:t>结算公司对可转债已登记的书面确认文件（报备）</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8</w:t>
      </w:r>
      <w:r>
        <w:rPr>
          <w:rFonts w:ascii="仿宋" w:hAnsi="仿宋" w:eastAsia="仿宋"/>
          <w:sz w:val="32"/>
          <w:szCs w:val="32"/>
        </w:rPr>
        <w:t>．</w:t>
      </w:r>
      <w:r>
        <w:rPr>
          <w:rFonts w:hint="eastAsia" w:ascii="仿宋" w:hAnsi="仿宋" w:eastAsia="仿宋"/>
          <w:sz w:val="32"/>
          <w:szCs w:val="32"/>
        </w:rPr>
        <w:t>公司仍符合可转债发行条件的说明。说明截至上市申请日，公司仍符合向不特定对象发行可转债的发行条件（报备）</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9．受托管理协议（报备）</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10</w:t>
      </w:r>
      <w:r>
        <w:rPr>
          <w:rFonts w:ascii="仿宋" w:hAnsi="仿宋" w:eastAsia="仿宋"/>
          <w:sz w:val="32"/>
          <w:szCs w:val="32"/>
        </w:rPr>
        <w:t>．</w:t>
      </w:r>
      <w:r>
        <w:rPr>
          <w:rFonts w:hint="eastAsia" w:ascii="仿宋" w:hAnsi="仿宋" w:eastAsia="仿宋"/>
          <w:sz w:val="32"/>
          <w:szCs w:val="32"/>
        </w:rPr>
        <w:t>无会后事项承诺函（报备）</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本所要求的其他文件</w:t>
      </w:r>
    </w:p>
    <w:p>
      <w:pPr>
        <w:spacing w:line="560" w:lineRule="exact"/>
        <w:ind w:firstLine="640" w:firstLineChars="200"/>
        <w:rPr>
          <w:rFonts w:ascii="楷体" w:hAnsi="楷体" w:eastAsia="楷体"/>
          <w:sz w:val="32"/>
          <w:szCs w:val="32"/>
        </w:rPr>
      </w:pPr>
      <w:r>
        <w:rPr>
          <w:rFonts w:hint="eastAsia" w:ascii="楷体" w:hAnsi="楷体" w:eastAsia="楷体"/>
          <w:sz w:val="32"/>
          <w:szCs w:val="32"/>
        </w:rPr>
        <w:t>（三）披露《可转债上市公告书》</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上市公司应当在可转债上市流通前五个交易日内披露《可转债上市公告书》，该公告至少应当包括以下内容：</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重要声明与提示</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可转债上市情况。应披露可转债发行的数量、上市时间、债券期限、转股安排、付息日等</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上市公司、股东和实际控制人情况</w:t>
      </w:r>
    </w:p>
    <w:p>
      <w:pPr>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本次可转债发行情况。本次发行方案的主要内容及发行基本情况，包括本次发行履行的相关程序，本次发行方案，本次发行相关保荐人、主承销商、律师、验资机构等；本次发行后公司可转债前10名持有人情况，募集资金情况</w:t>
      </w:r>
    </w:p>
    <w:p>
      <w:pPr>
        <w:spacing w:line="560" w:lineRule="exact"/>
        <w:ind w:firstLine="640" w:firstLineChars="20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上市公司资信和担保情况</w:t>
      </w:r>
    </w:p>
    <w:p>
      <w:pPr>
        <w:spacing w:line="560" w:lineRule="exact"/>
        <w:ind w:firstLine="640" w:firstLineChars="200"/>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偿债措施</w:t>
      </w:r>
    </w:p>
    <w:p>
      <w:pPr>
        <w:spacing w:line="560" w:lineRule="exact"/>
        <w:ind w:firstLine="640" w:firstLineChars="200"/>
        <w:rPr>
          <w:rFonts w:ascii="仿宋" w:hAnsi="仿宋" w:eastAsia="仿宋"/>
          <w:sz w:val="32"/>
          <w:szCs w:val="32"/>
        </w:rPr>
      </w:pPr>
      <w:r>
        <w:rPr>
          <w:rFonts w:ascii="仿宋" w:hAnsi="仿宋" w:eastAsia="仿宋"/>
          <w:sz w:val="32"/>
          <w:szCs w:val="32"/>
        </w:rPr>
        <w:t>7．</w:t>
      </w:r>
      <w:r>
        <w:rPr>
          <w:rFonts w:hint="eastAsia" w:ascii="仿宋" w:hAnsi="仿宋" w:eastAsia="仿宋"/>
          <w:sz w:val="32"/>
          <w:szCs w:val="32"/>
        </w:rPr>
        <w:t>上市保荐人及其意见</w:t>
      </w:r>
    </w:p>
    <w:p>
      <w:pPr>
        <w:spacing w:line="560" w:lineRule="exact"/>
        <w:ind w:firstLine="640" w:firstLineChars="200"/>
        <w:rPr>
          <w:rFonts w:ascii="仿宋" w:hAnsi="仿宋" w:eastAsia="仿宋"/>
          <w:sz w:val="32"/>
          <w:szCs w:val="32"/>
        </w:rPr>
      </w:pPr>
      <w:r>
        <w:rPr>
          <w:rFonts w:ascii="仿宋" w:hAnsi="仿宋" w:eastAsia="仿宋"/>
          <w:sz w:val="32"/>
          <w:szCs w:val="32"/>
        </w:rPr>
        <w:t>8．</w:t>
      </w:r>
      <w:r>
        <w:rPr>
          <w:rFonts w:hint="eastAsia" w:ascii="仿宋" w:hAnsi="仿宋" w:eastAsia="仿宋"/>
          <w:sz w:val="32"/>
          <w:szCs w:val="32"/>
        </w:rPr>
        <w:t>本次可转债转股后对公司股权结构的影响</w:t>
      </w:r>
    </w:p>
    <w:p>
      <w:pPr>
        <w:spacing w:line="560" w:lineRule="exact"/>
        <w:ind w:firstLine="640" w:firstLineChars="200"/>
        <w:rPr>
          <w:rFonts w:ascii="仿宋" w:hAnsi="仿宋" w:eastAsia="仿宋"/>
          <w:sz w:val="32"/>
          <w:szCs w:val="32"/>
        </w:rPr>
      </w:pPr>
      <w:r>
        <w:rPr>
          <w:rFonts w:ascii="仿宋" w:hAnsi="仿宋" w:eastAsia="仿宋"/>
          <w:sz w:val="32"/>
          <w:szCs w:val="32"/>
        </w:rPr>
        <w:t>9．</w:t>
      </w:r>
      <w:r>
        <w:rPr>
          <w:rFonts w:hint="eastAsia" w:ascii="仿宋" w:hAnsi="仿宋" w:eastAsia="仿宋"/>
          <w:sz w:val="32"/>
          <w:szCs w:val="32"/>
        </w:rPr>
        <w:t>公司业绩情况（披露最近一期业绩情况、预告未来一期业绩（如适用），及时揭示业绩下降风险。）</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10. 符合上市条件的说明</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本次可转债是否参与质押式回购交易业务</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中国证监会及本所要求披露的其他事项</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五、可转债开始转股</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（一）可转债转股期由上市公司根据债券的存续期限及公司财务状况确定，但转股起始日不得早于发行结束日起满六个月后的第一个交易日。</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上市公司应当在《可转换公司债券募集说明书》中约定的开始转股日前3个交易日内披露《可转债开始转股的公告》。《可转债开始转股的公告》至少应当包括债券的基本情况、转股的起止时间、转股的程序、转股来源、转股价格的历次调整和修正情况（如有）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上市公司拟新增使用回购股份作为转股来源方式的，应当按照本所回购股份相关规定以及募集说明书的约定履行相应审议程序。</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以回购股份与新增股份结合作为转股来源的，需披露拟用于转股的回购股份数量或者资金总额的上下限，目前已回购的用于转股的股份数量及后续的回购安排。以回购股份作为单一转股来源的，需披露已回购股份数量，转股过程中出现回购股份不足的情况时公司拟采取的解决措施及可能存在的无法转股、转股失败及暂停转股的风险。</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拟将回购股份用于转股的，需要向中国结算申请指定其名下一个回购专用证券账户作为转股专门账户，并使用该转股专门账户回购股份或者将其他回购专用证券账户中的回购股份划入转股专门账户用于转股。</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（三）可转债转换为股票的数额达到可转债开始转股前公司已发行股份总额的10%时，公司应及时披露，公告内容至少应包括债券的基本情况、转股的起止时间、已转股数量及占比等。</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六、可转债暂停转股</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（一）可转债进入转股期后，根据可转债募集说明书规定情形需要暂停转股的，公司应及时与创业板公司管理部沟通，并在暂停转股日前3个交易日内披露《可转债暂停转股的公告》。触碰情形包括但不限于：</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1．可转债实施回售的，回售申报期间可转债暂停转股。</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2．公司实施权益分派方案的，如公司回购账户存在股份的，或者公司拟实施利润分配总额不变的权益分派方法的，实施权益分派期间可转债暂停转股。</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公司应在可转债暂停转股后及时办理权益分派事宜，并及时申请可转债于除权除息日恢复转股。</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3．公司向不特定对象发行新股（含公开增发及配股）或者可转债，发行方案中需确定老股东优先配售比例的；</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公司向不特定对象发行可转债的，可转债应于《可转债募集说明书》披露日前一个交易日开始暂停转股，并于T日恢复转股；</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公司公开增发及配股的，可转债应于《公开增发（配股）募集说明书》披露日前一个交易日开始暂停转股，并于《发行结果公告》披露日恢复转股。</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4．其他需暂停转股的情形。</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（二）《可转债暂停转股的公告》至少应包括以下内容：</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1．债券的基本情况、暂停转股的原因、暂停转股的日期、预计恢复转股的日期（如有）等，并上传《可转债暂停转股申请书》作为报备文件。</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2．因实施权益分派、可转债实施回售、向不特定对象发行可转债而暂停转股的，暂停转股期间可转债正常交易；</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3.因公开增发事项而暂停转股的，《公开增发募集说明书》披露日前一个交易日至公开增发股权登记日期间可转债正常交易，申购日（T日）至T+2日可转债停牌。</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4.因配股事项而暂停转股的，《配股募集说明书》披露日前一个交易日至配股股权登记日（R日）期间可转债正常交易，配股认购款首日R+1日至R+6日可转债停牌。</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（三）注意事项</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1．公司应保护债券持有人合法的转股权利，不得随意暂停转股，因公司涉及其他业务办理确需暂停转股的，应尽量缩短暂停转股时间。</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2．暂停转股日期和预计恢复转股日期不能为非交易日。</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七、可转债恢复转股</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（一）公司应至少在恢复转股日前1个交易日内披露《可转债恢复转股的公告》。</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（二）《可转债恢复转股的公告》应包括债券的基本情况、暂停转股事项及起始日期、恢复转股起始日期等。披露公告时需同时提交《可转债恢复转股申请书》作为报备文件。</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八、可转债停止交易</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（一）可转债出现下列情形之一的，应当停止交易：</w:t>
      </w:r>
    </w:p>
    <w:p>
      <w:pPr>
        <w:spacing w:line="560" w:lineRule="exact"/>
        <w:ind w:firstLine="566" w:firstLineChars="177"/>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流通面值总额少于3000万元的，自发布相关公告三个交易日后。</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赎回条件触发日次一交易日至赎回日3个交易日前发生前述情形的，可转债不停止交易。</w:t>
      </w:r>
    </w:p>
    <w:p>
      <w:pPr>
        <w:spacing w:line="560" w:lineRule="exact"/>
        <w:ind w:firstLine="566" w:firstLineChars="177"/>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自转股期结束前的3个交易日起。</w:t>
      </w:r>
    </w:p>
    <w:p>
      <w:pPr>
        <w:spacing w:line="560" w:lineRule="exact"/>
        <w:ind w:firstLine="566" w:firstLineChars="177"/>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自赎回日前的第3个交易日起。</w:t>
      </w:r>
    </w:p>
    <w:p>
      <w:pPr>
        <w:spacing w:line="560" w:lineRule="exact"/>
        <w:ind w:firstLine="566" w:firstLineChars="177"/>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中国证监会和本所认定的其他情形。</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（二）可转债停止交易期间的工作</w:t>
      </w:r>
    </w:p>
    <w:p>
      <w:pPr>
        <w:spacing w:line="560" w:lineRule="exact"/>
        <w:ind w:firstLine="566" w:firstLineChars="177"/>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可转债流通面值低于3000万元的情形</w:t>
      </w:r>
    </w:p>
    <w:p>
      <w:pPr>
        <w:spacing w:line="560" w:lineRule="exact"/>
        <w:ind w:firstLine="566" w:firstLineChars="177"/>
        <w:rPr>
          <w:rFonts w:ascii="仿宋" w:hAnsi="仿宋" w:eastAsia="仿宋"/>
          <w:sz w:val="32"/>
          <w:szCs w:val="32"/>
        </w:rPr>
      </w:pPr>
      <w:r>
        <w:rPr>
          <w:rFonts w:hint="eastAsia" w:ascii="仿宋" w:hAnsi="仿宋" w:eastAsia="仿宋"/>
          <w:sz w:val="32"/>
          <w:szCs w:val="32"/>
        </w:rPr>
        <w:t>（1）可转债流通面值低于3000万元的，上市公司应及时提交《可转债停止交易的公告》，公告内容至少应包括债券基本情况、停止交易的原因、停止交易日期等。</w:t>
      </w:r>
    </w:p>
    <w:p>
      <w:pPr>
        <w:spacing w:line="560" w:lineRule="exact"/>
        <w:ind w:firstLine="640" w:firstLineChars="200"/>
        <w:jc w:val="left"/>
        <w:rPr>
          <w:rFonts w:ascii="仿宋" w:hAnsi="仿宋" w:eastAsia="仿宋"/>
          <w:sz w:val="32"/>
          <w:szCs w:val="32"/>
        </w:rPr>
      </w:pPr>
      <w:r>
        <w:rPr>
          <w:rFonts w:hint="eastAsia" w:ascii="仿宋" w:hAnsi="仿宋" w:eastAsia="仿宋"/>
          <w:sz w:val="32"/>
          <w:szCs w:val="32"/>
        </w:rPr>
        <w:t>（2）停止交易日应设置在公告披露后的第四个交易日。例如，公告提交日为T-1日，公告披露日为T日，停止交易日为T+4日。如赎回条件触发日次一交易日至赎回日3个交易日前发生面值低于3000万元情形的，仍然按照赎回公告中确认的停止交易日停止交易。因可转债面值低于3000万元停止交易的，若不存在其他停止转股的情形，可转债可以继续转股，公司应在公告中作出提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2．转股期结束前3个交易日的情形</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（1）在可转债转股期结束的二十个交易日前，上市公司应当至少发布三次提示公告，提醒投资者有关在可转债转股期结束前3个交易日停止交易的事项。停止交易期间内可继续转股。</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第一次提示公告为《可转债停止交易的公告》，公告内容至少应包括债券基本情况、停止交易的原因、停止交易日期等。第二、三次提示公告为《可转债事项提示性公告》，提示投资者可转债将在转股期结束前的3个交易日停止交易，以及可转债在停止交易期间可以继续转股。</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（2）停止交易日应设置在转股期结束前的第3个交易日，即最后一个转股日为T日，则最后一个交易日为T-3日，停止交易日为T-2日。</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（三）注意事项</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1．由于公司正股停牌处理导致的可转债停牌不属于本办理指南规定的范畴。</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2．赎回期间停止交易的办理步骤参见《十二、可转债赎回》。</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九、可转债调整（修正）转股价</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（一）公司因派息，配股、增发、送股、分立、减资及其他原因引起上市公司股份变动的，公司应当按照募集说明书规定的原则及方式，同时调整转股价格，并及时披露《可转债调整转股价格的公告》。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《可转债调整转股价格的公告》应当包括：可转债代码、可转债简称、原转股价格、调整后转股价格、新转股价施行日期及调整转股价格的依据。</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（二）公司应当在预计触发转股价格修正条件的5个交易日前及时披露提示性公告。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触发转股价格修正条件当日，公司应当召开董事会审议决定是否修正转股价格，在次一交易日开市前披露修正或者不修正可转债转股价格的提示性公告，并按照募集说明书的约定及时履行后续审议程序和信息披露义务。上市公司未按本款规定履行审议程序及信息披露义务的，视为本次不修正转股价格。</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拟进行转股价格向下修正的，公司应当在转股价格向下修正议案经过股东大会审议后，与股东大会决议公告同日发布转股价格修正公告。公告内容至少应当包括修正前的转股价格、修正后的转股价格、修正转股价格履行的审议程序、修正后转股价格的起始日期等，修正后转股价格的起始日期应为股东大会审议通过日的次一交易日。</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上市公司不修正转股价格的，下一触发转股价格修正条件的期间从本次触发修正条件的次一交易日重新起算。</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（三）转股过程中若因转股价格调整或向下修正，需要增加回购股份数量的，上市公司应在调整或修正转股价的同时披露拟增加回购的数量、预计完成回购需要的时间。</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（四）注意事项</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1．除募集说明书约定的情形外，如上市公司按照相关规定需要调整转股价的，应提前与创业板公司管理部联系。</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2．可转债调整转股价的公告应与导致调整转股价的事项（如利润分派和资本公积金转股方案实施公告等）同日披露。</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十、可转债本息兑付及利率调整</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（一）上市公司应提前向结算公司提交可转债付息相关申请文件，根据《债券募集说明书》中的约定日期按时完成债券派息工作。</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（二）上市公司应当于付息日（R日）前三至五个交易日内披露《债券付息公告》，公告内容包括付息方案、付息年度、付息债权登记日、除权除息日、付息对象、付息方法、下一年度利率等。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（三）上市公司应在付息登记日当日16：</w:t>
      </w:r>
      <w:r>
        <w:rPr>
          <w:rFonts w:ascii="仿宋" w:hAnsi="仿宋" w:eastAsia="仿宋"/>
          <w:sz w:val="32"/>
          <w:szCs w:val="32"/>
        </w:rPr>
        <w:t>00</w:t>
      </w:r>
      <w:r>
        <w:rPr>
          <w:rFonts w:hint="eastAsia" w:ascii="仿宋" w:hAnsi="仿宋" w:eastAsia="仿宋"/>
          <w:sz w:val="32"/>
          <w:szCs w:val="32"/>
        </w:rPr>
        <w:t>前通过本所业务专区“除权除息参考价填报栏目”填报证券除权除息参考价及当日收盘价、本付息期每张应付利息等相关参数。</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（四）上市公司应当在可转债期满前三至五个交易日披露本息兑付公告，并在可转债期满后五个交易日内办理完毕偿还债券余额本息的事项。本息兑付公告内容参照付息公告。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五）上市公司在《债券募集说明书》中约定的债券利率为浮动利率的，需在中国人民银行上调存款利率的消息公布后次一交易日提交《可转债利率调整公告》。公告内容包括可转债代码、新的本年度利率起息日、新的本年度利率揭示日期、调整后票面利率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（六）注意事项</w:t>
      </w:r>
    </w:p>
    <w:p>
      <w:pPr>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．上市公司应当在《债券募集说明书》中规定的付息日进行付息。如规定的债券付息日为非交易日，则付息日顺延至债券付息日最近的下一个交易日。</w:t>
      </w:r>
    </w:p>
    <w:p>
      <w:pPr>
        <w:spacing w:line="560" w:lineRule="exact"/>
        <w:ind w:firstLine="640" w:firstLineChars="20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．债券利息应当与《债券募集说明书》中披露的一致，如有算法的，应当确保最终计算结果的正确性。</w:t>
      </w:r>
    </w:p>
    <w:p>
      <w:pPr>
        <w:spacing w:line="560" w:lineRule="exact"/>
        <w:ind w:firstLine="640" w:firstLineChars="20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上市公司在披露债券付息公告后，如发生以下异常情况，应当及时向本所及结算公司报告：上市公司不能如期向结算公司划拨足额派息金额，将调整原确定的付息登记日及除权日时；影响债券派息正常实施的其他情形。</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十一、可转债回售</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（一）因改变公告募集资金用途或触发债券募集说明书中其他回售约定条款的，上市公司应严格按照募集说明书的约定及时启动回售。</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（二）上市公司办理可转债回售的流程</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1．披露可转债回售公告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经股东大会批准变更募集资金投资项目的，上市公司应当在股东大会通过后20个交易日内赋予债券持有人一次回售的权利。上市公司应在回售实施前、股东大会审议相关事项的决议公告后5个交易日内披露《可转债回售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如出现触发债券募集说明书中约定的其他回售条款的，在可以行使回售权的年份内，上市公司应在满足约定回售条件的次一交易日开市前披露回售公告。回售条件触发日与回售申报期首日的间隔期限应当不超过15个交易日。</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回售公告应当载明回售条件、申报期间、回售价格、回售程序、付款方法、付款时间、回售条件触发日等内容。在首次披露《可转债回售公告》前一个交易日的16：00之前，向创业板公司管理部报送以下文件：</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（1）可转债回售申请</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（2）可转债回售公告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（3）回售事项法律意见书</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（4）保荐人意见（如适用）</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2．后续可转债回售提示性公告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改变公告募集资金用途的，上市公司应在回售实施期间至少发布一次回售提示性公告，余下一次回售提示性公告发布的时间视需要而定。</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因出现触发可转债募集说明书中其他约定回售条款的，上市公司应当在首次披露《可转债回售公告》后，回售期结束前每个交易日披露1次回售提示性公告。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3．可转债回售结果公告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在回售期结束后的5个交易日内，上市公司应当将资金划入中国结算指定的收款银行账户。回售期结束后的7个交易日内，上市公司应当披露回售结果公告。公告内容至少应包括回售价格、回售数量、回售金额以及回售事项对公司财务状况、股本结构、经营成果及现金流量的影响。</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十二、可转债赎回</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（一）可转债存续期内满足赎回条件时，上市公司可按照《可转债募集说明书》约定的条件和价格，赎回尚未转股的可转债。</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（二）可转债自赎回日前的第3个交易日起开始停止交易。</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（三）上市公司应当充分关注可转债约定的赎回条件是否满足，预计可能触发赎回权的公司应当在预计赎回条件触发日五个交易日前至少发布一次风险提示公告，向市场充分提示风险。</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四）上市公司应当在满足可转债赎回条件的当日召开董事会审议决定是否行使赎回权，并在次一交易日开市前披露赎回或者不赎回的公告。上市公司未按本款规定履行审议程序及信息披露义务的，视为不行使本次赎回权。</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（五）上市公司不行使赎回权的相关要求</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上市公司不行使赎回权的，应当及时披露《不行使可转债赎回权的公告》，公告内容包括：</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1.充分说明不赎回的具体原因，且在未来至少3个月内不得再行使赎回权，并在公告中说明下一满足赎回条件期间的起算时间。</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w:t>
      </w:r>
      <w:r>
        <w:rPr>
          <w:rFonts w:hint="eastAsia"/>
        </w:rPr>
        <w:t xml:space="preserve"> </w:t>
      </w:r>
      <w:r>
        <w:rPr>
          <w:rFonts w:hint="eastAsia" w:ascii="仿宋" w:hAnsi="仿宋" w:eastAsia="仿宋"/>
          <w:sz w:val="32"/>
          <w:szCs w:val="32"/>
        </w:rPr>
        <w:t>充分披露其实际控制人、控股股东、持有5%以上股份的股东、董事、监事、高级管理人员在赎回条件满足前的6个月内交易该可转债的情况。披露内容应当包括期初持有数量、期间合计买入数量、期间合计卖出数量、期末持有数量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w:t>
      </w:r>
      <w:r>
        <w:rPr>
          <w:rFonts w:hint="eastAsia"/>
        </w:rPr>
        <w:t xml:space="preserve"> </w:t>
      </w:r>
      <w:r>
        <w:rPr>
          <w:rFonts w:hint="eastAsia" w:ascii="仿宋" w:hAnsi="仿宋" w:eastAsia="仿宋"/>
          <w:sz w:val="32"/>
          <w:szCs w:val="32"/>
        </w:rPr>
        <w:t>披露上述主体未来6个月内减持可转债的计划，相关主体应当予以配合。</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w:t>
      </w:r>
      <w:r>
        <w:rPr>
          <w:rFonts w:hint="eastAsia"/>
        </w:rPr>
        <w:t xml:space="preserve"> </w:t>
      </w:r>
      <w:r>
        <w:rPr>
          <w:rFonts w:hint="eastAsia" w:ascii="仿宋" w:hAnsi="仿宋" w:eastAsia="仿宋"/>
          <w:sz w:val="32"/>
          <w:szCs w:val="32"/>
        </w:rPr>
        <w:t>保荐人发表的明确意见（如适用）</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（六）上市公司行使赎回权的相关要求及办理流程</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1．上市公司行使赎回权的，应当及时披露实施赎回公告，此后在赎回日前每个交易日披露1次赎回提示性公告。赎回条件触发日与赎回日的间隔期限应当不少于15个交易日且不超过30个交易日。</w:t>
      </w:r>
      <w:r>
        <w:rPr>
          <w:rFonts w:ascii="仿宋" w:hAnsi="仿宋" w:eastAsia="仿宋"/>
          <w:sz w:val="32"/>
          <w:szCs w:val="32"/>
        </w:rPr>
        <w:t xml:space="preserve"> </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上市公司提交《可转债赎回公告》应至少包括赎回条件、赎回日期、最后交易日、赎回价格、赎回程序、付款方法、付款时间、赎回条件触发日等内容，并充分提示债券持有人该转债即将停止交易、停止转股并被强制赎回，不及时申请转股可能遭受损失的风险。在首次披露《可转债赎回公告》前一个交易日的17：00之前，向创业板公司管理部报送以下文件：</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（1）公司赎回可转债的申请</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（2）可转债赎回公告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（3）法律意见书</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（4）董事会决议</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（5）保荐人意见（如适用）</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上市公司还应当充分披露其实际控制人、控股股东、持有5%以上股份的股东、董事、监事、高级管理人员在赎回条件满足前的6个月内交易该可转债的情况。披露内容应当包括期初持有数量、期间合计买入数量、期间合计卖出数量、期末持有数量等。</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（七）上市公司根据赎回日登记在册的债券数量，于赎回日后的五个交易日内将资金划入中国结算指定的收款银行账户。</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（八）上市公司应当于赎回日后的七个交易日内披露《可转债赎回结果公告》，公告应当包括赎回价格、赎回数量、赎回金额以及赎回事项对公司财务状况、股本结构、经营成果及现金流量的影响。</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上市公司全部赎回后，需要同时按照可转债摘牌指南披露《可转债摘牌公告》。</w:t>
      </w:r>
    </w:p>
    <w:p>
      <w:pPr>
        <w:spacing w:line="560" w:lineRule="exact"/>
        <w:ind w:firstLine="643" w:firstLineChars="200"/>
        <w:rPr>
          <w:rFonts w:ascii="Times New Roman" w:hAnsi="Times New Roman" w:eastAsia="黑体"/>
          <w:sz w:val="32"/>
          <w:szCs w:val="20"/>
        </w:rPr>
      </w:pPr>
      <w:r>
        <w:rPr>
          <w:rFonts w:hint="eastAsia" w:ascii="黑体" w:hAnsi="黑体" w:eastAsia="黑体"/>
          <w:b/>
          <w:sz w:val="32"/>
          <w:szCs w:val="32"/>
        </w:rPr>
        <w:t>十三、可转债摘牌</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（一）当上市公司可转债满足以下情形之一时，公司应提交可转债摘牌申请：</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1．可转债已经到期；</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2．存续期内可转债全部赎回；</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3．存续期内可转债全部回售；</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4. 存续期内可转债全部转股。</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（二）上市公司办理可转债摘牌的流程</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1．上市公司应在可转债期满日前的三到五个工作日内提交《可转债到期摘牌公告》。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2．存续期内可转债全部赎回，上市公司应当于赎回日后的七个交易日内披露《可转债赎回结果公告》，同时披露《可转债摘牌公告》。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3．存续期内可转债全部回售，上市公司应当于回售日后的七个交易日内披露《可转债回售结果公告》，同时披露《可转债摘牌公告》。</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可转债摘牌公告应载明可转债的到期日、摘牌日、转股价格、后续转股和还本付息等事宜，如转股价格大幅低于股票市价，还应充分提示投资者及时转股以避免不必要的损失。</w:t>
      </w:r>
    </w:p>
    <w:p>
      <w:pPr>
        <w:spacing w:line="560" w:lineRule="exact"/>
        <w:ind w:firstLine="495" w:firstLineChars="177"/>
        <w:rPr>
          <w:rFonts w:ascii="Times New Roman" w:hAnsi="Times New Roman"/>
          <w:sz w:val="28"/>
        </w:rPr>
      </w:pPr>
    </w:p>
    <w:p>
      <w:pPr>
        <w:spacing w:line="560" w:lineRule="exact"/>
        <w:rPr>
          <w:rFonts w:ascii="方正仿宋简体" w:eastAsia="方正仿宋简体"/>
          <w:b/>
          <w:sz w:val="24"/>
        </w:rPr>
      </w:pPr>
    </w:p>
    <w:p>
      <w:pPr>
        <w:spacing w:line="560" w:lineRule="exact"/>
        <w:rPr>
          <w:rFonts w:ascii="黑体" w:hAnsi="黑体" w:eastAsia="黑体"/>
          <w:sz w:val="32"/>
          <w:szCs w:val="32"/>
        </w:rPr>
      </w:pPr>
      <w:r>
        <w:rPr>
          <w:rFonts w:ascii="方正仿宋简体" w:hAnsi="Times New Roman"/>
          <w:sz w:val="28"/>
        </w:rPr>
        <w:br w:type="page"/>
      </w:r>
      <w:r>
        <w:rPr>
          <w:rFonts w:hint="eastAsia" w:ascii="黑体" w:hAnsi="黑体" w:eastAsia="黑体"/>
          <w:sz w:val="32"/>
          <w:szCs w:val="32"/>
        </w:rPr>
        <w:t>附件1</w:t>
      </w:r>
    </w:p>
    <w:p>
      <w:pPr>
        <w:spacing w:line="560" w:lineRule="exact"/>
        <w:rPr>
          <w:rFonts w:ascii="方正仿宋简体" w:hAnsi="Times New Roman"/>
          <w:sz w:val="28"/>
        </w:rPr>
      </w:pPr>
    </w:p>
    <w:p>
      <w:pPr>
        <w:spacing w:line="56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上市公司向不特定对象发行可转债发行上市参考流程</w:t>
      </w:r>
    </w:p>
    <w:p>
      <w:pPr>
        <w:spacing w:line="560" w:lineRule="exact"/>
        <w:jc w:val="center"/>
        <w:rPr>
          <w:rFonts w:ascii="宋体" w:hAnsi="宋体"/>
          <w:szCs w:val="21"/>
        </w:rPr>
      </w:pPr>
      <w:r>
        <w:rPr>
          <w:rFonts w:hint="eastAsia" w:ascii="宋体" w:hAnsi="宋体"/>
        </w:rPr>
        <w:t>（注：</w:t>
      </w:r>
      <w:r>
        <w:rPr>
          <w:rFonts w:hint="eastAsia" w:ascii="宋体" w:hAnsi="宋体"/>
          <w:szCs w:val="21"/>
        </w:rPr>
        <w:t>T日：上网发行申购日</w:t>
      </w:r>
      <w:r>
        <w:rPr>
          <w:rFonts w:ascii="宋体" w:hAnsi="宋体"/>
          <w:szCs w:val="21"/>
        </w:rPr>
        <w:t xml:space="preserve">  </w:t>
      </w:r>
      <w:r>
        <w:rPr>
          <w:rFonts w:hint="eastAsia" w:ascii="宋体" w:hAnsi="宋体"/>
          <w:szCs w:val="21"/>
        </w:rPr>
        <w:t>L日：可转债上市日</w:t>
      </w:r>
      <w:r>
        <w:rPr>
          <w:rFonts w:hint="eastAsia" w:ascii="宋体" w:hAnsi="宋体"/>
        </w:rPr>
        <w:t>）</w:t>
      </w:r>
    </w:p>
    <w:tbl>
      <w:tblPr>
        <w:tblStyle w:val="5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9"/>
        <w:gridCol w:w="1280"/>
        <w:gridCol w:w="1762"/>
        <w:gridCol w:w="47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769" w:type="dxa"/>
            <w:vAlign w:val="center"/>
          </w:tcPr>
          <w:p>
            <w:pPr>
              <w:jc w:val="center"/>
              <w:rPr>
                <w:rFonts w:ascii="宋体" w:hAnsi="宋体"/>
                <w:b/>
                <w:bCs/>
                <w:szCs w:val="21"/>
              </w:rPr>
            </w:pPr>
            <w:r>
              <w:rPr>
                <w:rFonts w:hint="eastAsia" w:ascii="宋体" w:hAnsi="宋体"/>
                <w:b/>
                <w:bCs/>
                <w:szCs w:val="21"/>
              </w:rPr>
              <w:t>序号</w:t>
            </w:r>
          </w:p>
        </w:tc>
        <w:tc>
          <w:tcPr>
            <w:tcW w:w="1280" w:type="dxa"/>
            <w:vAlign w:val="center"/>
          </w:tcPr>
          <w:p>
            <w:pPr>
              <w:jc w:val="center"/>
              <w:rPr>
                <w:rFonts w:ascii="宋体" w:hAnsi="宋体"/>
                <w:b/>
                <w:bCs/>
                <w:szCs w:val="21"/>
              </w:rPr>
            </w:pPr>
            <w:r>
              <w:rPr>
                <w:rFonts w:hint="eastAsia" w:ascii="宋体" w:hAnsi="宋体"/>
                <w:b/>
                <w:bCs/>
                <w:szCs w:val="21"/>
              </w:rPr>
              <w:t>阶段</w:t>
            </w:r>
          </w:p>
        </w:tc>
        <w:tc>
          <w:tcPr>
            <w:tcW w:w="1762" w:type="dxa"/>
            <w:vAlign w:val="center"/>
          </w:tcPr>
          <w:p>
            <w:pPr>
              <w:jc w:val="center"/>
              <w:rPr>
                <w:rFonts w:ascii="宋体" w:hAnsi="宋体"/>
                <w:b/>
                <w:bCs/>
                <w:szCs w:val="21"/>
              </w:rPr>
            </w:pPr>
            <w:r>
              <w:rPr>
                <w:rFonts w:hint="eastAsia" w:ascii="宋体" w:hAnsi="宋体"/>
                <w:b/>
                <w:bCs/>
                <w:szCs w:val="21"/>
              </w:rPr>
              <w:t>时间</w:t>
            </w:r>
          </w:p>
        </w:tc>
        <w:tc>
          <w:tcPr>
            <w:tcW w:w="4711" w:type="dxa"/>
            <w:vAlign w:val="center"/>
          </w:tcPr>
          <w:p>
            <w:pPr>
              <w:jc w:val="center"/>
              <w:rPr>
                <w:rFonts w:ascii="宋体" w:hAnsi="宋体"/>
                <w:b/>
                <w:bCs/>
                <w:szCs w:val="21"/>
              </w:rPr>
            </w:pPr>
            <w:r>
              <w:rPr>
                <w:rFonts w:hint="eastAsia" w:ascii="宋体" w:hAnsi="宋体"/>
                <w:b/>
                <w:bCs/>
                <w:szCs w:val="21"/>
              </w:rPr>
              <w:t>具体工作内容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rPr>
            </w:pPr>
            <w:r>
              <w:rPr>
                <w:rFonts w:hint="eastAsia" w:ascii="宋体" w:hAnsi="宋体"/>
                <w:szCs w:val="21"/>
              </w:rPr>
              <w:t>1</w:t>
            </w:r>
          </w:p>
        </w:tc>
        <w:tc>
          <w:tcPr>
            <w:tcW w:w="1280" w:type="dxa"/>
            <w:vAlign w:val="center"/>
          </w:tcPr>
          <w:p>
            <w:pPr>
              <w:jc w:val="center"/>
              <w:rPr>
                <w:rFonts w:ascii="宋体" w:hAnsi="宋体"/>
                <w:b/>
                <w:bCs/>
                <w:szCs w:val="21"/>
              </w:rPr>
            </w:pPr>
            <w:r>
              <w:rPr>
                <w:rFonts w:hint="eastAsia" w:ascii="宋体" w:hAnsi="宋体"/>
                <w:b/>
                <w:bCs/>
                <w:szCs w:val="21"/>
              </w:rPr>
              <w:t>发行安排</w:t>
            </w:r>
          </w:p>
        </w:tc>
        <w:tc>
          <w:tcPr>
            <w:tcW w:w="1762" w:type="dxa"/>
            <w:vAlign w:val="center"/>
          </w:tcPr>
          <w:p>
            <w:pPr>
              <w:jc w:val="center"/>
              <w:rPr>
                <w:rFonts w:ascii="宋体" w:hAnsi="宋体"/>
                <w:szCs w:val="21"/>
              </w:rPr>
            </w:pPr>
            <w:r>
              <w:rPr>
                <w:rFonts w:hint="eastAsia" w:ascii="宋体" w:hAnsi="宋体"/>
                <w:szCs w:val="21"/>
              </w:rPr>
              <w:t>取得证监会可转债予以注册决定后至披露《可转债募集说明书》前三个交易日</w:t>
            </w:r>
          </w:p>
        </w:tc>
        <w:tc>
          <w:tcPr>
            <w:tcW w:w="4711" w:type="dxa"/>
            <w:vAlign w:val="center"/>
          </w:tcPr>
          <w:p>
            <w:pPr>
              <w:rPr>
                <w:rFonts w:ascii="宋体" w:hAnsi="宋体"/>
                <w:szCs w:val="21"/>
              </w:rPr>
            </w:pPr>
            <w:r>
              <w:rPr>
                <w:rFonts w:hint="eastAsia" w:ascii="宋体" w:hAnsi="宋体"/>
                <w:szCs w:val="21"/>
              </w:rPr>
              <w:t>与创业板公司管理部沟通发行方案，特别应明确发行方案的创新部分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b/>
                <w:bCs/>
                <w:szCs w:val="21"/>
              </w:rPr>
            </w:pPr>
            <w:r>
              <w:rPr>
                <w:rFonts w:hint="eastAsia" w:ascii="宋体" w:hAnsi="宋体"/>
                <w:szCs w:val="21"/>
              </w:rPr>
              <w:t>2</w:t>
            </w:r>
          </w:p>
        </w:tc>
        <w:tc>
          <w:tcPr>
            <w:tcW w:w="1280" w:type="dxa"/>
            <w:vAlign w:val="center"/>
          </w:tcPr>
          <w:p>
            <w:pPr>
              <w:jc w:val="center"/>
              <w:rPr>
                <w:rFonts w:ascii="宋体" w:hAnsi="宋体"/>
                <w:szCs w:val="21"/>
              </w:rPr>
            </w:pPr>
            <w:r>
              <w:rPr>
                <w:rFonts w:hint="eastAsia" w:ascii="宋体" w:hAnsi="宋体"/>
                <w:b/>
                <w:bCs/>
                <w:szCs w:val="21"/>
              </w:rPr>
              <w:t>披露《可转债募集说明书》准备</w:t>
            </w:r>
          </w:p>
        </w:tc>
        <w:tc>
          <w:tcPr>
            <w:tcW w:w="1762" w:type="dxa"/>
            <w:vAlign w:val="center"/>
          </w:tcPr>
          <w:p>
            <w:pPr>
              <w:jc w:val="center"/>
              <w:rPr>
                <w:rFonts w:ascii="宋体" w:hAnsi="宋体"/>
                <w:szCs w:val="21"/>
              </w:rPr>
            </w:pPr>
            <w:r>
              <w:rPr>
                <w:rFonts w:hint="eastAsia" w:ascii="宋体" w:hAnsi="宋体"/>
                <w:szCs w:val="21"/>
              </w:rPr>
              <w:t>T-3日前</w:t>
            </w:r>
          </w:p>
          <w:p>
            <w:pPr>
              <w:jc w:val="center"/>
              <w:rPr>
                <w:rFonts w:ascii="宋体" w:hAnsi="宋体"/>
                <w:szCs w:val="21"/>
              </w:rPr>
            </w:pPr>
            <w:r>
              <w:rPr>
                <w:rFonts w:hint="eastAsia" w:ascii="宋体" w:hAnsi="宋体"/>
                <w:szCs w:val="21"/>
              </w:rPr>
              <w:t>（披露《可转债募集说明书》前一个交易日及之前）</w:t>
            </w:r>
          </w:p>
        </w:tc>
        <w:tc>
          <w:tcPr>
            <w:tcW w:w="4711" w:type="dxa"/>
            <w:vAlign w:val="center"/>
          </w:tcPr>
          <w:p>
            <w:pPr>
              <w:rPr>
                <w:rFonts w:ascii="宋体" w:hAnsi="宋体"/>
                <w:szCs w:val="21"/>
              </w:rPr>
            </w:pPr>
            <w:r>
              <w:rPr>
                <w:rFonts w:hint="eastAsia" w:ascii="宋体" w:hAnsi="宋体"/>
                <w:szCs w:val="21"/>
              </w:rPr>
              <w:t>1．通过业务专区上传《可转债募集说明书》及相关发行公告的有关文件，书面和电子需同时报送，包括：</w:t>
            </w:r>
          </w:p>
          <w:p>
            <w:pPr>
              <w:numPr>
                <w:ilvl w:val="0"/>
                <w:numId w:val="4"/>
              </w:numPr>
              <w:rPr>
                <w:rFonts w:ascii="宋体" w:hAnsi="宋体"/>
                <w:szCs w:val="21"/>
              </w:rPr>
            </w:pPr>
            <w:r>
              <w:rPr>
                <w:rFonts w:hint="eastAsia" w:ascii="宋体" w:hAnsi="宋体"/>
                <w:szCs w:val="21"/>
              </w:rPr>
              <w:t>可转债发行申请书（附件2，公司和主承销商盖章）（报备）</w:t>
            </w:r>
          </w:p>
          <w:p>
            <w:pPr>
              <w:numPr>
                <w:ilvl w:val="0"/>
                <w:numId w:val="4"/>
              </w:numPr>
              <w:rPr>
                <w:rFonts w:ascii="宋体" w:hAnsi="宋体"/>
                <w:szCs w:val="21"/>
              </w:rPr>
            </w:pPr>
            <w:r>
              <w:rPr>
                <w:rFonts w:hint="eastAsia" w:ascii="宋体" w:hAnsi="宋体"/>
                <w:szCs w:val="21"/>
              </w:rPr>
              <w:t>拟上市公司证券简称及证券代码申请书（附件</w:t>
            </w:r>
            <w:r>
              <w:rPr>
                <w:rFonts w:ascii="宋体" w:hAnsi="宋体"/>
                <w:szCs w:val="21"/>
              </w:rPr>
              <w:t>3</w:t>
            </w:r>
            <w:r>
              <w:rPr>
                <w:rFonts w:hint="eastAsia" w:ascii="宋体" w:hAnsi="宋体"/>
                <w:szCs w:val="21"/>
              </w:rPr>
              <w:t>）（报备）</w:t>
            </w:r>
          </w:p>
          <w:p>
            <w:pPr>
              <w:numPr>
                <w:ilvl w:val="0"/>
                <w:numId w:val="4"/>
              </w:numPr>
              <w:rPr>
                <w:rFonts w:ascii="宋体" w:hAnsi="宋体"/>
                <w:szCs w:val="21"/>
              </w:rPr>
            </w:pPr>
            <w:r>
              <w:rPr>
                <w:rFonts w:hint="eastAsia" w:ascii="宋体" w:hAnsi="宋体"/>
                <w:szCs w:val="21"/>
              </w:rPr>
              <w:t>发行的一般时间安排（附件4，公司和主承销商盖章）（报备）</w:t>
            </w:r>
          </w:p>
          <w:p>
            <w:pPr>
              <w:numPr>
                <w:ilvl w:val="0"/>
                <w:numId w:val="4"/>
              </w:numPr>
              <w:rPr>
                <w:rFonts w:ascii="宋体" w:hAnsi="宋体"/>
                <w:szCs w:val="21"/>
              </w:rPr>
            </w:pPr>
            <w:r>
              <w:rPr>
                <w:rFonts w:hint="eastAsia" w:ascii="宋体" w:hAnsi="宋体"/>
                <w:szCs w:val="21"/>
              </w:rPr>
              <w:t>可转债定价发行方案要点（附件</w:t>
            </w:r>
            <w:r>
              <w:rPr>
                <w:rFonts w:ascii="宋体" w:hAnsi="宋体"/>
                <w:szCs w:val="21"/>
              </w:rPr>
              <w:t>5</w:t>
            </w:r>
            <w:r>
              <w:rPr>
                <w:rFonts w:hint="eastAsia" w:ascii="宋体" w:hAnsi="宋体"/>
                <w:szCs w:val="21"/>
              </w:rPr>
              <w:t>，主承销商盖章）（报备）</w:t>
            </w:r>
          </w:p>
          <w:p>
            <w:pPr>
              <w:numPr>
                <w:ilvl w:val="0"/>
                <w:numId w:val="4"/>
              </w:numPr>
              <w:rPr>
                <w:rFonts w:ascii="宋体" w:hAnsi="宋体"/>
                <w:szCs w:val="21"/>
              </w:rPr>
            </w:pPr>
            <w:r>
              <w:rPr>
                <w:rFonts w:hint="eastAsia" w:ascii="宋体" w:hAnsi="宋体"/>
                <w:szCs w:val="21"/>
              </w:rPr>
              <w:t>主承销商经办人员的身份证复印件、主承销商授权委托书（需主承销商法定代表人签字）及主承销商法定代表人身份证明书（主承销商盖章，需附法定代表人身份证复印件）（报备）</w:t>
            </w:r>
          </w:p>
          <w:p>
            <w:pPr>
              <w:numPr>
                <w:ilvl w:val="0"/>
                <w:numId w:val="4"/>
              </w:numPr>
              <w:rPr>
                <w:rFonts w:ascii="宋体" w:hAnsi="宋体"/>
                <w:szCs w:val="21"/>
              </w:rPr>
            </w:pPr>
            <w:r>
              <w:rPr>
                <w:rFonts w:hint="eastAsia" w:ascii="宋体" w:hAnsi="宋体"/>
                <w:szCs w:val="21"/>
              </w:rPr>
              <w:t>公司经办人员的身份证复印件、公司授权委托书（需公司法定代表人签字）及公司法定代表人身份证明书（公司盖章，需附法定代表人身份证复印件）（报备）</w:t>
            </w:r>
          </w:p>
          <w:p>
            <w:pPr>
              <w:numPr>
                <w:ilvl w:val="0"/>
                <w:numId w:val="4"/>
              </w:numPr>
              <w:rPr>
                <w:rFonts w:ascii="宋体" w:hAnsi="宋体"/>
                <w:szCs w:val="21"/>
              </w:rPr>
            </w:pPr>
            <w:r>
              <w:rPr>
                <w:rFonts w:hint="eastAsia" w:ascii="宋体" w:hAnsi="宋体"/>
                <w:szCs w:val="21"/>
              </w:rPr>
              <w:t>募集说明书全文（上网）、摘要（上网）</w:t>
            </w:r>
          </w:p>
          <w:p>
            <w:pPr>
              <w:numPr>
                <w:ilvl w:val="0"/>
                <w:numId w:val="4"/>
              </w:numPr>
              <w:rPr>
                <w:rFonts w:ascii="宋体" w:hAnsi="宋体"/>
                <w:szCs w:val="21"/>
              </w:rPr>
            </w:pPr>
            <w:r>
              <w:rPr>
                <w:rFonts w:hint="eastAsia" w:ascii="宋体" w:hAnsi="宋体"/>
                <w:szCs w:val="21"/>
              </w:rPr>
              <w:t>网上（网下）发行公告（上网）</w:t>
            </w:r>
          </w:p>
          <w:p>
            <w:pPr>
              <w:numPr>
                <w:ilvl w:val="0"/>
                <w:numId w:val="4"/>
              </w:numPr>
              <w:rPr>
                <w:rFonts w:ascii="宋体" w:hAnsi="宋体"/>
                <w:szCs w:val="21"/>
              </w:rPr>
            </w:pPr>
            <w:r>
              <w:rPr>
                <w:rFonts w:hint="eastAsia" w:ascii="宋体" w:hAnsi="宋体"/>
                <w:szCs w:val="21"/>
              </w:rPr>
              <w:t>路演公告（上网）</w:t>
            </w:r>
          </w:p>
          <w:p>
            <w:pPr>
              <w:numPr>
                <w:ilvl w:val="0"/>
                <w:numId w:val="4"/>
              </w:numPr>
              <w:rPr>
                <w:rFonts w:ascii="宋体" w:hAnsi="宋体"/>
                <w:szCs w:val="21"/>
              </w:rPr>
            </w:pPr>
            <w:r>
              <w:rPr>
                <w:rFonts w:hint="eastAsia" w:ascii="宋体" w:hAnsi="宋体"/>
                <w:szCs w:val="21"/>
              </w:rPr>
              <w:t>证券发行保荐书、法律意见书（上网）</w:t>
            </w:r>
          </w:p>
          <w:p>
            <w:pPr>
              <w:numPr>
                <w:ilvl w:val="0"/>
                <w:numId w:val="4"/>
              </w:numPr>
              <w:rPr>
                <w:rFonts w:ascii="宋体" w:hAnsi="宋体"/>
                <w:szCs w:val="21"/>
              </w:rPr>
            </w:pPr>
            <w:r>
              <w:rPr>
                <w:rFonts w:hint="eastAsia" w:ascii="宋体" w:hAnsi="宋体"/>
                <w:szCs w:val="21"/>
              </w:rPr>
              <w:t>资信评级报告、担保合同（如有）（报备）</w:t>
            </w:r>
          </w:p>
          <w:p>
            <w:pPr>
              <w:rPr>
                <w:rFonts w:ascii="宋体" w:hAnsi="宋体"/>
                <w:szCs w:val="21"/>
              </w:rPr>
            </w:pPr>
            <w:r>
              <w:rPr>
                <w:rFonts w:ascii="宋体" w:hAnsi="宋体"/>
                <w:szCs w:val="21"/>
              </w:rPr>
              <w:t xml:space="preserve">2． </w:t>
            </w:r>
            <w:r>
              <w:rPr>
                <w:rFonts w:hint="eastAsia" w:ascii="宋体" w:hAnsi="宋体"/>
                <w:szCs w:val="21"/>
              </w:rPr>
              <w:t>联系报社披露募集说明书提示性公告。联系巨潮网站披露募集说明书全文及摘要、路演公告、网上（网下）发行公告、发行保荐书、法律意见书等文件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rPr>
            </w:pPr>
            <w:r>
              <w:rPr>
                <w:rFonts w:hint="eastAsia" w:ascii="宋体" w:hAnsi="宋体"/>
                <w:szCs w:val="21"/>
              </w:rPr>
              <w:t>3</w:t>
            </w:r>
          </w:p>
        </w:tc>
        <w:tc>
          <w:tcPr>
            <w:tcW w:w="1280" w:type="dxa"/>
            <w:vAlign w:val="center"/>
          </w:tcPr>
          <w:p>
            <w:pPr>
              <w:jc w:val="center"/>
              <w:rPr>
                <w:rFonts w:ascii="宋体" w:hAnsi="宋体"/>
                <w:b/>
                <w:bCs/>
                <w:szCs w:val="21"/>
              </w:rPr>
            </w:pPr>
            <w:r>
              <w:rPr>
                <w:rFonts w:hint="eastAsia" w:ascii="宋体" w:hAnsi="宋体"/>
                <w:b/>
                <w:bCs/>
                <w:szCs w:val="21"/>
              </w:rPr>
              <w:t>披露《可转债募集说明书》</w:t>
            </w:r>
          </w:p>
        </w:tc>
        <w:tc>
          <w:tcPr>
            <w:tcW w:w="1762" w:type="dxa"/>
            <w:vAlign w:val="center"/>
          </w:tcPr>
          <w:p>
            <w:pPr>
              <w:jc w:val="center"/>
              <w:rPr>
                <w:rFonts w:ascii="宋体" w:hAnsi="宋体"/>
                <w:szCs w:val="21"/>
              </w:rPr>
            </w:pPr>
            <w:r>
              <w:rPr>
                <w:rFonts w:hint="eastAsia" w:ascii="宋体" w:hAnsi="宋体"/>
                <w:szCs w:val="21"/>
              </w:rPr>
              <w:t>T-2日</w:t>
            </w:r>
          </w:p>
        </w:tc>
        <w:tc>
          <w:tcPr>
            <w:tcW w:w="4711" w:type="dxa"/>
            <w:vAlign w:val="center"/>
          </w:tcPr>
          <w:p>
            <w:pPr>
              <w:rPr>
                <w:rFonts w:ascii="宋体" w:hAnsi="宋体"/>
                <w:szCs w:val="21"/>
              </w:rPr>
            </w:pPr>
            <w:r>
              <w:rPr>
                <w:rFonts w:hint="eastAsia" w:ascii="宋体" w:hAnsi="宋体"/>
                <w:szCs w:val="21"/>
              </w:rPr>
              <w:t>披露《可转债募集说明书》等公告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rPr>
            </w:pPr>
            <w:r>
              <w:rPr>
                <w:rFonts w:hint="eastAsia" w:ascii="宋体" w:hAnsi="宋体"/>
                <w:szCs w:val="21"/>
              </w:rPr>
              <w:t>4</w:t>
            </w:r>
          </w:p>
        </w:tc>
        <w:tc>
          <w:tcPr>
            <w:tcW w:w="1280" w:type="dxa"/>
            <w:vAlign w:val="center"/>
          </w:tcPr>
          <w:p>
            <w:pPr>
              <w:jc w:val="center"/>
              <w:rPr>
                <w:rFonts w:ascii="宋体" w:hAnsi="宋体"/>
                <w:b/>
                <w:bCs/>
                <w:szCs w:val="21"/>
              </w:rPr>
            </w:pPr>
            <w:r>
              <w:rPr>
                <w:rFonts w:hint="eastAsia" w:ascii="宋体" w:hAnsi="宋体"/>
                <w:b/>
                <w:bCs/>
                <w:szCs w:val="21"/>
              </w:rPr>
              <w:t>网上申购准备</w:t>
            </w:r>
          </w:p>
        </w:tc>
        <w:tc>
          <w:tcPr>
            <w:tcW w:w="1762" w:type="dxa"/>
            <w:vAlign w:val="center"/>
          </w:tcPr>
          <w:p>
            <w:pPr>
              <w:jc w:val="center"/>
              <w:rPr>
                <w:rFonts w:ascii="宋体" w:hAnsi="宋体"/>
                <w:szCs w:val="21"/>
              </w:rPr>
            </w:pPr>
            <w:r>
              <w:rPr>
                <w:rFonts w:hint="eastAsia" w:ascii="宋体" w:hAnsi="宋体"/>
                <w:szCs w:val="21"/>
              </w:rPr>
              <w:t>T-1日</w:t>
            </w:r>
          </w:p>
          <w:p>
            <w:pPr>
              <w:jc w:val="center"/>
              <w:rPr>
                <w:rFonts w:ascii="宋体" w:hAnsi="宋体"/>
                <w:szCs w:val="21"/>
              </w:rPr>
            </w:pPr>
            <w:r>
              <w:rPr>
                <w:rFonts w:hint="eastAsia" w:ascii="宋体" w:hAnsi="宋体"/>
                <w:b/>
                <w:szCs w:val="21"/>
              </w:rPr>
              <w:t>股权登记日（如有）</w:t>
            </w:r>
          </w:p>
        </w:tc>
        <w:tc>
          <w:tcPr>
            <w:tcW w:w="4711" w:type="dxa"/>
            <w:vAlign w:val="center"/>
          </w:tcPr>
          <w:p>
            <w:pPr>
              <w:rPr>
                <w:rFonts w:ascii="宋体" w:hAnsi="宋体"/>
                <w:szCs w:val="21"/>
              </w:rPr>
            </w:pPr>
            <w:r>
              <w:rPr>
                <w:rFonts w:hint="eastAsia" w:ascii="宋体" w:hAnsi="宋体"/>
                <w:szCs w:val="21"/>
              </w:rPr>
              <w:t>向创业板公司管理部报送《可转债发行提示性公告》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rPr>
            </w:pPr>
            <w:r>
              <w:rPr>
                <w:rFonts w:hint="eastAsia" w:ascii="宋体" w:hAnsi="宋体"/>
                <w:szCs w:val="21"/>
              </w:rPr>
              <w:t>5</w:t>
            </w:r>
          </w:p>
        </w:tc>
        <w:tc>
          <w:tcPr>
            <w:tcW w:w="1280" w:type="dxa"/>
            <w:vAlign w:val="center"/>
          </w:tcPr>
          <w:p>
            <w:pPr>
              <w:jc w:val="center"/>
              <w:rPr>
                <w:rFonts w:ascii="宋体" w:hAnsi="宋体"/>
                <w:b/>
                <w:bCs/>
                <w:szCs w:val="21"/>
              </w:rPr>
            </w:pPr>
            <w:r>
              <w:rPr>
                <w:rFonts w:hint="eastAsia" w:ascii="宋体" w:hAnsi="宋体"/>
                <w:b/>
                <w:bCs/>
                <w:szCs w:val="21"/>
              </w:rPr>
              <w:t>网上申购</w:t>
            </w:r>
          </w:p>
        </w:tc>
        <w:tc>
          <w:tcPr>
            <w:tcW w:w="1762" w:type="dxa"/>
            <w:vAlign w:val="center"/>
          </w:tcPr>
          <w:p>
            <w:pPr>
              <w:jc w:val="center"/>
              <w:rPr>
                <w:rFonts w:ascii="宋体" w:hAnsi="宋体"/>
                <w:szCs w:val="21"/>
              </w:rPr>
            </w:pPr>
            <w:r>
              <w:rPr>
                <w:rFonts w:hint="eastAsia" w:ascii="宋体" w:hAnsi="宋体"/>
                <w:szCs w:val="21"/>
              </w:rPr>
              <w:t>T日</w:t>
            </w:r>
          </w:p>
        </w:tc>
        <w:tc>
          <w:tcPr>
            <w:tcW w:w="4711" w:type="dxa"/>
            <w:vAlign w:val="center"/>
          </w:tcPr>
          <w:p>
            <w:pPr>
              <w:rPr>
                <w:rFonts w:ascii="宋体" w:hAnsi="宋体"/>
                <w:szCs w:val="21"/>
              </w:rPr>
            </w:pPr>
            <w:r>
              <w:rPr>
                <w:rFonts w:ascii="宋体" w:hAnsi="宋体"/>
                <w:szCs w:val="21"/>
              </w:rPr>
              <w:t xml:space="preserve">1． </w:t>
            </w:r>
            <w:r>
              <w:rPr>
                <w:rFonts w:hint="eastAsia" w:ascii="宋体" w:hAnsi="宋体"/>
                <w:szCs w:val="21"/>
              </w:rPr>
              <w:t>披露《可转债发行提示性公告》；</w:t>
            </w:r>
          </w:p>
          <w:p>
            <w:pPr>
              <w:rPr>
                <w:rFonts w:ascii="宋体" w:hAnsi="宋体"/>
                <w:szCs w:val="21"/>
              </w:rPr>
            </w:pPr>
            <w:r>
              <w:rPr>
                <w:rFonts w:ascii="宋体" w:hAnsi="宋体"/>
                <w:szCs w:val="21"/>
              </w:rPr>
              <w:t xml:space="preserve">2． </w:t>
            </w:r>
            <w:r>
              <w:rPr>
                <w:rFonts w:hint="eastAsia" w:ascii="宋体" w:hAnsi="宋体"/>
                <w:szCs w:val="21"/>
              </w:rPr>
              <w:t>接收创业板公司管理部转发的《可转债发行初步结果》《可转债发行配号区间清单》《可转债认购情况汇总表》（如有），确定网上、网下最终发行数量、配售比例，如有回拨，</w:t>
            </w:r>
            <w:r>
              <w:rPr>
                <w:rFonts w:ascii="宋体" w:hAnsi="宋体"/>
                <w:szCs w:val="21"/>
              </w:rPr>
              <w:t>17:3</w:t>
            </w:r>
            <w:r>
              <w:rPr>
                <w:rFonts w:hint="eastAsia" w:ascii="宋体" w:hAnsi="宋体"/>
                <w:szCs w:val="21"/>
              </w:rPr>
              <w:t>0前告知创业板公司管理部；</w:t>
            </w:r>
          </w:p>
          <w:p>
            <w:pPr>
              <w:rPr>
                <w:rFonts w:ascii="宋体" w:hAnsi="宋体"/>
                <w:szCs w:val="21"/>
              </w:rPr>
            </w:pPr>
            <w:r>
              <w:rPr>
                <w:rFonts w:ascii="宋体" w:hAnsi="宋体"/>
                <w:szCs w:val="21"/>
              </w:rPr>
              <w:t>3． 18:0</w:t>
            </w:r>
            <w:r>
              <w:rPr>
                <w:rFonts w:hint="eastAsia" w:ascii="宋体" w:hAnsi="宋体"/>
                <w:szCs w:val="21"/>
              </w:rPr>
              <w:t>0前向创业板公司管理部提交《网上发行中签率及网下发行配售结果公告》；</w:t>
            </w:r>
          </w:p>
          <w:p>
            <w:pPr>
              <w:rPr>
                <w:rFonts w:ascii="宋体" w:hAnsi="宋体"/>
                <w:szCs w:val="21"/>
              </w:rPr>
            </w:pPr>
            <w:r>
              <w:rPr>
                <w:rFonts w:ascii="宋体" w:hAnsi="宋体"/>
                <w:szCs w:val="21"/>
              </w:rPr>
              <w:t xml:space="preserve">4． </w:t>
            </w:r>
            <w:r>
              <w:rPr>
                <w:rFonts w:hint="eastAsia" w:ascii="宋体" w:hAnsi="宋体"/>
                <w:szCs w:val="21"/>
              </w:rPr>
              <w:t>若发行失败，</w:t>
            </w:r>
            <w:r>
              <w:rPr>
                <w:rFonts w:hint="eastAsia" w:ascii="宋体" w:hAnsi="宋体" w:cs="宋体"/>
                <w:kern w:val="0"/>
                <w:szCs w:val="21"/>
              </w:rPr>
              <w:t>上市公司及其保荐人、主承销商应于当日17:00前创业板公司管理部提出申请，</w:t>
            </w:r>
            <w:r>
              <w:rPr>
                <w:rFonts w:hint="eastAsia" w:ascii="宋体" w:hAnsi="宋体"/>
                <w:szCs w:val="21"/>
              </w:rPr>
              <w:t>并提交《可转债中止发行公告》；</w:t>
            </w:r>
          </w:p>
          <w:p>
            <w:pPr>
              <w:rPr>
                <w:rFonts w:ascii="宋体" w:hAnsi="宋体"/>
                <w:szCs w:val="21"/>
              </w:rPr>
            </w:pPr>
            <w:r>
              <w:rPr>
                <w:rFonts w:ascii="宋体" w:hAnsi="宋体"/>
                <w:szCs w:val="21"/>
              </w:rPr>
              <w:t xml:space="preserve">5． </w:t>
            </w:r>
            <w:r>
              <w:rPr>
                <w:rFonts w:hint="eastAsia" w:ascii="宋体" w:hAnsi="宋体"/>
                <w:szCs w:val="21"/>
              </w:rPr>
              <w:t>向结算业务部提交《网上认购资金划款申请表》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rPr>
            </w:pPr>
            <w:r>
              <w:rPr>
                <w:rFonts w:hint="eastAsia" w:ascii="宋体" w:hAnsi="宋体"/>
                <w:szCs w:val="21"/>
              </w:rPr>
              <w:t>6</w:t>
            </w:r>
          </w:p>
        </w:tc>
        <w:tc>
          <w:tcPr>
            <w:tcW w:w="1280" w:type="dxa"/>
            <w:vAlign w:val="center"/>
          </w:tcPr>
          <w:p>
            <w:pPr>
              <w:jc w:val="center"/>
              <w:rPr>
                <w:rFonts w:ascii="宋体" w:hAnsi="宋体"/>
                <w:b/>
                <w:bCs/>
                <w:szCs w:val="21"/>
              </w:rPr>
            </w:pPr>
            <w:r>
              <w:rPr>
                <w:rFonts w:hint="eastAsia" w:ascii="宋体" w:hAnsi="宋体"/>
                <w:b/>
                <w:bCs/>
                <w:szCs w:val="21"/>
              </w:rPr>
              <w:t>摇号</w:t>
            </w:r>
          </w:p>
        </w:tc>
        <w:tc>
          <w:tcPr>
            <w:tcW w:w="1762" w:type="dxa"/>
            <w:vAlign w:val="center"/>
          </w:tcPr>
          <w:p>
            <w:pPr>
              <w:jc w:val="center"/>
              <w:rPr>
                <w:rFonts w:ascii="宋体" w:hAnsi="宋体"/>
                <w:szCs w:val="21"/>
              </w:rPr>
            </w:pPr>
            <w:r>
              <w:rPr>
                <w:rFonts w:ascii="宋体" w:hAnsi="宋体"/>
                <w:szCs w:val="21"/>
              </w:rPr>
              <w:t>T+1</w:t>
            </w:r>
            <w:r>
              <w:rPr>
                <w:rFonts w:hint="eastAsia" w:ascii="宋体" w:hAnsi="宋体"/>
                <w:szCs w:val="21"/>
              </w:rPr>
              <w:t>日</w:t>
            </w:r>
          </w:p>
        </w:tc>
        <w:tc>
          <w:tcPr>
            <w:tcW w:w="4711" w:type="dxa"/>
            <w:vAlign w:val="center"/>
          </w:tcPr>
          <w:p>
            <w:pPr>
              <w:rPr>
                <w:rFonts w:ascii="宋体" w:hAnsi="宋体"/>
                <w:szCs w:val="21"/>
              </w:rPr>
            </w:pPr>
            <w:r>
              <w:rPr>
                <w:rFonts w:ascii="宋体" w:hAnsi="宋体"/>
                <w:szCs w:val="21"/>
              </w:rPr>
              <w:t xml:space="preserve">1． </w:t>
            </w:r>
            <w:r>
              <w:rPr>
                <w:rFonts w:hint="eastAsia" w:ascii="宋体" w:hAnsi="宋体"/>
                <w:szCs w:val="21"/>
              </w:rPr>
              <w:t>披露《网上发行中签率及网下发行配售结果公告》；</w:t>
            </w:r>
          </w:p>
          <w:p>
            <w:pPr>
              <w:rPr>
                <w:rFonts w:ascii="宋体" w:hAnsi="宋体"/>
                <w:szCs w:val="21"/>
              </w:rPr>
            </w:pPr>
            <w:r>
              <w:rPr>
                <w:rFonts w:ascii="宋体" w:hAnsi="宋体"/>
                <w:szCs w:val="21"/>
              </w:rPr>
              <w:t xml:space="preserve">2． </w:t>
            </w:r>
            <w:r>
              <w:rPr>
                <w:rFonts w:hint="eastAsia" w:ascii="宋体" w:hAnsi="宋体"/>
              </w:rPr>
              <w:t>主承销商</w:t>
            </w:r>
            <w:r>
              <w:rPr>
                <w:rFonts w:hint="eastAsia" w:ascii="宋体" w:hAnsi="宋体"/>
                <w:szCs w:val="21"/>
              </w:rPr>
              <w:t>联系信息公司组织摇号，通过业务专区上传《可转换公司债券中签号码公告》，报备经公证的摇号结果。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rPr>
            </w:pPr>
            <w:r>
              <w:rPr>
                <w:rFonts w:hint="eastAsia" w:ascii="宋体" w:hAnsi="宋体"/>
                <w:szCs w:val="21"/>
              </w:rPr>
              <w:t>7</w:t>
            </w:r>
          </w:p>
        </w:tc>
        <w:tc>
          <w:tcPr>
            <w:tcW w:w="1280" w:type="dxa"/>
            <w:vAlign w:val="center"/>
          </w:tcPr>
          <w:p>
            <w:pPr>
              <w:jc w:val="center"/>
              <w:rPr>
                <w:rFonts w:ascii="宋体" w:hAnsi="宋体"/>
                <w:b/>
                <w:bCs/>
                <w:szCs w:val="21"/>
              </w:rPr>
            </w:pPr>
            <w:r>
              <w:rPr>
                <w:rFonts w:hint="eastAsia" w:ascii="宋体" w:hAnsi="宋体"/>
                <w:b/>
                <w:bCs/>
                <w:szCs w:val="21"/>
              </w:rPr>
              <w:t>网上申购中签缴款</w:t>
            </w:r>
          </w:p>
        </w:tc>
        <w:tc>
          <w:tcPr>
            <w:tcW w:w="1762" w:type="dxa"/>
            <w:vAlign w:val="center"/>
          </w:tcPr>
          <w:p>
            <w:pPr>
              <w:jc w:val="center"/>
              <w:rPr>
                <w:rFonts w:ascii="宋体" w:hAnsi="宋体"/>
                <w:szCs w:val="21"/>
              </w:rPr>
            </w:pPr>
            <w:r>
              <w:rPr>
                <w:rFonts w:hint="eastAsia" w:ascii="宋体" w:hAnsi="宋体"/>
                <w:szCs w:val="21"/>
              </w:rPr>
              <w:t>T+2日</w:t>
            </w:r>
          </w:p>
        </w:tc>
        <w:tc>
          <w:tcPr>
            <w:tcW w:w="4711" w:type="dxa"/>
            <w:vAlign w:val="center"/>
          </w:tcPr>
          <w:p>
            <w:pPr>
              <w:rPr>
                <w:rFonts w:ascii="宋体" w:hAnsi="宋体"/>
                <w:szCs w:val="21"/>
              </w:rPr>
            </w:pPr>
            <w:r>
              <w:rPr>
                <w:rFonts w:ascii="宋体" w:hAnsi="宋体"/>
                <w:szCs w:val="21"/>
              </w:rPr>
              <w:t xml:space="preserve">1． </w:t>
            </w:r>
            <w:r>
              <w:rPr>
                <w:rFonts w:hint="eastAsia" w:ascii="宋体" w:hAnsi="宋体"/>
                <w:szCs w:val="21"/>
              </w:rPr>
              <w:t>披露《可转换公司债券中签号码公告》；</w:t>
            </w:r>
          </w:p>
          <w:p>
            <w:pPr>
              <w:rPr>
                <w:rFonts w:ascii="宋体" w:hAnsi="宋体"/>
                <w:szCs w:val="21"/>
              </w:rPr>
            </w:pPr>
            <w:r>
              <w:rPr>
                <w:rFonts w:ascii="宋体" w:hAnsi="宋体"/>
                <w:szCs w:val="21"/>
              </w:rPr>
              <w:t xml:space="preserve">2． </w:t>
            </w:r>
            <w:r>
              <w:rPr>
                <w:rFonts w:hint="eastAsia" w:ascii="宋体" w:hAnsi="宋体"/>
                <w:szCs w:val="21"/>
              </w:rPr>
              <w:t>网上申购中签的投资者按照中签数量缴款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1" w:hRule="atLeast"/>
          <w:jc w:val="center"/>
        </w:trPr>
        <w:tc>
          <w:tcPr>
            <w:tcW w:w="769" w:type="dxa"/>
            <w:vMerge w:val="restart"/>
            <w:vAlign w:val="center"/>
          </w:tcPr>
          <w:p>
            <w:pPr>
              <w:jc w:val="center"/>
              <w:rPr>
                <w:rFonts w:ascii="宋体" w:hAnsi="宋体"/>
                <w:szCs w:val="21"/>
              </w:rPr>
            </w:pPr>
            <w:r>
              <w:rPr>
                <w:rFonts w:hint="eastAsia" w:ascii="宋体" w:hAnsi="宋体"/>
                <w:szCs w:val="21"/>
              </w:rPr>
              <w:t>8</w:t>
            </w:r>
          </w:p>
        </w:tc>
        <w:tc>
          <w:tcPr>
            <w:tcW w:w="1280" w:type="dxa"/>
            <w:vMerge w:val="restart"/>
            <w:vAlign w:val="center"/>
          </w:tcPr>
          <w:p>
            <w:pPr>
              <w:jc w:val="center"/>
              <w:rPr>
                <w:rFonts w:ascii="宋体" w:hAnsi="宋体"/>
                <w:b/>
                <w:bCs/>
                <w:szCs w:val="21"/>
              </w:rPr>
            </w:pPr>
            <w:r>
              <w:rPr>
                <w:rFonts w:hint="eastAsia" w:ascii="宋体" w:hAnsi="宋体"/>
                <w:b/>
                <w:bCs/>
                <w:szCs w:val="21"/>
              </w:rPr>
              <w:t>不存在二次配售情形</w:t>
            </w:r>
          </w:p>
        </w:tc>
        <w:tc>
          <w:tcPr>
            <w:tcW w:w="1762" w:type="dxa"/>
            <w:tcBorders>
              <w:bottom w:val="single" w:color="auto" w:sz="4" w:space="0"/>
            </w:tcBorders>
            <w:vAlign w:val="center"/>
          </w:tcPr>
          <w:p>
            <w:pPr>
              <w:jc w:val="center"/>
              <w:rPr>
                <w:rFonts w:ascii="宋体" w:hAnsi="宋体"/>
                <w:szCs w:val="21"/>
              </w:rPr>
            </w:pPr>
            <w:r>
              <w:rPr>
                <w:rFonts w:hint="eastAsia" w:ascii="宋体" w:hAnsi="宋体"/>
                <w:b/>
                <w:bCs/>
                <w:szCs w:val="21"/>
              </w:rPr>
              <w:t>确定发行结果</w:t>
            </w:r>
            <w:r>
              <w:rPr>
                <w:rFonts w:hint="eastAsia" w:ascii="宋体" w:hAnsi="宋体"/>
                <w:szCs w:val="21"/>
              </w:rPr>
              <w:t>T+3日</w:t>
            </w:r>
          </w:p>
        </w:tc>
        <w:tc>
          <w:tcPr>
            <w:tcW w:w="4711" w:type="dxa"/>
            <w:tcBorders>
              <w:bottom w:val="single" w:color="auto" w:sz="4" w:space="0"/>
            </w:tcBorders>
            <w:vAlign w:val="center"/>
          </w:tcPr>
          <w:p>
            <w:pPr>
              <w:rPr>
                <w:rFonts w:ascii="宋体" w:hAnsi="宋体"/>
                <w:szCs w:val="21"/>
              </w:rPr>
            </w:pPr>
            <w:r>
              <w:rPr>
                <w:rFonts w:ascii="宋体" w:hAnsi="宋体"/>
                <w:szCs w:val="21"/>
              </w:rPr>
              <w:t xml:space="preserve">1． </w:t>
            </w:r>
            <w:r>
              <w:rPr>
                <w:rFonts w:hint="eastAsia" w:ascii="宋体" w:hAnsi="宋体"/>
                <w:szCs w:val="21"/>
              </w:rPr>
              <w:t>结算参与人为未缴款投资者申报放弃认购；</w:t>
            </w:r>
          </w:p>
          <w:p>
            <w:pPr>
              <w:widowControl/>
              <w:jc w:val="left"/>
              <w:rPr>
                <w:rFonts w:ascii="宋体" w:hAnsi="宋体" w:cs="宋体"/>
                <w:kern w:val="0"/>
                <w:szCs w:val="21"/>
              </w:rPr>
            </w:pPr>
            <w:r>
              <w:rPr>
                <w:rFonts w:ascii="宋体" w:hAnsi="宋体"/>
                <w:szCs w:val="21"/>
              </w:rPr>
              <w:t xml:space="preserve">2． </w:t>
            </w:r>
            <w:r>
              <w:rPr>
                <w:rFonts w:hint="eastAsia" w:ascii="宋体" w:hAnsi="宋体"/>
                <w:szCs w:val="21"/>
              </w:rPr>
              <w:t>上市公司通过业务专区上传《可转换公司债券发行结果公告》。</w:t>
            </w:r>
            <w:r>
              <w:rPr>
                <w:rFonts w:hint="eastAsia" w:ascii="宋体" w:hAnsi="宋体" w:cs="宋体"/>
                <w:kern w:val="0"/>
                <w:szCs w:val="21"/>
              </w:rPr>
              <w:t>如投资者缴款认购不足70%,上市公司或主承销商申请中止本次发行的，应于当日17:00前向创业板公司管理部提出申请。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0" w:hRule="atLeast"/>
          <w:jc w:val="center"/>
        </w:trPr>
        <w:tc>
          <w:tcPr>
            <w:tcW w:w="769" w:type="dxa"/>
            <w:vMerge w:val="continue"/>
            <w:vAlign w:val="center"/>
          </w:tcPr>
          <w:p>
            <w:pPr>
              <w:jc w:val="center"/>
              <w:rPr>
                <w:rFonts w:ascii="宋体" w:hAnsi="宋体"/>
                <w:szCs w:val="21"/>
              </w:rPr>
            </w:pPr>
          </w:p>
        </w:tc>
        <w:tc>
          <w:tcPr>
            <w:tcW w:w="1280" w:type="dxa"/>
            <w:vMerge w:val="continue"/>
            <w:vAlign w:val="center"/>
          </w:tcPr>
          <w:p>
            <w:pPr>
              <w:jc w:val="center"/>
              <w:rPr>
                <w:rFonts w:ascii="宋体" w:hAnsi="宋体"/>
                <w:b/>
                <w:bCs/>
                <w:szCs w:val="21"/>
              </w:rPr>
            </w:pPr>
          </w:p>
        </w:tc>
        <w:tc>
          <w:tcPr>
            <w:tcW w:w="1762" w:type="dxa"/>
            <w:tcBorders>
              <w:top w:val="single" w:color="auto" w:sz="4" w:space="0"/>
            </w:tcBorders>
            <w:vAlign w:val="center"/>
          </w:tcPr>
          <w:p>
            <w:pPr>
              <w:jc w:val="center"/>
              <w:rPr>
                <w:rFonts w:ascii="宋体" w:hAnsi="宋体"/>
                <w:b/>
                <w:bCs/>
                <w:szCs w:val="21"/>
              </w:rPr>
            </w:pPr>
            <w:r>
              <w:rPr>
                <w:rFonts w:hint="eastAsia" w:ascii="宋体" w:hAnsi="宋体"/>
                <w:b/>
                <w:bCs/>
                <w:szCs w:val="21"/>
              </w:rPr>
              <w:t>发行结束</w:t>
            </w:r>
          </w:p>
          <w:p>
            <w:pPr>
              <w:jc w:val="center"/>
              <w:rPr>
                <w:rFonts w:ascii="宋体" w:hAnsi="宋体"/>
                <w:b/>
                <w:bCs/>
                <w:szCs w:val="21"/>
              </w:rPr>
            </w:pPr>
            <w:r>
              <w:rPr>
                <w:rFonts w:hint="eastAsia" w:ascii="宋体" w:hAnsi="宋体"/>
                <w:szCs w:val="21"/>
              </w:rPr>
              <w:t>T+4日</w:t>
            </w:r>
          </w:p>
        </w:tc>
        <w:tc>
          <w:tcPr>
            <w:tcW w:w="4711" w:type="dxa"/>
            <w:tcBorders>
              <w:top w:val="single" w:color="auto" w:sz="4" w:space="0"/>
            </w:tcBorders>
            <w:vAlign w:val="center"/>
          </w:tcPr>
          <w:p>
            <w:pPr>
              <w:rPr>
                <w:rFonts w:ascii="宋体" w:hAnsi="宋体"/>
                <w:szCs w:val="21"/>
              </w:rPr>
            </w:pPr>
            <w:r>
              <w:rPr>
                <w:rFonts w:ascii="宋体" w:hAnsi="宋体"/>
                <w:szCs w:val="21"/>
              </w:rPr>
              <w:t xml:space="preserve">1． </w:t>
            </w:r>
            <w:r>
              <w:rPr>
                <w:rFonts w:hint="eastAsia" w:ascii="宋体" w:hAnsi="宋体"/>
                <w:szCs w:val="21"/>
              </w:rPr>
              <w:t>披露《可转换公司债券发行结果公告》；</w:t>
            </w:r>
          </w:p>
          <w:p>
            <w:pPr>
              <w:rPr>
                <w:rFonts w:ascii="宋体" w:hAnsi="宋体"/>
                <w:szCs w:val="21"/>
              </w:rPr>
            </w:pPr>
            <w:r>
              <w:rPr>
                <w:rFonts w:ascii="宋体" w:hAnsi="宋体"/>
                <w:szCs w:val="21"/>
              </w:rPr>
              <w:t xml:space="preserve">2． </w:t>
            </w:r>
            <w:r>
              <w:rPr>
                <w:rFonts w:hint="eastAsia" w:ascii="宋体" w:hAnsi="宋体"/>
              </w:rPr>
              <w:t>主承销商</w:t>
            </w:r>
            <w:r>
              <w:rPr>
                <w:rFonts w:hint="eastAsia" w:ascii="宋体" w:hAnsi="宋体"/>
                <w:szCs w:val="21"/>
              </w:rPr>
              <w:t>将从结算公司划来的募集资金划至上市公司处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80" w:hRule="atLeast"/>
          <w:jc w:val="center"/>
        </w:trPr>
        <w:tc>
          <w:tcPr>
            <w:tcW w:w="769" w:type="dxa"/>
            <w:vMerge w:val="restart"/>
            <w:vAlign w:val="center"/>
          </w:tcPr>
          <w:p>
            <w:pPr>
              <w:jc w:val="center"/>
              <w:rPr>
                <w:rFonts w:ascii="宋体" w:hAnsi="宋体"/>
                <w:szCs w:val="21"/>
              </w:rPr>
            </w:pPr>
            <w:r>
              <w:rPr>
                <w:rFonts w:hint="eastAsia" w:ascii="宋体" w:hAnsi="宋体"/>
                <w:szCs w:val="21"/>
              </w:rPr>
              <w:t>9</w:t>
            </w:r>
          </w:p>
        </w:tc>
        <w:tc>
          <w:tcPr>
            <w:tcW w:w="1280" w:type="dxa"/>
            <w:vMerge w:val="restart"/>
            <w:vAlign w:val="center"/>
          </w:tcPr>
          <w:p>
            <w:pPr>
              <w:jc w:val="center"/>
              <w:rPr>
                <w:rFonts w:ascii="宋体" w:hAnsi="宋体"/>
                <w:b/>
                <w:bCs/>
                <w:szCs w:val="21"/>
              </w:rPr>
            </w:pPr>
            <w:r>
              <w:rPr>
                <w:rFonts w:hint="eastAsia" w:ascii="宋体" w:hAnsi="宋体"/>
                <w:b/>
                <w:bCs/>
                <w:szCs w:val="21"/>
              </w:rPr>
              <w:t>存在二次配售情形</w:t>
            </w:r>
          </w:p>
        </w:tc>
        <w:tc>
          <w:tcPr>
            <w:tcW w:w="1762" w:type="dxa"/>
            <w:tcBorders>
              <w:bottom w:val="single" w:color="auto" w:sz="4" w:space="0"/>
            </w:tcBorders>
            <w:vAlign w:val="center"/>
          </w:tcPr>
          <w:p>
            <w:pPr>
              <w:jc w:val="center"/>
              <w:rPr>
                <w:rFonts w:ascii="宋体" w:hAnsi="宋体"/>
                <w:b/>
                <w:szCs w:val="21"/>
              </w:rPr>
            </w:pPr>
            <w:r>
              <w:rPr>
                <w:rFonts w:hint="eastAsia" w:ascii="宋体" w:hAnsi="宋体"/>
                <w:b/>
                <w:szCs w:val="21"/>
              </w:rPr>
              <w:t>进行二次配售准备</w:t>
            </w:r>
          </w:p>
          <w:p>
            <w:pPr>
              <w:jc w:val="center"/>
              <w:rPr>
                <w:rFonts w:ascii="宋体" w:hAnsi="宋体"/>
                <w:szCs w:val="21"/>
              </w:rPr>
            </w:pPr>
            <w:r>
              <w:rPr>
                <w:rFonts w:hint="eastAsia" w:ascii="宋体" w:hAnsi="宋体"/>
                <w:szCs w:val="21"/>
              </w:rPr>
              <w:t>T+3日</w:t>
            </w:r>
          </w:p>
        </w:tc>
        <w:tc>
          <w:tcPr>
            <w:tcW w:w="4711" w:type="dxa"/>
            <w:tcBorders>
              <w:bottom w:val="single" w:color="auto" w:sz="4" w:space="0"/>
            </w:tcBorders>
            <w:vAlign w:val="center"/>
          </w:tcPr>
          <w:p>
            <w:pPr>
              <w:rPr>
                <w:rFonts w:ascii="宋体" w:hAnsi="宋体"/>
                <w:szCs w:val="21"/>
              </w:rPr>
            </w:pPr>
            <w:r>
              <w:rPr>
                <w:rFonts w:hint="eastAsia" w:ascii="宋体" w:hAnsi="宋体"/>
                <w:szCs w:val="21"/>
              </w:rPr>
              <w:t>上市公司通过业务专区上传《网下二次配售公告》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41" w:hRule="atLeast"/>
          <w:jc w:val="center"/>
        </w:trPr>
        <w:tc>
          <w:tcPr>
            <w:tcW w:w="769" w:type="dxa"/>
            <w:vMerge w:val="continue"/>
            <w:vAlign w:val="center"/>
          </w:tcPr>
          <w:p>
            <w:pPr>
              <w:jc w:val="center"/>
              <w:rPr>
                <w:rFonts w:ascii="宋体" w:hAnsi="宋体"/>
                <w:szCs w:val="21"/>
              </w:rPr>
            </w:pPr>
          </w:p>
        </w:tc>
        <w:tc>
          <w:tcPr>
            <w:tcW w:w="1280" w:type="dxa"/>
            <w:vMerge w:val="continue"/>
            <w:vAlign w:val="center"/>
          </w:tcPr>
          <w:p>
            <w:pPr>
              <w:jc w:val="center"/>
              <w:rPr>
                <w:rFonts w:ascii="宋体" w:hAnsi="宋体"/>
                <w:b/>
                <w:bCs/>
                <w:szCs w:val="21"/>
              </w:rPr>
            </w:pPr>
          </w:p>
        </w:tc>
        <w:tc>
          <w:tcPr>
            <w:tcW w:w="1762"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b/>
                <w:szCs w:val="21"/>
              </w:rPr>
              <w:t>进行二次配售</w:t>
            </w:r>
            <w:r>
              <w:rPr>
                <w:rFonts w:hint="eastAsia" w:ascii="宋体" w:hAnsi="宋体"/>
                <w:szCs w:val="21"/>
              </w:rPr>
              <w:t>T+4日</w:t>
            </w:r>
          </w:p>
        </w:tc>
        <w:tc>
          <w:tcPr>
            <w:tcW w:w="4711" w:type="dxa"/>
            <w:tcBorders>
              <w:top w:val="single" w:color="auto" w:sz="4" w:space="0"/>
              <w:bottom w:val="single" w:color="auto" w:sz="4" w:space="0"/>
            </w:tcBorders>
            <w:vAlign w:val="center"/>
          </w:tcPr>
          <w:p>
            <w:pPr>
              <w:rPr>
                <w:rFonts w:ascii="宋体" w:hAnsi="宋体"/>
                <w:szCs w:val="21"/>
              </w:rPr>
            </w:pPr>
            <w:r>
              <w:rPr>
                <w:rFonts w:ascii="宋体" w:hAnsi="宋体"/>
                <w:szCs w:val="21"/>
              </w:rPr>
              <w:t xml:space="preserve">1． </w:t>
            </w:r>
            <w:r>
              <w:rPr>
                <w:rFonts w:hint="eastAsia" w:ascii="宋体" w:hAnsi="宋体"/>
                <w:szCs w:val="21"/>
              </w:rPr>
              <w:t>披露《网下二次配售公告》；</w:t>
            </w:r>
          </w:p>
          <w:p>
            <w:pPr>
              <w:rPr>
                <w:rFonts w:ascii="宋体" w:hAnsi="宋体"/>
                <w:szCs w:val="21"/>
              </w:rPr>
            </w:pPr>
            <w:r>
              <w:rPr>
                <w:rFonts w:hint="eastAsia" w:ascii="宋体" w:hAnsi="宋体"/>
                <w:szCs w:val="21"/>
              </w:rPr>
              <w:t>2． 网下二次配售并缴款；</w:t>
            </w:r>
          </w:p>
          <w:p>
            <w:pPr>
              <w:widowControl/>
              <w:jc w:val="left"/>
              <w:rPr>
                <w:rFonts w:ascii="宋体" w:hAnsi="宋体" w:cs="宋体"/>
                <w:kern w:val="0"/>
                <w:szCs w:val="21"/>
              </w:rPr>
            </w:pPr>
            <w:r>
              <w:rPr>
                <w:rFonts w:hint="eastAsia" w:ascii="宋体" w:hAnsi="宋体"/>
                <w:szCs w:val="21"/>
              </w:rPr>
              <w:t>3． 上市公司通过业务专区上传《可转换公司债券发行结果公告》。</w:t>
            </w:r>
            <w:r>
              <w:rPr>
                <w:rFonts w:hint="eastAsia" w:ascii="宋体" w:hAnsi="宋体" w:cs="宋体"/>
                <w:kern w:val="0"/>
                <w:szCs w:val="21"/>
              </w:rPr>
              <w:t>如投资者缴款认购不足70%,上市公司或主承销商申请中止本次发行的，应于当日17:00前向创业板公司管理部提出申请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4" w:hRule="atLeast"/>
          <w:jc w:val="center"/>
        </w:trPr>
        <w:tc>
          <w:tcPr>
            <w:tcW w:w="769" w:type="dxa"/>
            <w:vMerge w:val="continue"/>
            <w:vAlign w:val="center"/>
          </w:tcPr>
          <w:p>
            <w:pPr>
              <w:jc w:val="center"/>
              <w:rPr>
                <w:rFonts w:ascii="宋体" w:hAnsi="宋体"/>
                <w:szCs w:val="21"/>
              </w:rPr>
            </w:pPr>
          </w:p>
        </w:tc>
        <w:tc>
          <w:tcPr>
            <w:tcW w:w="1280" w:type="dxa"/>
            <w:vMerge w:val="continue"/>
            <w:vAlign w:val="center"/>
          </w:tcPr>
          <w:p>
            <w:pPr>
              <w:jc w:val="center"/>
              <w:rPr>
                <w:rFonts w:ascii="宋体" w:hAnsi="宋体"/>
                <w:b/>
                <w:bCs/>
                <w:szCs w:val="21"/>
              </w:rPr>
            </w:pPr>
          </w:p>
        </w:tc>
        <w:tc>
          <w:tcPr>
            <w:tcW w:w="1762" w:type="dxa"/>
            <w:tcBorders>
              <w:top w:val="single" w:color="auto" w:sz="4" w:space="0"/>
            </w:tcBorders>
            <w:vAlign w:val="center"/>
          </w:tcPr>
          <w:p>
            <w:pPr>
              <w:jc w:val="center"/>
              <w:rPr>
                <w:rFonts w:ascii="宋体" w:hAnsi="宋体"/>
                <w:b/>
                <w:bCs/>
                <w:szCs w:val="21"/>
              </w:rPr>
            </w:pPr>
            <w:r>
              <w:rPr>
                <w:rFonts w:hint="eastAsia" w:ascii="宋体" w:hAnsi="宋体"/>
                <w:b/>
                <w:bCs/>
                <w:szCs w:val="21"/>
              </w:rPr>
              <w:t>发行结束</w:t>
            </w:r>
          </w:p>
          <w:p>
            <w:pPr>
              <w:jc w:val="center"/>
              <w:rPr>
                <w:rFonts w:ascii="宋体" w:hAnsi="宋体"/>
                <w:szCs w:val="21"/>
              </w:rPr>
            </w:pPr>
            <w:r>
              <w:rPr>
                <w:rFonts w:hint="eastAsia" w:ascii="宋体" w:hAnsi="宋体"/>
                <w:szCs w:val="21"/>
              </w:rPr>
              <w:t>T+5日</w:t>
            </w:r>
          </w:p>
        </w:tc>
        <w:tc>
          <w:tcPr>
            <w:tcW w:w="4711" w:type="dxa"/>
            <w:tcBorders>
              <w:top w:val="single" w:color="auto" w:sz="4" w:space="0"/>
            </w:tcBorders>
            <w:vAlign w:val="center"/>
          </w:tcPr>
          <w:p>
            <w:pPr>
              <w:rPr>
                <w:rFonts w:ascii="宋体" w:hAnsi="宋体"/>
                <w:szCs w:val="21"/>
              </w:rPr>
            </w:pPr>
            <w:r>
              <w:rPr>
                <w:rFonts w:ascii="宋体" w:hAnsi="宋体"/>
                <w:szCs w:val="21"/>
              </w:rPr>
              <w:t xml:space="preserve">1． </w:t>
            </w:r>
            <w:r>
              <w:rPr>
                <w:rFonts w:hint="eastAsia" w:ascii="宋体" w:hAnsi="宋体"/>
                <w:szCs w:val="21"/>
              </w:rPr>
              <w:t>披露《可转换公司债券发行结果公告》；</w:t>
            </w:r>
          </w:p>
          <w:p>
            <w:pPr>
              <w:rPr>
                <w:rFonts w:ascii="宋体" w:hAnsi="宋体"/>
                <w:szCs w:val="21"/>
              </w:rPr>
            </w:pPr>
            <w:r>
              <w:rPr>
                <w:rFonts w:ascii="宋体" w:hAnsi="宋体"/>
                <w:szCs w:val="21"/>
              </w:rPr>
              <w:t xml:space="preserve">2． </w:t>
            </w:r>
            <w:r>
              <w:rPr>
                <w:rFonts w:hint="eastAsia" w:ascii="宋体" w:hAnsi="宋体"/>
              </w:rPr>
              <w:t>主承销商</w:t>
            </w:r>
            <w:r>
              <w:rPr>
                <w:rFonts w:hint="eastAsia" w:ascii="宋体" w:hAnsi="宋体"/>
                <w:szCs w:val="21"/>
              </w:rPr>
              <w:t>将从结算公司划来的募集资金划至上市公司处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rPr>
            </w:pPr>
            <w:r>
              <w:rPr>
                <w:rFonts w:hint="eastAsia" w:ascii="宋体" w:hAnsi="宋体"/>
                <w:szCs w:val="21"/>
              </w:rPr>
              <w:t>10</w:t>
            </w:r>
          </w:p>
        </w:tc>
        <w:tc>
          <w:tcPr>
            <w:tcW w:w="1280" w:type="dxa"/>
            <w:vAlign w:val="center"/>
          </w:tcPr>
          <w:p>
            <w:pPr>
              <w:jc w:val="center"/>
              <w:rPr>
                <w:rFonts w:ascii="宋体" w:hAnsi="宋体"/>
                <w:b/>
                <w:bCs/>
                <w:szCs w:val="21"/>
              </w:rPr>
            </w:pPr>
            <w:r>
              <w:rPr>
                <w:rFonts w:hint="eastAsia" w:ascii="宋体" w:hAnsi="宋体"/>
                <w:b/>
                <w:bCs/>
                <w:szCs w:val="21"/>
              </w:rPr>
              <w:t>登记准备</w:t>
            </w:r>
          </w:p>
        </w:tc>
        <w:tc>
          <w:tcPr>
            <w:tcW w:w="1762" w:type="dxa"/>
            <w:vAlign w:val="center"/>
          </w:tcPr>
          <w:p>
            <w:pPr>
              <w:jc w:val="center"/>
              <w:rPr>
                <w:rFonts w:ascii="宋体" w:hAnsi="宋体"/>
                <w:szCs w:val="21"/>
              </w:rPr>
            </w:pPr>
            <w:r>
              <w:rPr>
                <w:rFonts w:ascii="宋体" w:hAnsi="宋体"/>
                <w:szCs w:val="21"/>
              </w:rPr>
              <w:t>T+</w:t>
            </w:r>
            <w:r>
              <w:rPr>
                <w:rFonts w:hint="eastAsia" w:ascii="宋体" w:hAnsi="宋体"/>
                <w:szCs w:val="21"/>
              </w:rPr>
              <w:t>6日前（存在二次配售的在T+7日前）</w:t>
            </w:r>
          </w:p>
        </w:tc>
        <w:tc>
          <w:tcPr>
            <w:tcW w:w="4711" w:type="dxa"/>
            <w:vAlign w:val="center"/>
          </w:tcPr>
          <w:p>
            <w:pPr>
              <w:rPr>
                <w:rFonts w:ascii="宋体" w:hAnsi="宋体"/>
                <w:szCs w:val="21"/>
              </w:rPr>
            </w:pPr>
            <w:r>
              <w:rPr>
                <w:rFonts w:ascii="宋体" w:hAnsi="宋体"/>
                <w:szCs w:val="21"/>
              </w:rPr>
              <w:t xml:space="preserve">1． </w:t>
            </w:r>
            <w:r>
              <w:rPr>
                <w:rFonts w:hint="eastAsia" w:ascii="宋体" w:hAnsi="宋体"/>
              </w:rPr>
              <w:t>主承销商</w:t>
            </w:r>
            <w:r>
              <w:rPr>
                <w:rFonts w:hint="eastAsia" w:ascii="宋体" w:hAnsi="宋体"/>
                <w:szCs w:val="21"/>
              </w:rPr>
              <w:t>向中国结算上市公司业务部提供网下申购和配售数据、办理网下申购登记托管手续及余债数量包销手续；</w:t>
            </w:r>
          </w:p>
          <w:p>
            <w:pPr>
              <w:rPr>
                <w:rFonts w:ascii="宋体" w:hAnsi="宋体"/>
                <w:szCs w:val="21"/>
              </w:rPr>
            </w:pPr>
            <w:r>
              <w:rPr>
                <w:rFonts w:ascii="宋体" w:hAnsi="宋体"/>
                <w:szCs w:val="21"/>
              </w:rPr>
              <w:t xml:space="preserve">2． </w:t>
            </w:r>
            <w:r>
              <w:rPr>
                <w:rFonts w:hint="eastAsia" w:ascii="宋体" w:hAnsi="宋体"/>
                <w:szCs w:val="21"/>
              </w:rPr>
              <w:t>上市公司向中国结算上市公司业务部提供可转债托管材料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rPr>
            </w:pPr>
            <w:r>
              <w:rPr>
                <w:rFonts w:hint="eastAsia" w:ascii="宋体" w:hAnsi="宋体"/>
                <w:szCs w:val="21"/>
              </w:rPr>
              <w:t>11</w:t>
            </w:r>
          </w:p>
        </w:tc>
        <w:tc>
          <w:tcPr>
            <w:tcW w:w="1280" w:type="dxa"/>
            <w:vAlign w:val="center"/>
          </w:tcPr>
          <w:p>
            <w:pPr>
              <w:jc w:val="center"/>
              <w:rPr>
                <w:rFonts w:ascii="宋体" w:hAnsi="宋体"/>
                <w:b/>
                <w:bCs/>
                <w:szCs w:val="21"/>
              </w:rPr>
            </w:pPr>
            <w:r>
              <w:rPr>
                <w:rFonts w:hint="eastAsia" w:ascii="宋体" w:hAnsi="宋体"/>
                <w:b/>
                <w:bCs/>
                <w:szCs w:val="21"/>
              </w:rPr>
              <w:t>上市准备</w:t>
            </w:r>
          </w:p>
        </w:tc>
        <w:tc>
          <w:tcPr>
            <w:tcW w:w="1762" w:type="dxa"/>
            <w:vAlign w:val="center"/>
          </w:tcPr>
          <w:p>
            <w:pPr>
              <w:jc w:val="center"/>
              <w:rPr>
                <w:rFonts w:ascii="宋体" w:hAnsi="宋体"/>
                <w:szCs w:val="21"/>
              </w:rPr>
            </w:pPr>
            <w:r>
              <w:rPr>
                <w:rFonts w:hint="eastAsia" w:ascii="宋体" w:hAnsi="宋体"/>
                <w:szCs w:val="21"/>
              </w:rPr>
              <w:t>登记业务完成后两个交易日内</w:t>
            </w:r>
          </w:p>
        </w:tc>
        <w:tc>
          <w:tcPr>
            <w:tcW w:w="4711" w:type="dxa"/>
            <w:vAlign w:val="center"/>
          </w:tcPr>
          <w:p>
            <w:pPr>
              <w:rPr>
                <w:rFonts w:ascii="宋体" w:hAnsi="宋体"/>
                <w:szCs w:val="21"/>
              </w:rPr>
            </w:pPr>
            <w:r>
              <w:rPr>
                <w:rFonts w:ascii="宋体" w:hAnsi="宋体"/>
                <w:szCs w:val="21"/>
              </w:rPr>
              <w:t xml:space="preserve">1． </w:t>
            </w:r>
            <w:r>
              <w:rPr>
                <w:rFonts w:hint="eastAsia" w:ascii="宋体" w:hAnsi="宋体"/>
                <w:szCs w:val="21"/>
              </w:rPr>
              <w:t>上市公司到结算公司上市公司业务部领取十大债券持有人名册、登记证明；</w:t>
            </w:r>
          </w:p>
          <w:p>
            <w:pPr>
              <w:jc w:val="left"/>
              <w:rPr>
                <w:rFonts w:ascii="宋体" w:hAnsi="宋体"/>
                <w:szCs w:val="21"/>
              </w:rPr>
            </w:pPr>
            <w:r>
              <w:rPr>
                <w:rFonts w:ascii="宋体" w:hAnsi="宋体"/>
                <w:szCs w:val="21"/>
              </w:rPr>
              <w:t xml:space="preserve">2． </w:t>
            </w:r>
            <w:r>
              <w:rPr>
                <w:rFonts w:hint="eastAsia" w:ascii="宋体" w:hAnsi="宋体"/>
                <w:szCs w:val="21"/>
              </w:rPr>
              <w:t>上市公司（或保荐人）向创业板公司管理部报送书面和电子的上市申请文件，包括：</w:t>
            </w:r>
          </w:p>
          <w:p>
            <w:pPr>
              <w:numPr>
                <w:ilvl w:val="0"/>
                <w:numId w:val="5"/>
              </w:numPr>
              <w:jc w:val="left"/>
              <w:rPr>
                <w:rFonts w:ascii="宋体" w:hAnsi="宋体"/>
                <w:szCs w:val="21"/>
              </w:rPr>
            </w:pPr>
            <w:r>
              <w:rPr>
                <w:rFonts w:hint="eastAsia" w:ascii="宋体" w:hAnsi="宋体"/>
                <w:szCs w:val="21"/>
              </w:rPr>
              <w:t>上市报告书（申请书）；（报备）</w:t>
            </w:r>
          </w:p>
          <w:p>
            <w:pPr>
              <w:numPr>
                <w:ilvl w:val="0"/>
                <w:numId w:val="5"/>
              </w:numPr>
              <w:jc w:val="left"/>
              <w:rPr>
                <w:rFonts w:ascii="宋体" w:hAnsi="宋体"/>
                <w:szCs w:val="21"/>
              </w:rPr>
            </w:pPr>
            <w:r>
              <w:rPr>
                <w:rFonts w:hint="eastAsia" w:ascii="宋体" w:hAnsi="宋体"/>
                <w:szCs w:val="21"/>
              </w:rPr>
              <w:t>保荐协议（报备）和保荐人出具的上市保荐书；（上网）</w:t>
            </w:r>
          </w:p>
          <w:p>
            <w:pPr>
              <w:numPr>
                <w:ilvl w:val="0"/>
                <w:numId w:val="5"/>
              </w:numPr>
              <w:jc w:val="left"/>
              <w:rPr>
                <w:rFonts w:ascii="宋体" w:hAnsi="宋体"/>
                <w:szCs w:val="21"/>
              </w:rPr>
            </w:pPr>
            <w:r>
              <w:rPr>
                <w:rFonts w:hint="eastAsia" w:ascii="宋体" w:hAnsi="宋体"/>
                <w:szCs w:val="21"/>
              </w:rPr>
              <w:t>法律意见书；（上网）</w:t>
            </w:r>
          </w:p>
          <w:p>
            <w:pPr>
              <w:numPr>
                <w:ilvl w:val="0"/>
                <w:numId w:val="5"/>
              </w:numPr>
              <w:jc w:val="left"/>
              <w:rPr>
                <w:rFonts w:ascii="宋体" w:hAnsi="宋体"/>
                <w:szCs w:val="21"/>
              </w:rPr>
            </w:pPr>
            <w:r>
              <w:rPr>
                <w:rFonts w:hint="eastAsia" w:ascii="宋体" w:hAnsi="宋体"/>
                <w:szCs w:val="21"/>
              </w:rPr>
              <w:t>发行完成后经会计师事务所出具的验资报告；（报备）</w:t>
            </w:r>
          </w:p>
          <w:p>
            <w:pPr>
              <w:numPr>
                <w:ilvl w:val="0"/>
                <w:numId w:val="5"/>
              </w:numPr>
              <w:jc w:val="left"/>
              <w:rPr>
                <w:rFonts w:ascii="宋体" w:hAnsi="宋体"/>
                <w:szCs w:val="21"/>
              </w:rPr>
            </w:pPr>
            <w:r>
              <w:rPr>
                <w:rFonts w:hint="eastAsia" w:ascii="宋体" w:hAnsi="宋体"/>
                <w:szCs w:val="21"/>
              </w:rPr>
              <w:t>结算公司对可转换公司债券已登记托管的书面确认文件；（报备）</w:t>
            </w:r>
          </w:p>
          <w:p>
            <w:pPr>
              <w:numPr>
                <w:ilvl w:val="0"/>
                <w:numId w:val="5"/>
              </w:numPr>
              <w:jc w:val="left"/>
              <w:rPr>
                <w:rFonts w:ascii="宋体" w:hAnsi="宋体"/>
                <w:szCs w:val="21"/>
              </w:rPr>
            </w:pPr>
            <w:r>
              <w:rPr>
                <w:rFonts w:hint="eastAsia" w:ascii="宋体" w:hAnsi="宋体"/>
                <w:szCs w:val="21"/>
              </w:rPr>
              <w:t>可转债上市公告书；（上网）</w:t>
            </w:r>
          </w:p>
          <w:p>
            <w:pPr>
              <w:numPr>
                <w:ilvl w:val="0"/>
                <w:numId w:val="5"/>
              </w:numPr>
              <w:jc w:val="left"/>
              <w:rPr>
                <w:rFonts w:ascii="宋体" w:hAnsi="宋体"/>
                <w:szCs w:val="21"/>
              </w:rPr>
            </w:pPr>
            <w:r>
              <w:rPr>
                <w:rFonts w:hint="eastAsia" w:ascii="宋体" w:hAnsi="宋体"/>
                <w:szCs w:val="21"/>
              </w:rPr>
              <w:t>公司符合法定的可转债发行条件的说明；（报备）</w:t>
            </w:r>
          </w:p>
          <w:p>
            <w:pPr>
              <w:numPr>
                <w:ilvl w:val="0"/>
                <w:numId w:val="5"/>
              </w:numPr>
              <w:jc w:val="left"/>
              <w:rPr>
                <w:rFonts w:ascii="宋体" w:hAnsi="宋体"/>
                <w:szCs w:val="21"/>
              </w:rPr>
            </w:pPr>
            <w:r>
              <w:rPr>
                <w:rFonts w:hint="eastAsia" w:ascii="宋体" w:hAnsi="宋体"/>
                <w:szCs w:val="21"/>
              </w:rPr>
              <w:t>受托管理协议</w:t>
            </w:r>
          </w:p>
          <w:p>
            <w:pPr>
              <w:numPr>
                <w:ilvl w:val="0"/>
                <w:numId w:val="5"/>
              </w:numPr>
              <w:jc w:val="left"/>
              <w:rPr>
                <w:rFonts w:ascii="宋体" w:hAnsi="宋体"/>
                <w:szCs w:val="21"/>
              </w:rPr>
            </w:pPr>
            <w:r>
              <w:rPr>
                <w:rFonts w:hint="eastAsia" w:ascii="宋体" w:hAnsi="宋体"/>
                <w:szCs w:val="21"/>
              </w:rPr>
              <w:t>无会后事项承诺函（报备）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rPr>
            </w:pPr>
            <w:r>
              <w:rPr>
                <w:rFonts w:hint="eastAsia" w:ascii="宋体" w:hAnsi="宋体"/>
                <w:szCs w:val="21"/>
              </w:rPr>
              <w:t>12</w:t>
            </w:r>
          </w:p>
        </w:tc>
        <w:tc>
          <w:tcPr>
            <w:tcW w:w="1280" w:type="dxa"/>
            <w:vAlign w:val="center"/>
          </w:tcPr>
          <w:p>
            <w:pPr>
              <w:jc w:val="center"/>
              <w:rPr>
                <w:rFonts w:ascii="宋体" w:hAnsi="宋体"/>
                <w:b/>
                <w:bCs/>
                <w:szCs w:val="21"/>
              </w:rPr>
            </w:pPr>
            <w:r>
              <w:rPr>
                <w:rFonts w:hint="eastAsia" w:ascii="宋体" w:hAnsi="宋体"/>
                <w:b/>
                <w:bCs/>
                <w:szCs w:val="21"/>
              </w:rPr>
              <w:t>披露上市公告</w:t>
            </w:r>
          </w:p>
        </w:tc>
        <w:tc>
          <w:tcPr>
            <w:tcW w:w="1762" w:type="dxa"/>
            <w:vAlign w:val="center"/>
          </w:tcPr>
          <w:p>
            <w:pPr>
              <w:jc w:val="center"/>
              <w:rPr>
                <w:rFonts w:ascii="宋体" w:hAnsi="宋体"/>
                <w:szCs w:val="21"/>
              </w:rPr>
            </w:pPr>
            <w:r>
              <w:rPr>
                <w:rFonts w:ascii="宋体" w:hAnsi="宋体"/>
                <w:szCs w:val="21"/>
              </w:rPr>
              <w:t>L-5-</w:t>
            </w:r>
            <w:r>
              <w:rPr>
                <w:rFonts w:hint="eastAsia" w:ascii="宋体" w:hAnsi="宋体"/>
                <w:szCs w:val="21"/>
              </w:rPr>
              <w:t>L-1日</w:t>
            </w:r>
          </w:p>
        </w:tc>
        <w:tc>
          <w:tcPr>
            <w:tcW w:w="4711" w:type="dxa"/>
            <w:vAlign w:val="center"/>
          </w:tcPr>
          <w:p>
            <w:pPr>
              <w:rPr>
                <w:rFonts w:ascii="宋体" w:hAnsi="宋体"/>
                <w:szCs w:val="21"/>
              </w:rPr>
            </w:pPr>
            <w:r>
              <w:rPr>
                <w:rFonts w:hint="eastAsia" w:ascii="宋体" w:hAnsi="宋体"/>
                <w:szCs w:val="21"/>
              </w:rPr>
              <w:t>《可转债上市公告》上网、上市保荐书、法律意见书上网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69" w:type="dxa"/>
            <w:vAlign w:val="center"/>
          </w:tcPr>
          <w:p>
            <w:pPr>
              <w:jc w:val="center"/>
              <w:rPr>
                <w:rFonts w:ascii="宋体" w:hAnsi="宋体"/>
                <w:szCs w:val="21"/>
              </w:rPr>
            </w:pPr>
            <w:r>
              <w:rPr>
                <w:rFonts w:ascii="宋体" w:hAnsi="宋体"/>
                <w:szCs w:val="21"/>
              </w:rPr>
              <w:t>1</w:t>
            </w:r>
            <w:r>
              <w:rPr>
                <w:rFonts w:hint="eastAsia" w:ascii="宋体" w:hAnsi="宋体"/>
                <w:szCs w:val="21"/>
              </w:rPr>
              <w:t>3</w:t>
            </w:r>
          </w:p>
        </w:tc>
        <w:tc>
          <w:tcPr>
            <w:tcW w:w="1280" w:type="dxa"/>
            <w:vAlign w:val="center"/>
          </w:tcPr>
          <w:p>
            <w:pPr>
              <w:jc w:val="center"/>
              <w:rPr>
                <w:rFonts w:ascii="宋体" w:hAnsi="宋体"/>
                <w:b/>
                <w:bCs/>
                <w:szCs w:val="21"/>
              </w:rPr>
            </w:pPr>
            <w:r>
              <w:rPr>
                <w:rFonts w:hint="eastAsia" w:ascii="宋体" w:hAnsi="宋体"/>
                <w:b/>
                <w:bCs/>
                <w:szCs w:val="21"/>
              </w:rPr>
              <w:t>上市</w:t>
            </w:r>
          </w:p>
        </w:tc>
        <w:tc>
          <w:tcPr>
            <w:tcW w:w="1762" w:type="dxa"/>
            <w:vAlign w:val="center"/>
          </w:tcPr>
          <w:p>
            <w:pPr>
              <w:jc w:val="center"/>
              <w:rPr>
                <w:rFonts w:ascii="宋体" w:hAnsi="宋体"/>
                <w:szCs w:val="21"/>
              </w:rPr>
            </w:pPr>
            <w:r>
              <w:rPr>
                <w:rFonts w:hint="eastAsia" w:ascii="宋体" w:hAnsi="宋体"/>
                <w:szCs w:val="21"/>
              </w:rPr>
              <w:t>L日</w:t>
            </w:r>
          </w:p>
        </w:tc>
        <w:tc>
          <w:tcPr>
            <w:tcW w:w="4711" w:type="dxa"/>
            <w:vAlign w:val="center"/>
          </w:tcPr>
          <w:p>
            <w:pPr>
              <w:rPr>
                <w:rFonts w:ascii="宋体" w:hAnsi="宋体"/>
                <w:szCs w:val="21"/>
              </w:rPr>
            </w:pPr>
            <w:r>
              <w:rPr>
                <w:rFonts w:hint="eastAsia" w:ascii="宋体" w:hAnsi="宋体"/>
                <w:szCs w:val="21"/>
              </w:rPr>
              <w:t>可转债上市交易</w:t>
            </w:r>
          </w:p>
        </w:tc>
      </w:tr>
    </w:tbl>
    <w:p>
      <w:pPr>
        <w:spacing w:line="560" w:lineRule="exact"/>
        <w:rPr>
          <w:rFonts w:ascii="方正仿宋简体" w:eastAsia="方正仿宋简体"/>
          <w:b/>
          <w:sz w:val="28"/>
          <w:szCs w:val="28"/>
        </w:rPr>
      </w:pPr>
    </w:p>
    <w:p>
      <w:pPr>
        <w:widowControl/>
        <w:jc w:val="left"/>
        <w:rPr>
          <w:rFonts w:ascii="黑体" w:hAnsi="黑体" w:eastAsia="黑体"/>
          <w:b/>
          <w:sz w:val="32"/>
          <w:szCs w:val="32"/>
        </w:rPr>
      </w:pPr>
      <w:r>
        <w:rPr>
          <w:rFonts w:ascii="方正仿宋简体" w:eastAsia="方正仿宋简体"/>
          <w:b/>
          <w:sz w:val="28"/>
          <w:szCs w:val="28"/>
        </w:rPr>
        <w:br w:type="page"/>
      </w:r>
      <w:r>
        <w:rPr>
          <w:rFonts w:hint="eastAsia" w:ascii="黑体" w:hAnsi="黑体" w:eastAsia="黑体"/>
          <w:b/>
          <w:sz w:val="32"/>
          <w:szCs w:val="32"/>
        </w:rPr>
        <w:t>附件2</w:t>
      </w:r>
    </w:p>
    <w:p>
      <w:pPr>
        <w:spacing w:line="560" w:lineRule="exact"/>
        <w:ind w:firstLine="1260" w:firstLineChars="450"/>
        <w:rPr>
          <w:rFonts w:ascii="方正仿宋简体" w:eastAsia="方正仿宋简体"/>
          <w:sz w:val="28"/>
          <w:u w:val="single"/>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u w:val="single"/>
        </w:rPr>
        <w:t xml:space="preserve">              </w:t>
      </w:r>
      <w:r>
        <w:rPr>
          <w:rFonts w:hint="eastAsia" w:ascii="方正小标宋简体" w:hAnsi="黑体" w:eastAsia="方正小标宋简体"/>
          <w:b/>
          <w:bCs/>
          <w:color w:val="000000"/>
          <w:sz w:val="32"/>
          <w:szCs w:val="32"/>
        </w:rPr>
        <w:t>股份有限公司可转债发行申请书</w:t>
      </w:r>
    </w:p>
    <w:p>
      <w:pPr>
        <w:spacing w:line="560" w:lineRule="exact"/>
        <w:rPr>
          <w:rFonts w:ascii="方正仿宋简体" w:eastAsia="方正仿宋简体"/>
          <w:b/>
          <w:bCs/>
        </w:rPr>
      </w:pPr>
    </w:p>
    <w:p>
      <w:pPr>
        <w:spacing w:line="560" w:lineRule="exact"/>
        <w:rPr>
          <w:rFonts w:ascii="仿宋" w:hAnsi="仿宋" w:eastAsia="仿宋"/>
          <w:b/>
          <w:bCs/>
          <w:sz w:val="32"/>
          <w:szCs w:val="32"/>
        </w:rPr>
      </w:pPr>
      <w:r>
        <w:rPr>
          <w:rFonts w:hint="eastAsia" w:ascii="仿宋" w:hAnsi="仿宋" w:eastAsia="仿宋"/>
          <w:b/>
          <w:bCs/>
          <w:sz w:val="32"/>
          <w:szCs w:val="32"/>
        </w:rPr>
        <w:t>深圳证券交易所：</w:t>
      </w:r>
    </w:p>
    <w:p>
      <w:pPr>
        <w:adjustRightInd w:val="0"/>
        <w:snapToGrid w:val="0"/>
        <w:spacing w:line="560" w:lineRule="exact"/>
        <w:ind w:firstLine="640" w:firstLineChars="200"/>
        <w:rPr>
          <w:rFonts w:ascii="仿宋" w:hAnsi="仿宋" w:eastAsia="仿宋"/>
          <w:sz w:val="32"/>
          <w:szCs w:val="32"/>
        </w:rPr>
      </w:pPr>
      <w:r>
        <w:rPr>
          <w:rFonts w:ascii="仿宋" w:hAnsi="仿宋" w:eastAsia="仿宋"/>
          <w:sz w:val="32"/>
          <w:szCs w:val="32"/>
          <w:u w:val="single"/>
        </w:rPr>
        <w:t xml:space="preserve">               </w:t>
      </w:r>
      <w:r>
        <w:rPr>
          <w:rFonts w:hint="eastAsia" w:ascii="仿宋" w:hAnsi="仿宋" w:eastAsia="仿宋"/>
          <w:sz w:val="32"/>
          <w:szCs w:val="32"/>
        </w:rPr>
        <w:t>股份有限公司发行可转债</w:t>
      </w:r>
      <w:r>
        <w:rPr>
          <w:rFonts w:ascii="仿宋" w:hAnsi="仿宋" w:eastAsia="仿宋"/>
          <w:sz w:val="32"/>
          <w:szCs w:val="32"/>
          <w:u w:val="single"/>
        </w:rPr>
        <w:t xml:space="preserve">      </w:t>
      </w:r>
      <w:r>
        <w:rPr>
          <w:rFonts w:hint="eastAsia" w:ascii="仿宋" w:hAnsi="仿宋" w:eastAsia="仿宋"/>
          <w:sz w:val="32"/>
          <w:szCs w:val="32"/>
        </w:rPr>
        <w:t>万元人民币的申请已获中国证监会</w:t>
      </w:r>
      <w:r>
        <w:rPr>
          <w:rFonts w:ascii="仿宋" w:hAnsi="仿宋" w:eastAsia="仿宋"/>
          <w:sz w:val="32"/>
          <w:szCs w:val="32"/>
          <w:u w:val="single"/>
        </w:rPr>
        <w:t xml:space="preserve">       </w:t>
      </w:r>
      <w:r>
        <w:rPr>
          <w:rFonts w:hint="eastAsia" w:ascii="仿宋" w:hAnsi="仿宋" w:eastAsia="仿宋"/>
          <w:sz w:val="32"/>
          <w:szCs w:val="32"/>
        </w:rPr>
        <w:t>号文予以注册。主承销商和上市公司申请于</w:t>
      </w:r>
      <w:r>
        <w:rPr>
          <w:rFonts w:ascii="仿宋" w:hAnsi="仿宋" w:eastAsia="仿宋"/>
          <w:sz w:val="32"/>
          <w:szCs w:val="32"/>
          <w:u w:val="single"/>
        </w:rPr>
        <w:t xml:space="preserve">     </w:t>
      </w:r>
      <w:r>
        <w:rPr>
          <w:rFonts w:hint="eastAsia" w:ascii="仿宋" w:hAnsi="仿宋" w:eastAsia="仿宋"/>
          <w:sz w:val="32"/>
          <w:szCs w:val="32"/>
        </w:rPr>
        <w:t>年</w:t>
      </w:r>
      <w:r>
        <w:rPr>
          <w:rFonts w:ascii="仿宋" w:hAnsi="仿宋" w:eastAsia="仿宋"/>
          <w:sz w:val="32"/>
          <w:szCs w:val="32"/>
          <w:u w:val="single"/>
        </w:rPr>
        <w:t xml:space="preserve">   </w:t>
      </w:r>
      <w:r>
        <w:rPr>
          <w:rFonts w:hint="eastAsia" w:ascii="仿宋" w:hAnsi="仿宋" w:eastAsia="仿宋"/>
          <w:sz w:val="32"/>
          <w:szCs w:val="32"/>
        </w:rPr>
        <w:t>月</w:t>
      </w:r>
      <w:r>
        <w:rPr>
          <w:rFonts w:ascii="仿宋" w:hAnsi="仿宋" w:eastAsia="仿宋"/>
          <w:sz w:val="32"/>
          <w:szCs w:val="32"/>
          <w:u w:val="single"/>
        </w:rPr>
        <w:t xml:space="preserve">  </w:t>
      </w:r>
      <w:r>
        <w:rPr>
          <w:rFonts w:hint="eastAsia" w:ascii="仿宋" w:hAnsi="仿宋" w:eastAsia="仿宋"/>
          <w:sz w:val="32"/>
          <w:szCs w:val="32"/>
        </w:rPr>
        <w:t xml:space="preserve">日通过贵所证券交易系统资金申购上网定价发行本次“ </w:t>
      </w:r>
      <w:r>
        <w:rPr>
          <w:rFonts w:ascii="仿宋" w:hAnsi="仿宋" w:eastAsia="仿宋"/>
          <w:sz w:val="32"/>
          <w:szCs w:val="32"/>
          <w:u w:val="single"/>
        </w:rPr>
        <w:t xml:space="preserve">              </w:t>
      </w:r>
      <w:r>
        <w:rPr>
          <w:rFonts w:hint="eastAsia" w:ascii="仿宋" w:hAnsi="仿宋" w:eastAsia="仿宋"/>
          <w:sz w:val="32"/>
          <w:szCs w:val="32"/>
        </w:rPr>
        <w:t>”可转债，可转债的申购简称拟定为“</w:t>
      </w:r>
      <w:r>
        <w:rPr>
          <w:rFonts w:ascii="仿宋" w:hAnsi="仿宋" w:eastAsia="仿宋"/>
          <w:sz w:val="32"/>
          <w:szCs w:val="32"/>
          <w:u w:val="single"/>
        </w:rPr>
        <w:t xml:space="preserve">                </w:t>
      </w:r>
      <w:r>
        <w:rPr>
          <w:rFonts w:hint="eastAsia" w:ascii="仿宋" w:hAnsi="仿宋" w:eastAsia="仿宋"/>
          <w:sz w:val="32"/>
          <w:szCs w:val="32"/>
        </w:rPr>
        <w:t>”。我们承诺按照贵所要求做好本次发行工作。</w:t>
      </w:r>
    </w:p>
    <w:p>
      <w:pPr>
        <w:spacing w:line="560" w:lineRule="exact"/>
        <w:rPr>
          <w:rFonts w:ascii="方正仿宋简体" w:eastAsia="方正仿宋简体"/>
          <w:b/>
          <w:bCs/>
          <w:sz w:val="24"/>
        </w:rPr>
      </w:pPr>
    </w:p>
    <w:p>
      <w:pPr>
        <w:spacing w:line="560" w:lineRule="exact"/>
        <w:ind w:firstLine="4504" w:firstLineChars="1877"/>
        <w:rPr>
          <w:rFonts w:ascii="方正仿宋简体" w:eastAsia="方正仿宋简体"/>
          <w:sz w:val="24"/>
        </w:rPr>
      </w:pPr>
      <w:r>
        <w:rPr>
          <w:rFonts w:ascii="方正仿宋简体" w:eastAsia="方正仿宋简体"/>
          <w:sz w:val="24"/>
        </w:rPr>
        <w:t xml:space="preserve">    </w:t>
      </w:r>
    </w:p>
    <w:p>
      <w:pPr>
        <w:spacing w:line="560" w:lineRule="exact"/>
        <w:ind w:firstLine="3840" w:firstLineChars="1200"/>
        <w:rPr>
          <w:rFonts w:ascii="仿宋" w:hAnsi="仿宋" w:eastAsia="仿宋"/>
          <w:sz w:val="32"/>
          <w:szCs w:val="32"/>
          <w:u w:val="single"/>
        </w:rPr>
      </w:pPr>
      <w:r>
        <w:rPr>
          <w:rFonts w:hint="eastAsia" w:ascii="仿宋" w:hAnsi="仿宋" w:eastAsia="仿宋"/>
          <w:sz w:val="32"/>
          <w:szCs w:val="32"/>
        </w:rPr>
        <w:t xml:space="preserve"> 上市公司：</w:t>
      </w:r>
      <w:r>
        <w:rPr>
          <w:rFonts w:ascii="仿宋" w:hAnsi="仿宋" w:eastAsia="仿宋"/>
          <w:sz w:val="32"/>
          <w:szCs w:val="32"/>
          <w:u w:val="single"/>
        </w:rPr>
        <w:t xml:space="preserve">                </w:t>
      </w:r>
    </w:p>
    <w:p>
      <w:pPr>
        <w:spacing w:line="560" w:lineRule="exact"/>
        <w:ind w:firstLine="3840" w:firstLineChars="1200"/>
        <w:rPr>
          <w:rFonts w:ascii="仿宋" w:hAnsi="仿宋" w:eastAsia="仿宋"/>
          <w:sz w:val="32"/>
          <w:szCs w:val="32"/>
        </w:rPr>
      </w:pPr>
      <w:r>
        <w:rPr>
          <w:rFonts w:hint="eastAsia" w:ascii="仿宋" w:hAnsi="仿宋" w:eastAsia="仿宋"/>
          <w:sz w:val="32"/>
          <w:szCs w:val="32"/>
        </w:rPr>
        <w:t>（加盖公章）</w:t>
      </w:r>
    </w:p>
    <w:p>
      <w:pPr>
        <w:spacing w:line="560" w:lineRule="exact"/>
        <w:ind w:firstLine="3840" w:firstLineChars="1200"/>
        <w:rPr>
          <w:rFonts w:ascii="仿宋" w:hAnsi="仿宋" w:eastAsia="仿宋"/>
          <w:sz w:val="32"/>
          <w:szCs w:val="32"/>
        </w:rPr>
      </w:pPr>
      <w:r>
        <w:rPr>
          <w:rFonts w:ascii="仿宋" w:hAnsi="仿宋" w:eastAsia="仿宋"/>
          <w:sz w:val="32"/>
          <w:szCs w:val="32"/>
        </w:rPr>
        <w:t xml:space="preserve">    </w:t>
      </w:r>
      <w:r>
        <w:rPr>
          <w:rFonts w:ascii="仿宋" w:hAnsi="仿宋" w:eastAsia="仿宋"/>
          <w:sz w:val="32"/>
          <w:szCs w:val="32"/>
          <w:u w:val="single"/>
        </w:rPr>
        <w:t xml:space="preserve">    </w:t>
      </w:r>
      <w:r>
        <w:rPr>
          <w:rFonts w:hint="eastAsia" w:ascii="仿宋" w:hAnsi="仿宋" w:eastAsia="仿宋"/>
          <w:sz w:val="32"/>
          <w:szCs w:val="32"/>
        </w:rPr>
        <w:t>年</w:t>
      </w:r>
      <w:r>
        <w:rPr>
          <w:rFonts w:ascii="仿宋" w:hAnsi="仿宋" w:eastAsia="仿宋"/>
          <w:sz w:val="32"/>
          <w:szCs w:val="32"/>
          <w:u w:val="single"/>
        </w:rPr>
        <w:t xml:space="preserve">    </w:t>
      </w:r>
      <w:r>
        <w:rPr>
          <w:rFonts w:hint="eastAsia" w:ascii="仿宋" w:hAnsi="仿宋" w:eastAsia="仿宋"/>
          <w:sz w:val="32"/>
          <w:szCs w:val="32"/>
        </w:rPr>
        <w:t xml:space="preserve">月 </w:t>
      </w:r>
      <w:r>
        <w:rPr>
          <w:rFonts w:ascii="仿宋" w:hAnsi="仿宋" w:eastAsia="仿宋"/>
          <w:sz w:val="32"/>
          <w:szCs w:val="32"/>
          <w:u w:val="single"/>
        </w:rPr>
        <w:t xml:space="preserve">   </w:t>
      </w:r>
      <w:r>
        <w:rPr>
          <w:rFonts w:hint="eastAsia" w:ascii="仿宋" w:hAnsi="仿宋" w:eastAsia="仿宋"/>
          <w:sz w:val="32"/>
          <w:szCs w:val="32"/>
        </w:rPr>
        <w:t>日</w:t>
      </w:r>
    </w:p>
    <w:p>
      <w:pPr>
        <w:spacing w:line="560" w:lineRule="exact"/>
        <w:ind w:firstLine="3840" w:firstLineChars="1200"/>
        <w:rPr>
          <w:rFonts w:ascii="仿宋" w:hAnsi="仿宋" w:eastAsia="仿宋"/>
          <w:sz w:val="32"/>
          <w:szCs w:val="32"/>
        </w:rPr>
      </w:pPr>
    </w:p>
    <w:p>
      <w:pPr>
        <w:spacing w:line="560" w:lineRule="exact"/>
        <w:ind w:firstLine="3840" w:firstLineChars="1200"/>
        <w:rPr>
          <w:rFonts w:ascii="仿宋" w:hAnsi="仿宋" w:eastAsia="仿宋"/>
          <w:sz w:val="32"/>
          <w:szCs w:val="32"/>
        </w:rPr>
      </w:pPr>
    </w:p>
    <w:p>
      <w:pPr>
        <w:spacing w:line="560" w:lineRule="exact"/>
        <w:ind w:firstLine="3840" w:firstLineChars="1200"/>
        <w:rPr>
          <w:rFonts w:ascii="仿宋" w:hAnsi="仿宋" w:eastAsia="仿宋"/>
          <w:sz w:val="32"/>
          <w:szCs w:val="32"/>
          <w:u w:val="single"/>
        </w:rPr>
      </w:pPr>
      <w:r>
        <w:rPr>
          <w:rFonts w:hint="eastAsia" w:ascii="仿宋" w:hAnsi="仿宋" w:eastAsia="仿宋"/>
          <w:sz w:val="32"/>
          <w:szCs w:val="32"/>
        </w:rPr>
        <w:t>主承销商：</w:t>
      </w:r>
      <w:r>
        <w:rPr>
          <w:rFonts w:ascii="仿宋" w:hAnsi="仿宋" w:eastAsia="仿宋"/>
          <w:sz w:val="32"/>
          <w:szCs w:val="32"/>
          <w:u w:val="single"/>
        </w:rPr>
        <w:t xml:space="preserve">                </w:t>
      </w:r>
    </w:p>
    <w:p>
      <w:pPr>
        <w:spacing w:line="560" w:lineRule="exact"/>
        <w:ind w:firstLine="3840" w:firstLineChars="1200"/>
        <w:rPr>
          <w:rFonts w:ascii="仿宋" w:hAnsi="仿宋" w:eastAsia="仿宋"/>
          <w:sz w:val="32"/>
          <w:szCs w:val="32"/>
        </w:rPr>
      </w:pPr>
      <w:r>
        <w:rPr>
          <w:rFonts w:hint="eastAsia" w:ascii="仿宋" w:hAnsi="仿宋" w:eastAsia="仿宋"/>
          <w:sz w:val="32"/>
          <w:szCs w:val="32"/>
        </w:rPr>
        <w:t>（加盖公章）</w:t>
      </w:r>
    </w:p>
    <w:p>
      <w:pPr>
        <w:spacing w:line="560" w:lineRule="exact"/>
        <w:ind w:firstLine="3840" w:firstLineChars="1200"/>
        <w:rPr>
          <w:rFonts w:ascii="仿宋" w:hAnsi="仿宋" w:eastAsia="仿宋"/>
          <w:sz w:val="32"/>
          <w:szCs w:val="32"/>
        </w:rPr>
      </w:pPr>
      <w:r>
        <w:rPr>
          <w:rFonts w:ascii="仿宋" w:hAnsi="仿宋" w:eastAsia="仿宋"/>
          <w:sz w:val="32"/>
          <w:szCs w:val="32"/>
        </w:rPr>
        <w:t xml:space="preserve">    </w:t>
      </w:r>
      <w:r>
        <w:rPr>
          <w:rFonts w:ascii="仿宋" w:hAnsi="仿宋" w:eastAsia="仿宋"/>
          <w:sz w:val="32"/>
          <w:szCs w:val="32"/>
          <w:u w:val="single"/>
        </w:rPr>
        <w:t xml:space="preserve">    </w:t>
      </w:r>
      <w:r>
        <w:rPr>
          <w:rFonts w:hint="eastAsia" w:ascii="仿宋" w:hAnsi="仿宋" w:eastAsia="仿宋"/>
          <w:sz w:val="32"/>
          <w:szCs w:val="32"/>
        </w:rPr>
        <w:t>年</w:t>
      </w:r>
      <w:r>
        <w:rPr>
          <w:rFonts w:ascii="仿宋" w:hAnsi="仿宋" w:eastAsia="仿宋"/>
          <w:sz w:val="32"/>
          <w:szCs w:val="32"/>
          <w:u w:val="single"/>
        </w:rPr>
        <w:t xml:space="preserve">    </w:t>
      </w:r>
      <w:r>
        <w:rPr>
          <w:rFonts w:hint="eastAsia" w:ascii="仿宋" w:hAnsi="仿宋" w:eastAsia="仿宋"/>
          <w:sz w:val="32"/>
          <w:szCs w:val="32"/>
        </w:rPr>
        <w:t xml:space="preserve">月 </w:t>
      </w:r>
      <w:r>
        <w:rPr>
          <w:rFonts w:ascii="仿宋" w:hAnsi="仿宋" w:eastAsia="仿宋"/>
          <w:sz w:val="32"/>
          <w:szCs w:val="32"/>
          <w:u w:val="single"/>
        </w:rPr>
        <w:t xml:space="preserve">   </w:t>
      </w:r>
      <w:r>
        <w:rPr>
          <w:rFonts w:hint="eastAsia" w:ascii="仿宋" w:hAnsi="仿宋" w:eastAsia="仿宋"/>
          <w:sz w:val="32"/>
          <w:szCs w:val="32"/>
        </w:rPr>
        <w:t>日</w:t>
      </w:r>
    </w:p>
    <w:p>
      <w:pPr>
        <w:spacing w:line="560" w:lineRule="exact"/>
        <w:rPr>
          <w:rFonts w:ascii="方正仿宋简体" w:eastAsia="方正仿宋简体"/>
        </w:rPr>
      </w:pPr>
    </w:p>
    <w:p>
      <w:pPr>
        <w:spacing w:line="560" w:lineRule="exact"/>
        <w:rPr>
          <w:rFonts w:ascii="方正仿宋简体" w:eastAsia="方正仿宋简体"/>
          <w:b/>
          <w:bCs/>
        </w:rPr>
      </w:pPr>
    </w:p>
    <w:p>
      <w:pPr>
        <w:spacing w:line="560" w:lineRule="exact"/>
        <w:rPr>
          <w:rFonts w:ascii="方正仿宋简体" w:eastAsia="方正仿宋简体"/>
          <w:b/>
          <w:bCs/>
        </w:rPr>
      </w:pPr>
    </w:p>
    <w:p>
      <w:pPr>
        <w:widowControl/>
        <w:jc w:val="left"/>
        <w:rPr>
          <w:rFonts w:ascii="方正仿宋简体" w:eastAsia="方正仿宋简体"/>
        </w:rPr>
      </w:pPr>
      <w:r>
        <w:rPr>
          <w:rFonts w:ascii="方正仿宋简体" w:eastAsia="方正仿宋简体"/>
        </w:rPr>
        <w:br w:type="page"/>
      </w:r>
      <w:r>
        <w:rPr>
          <w:rFonts w:hint="eastAsia" w:ascii="黑体" w:hAnsi="黑体" w:eastAsia="黑体"/>
          <w:b/>
          <w:sz w:val="32"/>
          <w:szCs w:val="32"/>
        </w:rPr>
        <w:t>附件3</w:t>
      </w:r>
    </w:p>
    <w:p>
      <w:pPr>
        <w:spacing w:line="560" w:lineRule="exact"/>
        <w:rPr>
          <w:rFonts w:ascii="方正仿宋简体" w:eastAsia="方正仿宋简体"/>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拟上市公司证券简称及证券代码申请书</w:t>
      </w:r>
    </w:p>
    <w:p>
      <w:pPr>
        <w:spacing w:line="560" w:lineRule="exact"/>
        <w:rPr>
          <w:rFonts w:ascii="方正仿宋简体" w:eastAsia="方正仿宋简体"/>
        </w:rPr>
      </w:pPr>
    </w:p>
    <w:p>
      <w:pPr>
        <w:spacing w:line="560" w:lineRule="exact"/>
        <w:jc w:val="center"/>
        <w:rPr>
          <w:rFonts w:ascii="黑体" w:hAnsi="黑体" w:eastAsia="黑体"/>
          <w:b/>
          <w:bCs/>
          <w:sz w:val="32"/>
          <w:szCs w:val="32"/>
        </w:rPr>
      </w:pPr>
      <w:r>
        <w:rPr>
          <w:rFonts w:hint="eastAsia" w:ascii="黑体" w:hAnsi="黑体" w:eastAsia="黑体"/>
          <w:b/>
          <w:bCs/>
          <w:sz w:val="32"/>
          <w:szCs w:val="32"/>
        </w:rPr>
        <w:t>关于</w:t>
      </w:r>
      <w:r>
        <w:rPr>
          <w:rFonts w:ascii="黑体" w:hAnsi="黑体" w:eastAsia="黑体"/>
          <w:b/>
          <w:bCs/>
          <w:sz w:val="32"/>
          <w:szCs w:val="32"/>
          <w:u w:val="single"/>
        </w:rPr>
        <w:t xml:space="preserve">                 </w:t>
      </w:r>
      <w:r>
        <w:rPr>
          <w:rFonts w:hint="eastAsia" w:ascii="黑体" w:hAnsi="黑体" w:eastAsia="黑体"/>
          <w:b/>
          <w:bCs/>
          <w:sz w:val="32"/>
          <w:szCs w:val="32"/>
        </w:rPr>
        <w:t>公司证券简称及证券代码的申请</w:t>
      </w:r>
    </w:p>
    <w:p>
      <w:pPr>
        <w:spacing w:line="560" w:lineRule="exact"/>
        <w:jc w:val="center"/>
        <w:rPr>
          <w:rFonts w:ascii="方正仿宋简体" w:eastAsia="方正仿宋简体"/>
          <w:b/>
          <w:bCs/>
          <w:sz w:val="24"/>
        </w:rPr>
      </w:pPr>
    </w:p>
    <w:p>
      <w:pPr>
        <w:spacing w:line="560" w:lineRule="exact"/>
        <w:rPr>
          <w:rFonts w:ascii="仿宋" w:hAnsi="仿宋" w:eastAsia="仿宋"/>
          <w:b/>
          <w:bCs/>
          <w:sz w:val="32"/>
          <w:szCs w:val="32"/>
        </w:rPr>
      </w:pPr>
      <w:r>
        <w:rPr>
          <w:rFonts w:hint="eastAsia" w:ascii="仿宋" w:hAnsi="仿宋" w:eastAsia="仿宋"/>
          <w:b/>
          <w:bCs/>
          <w:sz w:val="32"/>
          <w:szCs w:val="32"/>
        </w:rPr>
        <w:t>深圳证券交易所创业板公司管理部：</w:t>
      </w:r>
    </w:p>
    <w:p>
      <w:pPr>
        <w:spacing w:line="560" w:lineRule="exact"/>
        <w:ind w:firstLine="662" w:firstLineChars="207"/>
        <w:rPr>
          <w:rFonts w:ascii="仿宋" w:hAnsi="仿宋" w:eastAsia="仿宋"/>
          <w:sz w:val="32"/>
          <w:szCs w:val="32"/>
        </w:rPr>
      </w:pPr>
      <w:r>
        <w:rPr>
          <w:rFonts w:hint="eastAsia" w:ascii="仿宋" w:hAnsi="仿宋" w:eastAsia="仿宋"/>
          <w:sz w:val="32"/>
          <w:szCs w:val="32"/>
        </w:rPr>
        <w:t>根据中国证监会</w:t>
      </w:r>
      <w:r>
        <w:rPr>
          <w:rFonts w:ascii="仿宋" w:hAnsi="仿宋" w:eastAsia="仿宋"/>
          <w:sz w:val="32"/>
          <w:szCs w:val="32"/>
          <w:u w:val="single"/>
        </w:rPr>
        <w:t xml:space="preserve">       </w:t>
      </w:r>
      <w:r>
        <w:rPr>
          <w:rFonts w:hint="eastAsia" w:ascii="仿宋" w:hAnsi="仿宋" w:eastAsia="仿宋"/>
          <w:sz w:val="32"/>
          <w:szCs w:val="32"/>
        </w:rPr>
        <w:t>号文予以注册，我公司将于</w:t>
      </w:r>
      <w:r>
        <w:rPr>
          <w:rFonts w:ascii="仿宋" w:hAnsi="仿宋" w:eastAsia="仿宋"/>
          <w:sz w:val="32"/>
          <w:szCs w:val="32"/>
        </w:rPr>
        <w:t xml:space="preserve">     </w:t>
      </w:r>
      <w:r>
        <w:rPr>
          <w:rFonts w:hint="eastAsia" w:ascii="仿宋" w:hAnsi="仿宋" w:eastAsia="仿宋"/>
          <w:sz w:val="32"/>
          <w:szCs w:val="32"/>
        </w:rPr>
        <w:t>年</w:t>
      </w:r>
      <w:r>
        <w:rPr>
          <w:rFonts w:ascii="仿宋" w:hAnsi="仿宋" w:eastAsia="仿宋"/>
          <w:sz w:val="32"/>
          <w:szCs w:val="32"/>
        </w:rPr>
        <w:t xml:space="preserve">   </w:t>
      </w:r>
      <w:r>
        <w:rPr>
          <w:rFonts w:hint="eastAsia" w:ascii="仿宋" w:hAnsi="仿宋" w:eastAsia="仿宋"/>
          <w:sz w:val="32"/>
          <w:szCs w:val="32"/>
        </w:rPr>
        <w:t>月</w:t>
      </w:r>
      <w:r>
        <w:rPr>
          <w:rFonts w:ascii="仿宋" w:hAnsi="仿宋" w:eastAsia="仿宋"/>
          <w:sz w:val="32"/>
          <w:szCs w:val="32"/>
        </w:rPr>
        <w:t xml:space="preserve">   </w:t>
      </w:r>
      <w:r>
        <w:rPr>
          <w:rFonts w:hint="eastAsia" w:ascii="仿宋" w:hAnsi="仿宋" w:eastAsia="仿宋"/>
          <w:sz w:val="32"/>
          <w:szCs w:val="32"/>
        </w:rPr>
        <w:t>日</w:t>
      </w:r>
      <w:r>
        <w:rPr>
          <w:rFonts w:ascii="仿宋" w:hAnsi="仿宋" w:eastAsia="仿宋"/>
          <w:sz w:val="32"/>
          <w:szCs w:val="32"/>
        </w:rPr>
        <w:t xml:space="preserve">  </w:t>
      </w:r>
      <w:r>
        <w:rPr>
          <w:rFonts w:hint="eastAsia" w:ascii="仿宋" w:hAnsi="仿宋" w:eastAsia="仿宋"/>
          <w:sz w:val="32"/>
          <w:szCs w:val="32"/>
        </w:rPr>
        <w:t>正式发行（首发、增发、可转换公司债券、其他），发行方式为</w:t>
      </w:r>
      <w:r>
        <w:rPr>
          <w:rFonts w:ascii="仿宋" w:hAnsi="仿宋" w:eastAsia="仿宋"/>
          <w:sz w:val="32"/>
          <w:szCs w:val="32"/>
          <w:u w:val="single"/>
        </w:rPr>
        <w:t xml:space="preserve">                 </w:t>
      </w:r>
      <w:r>
        <w:rPr>
          <w:rFonts w:hint="eastAsia" w:ascii="仿宋" w:hAnsi="仿宋" w:eastAsia="仿宋"/>
          <w:sz w:val="32"/>
          <w:szCs w:val="32"/>
        </w:rPr>
        <w:t>。证券（首发股份</w:t>
      </w:r>
      <w:r>
        <w:rPr>
          <w:rFonts w:ascii="仿宋" w:hAnsi="仿宋" w:eastAsia="仿宋"/>
          <w:sz w:val="32"/>
          <w:szCs w:val="32"/>
        </w:rPr>
        <w:t xml:space="preserve">  </w:t>
      </w:r>
      <w:r>
        <w:rPr>
          <w:rFonts w:hint="eastAsia" w:ascii="仿宋" w:hAnsi="仿宋" w:eastAsia="仿宋"/>
          <w:sz w:val="32"/>
          <w:szCs w:val="32"/>
        </w:rPr>
        <w:t>可转换公司债券）的挂牌证券简称拟定为“</w:t>
      </w:r>
      <w:r>
        <w:rPr>
          <w:rFonts w:ascii="仿宋" w:hAnsi="仿宋" w:eastAsia="仿宋"/>
          <w:sz w:val="32"/>
          <w:szCs w:val="32"/>
          <w:u w:val="single"/>
        </w:rPr>
        <w:t xml:space="preserve">                </w:t>
      </w:r>
      <w:r>
        <w:rPr>
          <w:rFonts w:hint="eastAsia" w:ascii="仿宋" w:hAnsi="仿宋" w:eastAsia="仿宋"/>
          <w:sz w:val="32"/>
          <w:szCs w:val="32"/>
        </w:rPr>
        <w:t>”，（增发、可转换债券）的申购名称拟定为“</w:t>
      </w:r>
      <w:r>
        <w:rPr>
          <w:rFonts w:ascii="仿宋" w:hAnsi="仿宋" w:eastAsia="仿宋"/>
          <w:sz w:val="32"/>
          <w:szCs w:val="32"/>
          <w:u w:val="single"/>
        </w:rPr>
        <w:t xml:space="preserve">                </w:t>
      </w:r>
      <w:r>
        <w:rPr>
          <w:rFonts w:hint="eastAsia" w:ascii="仿宋" w:hAnsi="仿宋" w:eastAsia="仿宋"/>
          <w:sz w:val="32"/>
          <w:szCs w:val="32"/>
        </w:rPr>
        <w:t>”，（增发、可转换债券）的优先权认购名称拟定为“</w:t>
      </w:r>
      <w:r>
        <w:rPr>
          <w:rFonts w:ascii="仿宋" w:hAnsi="仿宋" w:eastAsia="仿宋"/>
          <w:sz w:val="32"/>
          <w:szCs w:val="32"/>
          <w:u w:val="single"/>
        </w:rPr>
        <w:t xml:space="preserve">                </w:t>
      </w:r>
      <w:r>
        <w:rPr>
          <w:rFonts w:hint="eastAsia" w:ascii="仿宋" w:hAnsi="仿宋" w:eastAsia="仿宋"/>
          <w:sz w:val="32"/>
          <w:szCs w:val="32"/>
        </w:rPr>
        <w:t>”。特向你部申请证券简称及证券代码，请予以批准为盼。</w:t>
      </w:r>
    </w:p>
    <w:p>
      <w:pPr>
        <w:spacing w:line="560" w:lineRule="exact"/>
        <w:ind w:firstLine="662" w:firstLineChars="207"/>
        <w:rPr>
          <w:rFonts w:ascii="仿宋" w:hAnsi="仿宋" w:eastAsia="仿宋"/>
          <w:sz w:val="32"/>
          <w:szCs w:val="32"/>
        </w:rPr>
      </w:pPr>
    </w:p>
    <w:p>
      <w:pPr>
        <w:spacing w:line="560" w:lineRule="exact"/>
        <w:ind w:firstLine="662" w:firstLineChars="207"/>
        <w:rPr>
          <w:rFonts w:ascii="仿宋" w:hAnsi="仿宋" w:eastAsia="仿宋"/>
          <w:sz w:val="32"/>
          <w:szCs w:val="32"/>
        </w:rPr>
      </w:pPr>
    </w:p>
    <w:p>
      <w:pPr>
        <w:spacing w:line="560" w:lineRule="exact"/>
        <w:ind w:firstLine="435"/>
        <w:jc w:val="right"/>
        <w:rPr>
          <w:rFonts w:ascii="仿宋" w:hAnsi="仿宋" w:eastAsia="仿宋"/>
          <w:sz w:val="32"/>
          <w:szCs w:val="32"/>
        </w:rPr>
      </w:pPr>
      <w:r>
        <w:rPr>
          <w:rFonts w:ascii="仿宋" w:hAnsi="仿宋" w:eastAsia="仿宋"/>
          <w:sz w:val="32"/>
          <w:szCs w:val="32"/>
        </w:rPr>
        <w:t xml:space="preserve">  </w:t>
      </w:r>
      <w:r>
        <w:rPr>
          <w:rFonts w:ascii="仿宋" w:hAnsi="仿宋" w:eastAsia="仿宋"/>
          <w:sz w:val="32"/>
          <w:szCs w:val="32"/>
          <w:u w:val="single"/>
        </w:rPr>
        <w:t xml:space="preserve">                       </w:t>
      </w:r>
      <w:r>
        <w:rPr>
          <w:rFonts w:hint="eastAsia" w:ascii="仿宋" w:hAnsi="仿宋" w:eastAsia="仿宋"/>
          <w:sz w:val="32"/>
          <w:szCs w:val="32"/>
        </w:rPr>
        <w:t>公司（加盖公章）</w:t>
      </w:r>
    </w:p>
    <w:p>
      <w:pPr>
        <w:spacing w:line="560" w:lineRule="exact"/>
        <w:ind w:right="640" w:firstLine="4800" w:firstLineChars="1500"/>
        <w:rPr>
          <w:rFonts w:ascii="仿宋" w:hAnsi="仿宋" w:eastAsia="仿宋"/>
          <w:sz w:val="32"/>
          <w:szCs w:val="32"/>
          <w:u w:val="single"/>
        </w:rPr>
      </w:pPr>
      <w:r>
        <w:rPr>
          <w:rFonts w:hint="eastAsia" w:ascii="仿宋" w:hAnsi="仿宋" w:eastAsia="仿宋"/>
          <w:sz w:val="32"/>
          <w:szCs w:val="32"/>
        </w:rPr>
        <w:t>经办人签名</w:t>
      </w:r>
      <w:r>
        <w:rPr>
          <w:rFonts w:ascii="仿宋" w:hAnsi="仿宋" w:eastAsia="仿宋"/>
          <w:sz w:val="32"/>
          <w:szCs w:val="32"/>
          <w:u w:val="single"/>
        </w:rPr>
        <w:t xml:space="preserve">        </w:t>
      </w:r>
    </w:p>
    <w:p>
      <w:pPr>
        <w:spacing w:line="560" w:lineRule="exact"/>
        <w:ind w:firstLine="435"/>
        <w:jc w:val="right"/>
        <w:rPr>
          <w:rFonts w:ascii="仿宋" w:hAnsi="仿宋" w:eastAsia="仿宋"/>
          <w:sz w:val="32"/>
          <w:szCs w:val="32"/>
        </w:rPr>
      </w:pPr>
      <w:r>
        <w:rPr>
          <w:rFonts w:hint="eastAsia" w:ascii="仿宋" w:hAnsi="仿宋" w:eastAsia="仿宋"/>
          <w:sz w:val="32"/>
          <w:szCs w:val="32"/>
        </w:rPr>
        <w:t>年     月     日</w:t>
      </w:r>
    </w:p>
    <w:p>
      <w:pPr>
        <w:spacing w:line="560" w:lineRule="exact"/>
        <w:rPr>
          <w:rFonts w:ascii="方正仿宋简体" w:eastAsia="方正仿宋简体"/>
          <w:b/>
          <w:bCs/>
        </w:rPr>
      </w:pPr>
    </w:p>
    <w:p>
      <w:pPr>
        <w:spacing w:line="560" w:lineRule="exact"/>
        <w:rPr>
          <w:rFonts w:ascii="方正仿宋简体" w:eastAsia="方正仿宋简体"/>
          <w:b/>
          <w:bCs/>
        </w:rPr>
      </w:pPr>
    </w:p>
    <w:p>
      <w:pPr>
        <w:spacing w:line="560" w:lineRule="exact"/>
        <w:rPr>
          <w:rFonts w:ascii="方正仿宋简体" w:eastAsia="方正仿宋简体"/>
          <w:b/>
          <w:bCs/>
        </w:rPr>
      </w:pPr>
    </w:p>
    <w:p>
      <w:pPr>
        <w:spacing w:line="560" w:lineRule="exact"/>
        <w:rPr>
          <w:rFonts w:ascii="方正仿宋简体" w:eastAsia="方正仿宋简体"/>
          <w:b/>
          <w:bCs/>
        </w:rPr>
      </w:pPr>
    </w:p>
    <w:p>
      <w:pPr>
        <w:spacing w:line="560" w:lineRule="exact"/>
        <w:rPr>
          <w:rFonts w:ascii="宋体" w:hAnsi="宋体"/>
          <w:b/>
          <w:bCs/>
        </w:rPr>
      </w:pPr>
      <w:r>
        <w:rPr>
          <w:rFonts w:hint="eastAsia" w:ascii="宋体" w:hAnsi="宋体"/>
          <w:b/>
          <w:bCs/>
        </w:rPr>
        <w:t>创业板公司管理部审查确定结果如下：</w:t>
      </w:r>
    </w:p>
    <w:p>
      <w:pPr>
        <w:tabs>
          <w:tab w:val="right" w:leader="dot" w:pos="8296"/>
        </w:tabs>
        <w:spacing w:line="560" w:lineRule="exact"/>
        <w:rPr>
          <w:rFonts w:ascii="宋体" w:hAnsi="宋体"/>
        </w:rPr>
      </w:pPr>
      <w:r>
        <w:rPr>
          <w:rFonts w:hint="eastAsia" w:ascii="宋体" w:hAnsi="宋体"/>
        </w:rPr>
        <w:t>可转换债券：</w:t>
      </w:r>
    </w:p>
    <w:p>
      <w:pPr>
        <w:spacing w:line="560" w:lineRule="exact"/>
        <w:ind w:firstLine="630" w:firstLineChars="300"/>
        <w:rPr>
          <w:rFonts w:ascii="宋体" w:hAnsi="宋体"/>
        </w:rPr>
      </w:pPr>
      <w:r>
        <mc:AlternateContent>
          <mc:Choice Requires="wps">
            <w:drawing>
              <wp:anchor distT="0" distB="0" distL="114300" distR="114300" simplePos="0" relativeHeight="251699200" behindDoc="0" locked="0" layoutInCell="1" allowOverlap="1">
                <wp:simplePos x="0" y="0"/>
                <wp:positionH relativeFrom="column">
                  <wp:posOffset>3933825</wp:posOffset>
                </wp:positionH>
                <wp:positionV relativeFrom="paragraph">
                  <wp:posOffset>217170</wp:posOffset>
                </wp:positionV>
                <wp:extent cx="1066800" cy="0"/>
                <wp:effectExtent l="0" t="0" r="19050" b="19050"/>
                <wp:wrapNone/>
                <wp:docPr id="63" name="直接连接符 63"/>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09.75pt;margin-top:17.1pt;height:0pt;width:84pt;z-index:251699200;mso-width-relative:page;mso-height-relative:page;" filled="f" stroked="t" coordsize="21600,21600" o:gfxdata="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vpLyfXAAAA&#10;CQEAAA8AAAAAAAAAAQAgAAAAIgAAAGRycy9kb3ducmV2LnhtbFBLAQIUABQAAAAIAIdO4kBjXpvI&#10;5QEAAKwDAAAOAAAAAAAAAAEAIAAAACYBAABkcnMvZTJvRG9jLnhtbFBLBQYAAAAABgAGAFkBAAB9&#10;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1333500</wp:posOffset>
                </wp:positionH>
                <wp:positionV relativeFrom="paragraph">
                  <wp:posOffset>217170</wp:posOffset>
                </wp:positionV>
                <wp:extent cx="1133475" cy="0"/>
                <wp:effectExtent l="0" t="0" r="9525" b="19050"/>
                <wp:wrapNone/>
                <wp:docPr id="62" name="直接连接符 62"/>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5pt;margin-top:17.1pt;height:0pt;width:89.25pt;z-index:251698176;mso-width-relative:page;mso-height-relative:page;" filled="f" stroked="t" coordsize="21600,21600" o:gfxdata="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E9Wec1wAA&#10;AAkBAAAPAAAAAAAAAAEAIAAAACIAAABkcnMvZG93bnJldi54bWxQSwECFAAUAAAACACHTuJAGaL4&#10;oeYBAACsAwAADgAAAAAAAAABACAAAAAmAQAAZHJzL2Uyb0RvYy54bWxQSwUGAAAAAAYABgBZAQAA&#10;fgUAAAAA&#10;">
                <v:fill on="f" focussize="0,0"/>
                <v:stroke color="#000000" joinstyle="round"/>
                <v:imagedata o:title=""/>
                <o:lock v:ext="edit" aspectratio="f"/>
              </v:line>
            </w:pict>
          </mc:Fallback>
        </mc:AlternateContent>
      </w:r>
      <w:r>
        <w:rPr>
          <w:rFonts w:hint="eastAsia" w:ascii="宋体" w:hAnsi="宋体"/>
        </w:rPr>
        <w:t xml:space="preserve">优先认购权代码                         优先认购权名称                 </w:t>
      </w:r>
    </w:p>
    <w:p>
      <w:pPr>
        <w:spacing w:line="560" w:lineRule="exact"/>
        <w:ind w:firstLine="644" w:firstLineChars="307"/>
        <w:rPr>
          <w:rFonts w:ascii="宋体" w:hAnsi="宋体"/>
        </w:rPr>
      </w:pPr>
      <w:r>
        <mc:AlternateContent>
          <mc:Choice Requires="wps">
            <w:drawing>
              <wp:anchor distT="0" distB="0" distL="114300" distR="114300" simplePos="0" relativeHeight="251700224" behindDoc="0" locked="0" layoutInCell="1" allowOverlap="1">
                <wp:simplePos x="0" y="0"/>
                <wp:positionH relativeFrom="column">
                  <wp:posOffset>933450</wp:posOffset>
                </wp:positionH>
                <wp:positionV relativeFrom="paragraph">
                  <wp:posOffset>217170</wp:posOffset>
                </wp:positionV>
                <wp:extent cx="933450" cy="0"/>
                <wp:effectExtent l="0" t="0" r="19050" b="19050"/>
                <wp:wrapNone/>
                <wp:docPr id="61" name="直接连接符 61"/>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3.5pt;margin-top:17.1pt;height:0pt;width:73.5pt;z-index:251700224;mso-width-relative:page;mso-height-relative:page;" filled="f" stroked="t" coordsize="21600,21600" o:gfxdata="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5ig+9UAAAAJAQAA&#10;DwAAAAAAAAABACAAAAAiAAAAZHJzL2Rvd25yZXYueG1sUEsBAhQAFAAAAAgAh07iQHD++FjjAQAA&#10;qwMAAA4AAAAAAAAAAQAgAAAAJAEAAGRycy9lMm9Eb2MueG1sUEsFBgAAAAAGAAYAWQEAAHkFAAAA&#10;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3533775</wp:posOffset>
                </wp:positionH>
                <wp:positionV relativeFrom="paragraph">
                  <wp:posOffset>217170</wp:posOffset>
                </wp:positionV>
                <wp:extent cx="1000125" cy="0"/>
                <wp:effectExtent l="0" t="0" r="9525" b="19050"/>
                <wp:wrapNone/>
                <wp:docPr id="60" name="直接连接符 60"/>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8.25pt;margin-top:17.1pt;height:0pt;width:78.75pt;z-index:251701248;mso-width-relative:page;mso-height-relative:page;" filled="f" stroked="t" coordsize="21600,21600" o:gfxdata="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1z3bjXAAAACQEA&#10;AA8AAAAAAAAAAQAgAAAAIgAAAGRycy9kb3ducmV2LnhtbFBLAQIUABQAAAAIAIdO4kD4dEPY4gEA&#10;AKwDAAAOAAAAAAAAAAEAIAAAACYBAABkcnMvZTJvRG9jLnhtbFBLBQYAAAAABgAGAFkBAAB6BQAA&#10;AAA=&#10;">
                <v:fill on="f" focussize="0,0"/>
                <v:stroke color="#000000" joinstyle="round"/>
                <v:imagedata o:title=""/>
                <o:lock v:ext="edit" aspectratio="f"/>
              </v:line>
            </w:pict>
          </mc:Fallback>
        </mc:AlternateContent>
      </w:r>
      <w:r>
        <w:rPr>
          <w:rFonts w:hint="eastAsia" w:ascii="宋体" w:hAnsi="宋体"/>
        </w:rPr>
        <w:t xml:space="preserve">申购代码                               申购名称               </w:t>
      </w:r>
    </w:p>
    <w:p>
      <w:pPr>
        <w:spacing w:line="560" w:lineRule="exact"/>
        <w:ind w:firstLine="632" w:firstLineChars="301"/>
        <w:rPr>
          <w:rFonts w:ascii="宋体" w:hAnsi="宋体"/>
        </w:rPr>
      </w:pPr>
      <w:r>
        <mc:AlternateContent>
          <mc:Choice Requires="wps">
            <w:drawing>
              <wp:anchor distT="0" distB="0" distL="114300" distR="114300" simplePos="0" relativeHeight="251703296" behindDoc="0" locked="0" layoutInCell="1" allowOverlap="1">
                <wp:simplePos x="0" y="0"/>
                <wp:positionH relativeFrom="column">
                  <wp:posOffset>3533775</wp:posOffset>
                </wp:positionH>
                <wp:positionV relativeFrom="paragraph">
                  <wp:posOffset>217170</wp:posOffset>
                </wp:positionV>
                <wp:extent cx="933450" cy="0"/>
                <wp:effectExtent l="0" t="0" r="19050" b="19050"/>
                <wp:wrapNone/>
                <wp:docPr id="59" name="直接连接符 59"/>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78.25pt;margin-top:17.1pt;height:0pt;width:73.5pt;z-index:251703296;mso-width-relative:page;mso-height-relative:page;" filled="f" stroked="t" coordsize="21600,21600" o:gfxdata="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R7Q1gAAAAkB&#10;AAAPAAAAAAAAAAEAIAAAACIAAABkcnMvZG93bnJldi54bWxQSwECFAAUAAAACACHTuJAk1FWHeQB&#10;AACrAwAADgAAAAAAAAABACAAAAAlAQAAZHJzL2Uyb0RvYy54bWxQSwUGAAAAAAYABgBZAQAAewUA&#10;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933450</wp:posOffset>
                </wp:positionH>
                <wp:positionV relativeFrom="paragraph">
                  <wp:posOffset>217170</wp:posOffset>
                </wp:positionV>
                <wp:extent cx="933450" cy="0"/>
                <wp:effectExtent l="0" t="0" r="19050" b="19050"/>
                <wp:wrapNone/>
                <wp:docPr id="58" name="直接连接符 58"/>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3.5pt;margin-top:17.1pt;height:0pt;width:73.5pt;z-index:251702272;mso-width-relative:page;mso-height-relative:page;" filled="f" stroked="t" coordsize="21600,21600" o:gfxdata="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5ig+9UAAAAJAQAA&#10;DwAAAAAAAAABACAAAAAiAAAAZHJzL2Rvd25yZXYueG1sUEsBAhQAFAAAAAgAh07iQG143N7jAQAA&#10;qwMAAA4AAAAAAAAAAQAgAAAAJAEAAGRycy9lMm9Eb2MueG1sUEsFBgAAAAAGAAYAWQEAAHkFAAAA&#10;AA==&#10;">
                <v:fill on="f" focussize="0,0"/>
                <v:stroke color="#000000" joinstyle="round"/>
                <v:imagedata o:title=""/>
                <o:lock v:ext="edit" aspectratio="f"/>
              </v:line>
            </w:pict>
          </mc:Fallback>
        </mc:AlternateContent>
      </w:r>
      <w:r>
        <w:rPr>
          <w:rFonts w:hint="eastAsia" w:ascii="宋体" w:hAnsi="宋体"/>
        </w:rPr>
        <w:t xml:space="preserve">证券代码                               证券简称              </w:t>
      </w:r>
    </w:p>
    <w:p>
      <w:pPr>
        <w:spacing w:line="560" w:lineRule="exact"/>
        <w:rPr>
          <w:rFonts w:ascii="宋体" w:hAnsi="宋体"/>
          <w:u w:val="single"/>
        </w:rPr>
      </w:pPr>
    </w:p>
    <w:p>
      <w:pPr>
        <w:spacing w:line="560" w:lineRule="exact"/>
        <w:rPr>
          <w:rFonts w:ascii="宋体" w:hAnsi="宋体"/>
          <w:u w:val="single"/>
        </w:rPr>
      </w:pPr>
      <w:r>
        <w:rPr>
          <w:rFonts w:hint="eastAsia" w:ascii="宋体" w:hAnsi="宋体"/>
        </w:rPr>
        <w:t xml:space="preserve">                              经办人签名</w:t>
      </w:r>
      <w:r>
        <w:rPr>
          <w:rFonts w:ascii="宋体" w:hAnsi="宋体"/>
          <w:u w:val="single"/>
        </w:rPr>
        <w:t xml:space="preserve">              </w:t>
      </w:r>
      <w:r>
        <w:rPr>
          <w:rFonts w:hint="eastAsia" w:ascii="宋体" w:hAnsi="宋体"/>
        </w:rPr>
        <w:t xml:space="preserve">       年    月    日</w:t>
      </w:r>
    </w:p>
    <w:p>
      <w:pPr>
        <w:spacing w:line="560" w:lineRule="exact"/>
        <w:ind w:firstLine="3150" w:firstLineChars="1500"/>
        <w:rPr>
          <w:rFonts w:ascii="宋体" w:hAnsi="宋体"/>
        </w:rPr>
      </w:pPr>
      <w:r>
        <w:rPr>
          <w:rFonts w:hint="eastAsia" w:ascii="宋体" w:hAnsi="宋体"/>
        </w:rPr>
        <w:t>负责人签名</w:t>
      </w:r>
      <w:r>
        <w:rPr>
          <w:rFonts w:ascii="宋体" w:hAnsi="宋体"/>
          <w:u w:val="single"/>
        </w:rPr>
        <w:t xml:space="preserve">              </w:t>
      </w:r>
      <w:r>
        <w:rPr>
          <w:rFonts w:hint="eastAsia" w:ascii="宋体" w:hAnsi="宋体"/>
        </w:rPr>
        <w:t xml:space="preserve">       年    月    日</w:t>
      </w:r>
    </w:p>
    <w:p>
      <w:pPr>
        <w:spacing w:line="560" w:lineRule="exact"/>
        <w:ind w:firstLine="519" w:firstLineChars="246"/>
        <w:rPr>
          <w:rFonts w:ascii="宋体" w:hAnsi="宋体"/>
        </w:rPr>
      </w:pPr>
      <w:r>
        <w:rPr>
          <w:rFonts w:hint="eastAsia" w:ascii="宋体" w:hAnsi="宋体"/>
          <w:b/>
          <w:bCs/>
        </w:rPr>
        <w:t>结算公司意见及签名：</w:t>
      </w:r>
      <w:r>
        <w:rPr>
          <w:rFonts w:hint="eastAsia" w:ascii="宋体" w:hAnsi="宋体"/>
        </w:rPr>
        <w:t xml:space="preserve">                          年    月    日</w:t>
      </w:r>
    </w:p>
    <w:p>
      <w:pPr>
        <w:spacing w:line="560" w:lineRule="exact"/>
        <w:ind w:left="420" w:hanging="420" w:hangingChars="200"/>
        <w:jc w:val="left"/>
        <w:rPr>
          <w:rFonts w:ascii="宋体" w:hAnsi="宋体"/>
          <w:szCs w:val="21"/>
        </w:rPr>
      </w:pPr>
    </w:p>
    <w:p>
      <w:pPr>
        <w:spacing w:line="560" w:lineRule="exact"/>
        <w:ind w:left="420" w:hanging="420" w:hangingChars="200"/>
        <w:jc w:val="left"/>
        <w:rPr>
          <w:rFonts w:ascii="宋体" w:hAnsi="宋体"/>
          <w:szCs w:val="21"/>
        </w:rPr>
      </w:pPr>
      <w:r>
        <w:rPr>
          <w:rFonts w:hint="eastAsia" w:ascii="宋体" w:hAnsi="宋体"/>
          <w:szCs w:val="21"/>
        </w:rPr>
        <w:t>代码、简称编制规则：</w:t>
      </w:r>
    </w:p>
    <w:p>
      <w:pPr>
        <w:spacing w:line="560" w:lineRule="exact"/>
        <w:ind w:left="420" w:leftChars="50" w:hanging="315" w:hangingChars="150"/>
        <w:jc w:val="left"/>
        <w:rPr>
          <w:rFonts w:ascii="宋体" w:hAnsi="宋体"/>
          <w:szCs w:val="21"/>
        </w:rPr>
      </w:pPr>
      <w:r>
        <w:rPr>
          <w:rFonts w:hint="eastAsia" w:ascii="宋体" w:hAnsi="宋体"/>
          <w:szCs w:val="21"/>
        </w:rPr>
        <w:t>1．上市公司可转债配售代码（38****）的首二位代码为38，后四位代码为该上市公司A股证券代码的后四位，该配售代码可重复使用。配售简称除“配债”以外的字符取自上市公司A股证券简称，后四位字符为“配债”。</w:t>
      </w:r>
    </w:p>
    <w:p>
      <w:pPr>
        <w:spacing w:line="560" w:lineRule="exact"/>
        <w:ind w:left="420" w:leftChars="50" w:hanging="315" w:hangingChars="150"/>
        <w:jc w:val="left"/>
        <w:rPr>
          <w:rFonts w:ascii="宋体" w:hAnsi="宋体"/>
          <w:szCs w:val="21"/>
        </w:rPr>
      </w:pPr>
      <w:r>
        <w:rPr>
          <w:rFonts w:hint="eastAsia" w:ascii="宋体" w:hAnsi="宋体"/>
          <w:szCs w:val="21"/>
        </w:rPr>
        <w:t>2．上市公司可转债申购代码（37****）的首二位代码为37，后四位代码为该上市公司A股证券代码的后四位。申购简称除“发债”以外的字符取自上市公司A股证券简称，后四位字符为“发债”。</w:t>
      </w:r>
    </w:p>
    <w:p>
      <w:pPr>
        <w:spacing w:line="560" w:lineRule="exact"/>
        <w:ind w:left="420" w:leftChars="50" w:hanging="315" w:hangingChars="150"/>
        <w:jc w:val="left"/>
        <w:rPr>
          <w:rFonts w:ascii="宋体" w:hAnsi="宋体"/>
          <w:szCs w:val="21"/>
        </w:rPr>
      </w:pPr>
      <w:r>
        <w:rPr>
          <w:rFonts w:hint="eastAsia" w:ascii="宋体" w:hAnsi="宋体"/>
          <w:szCs w:val="21"/>
        </w:rPr>
        <w:t>3．创业板上市公司可转债代码以123开头。</w:t>
      </w:r>
    </w:p>
    <w:p>
      <w:pPr>
        <w:spacing w:line="560" w:lineRule="exact"/>
        <w:ind w:left="420" w:leftChars="50" w:hanging="315" w:hangingChars="150"/>
        <w:rPr>
          <w:rFonts w:ascii="宋体" w:hAnsi="宋体"/>
          <w:szCs w:val="21"/>
        </w:rPr>
      </w:pPr>
      <w:r>
        <w:rPr>
          <w:rFonts w:hint="eastAsia" w:ascii="宋体" w:hAnsi="宋体"/>
          <w:szCs w:val="21"/>
        </w:rPr>
        <w:t>4．上市公司首次发行可转债，可转债简称除“转债”以外的字符取自上市公司A股证券简称，后四位字符为“转债”；若再次发行可转债，后面的字符根据其发行批次分别为“转02”“转03”等。</w:t>
      </w:r>
    </w:p>
    <w:p>
      <w:pPr>
        <w:widowControl/>
        <w:jc w:val="left"/>
        <w:rPr>
          <w:rFonts w:ascii="方正仿宋简体" w:eastAsia="方正仿宋简体"/>
          <w:b/>
          <w:sz w:val="28"/>
          <w:szCs w:val="28"/>
        </w:rPr>
      </w:pPr>
      <w:r>
        <w:rPr>
          <w:rFonts w:ascii="方正仿宋简体" w:eastAsia="方正仿宋简体"/>
          <w:szCs w:val="21"/>
        </w:rPr>
        <w:br w:type="page"/>
      </w:r>
      <w:r>
        <w:rPr>
          <w:rFonts w:hint="eastAsia" w:ascii="黑体" w:hAnsi="黑体" w:eastAsia="黑体"/>
          <w:b/>
          <w:sz w:val="32"/>
          <w:szCs w:val="32"/>
        </w:rPr>
        <w:t>附件4</w:t>
      </w:r>
    </w:p>
    <w:p>
      <w:pPr>
        <w:spacing w:line="560" w:lineRule="exact"/>
        <w:rPr>
          <w:rFonts w:ascii="方正仿宋简体" w:eastAsia="方正仿宋简体"/>
          <w:b/>
          <w:sz w:val="28"/>
          <w:szCs w:val="28"/>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可转债发行上市一般时间安排表</w:t>
      </w:r>
    </w:p>
    <w:p>
      <w:pPr>
        <w:spacing w:line="560" w:lineRule="exact"/>
        <w:jc w:val="center"/>
        <w:rPr>
          <w:rFonts w:ascii="宋体" w:hAnsi="宋体"/>
          <w:b/>
          <w:szCs w:val="21"/>
        </w:rPr>
      </w:pPr>
      <w:r>
        <w:rPr>
          <w:rFonts w:hint="eastAsia" w:ascii="宋体" w:hAnsi="宋体"/>
          <w:b/>
        </w:rPr>
        <w:t>（注：</w:t>
      </w:r>
      <w:r>
        <w:rPr>
          <w:rFonts w:hint="eastAsia" w:ascii="宋体" w:hAnsi="宋体"/>
          <w:b/>
          <w:szCs w:val="21"/>
        </w:rPr>
        <w:t>T日：网上发行申购日</w:t>
      </w:r>
      <w:r>
        <w:rPr>
          <w:rFonts w:ascii="宋体" w:hAnsi="宋体"/>
          <w:b/>
          <w:szCs w:val="21"/>
        </w:rPr>
        <w:t xml:space="preserve">  </w:t>
      </w:r>
      <w:r>
        <w:rPr>
          <w:rFonts w:hint="eastAsia" w:ascii="宋体" w:hAnsi="宋体"/>
          <w:b/>
          <w:szCs w:val="21"/>
        </w:rPr>
        <w:t>L日：可转债上市日</w:t>
      </w:r>
      <w:r>
        <w:rPr>
          <w:rFonts w:hint="eastAsia" w:ascii="宋体" w:hAnsi="宋体"/>
          <w:b/>
        </w:rPr>
        <w:t>）</w:t>
      </w:r>
    </w:p>
    <w:tbl>
      <w:tblPr>
        <w:tblStyle w:val="5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0"/>
        <w:gridCol w:w="1701"/>
        <w:gridCol w:w="54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010" w:type="dxa"/>
            <w:vAlign w:val="center"/>
          </w:tcPr>
          <w:p>
            <w:pPr>
              <w:widowControl/>
              <w:jc w:val="center"/>
              <w:rPr>
                <w:rFonts w:ascii="宋体" w:hAnsi="宋体" w:cs="宋体"/>
                <w:b/>
                <w:bCs/>
                <w:kern w:val="0"/>
                <w:szCs w:val="21"/>
              </w:rPr>
            </w:pPr>
            <w:r>
              <w:rPr>
                <w:rFonts w:hint="eastAsia" w:ascii="宋体" w:hAnsi="宋体" w:cs="宋体"/>
                <w:b/>
                <w:bCs/>
                <w:kern w:val="0"/>
                <w:szCs w:val="21"/>
              </w:rPr>
              <w:t>日期</w:t>
            </w:r>
          </w:p>
        </w:tc>
        <w:tc>
          <w:tcPr>
            <w:tcW w:w="1701" w:type="dxa"/>
            <w:vAlign w:val="center"/>
          </w:tcPr>
          <w:p>
            <w:pPr>
              <w:widowControl/>
              <w:jc w:val="center"/>
              <w:rPr>
                <w:rFonts w:ascii="宋体" w:hAnsi="宋体" w:cs="宋体"/>
                <w:b/>
                <w:bCs/>
                <w:kern w:val="0"/>
                <w:szCs w:val="21"/>
              </w:rPr>
            </w:pPr>
            <w:r>
              <w:rPr>
                <w:rFonts w:hint="eastAsia" w:ascii="宋体" w:hAnsi="宋体" w:cs="宋体"/>
                <w:b/>
                <w:bCs/>
                <w:kern w:val="0"/>
                <w:szCs w:val="21"/>
              </w:rPr>
              <w:t>交易日</w:t>
            </w:r>
          </w:p>
        </w:tc>
        <w:tc>
          <w:tcPr>
            <w:tcW w:w="5495" w:type="dxa"/>
            <w:vAlign w:val="center"/>
          </w:tcPr>
          <w:p>
            <w:pPr>
              <w:widowControl/>
              <w:jc w:val="center"/>
              <w:rPr>
                <w:rFonts w:ascii="宋体" w:hAnsi="宋体" w:cs="宋体"/>
                <w:b/>
                <w:bCs/>
                <w:kern w:val="0"/>
                <w:szCs w:val="21"/>
              </w:rPr>
            </w:pPr>
            <w:r>
              <w:rPr>
                <w:rFonts w:hint="eastAsia" w:ascii="宋体" w:hAnsi="宋体" w:cs="宋体"/>
                <w:b/>
                <w:bCs/>
                <w:kern w:val="0"/>
                <w:szCs w:val="21"/>
              </w:rPr>
              <w:t>事项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6" w:hRule="atLeast"/>
          <w:jc w:val="center"/>
        </w:trPr>
        <w:tc>
          <w:tcPr>
            <w:tcW w:w="2010" w:type="dxa"/>
            <w:vAlign w:val="center"/>
          </w:tcPr>
          <w:p>
            <w:pPr>
              <w:ind w:firstLine="420" w:firstLineChars="200"/>
              <w:jc w:val="center"/>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ind w:firstLine="840" w:firstLineChars="400"/>
              <w:jc w:val="center"/>
              <w:rPr>
                <w:rFonts w:ascii="宋体" w:hAnsi="宋体"/>
              </w:rPr>
            </w:pPr>
            <w:r>
              <w:rPr>
                <w:rFonts w:hint="eastAsia" w:ascii="宋体" w:hAnsi="宋体"/>
              </w:rPr>
              <w:t>星期</w:t>
            </w:r>
          </w:p>
        </w:tc>
        <w:tc>
          <w:tcPr>
            <w:tcW w:w="1701" w:type="dxa"/>
            <w:vAlign w:val="center"/>
          </w:tcPr>
          <w:p>
            <w:pPr>
              <w:jc w:val="center"/>
              <w:rPr>
                <w:rFonts w:ascii="宋体" w:hAnsi="宋体"/>
              </w:rPr>
            </w:pPr>
            <w:r>
              <w:rPr>
                <w:rFonts w:hint="eastAsia" w:ascii="宋体" w:hAnsi="宋体"/>
              </w:rPr>
              <w:t>T-2日</w:t>
            </w:r>
          </w:p>
        </w:tc>
        <w:tc>
          <w:tcPr>
            <w:tcW w:w="5495" w:type="dxa"/>
            <w:vAlign w:val="center"/>
          </w:tcPr>
          <w:p>
            <w:pPr>
              <w:rPr>
                <w:rFonts w:ascii="宋体" w:hAnsi="宋体"/>
              </w:rPr>
            </w:pPr>
            <w:r>
              <w:rPr>
                <w:rFonts w:hint="eastAsia" w:ascii="宋体" w:hAnsi="宋体"/>
              </w:rPr>
              <w:t>披露《可转债募集说明书》及网上（网下）发行公告、路演公告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010" w:type="dxa"/>
            <w:vAlign w:val="center"/>
          </w:tcPr>
          <w:p>
            <w:pPr>
              <w:ind w:firstLine="420" w:firstLineChars="200"/>
              <w:jc w:val="center"/>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ind w:firstLine="840" w:firstLineChars="400"/>
              <w:jc w:val="center"/>
              <w:rPr>
                <w:rFonts w:ascii="宋体" w:hAnsi="宋体"/>
              </w:rPr>
            </w:pPr>
            <w:r>
              <w:rPr>
                <w:rFonts w:hint="eastAsia" w:ascii="宋体" w:hAnsi="宋体"/>
              </w:rPr>
              <w:t>星期</w:t>
            </w:r>
          </w:p>
        </w:tc>
        <w:tc>
          <w:tcPr>
            <w:tcW w:w="1701" w:type="dxa"/>
            <w:vAlign w:val="center"/>
          </w:tcPr>
          <w:p>
            <w:pPr>
              <w:jc w:val="center"/>
              <w:rPr>
                <w:rFonts w:ascii="宋体" w:hAnsi="宋体"/>
              </w:rPr>
            </w:pPr>
            <w:r>
              <w:rPr>
                <w:rFonts w:hint="eastAsia" w:ascii="宋体" w:hAnsi="宋体"/>
              </w:rPr>
              <w:t>T-1日</w:t>
            </w:r>
          </w:p>
        </w:tc>
        <w:tc>
          <w:tcPr>
            <w:tcW w:w="5495" w:type="dxa"/>
            <w:vAlign w:val="center"/>
          </w:tcPr>
          <w:p>
            <w:pPr>
              <w:rPr>
                <w:rFonts w:ascii="宋体" w:hAnsi="宋体"/>
              </w:rPr>
            </w:pPr>
            <w:r>
              <w:rPr>
                <w:rFonts w:hint="eastAsia" w:ascii="宋体" w:hAnsi="宋体"/>
              </w:rPr>
              <w:t>网上路演、网上申购准备、网下申购（如有）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010" w:type="dxa"/>
            <w:vAlign w:val="center"/>
          </w:tcPr>
          <w:p>
            <w:pPr>
              <w:ind w:firstLine="420" w:firstLineChars="200"/>
              <w:jc w:val="center"/>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ind w:firstLine="840" w:firstLineChars="400"/>
              <w:jc w:val="center"/>
              <w:rPr>
                <w:rFonts w:ascii="宋体" w:hAnsi="宋体"/>
              </w:rPr>
            </w:pPr>
            <w:r>
              <w:rPr>
                <w:rFonts w:hint="eastAsia" w:ascii="宋体" w:hAnsi="宋体"/>
              </w:rPr>
              <w:t>星期</w:t>
            </w:r>
          </w:p>
        </w:tc>
        <w:tc>
          <w:tcPr>
            <w:tcW w:w="1701" w:type="dxa"/>
            <w:vAlign w:val="center"/>
          </w:tcPr>
          <w:p>
            <w:pPr>
              <w:ind w:firstLine="174" w:firstLineChars="83"/>
              <w:jc w:val="center"/>
              <w:rPr>
                <w:rFonts w:ascii="宋体" w:hAnsi="宋体"/>
              </w:rPr>
            </w:pPr>
            <w:r>
              <w:rPr>
                <w:rFonts w:hint="eastAsia" w:ascii="宋体" w:hAnsi="宋体"/>
              </w:rPr>
              <w:t>T日</w:t>
            </w:r>
          </w:p>
        </w:tc>
        <w:tc>
          <w:tcPr>
            <w:tcW w:w="5495" w:type="dxa"/>
            <w:vAlign w:val="center"/>
          </w:tcPr>
          <w:p>
            <w:pPr>
              <w:rPr>
                <w:rFonts w:ascii="宋体" w:hAnsi="宋体"/>
                <w:szCs w:val="21"/>
              </w:rPr>
            </w:pPr>
            <w:r>
              <w:rPr>
                <w:rFonts w:hint="eastAsia" w:ascii="宋体" w:hAnsi="宋体"/>
                <w:szCs w:val="21"/>
              </w:rPr>
              <w:t>披露《可转债发行提示性公告》；</w:t>
            </w:r>
          </w:p>
          <w:p>
            <w:pPr>
              <w:rPr>
                <w:rFonts w:ascii="宋体" w:hAnsi="宋体"/>
                <w:szCs w:val="21"/>
              </w:rPr>
            </w:pPr>
            <w:r>
              <w:rPr>
                <w:rFonts w:hint="eastAsia" w:ascii="宋体" w:hAnsi="宋体"/>
                <w:szCs w:val="21"/>
              </w:rPr>
              <w:t>原股东优先配售，网上申购；</w:t>
            </w:r>
          </w:p>
          <w:p>
            <w:pPr>
              <w:rPr>
                <w:rFonts w:ascii="宋体" w:hAnsi="宋体"/>
                <w:szCs w:val="21"/>
              </w:rPr>
            </w:pPr>
            <w:r>
              <w:rPr>
                <w:rFonts w:hint="eastAsia" w:ascii="宋体" w:hAnsi="宋体"/>
                <w:szCs w:val="21"/>
              </w:rPr>
              <w:t>确定网上、网下最终发行数量、配售比例；</w:t>
            </w:r>
          </w:p>
          <w:p>
            <w:pPr>
              <w:rPr>
                <w:rFonts w:ascii="宋体" w:hAnsi="宋体"/>
                <w:szCs w:val="21"/>
              </w:rPr>
            </w:pPr>
            <w:r>
              <w:rPr>
                <w:rFonts w:hint="eastAsia" w:ascii="宋体" w:hAnsi="宋体"/>
                <w:szCs w:val="21"/>
              </w:rPr>
              <w:t>提交《网上发行中签率及网下发行配售结果公告》，若发行失败，提交《可转债中止发行公告》；</w:t>
            </w:r>
          </w:p>
          <w:p>
            <w:pPr>
              <w:rPr>
                <w:rFonts w:ascii="宋体" w:hAnsi="宋体"/>
                <w:szCs w:val="21"/>
              </w:rPr>
            </w:pPr>
            <w:r>
              <w:rPr>
                <w:rFonts w:hint="eastAsia" w:ascii="宋体" w:hAnsi="宋体"/>
                <w:szCs w:val="21"/>
              </w:rPr>
              <w:t>向结算业务部提交《网上认购资金划款申请表》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010" w:type="dxa"/>
            <w:vAlign w:val="center"/>
          </w:tcPr>
          <w:p>
            <w:pPr>
              <w:ind w:firstLine="420" w:firstLineChars="200"/>
              <w:jc w:val="center"/>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ind w:firstLine="840" w:firstLineChars="400"/>
              <w:jc w:val="center"/>
              <w:rPr>
                <w:rFonts w:ascii="宋体" w:hAnsi="宋体"/>
              </w:rPr>
            </w:pPr>
            <w:r>
              <w:rPr>
                <w:rFonts w:hint="eastAsia" w:ascii="宋体" w:hAnsi="宋体"/>
              </w:rPr>
              <w:t>星期</w:t>
            </w:r>
          </w:p>
        </w:tc>
        <w:tc>
          <w:tcPr>
            <w:tcW w:w="1701" w:type="dxa"/>
            <w:vAlign w:val="center"/>
          </w:tcPr>
          <w:p>
            <w:pPr>
              <w:jc w:val="center"/>
              <w:rPr>
                <w:rFonts w:ascii="宋体" w:hAnsi="宋体"/>
              </w:rPr>
            </w:pPr>
            <w:r>
              <w:rPr>
                <w:rFonts w:hint="eastAsia" w:ascii="宋体" w:hAnsi="宋体"/>
              </w:rPr>
              <w:t>T+2日</w:t>
            </w:r>
          </w:p>
        </w:tc>
        <w:tc>
          <w:tcPr>
            <w:tcW w:w="5495" w:type="dxa"/>
            <w:vAlign w:val="center"/>
          </w:tcPr>
          <w:p>
            <w:pPr>
              <w:rPr>
                <w:rFonts w:ascii="宋体" w:hAnsi="宋体"/>
                <w:szCs w:val="21"/>
              </w:rPr>
            </w:pPr>
            <w:r>
              <w:rPr>
                <w:rFonts w:hint="eastAsia" w:ascii="宋体" w:hAnsi="宋体"/>
                <w:szCs w:val="21"/>
              </w:rPr>
              <w:t>网上中签缴款日，中签投资者确保资金账户有足额认购资金</w:t>
            </w:r>
          </w:p>
          <w:p>
            <w:pPr>
              <w:rPr>
                <w:rFonts w:ascii="宋体" w:hAnsi="宋体" w:cs="Arial"/>
                <w:szCs w:val="21"/>
              </w:rPr>
            </w:pPr>
            <w:r>
              <w:rPr>
                <w:rFonts w:hint="eastAsia" w:ascii="宋体" w:hAnsi="宋体"/>
                <w:szCs w:val="21"/>
              </w:rPr>
              <w:t>披露《可转换公司债券中签号码公告》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010" w:type="dxa"/>
            <w:vAlign w:val="center"/>
          </w:tcPr>
          <w:p>
            <w:pPr>
              <w:ind w:firstLine="420" w:firstLineChars="200"/>
              <w:jc w:val="center"/>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ind w:firstLine="840" w:firstLineChars="400"/>
              <w:jc w:val="center"/>
              <w:rPr>
                <w:rFonts w:ascii="宋体" w:hAnsi="宋体"/>
              </w:rPr>
            </w:pPr>
            <w:r>
              <w:rPr>
                <w:rFonts w:hint="eastAsia" w:ascii="宋体" w:hAnsi="宋体"/>
              </w:rPr>
              <w:t>星期</w:t>
            </w:r>
          </w:p>
        </w:tc>
        <w:tc>
          <w:tcPr>
            <w:tcW w:w="1701" w:type="dxa"/>
            <w:vAlign w:val="center"/>
          </w:tcPr>
          <w:p>
            <w:pPr>
              <w:jc w:val="center"/>
              <w:rPr>
                <w:rFonts w:ascii="宋体" w:hAnsi="宋体"/>
              </w:rPr>
            </w:pPr>
            <w:r>
              <w:rPr>
                <w:rFonts w:hint="eastAsia" w:ascii="宋体" w:hAnsi="宋体"/>
              </w:rPr>
              <w:t>T+3日</w:t>
            </w:r>
          </w:p>
        </w:tc>
        <w:tc>
          <w:tcPr>
            <w:tcW w:w="5495" w:type="dxa"/>
            <w:vAlign w:val="center"/>
          </w:tcPr>
          <w:p>
            <w:pPr>
              <w:rPr>
                <w:rFonts w:ascii="宋体" w:hAnsi="宋体"/>
              </w:rPr>
            </w:pPr>
            <w:r>
              <w:rPr>
                <w:rFonts w:hint="eastAsia" w:ascii="宋体" w:hAnsi="宋体"/>
              </w:rPr>
              <w:t>1．不存在二次配售情形的，提交《可转换公司债券发行结果公告》，如发生投资者缴款认购不足70%情形，申请中止发行的，由事先约定的“中止发行申请主体”向深交所提出中止发行申请，并提交《中止发行公告》。</w:t>
            </w:r>
          </w:p>
          <w:p>
            <w:pPr>
              <w:rPr>
                <w:rFonts w:ascii="宋体" w:hAnsi="宋体"/>
              </w:rPr>
            </w:pPr>
            <w:r>
              <w:rPr>
                <w:rFonts w:hint="eastAsia" w:ascii="宋体" w:hAnsi="宋体"/>
              </w:rPr>
              <w:t>2．拟进行二次配售的，提交《二次配售公告》。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2010" w:type="dxa"/>
            <w:vAlign w:val="center"/>
          </w:tcPr>
          <w:p>
            <w:pPr>
              <w:ind w:firstLine="420" w:firstLineChars="200"/>
              <w:jc w:val="center"/>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ind w:firstLine="735" w:firstLineChars="350"/>
              <w:jc w:val="center"/>
              <w:rPr>
                <w:rFonts w:ascii="宋体" w:hAnsi="宋体"/>
              </w:rPr>
            </w:pPr>
            <w:r>
              <w:rPr>
                <w:rFonts w:hint="eastAsia" w:ascii="宋体" w:hAnsi="宋体"/>
              </w:rPr>
              <w:t>星期</w:t>
            </w:r>
          </w:p>
        </w:tc>
        <w:tc>
          <w:tcPr>
            <w:tcW w:w="1701" w:type="dxa"/>
            <w:vAlign w:val="center"/>
          </w:tcPr>
          <w:p>
            <w:pPr>
              <w:jc w:val="center"/>
              <w:rPr>
                <w:rFonts w:ascii="宋体" w:hAnsi="宋体"/>
              </w:rPr>
            </w:pPr>
            <w:r>
              <w:rPr>
                <w:rFonts w:hint="eastAsia" w:ascii="宋体" w:hAnsi="宋体"/>
              </w:rPr>
              <w:t>T+4日</w:t>
            </w:r>
          </w:p>
        </w:tc>
        <w:tc>
          <w:tcPr>
            <w:tcW w:w="5495" w:type="dxa"/>
            <w:vAlign w:val="center"/>
          </w:tcPr>
          <w:p>
            <w:pPr>
              <w:rPr>
                <w:rFonts w:ascii="宋体" w:hAnsi="宋体"/>
              </w:rPr>
            </w:pPr>
            <w:r>
              <w:rPr>
                <w:rFonts w:hint="eastAsia" w:ascii="宋体" w:hAnsi="宋体"/>
              </w:rPr>
              <w:t>1．不存在二次配售情形的，披露《可转换公司债券发行结果公告》；划转募集资金。</w:t>
            </w:r>
          </w:p>
          <w:p>
            <w:pPr>
              <w:rPr>
                <w:rFonts w:ascii="宋体" w:hAnsi="宋体"/>
              </w:rPr>
            </w:pPr>
            <w:r>
              <w:rPr>
                <w:rFonts w:hint="eastAsia" w:ascii="宋体" w:hAnsi="宋体"/>
              </w:rPr>
              <w:t>2．存在二次配售的，披露《二次配售公告》。</w:t>
            </w:r>
          </w:p>
          <w:p>
            <w:pPr>
              <w:rPr>
                <w:rFonts w:ascii="宋体" w:hAnsi="宋体"/>
              </w:rPr>
            </w:pPr>
            <w:r>
              <w:rPr>
                <w:rFonts w:hint="eastAsia" w:ascii="宋体" w:hAnsi="宋体"/>
              </w:rPr>
              <w:t>3．存在二次配售的，完成二次配售工作并缴款，提交《可转换公司债券发行结果公告》，如发生投资者缴款认购不足70%情形，申请中止发行的，由事先约定的“中止发行申请主体”向深交所提出中止发行申请，并提交《中止发行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2010" w:type="dxa"/>
            <w:vAlign w:val="center"/>
          </w:tcPr>
          <w:p>
            <w:pPr>
              <w:ind w:firstLine="420" w:firstLineChars="200"/>
              <w:jc w:val="center"/>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ind w:firstLine="420" w:firstLineChars="200"/>
              <w:jc w:val="center"/>
              <w:rPr>
                <w:rFonts w:ascii="宋体" w:hAnsi="宋体"/>
              </w:rPr>
            </w:pPr>
            <w:r>
              <w:rPr>
                <w:rFonts w:hint="eastAsia" w:ascii="宋体" w:hAnsi="宋体"/>
              </w:rPr>
              <w:t>星期</w:t>
            </w:r>
          </w:p>
        </w:tc>
        <w:tc>
          <w:tcPr>
            <w:tcW w:w="1701" w:type="dxa"/>
            <w:vAlign w:val="center"/>
          </w:tcPr>
          <w:p>
            <w:pPr>
              <w:jc w:val="center"/>
              <w:rPr>
                <w:rFonts w:ascii="宋体" w:hAnsi="宋体"/>
              </w:rPr>
            </w:pPr>
            <w:r>
              <w:rPr>
                <w:rFonts w:hint="eastAsia" w:ascii="宋体" w:hAnsi="宋体"/>
              </w:rPr>
              <w:t>T+5日</w:t>
            </w:r>
          </w:p>
        </w:tc>
        <w:tc>
          <w:tcPr>
            <w:tcW w:w="5495" w:type="dxa"/>
            <w:vAlign w:val="center"/>
          </w:tcPr>
          <w:p>
            <w:pPr>
              <w:rPr>
                <w:rFonts w:ascii="宋体" w:hAnsi="宋体"/>
              </w:rPr>
            </w:pPr>
            <w:r>
              <w:rPr>
                <w:rFonts w:hint="eastAsia" w:ascii="宋体" w:hAnsi="宋体"/>
              </w:rPr>
              <w:t>存在二次配售的，披露《可转换公司债券发行结果公告》；划转募集资金。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010" w:type="dxa"/>
            <w:vAlign w:val="center"/>
          </w:tcPr>
          <w:p>
            <w:pPr>
              <w:ind w:firstLine="420" w:firstLineChars="200"/>
              <w:jc w:val="center"/>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ind w:firstLine="420" w:firstLineChars="200"/>
              <w:jc w:val="center"/>
              <w:rPr>
                <w:rFonts w:ascii="宋体" w:hAnsi="宋体"/>
              </w:rPr>
            </w:pPr>
            <w:r>
              <w:rPr>
                <w:rFonts w:hint="eastAsia" w:ascii="宋体" w:hAnsi="宋体"/>
              </w:rPr>
              <w:t>星期</w:t>
            </w:r>
          </w:p>
        </w:tc>
        <w:tc>
          <w:tcPr>
            <w:tcW w:w="1701" w:type="dxa"/>
            <w:vAlign w:val="center"/>
          </w:tcPr>
          <w:p>
            <w:pPr>
              <w:jc w:val="center"/>
              <w:rPr>
                <w:rFonts w:ascii="宋体" w:hAnsi="宋体"/>
              </w:rPr>
            </w:pPr>
            <w:r>
              <w:rPr>
                <w:rFonts w:hint="eastAsia" w:ascii="宋体" w:hAnsi="宋体"/>
              </w:rPr>
              <w:t>T+6日前（存在二次配售的，T+7日前）</w:t>
            </w:r>
          </w:p>
        </w:tc>
        <w:tc>
          <w:tcPr>
            <w:tcW w:w="5495" w:type="dxa"/>
            <w:vAlign w:val="center"/>
          </w:tcPr>
          <w:p>
            <w:pPr>
              <w:rPr>
                <w:rFonts w:ascii="宋体" w:hAnsi="宋体"/>
              </w:rPr>
            </w:pPr>
            <w:r>
              <w:rPr>
                <w:rFonts w:hint="eastAsia" w:ascii="宋体" w:hAnsi="宋体"/>
              </w:rPr>
              <w:t>股份登记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010" w:type="dxa"/>
            <w:vAlign w:val="center"/>
          </w:tcPr>
          <w:p>
            <w:pPr>
              <w:ind w:firstLine="420" w:firstLineChars="200"/>
              <w:jc w:val="center"/>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ind w:firstLine="420" w:firstLineChars="200"/>
              <w:jc w:val="center"/>
              <w:rPr>
                <w:rFonts w:ascii="宋体" w:hAnsi="宋体"/>
              </w:rPr>
            </w:pPr>
            <w:r>
              <w:rPr>
                <w:rFonts w:hint="eastAsia" w:ascii="宋体" w:hAnsi="宋体"/>
              </w:rPr>
              <w:t>星期</w:t>
            </w:r>
          </w:p>
        </w:tc>
        <w:tc>
          <w:tcPr>
            <w:tcW w:w="1701" w:type="dxa"/>
            <w:vAlign w:val="center"/>
          </w:tcPr>
          <w:p>
            <w:pPr>
              <w:jc w:val="center"/>
              <w:rPr>
                <w:rFonts w:ascii="宋体" w:hAnsi="宋体"/>
              </w:rPr>
            </w:pPr>
            <w:r>
              <w:rPr>
                <w:rFonts w:hint="eastAsia" w:ascii="宋体" w:hAnsi="宋体"/>
              </w:rPr>
              <w:t>登记业务完成后两个交易日内</w:t>
            </w:r>
          </w:p>
        </w:tc>
        <w:tc>
          <w:tcPr>
            <w:tcW w:w="5495" w:type="dxa"/>
            <w:vAlign w:val="center"/>
          </w:tcPr>
          <w:p>
            <w:pPr>
              <w:rPr>
                <w:rFonts w:ascii="宋体" w:hAnsi="宋体"/>
              </w:rPr>
            </w:pPr>
            <w:r>
              <w:rPr>
                <w:rFonts w:hint="eastAsia" w:ascii="宋体" w:hAnsi="宋体"/>
              </w:rPr>
              <w:t>申请可转债上市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5" w:hRule="atLeast"/>
          <w:jc w:val="center"/>
        </w:trPr>
        <w:tc>
          <w:tcPr>
            <w:tcW w:w="2010" w:type="dxa"/>
            <w:vAlign w:val="center"/>
          </w:tcPr>
          <w:p>
            <w:pPr>
              <w:ind w:firstLine="420" w:firstLineChars="200"/>
              <w:jc w:val="center"/>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ind w:firstLine="420" w:firstLineChars="200"/>
              <w:jc w:val="center"/>
              <w:rPr>
                <w:rFonts w:ascii="宋体" w:hAnsi="宋体"/>
              </w:rPr>
            </w:pPr>
            <w:r>
              <w:rPr>
                <w:rFonts w:hint="eastAsia" w:ascii="宋体" w:hAnsi="宋体"/>
              </w:rPr>
              <w:t>星期</w:t>
            </w:r>
          </w:p>
        </w:tc>
        <w:tc>
          <w:tcPr>
            <w:tcW w:w="1701" w:type="dxa"/>
            <w:vAlign w:val="center"/>
          </w:tcPr>
          <w:p>
            <w:pPr>
              <w:jc w:val="center"/>
              <w:rPr>
                <w:rFonts w:ascii="宋体" w:hAnsi="宋体"/>
              </w:rPr>
            </w:pPr>
            <w:r>
              <w:rPr>
                <w:rFonts w:hint="eastAsia" w:ascii="宋体" w:hAnsi="宋体" w:cs="Arial"/>
                <w:szCs w:val="21"/>
              </w:rPr>
              <w:t>L-5-</w:t>
            </w:r>
            <w:r>
              <w:rPr>
                <w:rFonts w:hint="eastAsia" w:ascii="宋体" w:hAnsi="宋体"/>
              </w:rPr>
              <w:t>L-1日</w:t>
            </w:r>
          </w:p>
        </w:tc>
        <w:tc>
          <w:tcPr>
            <w:tcW w:w="5495" w:type="dxa"/>
            <w:vAlign w:val="center"/>
          </w:tcPr>
          <w:p>
            <w:pPr>
              <w:rPr>
                <w:rFonts w:ascii="宋体" w:hAnsi="宋体"/>
              </w:rPr>
            </w:pPr>
            <w:r>
              <w:rPr>
                <w:rFonts w:hint="eastAsia" w:ascii="宋体" w:hAnsi="宋体"/>
              </w:rPr>
              <w:t>披露《可转债上市公告书》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6" w:hRule="atLeast"/>
          <w:jc w:val="center"/>
        </w:trPr>
        <w:tc>
          <w:tcPr>
            <w:tcW w:w="2010" w:type="dxa"/>
            <w:vAlign w:val="center"/>
          </w:tcPr>
          <w:p>
            <w:pPr>
              <w:ind w:firstLine="420" w:firstLineChars="200"/>
              <w:jc w:val="center"/>
              <w:rPr>
                <w:rFonts w:ascii="宋体" w:hAnsi="宋体"/>
              </w:rPr>
            </w:pPr>
            <w:r>
              <w:rPr>
                <w:rFonts w:hint="eastAsia" w:ascii="宋体" w:hAnsi="宋体"/>
              </w:rPr>
              <w:t>年</w:t>
            </w:r>
            <w:r>
              <w:rPr>
                <w:rFonts w:ascii="宋体" w:hAnsi="宋体"/>
              </w:rPr>
              <w:t xml:space="preserve">   </w:t>
            </w:r>
            <w:r>
              <w:rPr>
                <w:rFonts w:hint="eastAsia" w:ascii="宋体" w:hAnsi="宋体"/>
              </w:rPr>
              <w:t>月</w:t>
            </w:r>
            <w:r>
              <w:rPr>
                <w:rFonts w:ascii="宋体" w:hAnsi="宋体"/>
              </w:rPr>
              <w:t xml:space="preserve">    </w:t>
            </w:r>
            <w:r>
              <w:rPr>
                <w:rFonts w:hint="eastAsia" w:ascii="宋体" w:hAnsi="宋体"/>
              </w:rPr>
              <w:t>日</w:t>
            </w:r>
          </w:p>
          <w:p>
            <w:pPr>
              <w:ind w:firstLine="420" w:firstLineChars="200"/>
              <w:jc w:val="center"/>
              <w:rPr>
                <w:rFonts w:ascii="宋体" w:hAnsi="宋体"/>
              </w:rPr>
            </w:pPr>
            <w:r>
              <w:rPr>
                <w:rFonts w:hint="eastAsia" w:ascii="宋体" w:hAnsi="宋体"/>
              </w:rPr>
              <w:t>星期</w:t>
            </w:r>
          </w:p>
        </w:tc>
        <w:tc>
          <w:tcPr>
            <w:tcW w:w="1701" w:type="dxa"/>
            <w:vAlign w:val="center"/>
          </w:tcPr>
          <w:p>
            <w:pPr>
              <w:jc w:val="center"/>
              <w:rPr>
                <w:rFonts w:ascii="宋体" w:hAnsi="宋体"/>
              </w:rPr>
            </w:pPr>
            <w:r>
              <w:rPr>
                <w:rFonts w:hint="eastAsia" w:ascii="宋体" w:hAnsi="宋体"/>
              </w:rPr>
              <w:t>L日</w:t>
            </w:r>
          </w:p>
        </w:tc>
        <w:tc>
          <w:tcPr>
            <w:tcW w:w="5495" w:type="dxa"/>
            <w:vAlign w:val="center"/>
          </w:tcPr>
          <w:p>
            <w:pPr>
              <w:rPr>
                <w:rFonts w:ascii="宋体" w:hAnsi="宋体"/>
              </w:rPr>
            </w:pPr>
            <w:r>
              <w:rPr>
                <w:rFonts w:hint="eastAsia" w:ascii="宋体" w:hAnsi="宋体"/>
              </w:rPr>
              <w:t>可转债上市交易</w:t>
            </w:r>
          </w:p>
        </w:tc>
      </w:tr>
    </w:tbl>
    <w:p>
      <w:pPr>
        <w:spacing w:line="560" w:lineRule="exact"/>
        <w:rPr>
          <w:rFonts w:ascii="宋体" w:hAnsi="宋体"/>
        </w:rPr>
      </w:pPr>
      <w:r>
        <w:rPr>
          <w:rFonts w:hint="eastAsia" w:ascii="宋体" w:hAnsi="宋体"/>
        </w:rPr>
        <w:t>（以上为一般时间安排，可根据实际情况调整）</w:t>
      </w:r>
    </w:p>
    <w:p>
      <w:pPr>
        <w:spacing w:line="560" w:lineRule="exact"/>
        <w:rPr>
          <w:rFonts w:ascii="黑体" w:hAnsi="黑体" w:eastAsia="黑体"/>
          <w:b/>
          <w:sz w:val="32"/>
          <w:szCs w:val="32"/>
        </w:rPr>
      </w:pPr>
      <w:r>
        <w:rPr>
          <w:rFonts w:ascii="方正仿宋简体" w:eastAsia="方正仿宋简体"/>
          <w:b/>
          <w:sz w:val="28"/>
          <w:szCs w:val="28"/>
        </w:rPr>
        <w:br w:type="page"/>
      </w:r>
      <w:r>
        <w:rPr>
          <w:rFonts w:hint="eastAsia" w:ascii="黑体" w:hAnsi="黑体" w:eastAsia="黑体"/>
          <w:b/>
          <w:sz w:val="32"/>
          <w:szCs w:val="32"/>
        </w:rPr>
        <w:t>附件5</w:t>
      </w:r>
    </w:p>
    <w:p>
      <w:pPr>
        <w:spacing w:line="560" w:lineRule="exact"/>
        <w:rPr>
          <w:rFonts w:ascii="方正仿宋简体" w:eastAsia="方正仿宋简体"/>
          <w:b/>
          <w:sz w:val="28"/>
          <w:szCs w:val="28"/>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可转债定价发行方案要点</w:t>
      </w:r>
    </w:p>
    <w:p>
      <w:pPr>
        <w:spacing w:line="560" w:lineRule="exact"/>
        <w:ind w:left="-502"/>
        <w:rPr>
          <w:rFonts w:ascii="宋体" w:hAnsi="宋体"/>
          <w:sz w:val="24"/>
        </w:rPr>
      </w:pPr>
      <w:r>
        <w:rPr>
          <w:rFonts w:hint="eastAsia" w:ascii="宋体" w:hAnsi="宋体"/>
          <w:sz w:val="24"/>
        </w:rPr>
        <w:t xml:space="preserve">填表日期：     年    月     日                                        </w:t>
      </w:r>
    </w:p>
    <w:tbl>
      <w:tblPr>
        <w:tblStyle w:val="5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61"/>
        <w:gridCol w:w="2787"/>
        <w:gridCol w:w="2124"/>
        <w:gridCol w:w="23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rPr>
            </w:pPr>
            <w:r>
              <w:rPr>
                <w:rFonts w:hint="eastAsia" w:ascii="宋体" w:hAnsi="宋体"/>
                <w:szCs w:val="21"/>
              </w:rPr>
              <w:t>上市证券代号</w:t>
            </w:r>
          </w:p>
        </w:tc>
        <w:tc>
          <w:tcPr>
            <w:tcW w:w="2787" w:type="dxa"/>
            <w:vAlign w:val="center"/>
          </w:tcPr>
          <w:p>
            <w:pPr>
              <w:jc w:val="center"/>
              <w:rPr>
                <w:rFonts w:ascii="宋体" w:hAnsi="宋体"/>
                <w:szCs w:val="21"/>
              </w:rPr>
            </w:pPr>
          </w:p>
        </w:tc>
        <w:tc>
          <w:tcPr>
            <w:tcW w:w="2124" w:type="dxa"/>
            <w:vAlign w:val="center"/>
          </w:tcPr>
          <w:p>
            <w:pPr>
              <w:jc w:val="center"/>
              <w:rPr>
                <w:rFonts w:ascii="宋体" w:hAnsi="宋体"/>
                <w:szCs w:val="21"/>
              </w:rPr>
            </w:pPr>
            <w:r>
              <w:rPr>
                <w:rFonts w:hint="eastAsia" w:ascii="宋体" w:hAnsi="宋体"/>
                <w:szCs w:val="21"/>
              </w:rPr>
              <w:t>上市证券简称</w:t>
            </w:r>
          </w:p>
        </w:tc>
        <w:tc>
          <w:tcPr>
            <w:tcW w:w="2357"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98" w:hRule="atLeast"/>
          <w:jc w:val="center"/>
        </w:trPr>
        <w:tc>
          <w:tcPr>
            <w:tcW w:w="2461" w:type="dxa"/>
            <w:vAlign w:val="center"/>
          </w:tcPr>
          <w:p>
            <w:pPr>
              <w:jc w:val="center"/>
              <w:rPr>
                <w:rFonts w:ascii="宋体" w:hAnsi="宋体"/>
                <w:szCs w:val="21"/>
              </w:rPr>
            </w:pPr>
            <w:r>
              <w:rPr>
                <w:rFonts w:hint="eastAsia" w:ascii="宋体" w:hAnsi="宋体"/>
                <w:szCs w:val="21"/>
              </w:rPr>
              <w:t>主承销商</w:t>
            </w:r>
          </w:p>
        </w:tc>
        <w:tc>
          <w:tcPr>
            <w:tcW w:w="2787" w:type="dxa"/>
            <w:vAlign w:val="center"/>
          </w:tcPr>
          <w:p>
            <w:pPr>
              <w:jc w:val="center"/>
              <w:rPr>
                <w:rFonts w:ascii="宋体" w:hAnsi="宋体"/>
                <w:szCs w:val="21"/>
              </w:rPr>
            </w:pPr>
          </w:p>
        </w:tc>
        <w:tc>
          <w:tcPr>
            <w:tcW w:w="2124" w:type="dxa"/>
            <w:vAlign w:val="center"/>
          </w:tcPr>
          <w:p>
            <w:pPr>
              <w:jc w:val="center"/>
              <w:rPr>
                <w:rFonts w:ascii="宋体" w:hAnsi="宋体"/>
                <w:szCs w:val="21"/>
              </w:rPr>
            </w:pPr>
            <w:r>
              <w:rPr>
                <w:rFonts w:hint="eastAsia" w:ascii="宋体" w:hAnsi="宋体"/>
                <w:szCs w:val="21"/>
              </w:rPr>
              <w:t>主承销商会员代号</w:t>
            </w:r>
          </w:p>
        </w:tc>
        <w:tc>
          <w:tcPr>
            <w:tcW w:w="2357"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3" w:hRule="atLeast"/>
          <w:jc w:val="center"/>
        </w:trPr>
        <w:tc>
          <w:tcPr>
            <w:tcW w:w="2461" w:type="dxa"/>
            <w:vAlign w:val="center"/>
          </w:tcPr>
          <w:p>
            <w:pPr>
              <w:jc w:val="center"/>
              <w:rPr>
                <w:rFonts w:ascii="宋体" w:hAnsi="宋体"/>
                <w:szCs w:val="21"/>
              </w:rPr>
            </w:pPr>
            <w:r>
              <w:rPr>
                <w:rFonts w:hint="eastAsia" w:ascii="宋体" w:hAnsi="宋体"/>
                <w:szCs w:val="21"/>
              </w:rPr>
              <w:t>主承销商自营席位号</w:t>
            </w:r>
          </w:p>
        </w:tc>
        <w:tc>
          <w:tcPr>
            <w:tcW w:w="2787" w:type="dxa"/>
            <w:vAlign w:val="center"/>
          </w:tcPr>
          <w:p>
            <w:pPr>
              <w:jc w:val="center"/>
              <w:rPr>
                <w:rFonts w:ascii="宋体" w:hAnsi="宋体"/>
                <w:szCs w:val="21"/>
              </w:rPr>
            </w:pPr>
          </w:p>
        </w:tc>
        <w:tc>
          <w:tcPr>
            <w:tcW w:w="2124" w:type="dxa"/>
            <w:vAlign w:val="center"/>
          </w:tcPr>
          <w:p>
            <w:pPr>
              <w:jc w:val="center"/>
              <w:rPr>
                <w:rFonts w:ascii="宋体" w:hAnsi="宋体"/>
                <w:szCs w:val="21"/>
              </w:rPr>
            </w:pPr>
            <w:r>
              <w:rPr>
                <w:rFonts w:hint="eastAsia" w:ascii="宋体" w:hAnsi="宋体"/>
                <w:szCs w:val="21"/>
              </w:rPr>
              <w:t>主承销商自营资金结算备付金账号</w:t>
            </w:r>
          </w:p>
        </w:tc>
        <w:tc>
          <w:tcPr>
            <w:tcW w:w="2357"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rPr>
            </w:pPr>
            <w:r>
              <w:rPr>
                <w:rFonts w:hint="eastAsia" w:ascii="宋体" w:hAnsi="宋体"/>
                <w:szCs w:val="21"/>
              </w:rPr>
              <w:t>主承销商联系人</w:t>
            </w:r>
          </w:p>
        </w:tc>
        <w:tc>
          <w:tcPr>
            <w:tcW w:w="2787" w:type="dxa"/>
            <w:vAlign w:val="center"/>
          </w:tcPr>
          <w:p>
            <w:pPr>
              <w:jc w:val="center"/>
              <w:rPr>
                <w:rFonts w:ascii="宋体" w:hAnsi="宋体"/>
                <w:szCs w:val="21"/>
              </w:rPr>
            </w:pPr>
          </w:p>
        </w:tc>
        <w:tc>
          <w:tcPr>
            <w:tcW w:w="2124" w:type="dxa"/>
            <w:vAlign w:val="center"/>
          </w:tcPr>
          <w:p>
            <w:pPr>
              <w:jc w:val="center"/>
              <w:rPr>
                <w:rFonts w:ascii="宋体" w:hAnsi="宋体"/>
                <w:szCs w:val="21"/>
              </w:rPr>
            </w:pPr>
            <w:r>
              <w:rPr>
                <w:rFonts w:hint="eastAsia" w:ascii="宋体" w:hAnsi="宋体"/>
                <w:szCs w:val="21"/>
              </w:rPr>
              <w:t>上市公司联系人</w:t>
            </w:r>
          </w:p>
        </w:tc>
        <w:tc>
          <w:tcPr>
            <w:tcW w:w="2357"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rPr>
            </w:pPr>
            <w:r>
              <w:rPr>
                <w:rFonts w:hint="eastAsia" w:ascii="宋体" w:hAnsi="宋体"/>
                <w:szCs w:val="21"/>
              </w:rPr>
              <w:t>联系电话</w:t>
            </w:r>
          </w:p>
        </w:tc>
        <w:tc>
          <w:tcPr>
            <w:tcW w:w="2787" w:type="dxa"/>
            <w:vAlign w:val="center"/>
          </w:tcPr>
          <w:p>
            <w:pPr>
              <w:jc w:val="center"/>
              <w:rPr>
                <w:rFonts w:ascii="宋体" w:hAnsi="宋体"/>
                <w:szCs w:val="21"/>
              </w:rPr>
            </w:pPr>
          </w:p>
        </w:tc>
        <w:tc>
          <w:tcPr>
            <w:tcW w:w="2124" w:type="dxa"/>
            <w:vAlign w:val="center"/>
          </w:tcPr>
          <w:p>
            <w:pPr>
              <w:jc w:val="center"/>
              <w:rPr>
                <w:rFonts w:ascii="宋体" w:hAnsi="宋体"/>
                <w:szCs w:val="21"/>
              </w:rPr>
            </w:pPr>
            <w:r>
              <w:rPr>
                <w:rFonts w:hint="eastAsia" w:ascii="宋体" w:hAnsi="宋体"/>
                <w:szCs w:val="21"/>
              </w:rPr>
              <w:t>联系电话</w:t>
            </w:r>
          </w:p>
        </w:tc>
        <w:tc>
          <w:tcPr>
            <w:tcW w:w="2357"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9729" w:type="dxa"/>
            <w:gridSpan w:val="4"/>
            <w:shd w:val="clear" w:color="auto" w:fill="C0C0C0"/>
            <w:vAlign w:val="center"/>
          </w:tcPr>
          <w:p>
            <w:pPr>
              <w:jc w:val="center"/>
              <w:rPr>
                <w:rFonts w:ascii="宋体" w:hAnsi="宋体"/>
                <w:szCs w:val="21"/>
              </w:rPr>
            </w:pPr>
            <w:r>
              <w:rPr>
                <w:rFonts w:hint="eastAsia" w:ascii="宋体" w:hAnsi="宋体"/>
                <w:szCs w:val="21"/>
              </w:rPr>
              <w:t>发行情况简述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rPr>
            </w:pPr>
            <w:r>
              <w:rPr>
                <w:rFonts w:hint="eastAsia" w:ascii="宋体" w:hAnsi="宋体"/>
                <w:szCs w:val="21"/>
              </w:rPr>
              <w:t>发行额度（亿元）</w:t>
            </w:r>
          </w:p>
        </w:tc>
        <w:tc>
          <w:tcPr>
            <w:tcW w:w="2787" w:type="dxa"/>
            <w:vAlign w:val="center"/>
          </w:tcPr>
          <w:p>
            <w:pPr>
              <w:jc w:val="center"/>
              <w:rPr>
                <w:rFonts w:ascii="宋体" w:hAnsi="宋体"/>
                <w:szCs w:val="21"/>
              </w:rPr>
            </w:pPr>
          </w:p>
        </w:tc>
        <w:tc>
          <w:tcPr>
            <w:tcW w:w="2124" w:type="dxa"/>
            <w:vAlign w:val="center"/>
          </w:tcPr>
          <w:p>
            <w:pPr>
              <w:jc w:val="center"/>
              <w:rPr>
                <w:rFonts w:ascii="宋体" w:hAnsi="宋体"/>
                <w:szCs w:val="21"/>
              </w:rPr>
            </w:pPr>
            <w:r>
              <w:rPr>
                <w:rFonts w:hint="eastAsia" w:ascii="宋体" w:hAnsi="宋体"/>
                <w:szCs w:val="21"/>
              </w:rPr>
              <w:t>债券票面利率</w:t>
            </w:r>
          </w:p>
        </w:tc>
        <w:tc>
          <w:tcPr>
            <w:tcW w:w="2357" w:type="dxa"/>
            <w:vAlign w:val="center"/>
          </w:tcPr>
          <w:p>
            <w:pPr>
              <w:rPr>
                <w:rFonts w:ascii="宋体" w:hAnsi="宋体"/>
                <w:szCs w:val="21"/>
              </w:rPr>
            </w:pPr>
          </w:p>
          <w:p>
            <w:pPr>
              <w:rPr>
                <w:rFonts w:ascii="宋体" w:hAnsi="宋体"/>
                <w:szCs w:val="21"/>
              </w:rPr>
            </w:pPr>
          </w:p>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rPr>
            </w:pPr>
            <w:r>
              <w:rPr>
                <w:rFonts w:hint="eastAsia" w:ascii="宋体" w:hAnsi="宋体"/>
                <w:szCs w:val="21"/>
              </w:rPr>
              <w:t>发行方式</w:t>
            </w:r>
          </w:p>
        </w:tc>
        <w:tc>
          <w:tcPr>
            <w:tcW w:w="2787" w:type="dxa"/>
            <w:vAlign w:val="center"/>
          </w:tcPr>
          <w:p>
            <w:pPr>
              <w:rPr>
                <w:rFonts w:ascii="宋体" w:hAnsi="宋体"/>
                <w:szCs w:val="21"/>
              </w:rPr>
            </w:pPr>
            <w:r>
              <w:rPr>
                <w:rFonts w:hint="eastAsia" w:ascii="宋体" w:hAnsi="宋体"/>
                <w:szCs w:val="21"/>
              </w:rPr>
              <w:t>□网上  □网下</w:t>
            </w:r>
          </w:p>
        </w:tc>
        <w:tc>
          <w:tcPr>
            <w:tcW w:w="2124" w:type="dxa"/>
            <w:vAlign w:val="center"/>
          </w:tcPr>
          <w:p>
            <w:pPr>
              <w:jc w:val="center"/>
              <w:rPr>
                <w:rFonts w:ascii="宋体" w:hAnsi="宋体"/>
                <w:szCs w:val="21"/>
              </w:rPr>
            </w:pPr>
            <w:r>
              <w:rPr>
                <w:rFonts w:hint="eastAsia" w:ascii="宋体" w:hAnsi="宋体"/>
                <w:szCs w:val="21"/>
              </w:rPr>
              <w:t>发行价格</w:t>
            </w:r>
          </w:p>
        </w:tc>
        <w:tc>
          <w:tcPr>
            <w:tcW w:w="2357" w:type="dxa"/>
            <w:vAlign w:val="center"/>
          </w:tcPr>
          <w:p>
            <w:pPr>
              <w:jc w:val="center"/>
              <w:rPr>
                <w:rFonts w:ascii="宋体" w:hAnsi="宋体"/>
                <w:szCs w:val="21"/>
              </w:rPr>
            </w:pPr>
            <w:r>
              <w:rPr>
                <w:rFonts w:hint="eastAsia" w:ascii="宋体" w:hAnsi="宋体"/>
                <w:szCs w:val="21"/>
              </w:rPr>
              <w:t>100元/张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rPr>
            </w:pPr>
            <w:r>
              <w:rPr>
                <w:rFonts w:hint="eastAsia" w:ascii="宋体" w:hAnsi="宋体"/>
                <w:szCs w:val="21"/>
              </w:rPr>
              <w:t>老股东优先认购比例</w:t>
            </w:r>
          </w:p>
        </w:tc>
        <w:tc>
          <w:tcPr>
            <w:tcW w:w="2787" w:type="dxa"/>
            <w:vAlign w:val="center"/>
          </w:tcPr>
          <w:p>
            <w:pPr>
              <w:ind w:left="223" w:leftChars="106"/>
              <w:rPr>
                <w:rFonts w:ascii="宋体" w:hAnsi="宋体"/>
                <w:szCs w:val="21"/>
              </w:rPr>
            </w:pPr>
            <w:r>
              <w:rPr>
                <w:rFonts w:hint="eastAsia" w:ascii="宋体" w:hAnsi="宋体"/>
                <w:szCs w:val="21"/>
              </w:rPr>
              <w:t>每股配售</w:t>
            </w:r>
            <w:r>
              <w:rPr>
                <w:rFonts w:ascii="宋体" w:hAnsi="宋体"/>
                <w:szCs w:val="21"/>
              </w:rPr>
              <w:t xml:space="preserve"> </w:t>
            </w:r>
            <w:r>
              <w:rPr>
                <w:rFonts w:hint="eastAsia" w:ascii="宋体" w:hAnsi="宋体"/>
                <w:szCs w:val="21"/>
              </w:rPr>
              <w:t>元</w:t>
            </w:r>
          </w:p>
        </w:tc>
        <w:tc>
          <w:tcPr>
            <w:tcW w:w="2124" w:type="dxa"/>
            <w:vAlign w:val="center"/>
          </w:tcPr>
          <w:p>
            <w:pPr>
              <w:jc w:val="center"/>
              <w:rPr>
                <w:rFonts w:ascii="宋体" w:hAnsi="宋体"/>
                <w:szCs w:val="21"/>
              </w:rPr>
            </w:pPr>
            <w:r>
              <w:rPr>
                <w:rFonts w:hint="eastAsia" w:ascii="宋体" w:hAnsi="宋体"/>
                <w:szCs w:val="21"/>
              </w:rPr>
              <w:t>机构投资者</w:t>
            </w:r>
          </w:p>
          <w:p>
            <w:pPr>
              <w:jc w:val="center"/>
              <w:rPr>
                <w:rFonts w:ascii="宋体" w:hAnsi="宋体"/>
                <w:szCs w:val="21"/>
              </w:rPr>
            </w:pPr>
            <w:r>
              <w:rPr>
                <w:rFonts w:hint="eastAsia" w:ascii="宋体" w:hAnsi="宋体"/>
                <w:szCs w:val="21"/>
              </w:rPr>
              <w:t>允许的申购方式</w:t>
            </w:r>
          </w:p>
        </w:tc>
        <w:tc>
          <w:tcPr>
            <w:tcW w:w="2357" w:type="dxa"/>
            <w:vAlign w:val="center"/>
          </w:tcPr>
          <w:p>
            <w:pPr>
              <w:rPr>
                <w:rFonts w:ascii="宋体" w:hAnsi="宋体"/>
                <w:szCs w:val="21"/>
              </w:rPr>
            </w:pPr>
            <w:r>
              <w:rPr>
                <w:rFonts w:hint="eastAsia" w:ascii="宋体" w:hAnsi="宋体"/>
                <w:szCs w:val="21"/>
              </w:rPr>
              <w:t>□网上   □</w:t>
            </w:r>
            <w:r>
              <w:rPr>
                <w:rFonts w:ascii="宋体" w:hAnsi="宋体"/>
                <w:szCs w:val="21"/>
              </w:rPr>
              <w:t xml:space="preserve"> </w:t>
            </w:r>
            <w:r>
              <w:rPr>
                <w:rFonts w:hint="eastAsia" w:ascii="宋体" w:hAnsi="宋体"/>
                <w:szCs w:val="21"/>
              </w:rPr>
              <w:t xml:space="preserve"> 网下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rPr>
            </w:pPr>
            <w:r>
              <w:rPr>
                <w:rFonts w:hint="eastAsia" w:ascii="宋体" w:hAnsi="宋体"/>
                <w:szCs w:val="21"/>
              </w:rPr>
              <w:t>股权登记日</w:t>
            </w:r>
          </w:p>
        </w:tc>
        <w:tc>
          <w:tcPr>
            <w:tcW w:w="7268" w:type="dxa"/>
            <w:gridSpan w:val="3"/>
            <w:vAlign w:val="center"/>
          </w:tcPr>
          <w:p>
            <w:pPr>
              <w:ind w:firstLine="420" w:firstLineChars="200"/>
              <w:jc w:val="center"/>
              <w:rPr>
                <w:rFonts w:ascii="宋体" w:hAns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rPr>
            </w:pPr>
            <w:r>
              <w:rPr>
                <w:rFonts w:hint="eastAsia" w:ascii="宋体" w:hAnsi="宋体"/>
                <w:szCs w:val="21"/>
              </w:rPr>
              <w:t>网上申购日</w:t>
            </w:r>
          </w:p>
        </w:tc>
        <w:tc>
          <w:tcPr>
            <w:tcW w:w="2787" w:type="dxa"/>
            <w:vAlign w:val="center"/>
          </w:tcPr>
          <w:p>
            <w:pPr>
              <w:ind w:firstLine="630" w:firstLineChars="300"/>
              <w:rPr>
                <w:rFonts w:ascii="宋体" w:hAns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tc>
        <w:tc>
          <w:tcPr>
            <w:tcW w:w="2124" w:type="dxa"/>
            <w:vAlign w:val="center"/>
          </w:tcPr>
          <w:p>
            <w:pPr>
              <w:jc w:val="center"/>
              <w:rPr>
                <w:rFonts w:ascii="宋体" w:hAnsi="宋体"/>
                <w:szCs w:val="21"/>
              </w:rPr>
            </w:pPr>
            <w:r>
              <w:rPr>
                <w:rFonts w:hint="eastAsia" w:ascii="宋体" w:hAnsi="宋体"/>
                <w:szCs w:val="21"/>
              </w:rPr>
              <w:t>单个账户</w:t>
            </w:r>
          </w:p>
          <w:p>
            <w:pPr>
              <w:jc w:val="center"/>
              <w:rPr>
                <w:rFonts w:ascii="宋体" w:hAnsi="宋体"/>
                <w:szCs w:val="21"/>
              </w:rPr>
            </w:pPr>
            <w:r>
              <w:rPr>
                <w:rFonts w:hint="eastAsia" w:ascii="宋体" w:hAnsi="宋体"/>
                <w:szCs w:val="21"/>
              </w:rPr>
              <w:t>网上申购上限</w:t>
            </w:r>
          </w:p>
        </w:tc>
        <w:tc>
          <w:tcPr>
            <w:tcW w:w="2357" w:type="dxa"/>
            <w:vAlign w:val="center"/>
          </w:tcPr>
          <w:p>
            <w:pPr>
              <w:ind w:firstLine="420" w:firstLineChars="200"/>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rPr>
            </w:pPr>
            <w:r>
              <w:rPr>
                <w:rFonts w:hint="eastAsia" w:ascii="宋体" w:hAnsi="宋体"/>
                <w:szCs w:val="21"/>
              </w:rPr>
              <w:t>网下申购日</w:t>
            </w:r>
          </w:p>
        </w:tc>
        <w:tc>
          <w:tcPr>
            <w:tcW w:w="2787" w:type="dxa"/>
            <w:vAlign w:val="center"/>
          </w:tcPr>
          <w:p>
            <w:pPr>
              <w:ind w:firstLine="630" w:firstLineChars="300"/>
              <w:rPr>
                <w:rFonts w:ascii="宋体" w:hAns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tc>
        <w:tc>
          <w:tcPr>
            <w:tcW w:w="2124" w:type="dxa"/>
            <w:vAlign w:val="center"/>
          </w:tcPr>
          <w:p>
            <w:pPr>
              <w:jc w:val="center"/>
              <w:rPr>
                <w:rFonts w:ascii="宋体" w:hAnsi="宋体"/>
                <w:szCs w:val="21"/>
              </w:rPr>
            </w:pPr>
            <w:r>
              <w:rPr>
                <w:rFonts w:hint="eastAsia" w:ascii="宋体" w:hAnsi="宋体"/>
                <w:szCs w:val="21"/>
              </w:rPr>
              <w:t>网下申购保证金</w:t>
            </w:r>
          </w:p>
          <w:p>
            <w:pPr>
              <w:jc w:val="center"/>
              <w:rPr>
                <w:rFonts w:ascii="宋体" w:hAnsi="宋体"/>
                <w:szCs w:val="21"/>
              </w:rPr>
            </w:pPr>
            <w:r>
              <w:rPr>
                <w:rFonts w:hint="eastAsia" w:ascii="宋体" w:hAnsi="宋体"/>
                <w:szCs w:val="21"/>
              </w:rPr>
              <w:t>（单户不超过50万元）</w:t>
            </w:r>
          </w:p>
        </w:tc>
        <w:tc>
          <w:tcPr>
            <w:tcW w:w="2357" w:type="dxa"/>
            <w:vAlign w:val="center"/>
          </w:tcPr>
          <w:p>
            <w:pPr>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rPr>
            </w:pPr>
            <w:r>
              <w:rPr>
                <w:rFonts w:hint="eastAsia" w:ascii="宋体" w:hAnsi="宋体"/>
                <w:bCs/>
                <w:szCs w:val="21"/>
              </w:rPr>
              <w:t>转债存续期限</w:t>
            </w:r>
          </w:p>
        </w:tc>
        <w:tc>
          <w:tcPr>
            <w:tcW w:w="2787" w:type="dxa"/>
            <w:vAlign w:val="center"/>
          </w:tcPr>
          <w:p>
            <w:pPr>
              <w:rPr>
                <w:rFonts w:ascii="宋体" w:hAns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日至</w:t>
            </w: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tc>
        <w:tc>
          <w:tcPr>
            <w:tcW w:w="2124" w:type="dxa"/>
            <w:vAlign w:val="center"/>
          </w:tcPr>
          <w:p>
            <w:pPr>
              <w:jc w:val="center"/>
              <w:rPr>
                <w:rFonts w:ascii="宋体" w:hAnsi="宋体"/>
                <w:szCs w:val="21"/>
              </w:rPr>
            </w:pPr>
            <w:r>
              <w:rPr>
                <w:rFonts w:hint="eastAsia" w:ascii="宋体" w:hAnsi="宋体"/>
                <w:szCs w:val="21"/>
              </w:rPr>
              <w:t>付息登记日</w:t>
            </w:r>
          </w:p>
        </w:tc>
        <w:tc>
          <w:tcPr>
            <w:tcW w:w="2357" w:type="dxa"/>
            <w:vAlign w:val="center"/>
          </w:tcPr>
          <w:p>
            <w:pPr>
              <w:jc w:val="center"/>
              <w:rPr>
                <w:rFonts w:ascii="宋体" w:hAns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rPr>
            </w:pPr>
            <w:r>
              <w:rPr>
                <w:rFonts w:hint="eastAsia" w:ascii="宋体" w:hAnsi="宋体"/>
                <w:szCs w:val="21"/>
              </w:rPr>
              <w:t>转股价格</w:t>
            </w:r>
          </w:p>
        </w:tc>
        <w:tc>
          <w:tcPr>
            <w:tcW w:w="2787" w:type="dxa"/>
            <w:vAlign w:val="center"/>
          </w:tcPr>
          <w:p>
            <w:pPr>
              <w:ind w:firstLine="210" w:firstLineChars="100"/>
              <w:rPr>
                <w:rFonts w:ascii="宋体" w:hAnsi="宋体"/>
                <w:szCs w:val="21"/>
              </w:rPr>
            </w:pPr>
            <w:r>
              <w:rPr>
                <w:rFonts w:hint="eastAsia" w:ascii="宋体" w:hAnsi="宋体"/>
                <w:szCs w:val="21"/>
              </w:rPr>
              <w:t>元/股</w:t>
            </w:r>
          </w:p>
        </w:tc>
        <w:tc>
          <w:tcPr>
            <w:tcW w:w="2124" w:type="dxa"/>
            <w:vAlign w:val="center"/>
          </w:tcPr>
          <w:p>
            <w:pPr>
              <w:jc w:val="center"/>
              <w:rPr>
                <w:rFonts w:ascii="宋体" w:hAnsi="宋体"/>
                <w:szCs w:val="21"/>
              </w:rPr>
            </w:pPr>
            <w:r>
              <w:rPr>
                <w:rFonts w:hint="eastAsia" w:ascii="宋体" w:hAnsi="宋体"/>
                <w:szCs w:val="21"/>
              </w:rPr>
              <w:t>转股起始日期</w:t>
            </w:r>
          </w:p>
        </w:tc>
        <w:tc>
          <w:tcPr>
            <w:tcW w:w="2357" w:type="dxa"/>
            <w:vAlign w:val="center"/>
          </w:tcPr>
          <w:p>
            <w:pPr>
              <w:ind w:firstLine="420" w:firstLineChars="200"/>
              <w:rPr>
                <w:rFonts w:ascii="宋体" w:hAns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2461" w:type="dxa"/>
            <w:vAlign w:val="center"/>
          </w:tcPr>
          <w:p>
            <w:pPr>
              <w:jc w:val="center"/>
              <w:rPr>
                <w:rFonts w:ascii="宋体" w:hAnsi="宋体"/>
                <w:szCs w:val="21"/>
              </w:rPr>
            </w:pPr>
            <w:r>
              <w:rPr>
                <w:rFonts w:hint="eastAsia" w:ascii="宋体" w:hAnsi="宋体"/>
                <w:bCs/>
                <w:szCs w:val="21"/>
              </w:rPr>
              <w:t>发行回拨机制</w:t>
            </w:r>
          </w:p>
        </w:tc>
        <w:tc>
          <w:tcPr>
            <w:tcW w:w="7268" w:type="dxa"/>
            <w:gridSpan w:val="3"/>
            <w:vAlign w:val="center"/>
          </w:tcPr>
          <w:p>
            <w:pPr>
              <w:rPr>
                <w:rFonts w:ascii="宋体" w:hAnsi="宋体"/>
                <w:szCs w:val="21"/>
              </w:rPr>
            </w:pPr>
            <w:r>
              <w:rPr>
                <w:rFonts w:hint="eastAsia" w:ascii="宋体" w:hAnsi="宋体"/>
                <w:szCs w:val="21"/>
              </w:rPr>
              <w:t>为平衡网上、网下的申购需求，根据实际申购结果，按照网上定价发行比例和网下配售比例趋于一致的原则，对初定的网下配售数量和网上定价发行的数量进行调整。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8" w:hRule="atLeast"/>
          <w:jc w:val="center"/>
        </w:trPr>
        <w:tc>
          <w:tcPr>
            <w:tcW w:w="2461" w:type="dxa"/>
            <w:vAlign w:val="center"/>
          </w:tcPr>
          <w:p>
            <w:pPr>
              <w:jc w:val="center"/>
              <w:rPr>
                <w:rFonts w:ascii="宋体" w:hAnsi="宋体"/>
                <w:szCs w:val="21"/>
              </w:rPr>
            </w:pPr>
            <w:r>
              <w:rPr>
                <w:rFonts w:hint="eastAsia" w:ascii="宋体" w:hAnsi="宋体"/>
                <w:bCs/>
                <w:szCs w:val="21"/>
              </w:rPr>
              <w:t>利息支付情况阐述</w:t>
            </w:r>
          </w:p>
        </w:tc>
        <w:tc>
          <w:tcPr>
            <w:tcW w:w="7268" w:type="dxa"/>
            <w:gridSpan w:val="3"/>
            <w:vAlign w:val="center"/>
          </w:tcPr>
          <w:p>
            <w:pPr>
              <w:rPr>
                <w:rFonts w:ascii="宋体" w:hAnsi="宋体"/>
                <w:szCs w:val="21"/>
              </w:rPr>
            </w:pPr>
            <w:r>
              <w:rPr>
                <w:rFonts w:hint="eastAsia" w:ascii="宋体" w:hAnsi="宋体"/>
                <w:szCs w:val="21"/>
              </w:rPr>
              <w:t>首次付息日期为发行首日的次年当日，以后每年的该日为当年付息日。付息登记日为每年“付息日”的前一日。上市公司将于每年付息日后的5个工作日内完成付息工作。在付息债权登记日当日申请转股或已转股的转债持有人，将无权获得当年及以后的利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02" w:hRule="atLeast"/>
          <w:jc w:val="center"/>
        </w:trPr>
        <w:tc>
          <w:tcPr>
            <w:tcW w:w="2461" w:type="dxa"/>
            <w:vAlign w:val="center"/>
          </w:tcPr>
          <w:p>
            <w:pPr>
              <w:jc w:val="center"/>
              <w:rPr>
                <w:rFonts w:ascii="宋体" w:hAnsi="宋体"/>
                <w:szCs w:val="21"/>
              </w:rPr>
            </w:pPr>
            <w:r>
              <w:rPr>
                <w:rFonts w:hint="eastAsia" w:ascii="宋体" w:hAnsi="宋体"/>
                <w:bCs/>
                <w:szCs w:val="21"/>
              </w:rPr>
              <w:t>享有优先配售权的老股东的定义</w:t>
            </w:r>
          </w:p>
        </w:tc>
        <w:tc>
          <w:tcPr>
            <w:tcW w:w="7268" w:type="dxa"/>
            <w:gridSpan w:val="3"/>
            <w:vAlign w:val="center"/>
          </w:tcPr>
          <w:p>
            <w:pPr>
              <w:rPr>
                <w:rFonts w:ascii="宋体" w:hAnsi="宋体"/>
                <w:szCs w:val="21"/>
              </w:rPr>
            </w:pPr>
            <w:r>
              <w:rPr>
                <w:rFonts w:hint="eastAsia" w:ascii="宋体" w:hAnsi="宋体"/>
                <w:szCs w:val="21"/>
              </w:rPr>
              <w:t>目前结算系统处理的老股东优先配售权所指的老股东仅包括原A股流通股股东、职工股，如发行方案中还包括其他股份类型，应在此明确说明。</w:t>
            </w:r>
          </w:p>
          <w:p>
            <w:pPr>
              <w:ind w:firstLine="378"/>
              <w:rPr>
                <w:rFonts w:ascii="宋体" w:hAnsi="宋体"/>
                <w:szCs w:val="21"/>
              </w:rPr>
            </w:pPr>
          </w:p>
          <w:p>
            <w:pPr>
              <w:ind w:firstLine="378"/>
              <w:rPr>
                <w:rFonts w:ascii="宋体" w:hAnsi="宋体"/>
                <w:szCs w:val="21"/>
              </w:rPr>
            </w:pPr>
            <w:r>
              <w:rPr>
                <w:rFonts w:hint="eastAsia" w:ascii="宋体" w:hAnsi="宋体"/>
                <w:szCs w:val="21"/>
              </w:rPr>
              <w:t>□</w:t>
            </w:r>
            <w:r>
              <w:rPr>
                <w:rFonts w:ascii="宋体" w:hAnsi="宋体"/>
                <w:szCs w:val="21"/>
              </w:rPr>
              <w:t xml:space="preserve">   </w:t>
            </w:r>
            <w:r>
              <w:rPr>
                <w:rFonts w:hint="eastAsia" w:ascii="宋体" w:hAnsi="宋体"/>
                <w:szCs w:val="21"/>
              </w:rPr>
              <w:t>仅包括以上股份</w:t>
            </w:r>
            <w:r>
              <w:rPr>
                <w:rFonts w:ascii="宋体" w:hAnsi="宋体"/>
                <w:szCs w:val="21"/>
              </w:rPr>
              <w:t xml:space="preserve">   </w:t>
            </w:r>
            <w:r>
              <w:rPr>
                <w:rFonts w:hint="eastAsia" w:ascii="宋体" w:hAnsi="宋体"/>
                <w:szCs w:val="21"/>
              </w:rPr>
              <w:t>□</w:t>
            </w:r>
            <w:r>
              <w:rPr>
                <w:rFonts w:ascii="宋体" w:hAnsi="宋体"/>
                <w:szCs w:val="21"/>
              </w:rPr>
              <w:t xml:space="preserve"> </w:t>
            </w:r>
            <w:r>
              <w:rPr>
                <w:rFonts w:hint="eastAsia" w:ascii="宋体" w:hAnsi="宋体"/>
                <w:szCs w:val="21"/>
              </w:rPr>
              <w:t>还有其他股份，为：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02" w:hRule="atLeast"/>
          <w:jc w:val="center"/>
        </w:trPr>
        <w:tc>
          <w:tcPr>
            <w:tcW w:w="2461" w:type="dxa"/>
            <w:vAlign w:val="center"/>
          </w:tcPr>
          <w:p>
            <w:pPr>
              <w:rPr>
                <w:rFonts w:ascii="宋体" w:hAnsi="宋体"/>
                <w:szCs w:val="21"/>
              </w:rPr>
            </w:pPr>
            <w:r>
              <w:rPr>
                <w:rFonts w:hint="eastAsia" w:ascii="宋体" w:hAnsi="宋体"/>
                <w:szCs w:val="21"/>
              </w:rPr>
              <w:t>本次可转债是否符合质押式回购条件</w:t>
            </w:r>
          </w:p>
        </w:tc>
        <w:tc>
          <w:tcPr>
            <w:tcW w:w="7268" w:type="dxa"/>
            <w:gridSpan w:val="3"/>
            <w:vAlign w:val="center"/>
          </w:tcPr>
          <w:p>
            <w:pPr>
              <w:rPr>
                <w:rFonts w:ascii="宋体" w:hAnsi="宋体"/>
                <w:szCs w:val="21"/>
              </w:rPr>
            </w:pPr>
            <w:r>
              <w:rPr>
                <w:rFonts w:hint="eastAsia" w:ascii="宋体" w:hAnsi="宋体"/>
                <w:szCs w:val="21"/>
              </w:rPr>
              <w:t>债项评级为</w:t>
            </w:r>
            <w:r>
              <w:rPr>
                <w:rFonts w:ascii="宋体" w:hAnsi="宋体"/>
                <w:szCs w:val="21"/>
              </w:rPr>
              <w:t>AAA</w:t>
            </w:r>
            <w:r>
              <w:rPr>
                <w:rFonts w:hint="eastAsia" w:ascii="宋体" w:hAnsi="宋体"/>
                <w:szCs w:val="21"/>
              </w:rPr>
              <w:t>级，主体评级为</w:t>
            </w:r>
            <w:r>
              <w:rPr>
                <w:rFonts w:ascii="宋体" w:hAnsi="宋体"/>
                <w:szCs w:val="21"/>
              </w:rPr>
              <w:t>AA</w:t>
            </w:r>
            <w:r>
              <w:rPr>
                <w:rFonts w:hint="eastAsia" w:ascii="宋体" w:hAnsi="宋体"/>
                <w:szCs w:val="21"/>
              </w:rPr>
              <w:t>级（含）以上，主体评级为</w:t>
            </w:r>
            <w:r>
              <w:rPr>
                <w:rFonts w:ascii="宋体" w:hAnsi="宋体"/>
                <w:szCs w:val="21"/>
              </w:rPr>
              <w:t>AA</w:t>
            </w:r>
            <w:r>
              <w:rPr>
                <w:rFonts w:hint="eastAsia" w:ascii="宋体" w:hAnsi="宋体"/>
                <w:szCs w:val="21"/>
              </w:rPr>
              <w:t>级的，其评级展望应当为正面或稳定：</w:t>
            </w:r>
          </w:p>
          <w:p>
            <w:pPr>
              <w:rPr>
                <w:rFonts w:ascii="宋体" w:hAnsi="宋体"/>
                <w:szCs w:val="21"/>
              </w:rPr>
            </w:pPr>
            <w:r>
              <w:rPr>
                <w:rFonts w:hint="eastAsia" w:ascii="宋体" w:hAnsi="宋体"/>
                <w:szCs w:val="21"/>
              </w:rPr>
              <w:t>主体评级</w:t>
            </w:r>
            <w:r>
              <w:rPr>
                <w:rFonts w:ascii="宋体" w:hAnsi="宋体"/>
                <w:szCs w:val="21"/>
              </w:rPr>
              <w:t xml:space="preserve">          </w:t>
            </w:r>
            <w:r>
              <w:rPr>
                <w:rFonts w:hint="eastAsia" w:ascii="宋体" w:hAnsi="宋体"/>
                <w:szCs w:val="21"/>
              </w:rPr>
              <w:t>；债项评级</w:t>
            </w:r>
            <w:r>
              <w:rPr>
                <w:rFonts w:ascii="宋体" w:hAnsi="宋体"/>
                <w:szCs w:val="21"/>
              </w:rPr>
              <w:t xml:space="preserve">          </w:t>
            </w:r>
            <w:r>
              <w:rPr>
                <w:rFonts w:hint="eastAsia" w:ascii="宋体" w:hAnsi="宋体"/>
                <w:szCs w:val="21"/>
              </w:rPr>
              <w:t>；评级展望</w:t>
            </w:r>
            <w:r>
              <w:rPr>
                <w:rFonts w:ascii="宋体" w:hAnsi="宋体"/>
                <w:szCs w:val="21"/>
              </w:rPr>
              <w:t xml:space="preserve">          </w:t>
            </w:r>
          </w:p>
          <w:p>
            <w:pPr>
              <w:rPr>
                <w:rFonts w:ascii="宋体" w:hAnsi="宋体"/>
                <w:szCs w:val="21"/>
              </w:rPr>
            </w:pPr>
            <w:r>
              <w:rPr>
                <w:rFonts w:hint="eastAsia" w:ascii="宋体" w:hAnsi="宋体"/>
                <w:szCs w:val="21"/>
              </w:rPr>
              <w:t xml:space="preserve"> （请填入主体评级及债券评级)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93" w:hRule="atLeast"/>
          <w:jc w:val="center"/>
        </w:trPr>
        <w:tc>
          <w:tcPr>
            <w:tcW w:w="2461" w:type="dxa"/>
            <w:vAlign w:val="center"/>
          </w:tcPr>
          <w:p>
            <w:pPr>
              <w:jc w:val="center"/>
              <w:rPr>
                <w:rFonts w:ascii="宋体" w:hAnsi="宋体"/>
                <w:szCs w:val="21"/>
              </w:rPr>
            </w:pPr>
            <w:r>
              <w:rPr>
                <w:rFonts w:hint="eastAsia" w:ascii="宋体" w:hAnsi="宋体"/>
                <w:szCs w:val="21"/>
              </w:rPr>
              <w:t>本次发行方案中</w:t>
            </w:r>
          </w:p>
          <w:p>
            <w:pPr>
              <w:jc w:val="center"/>
              <w:rPr>
                <w:rFonts w:ascii="宋体" w:hAnsi="宋体"/>
                <w:szCs w:val="21"/>
              </w:rPr>
            </w:pPr>
            <w:r>
              <w:rPr>
                <w:rFonts w:hint="eastAsia" w:ascii="宋体" w:hAnsi="宋体"/>
                <w:szCs w:val="21"/>
              </w:rPr>
              <w:t>创新内容简述</w:t>
            </w:r>
          </w:p>
        </w:tc>
        <w:tc>
          <w:tcPr>
            <w:tcW w:w="7268" w:type="dxa"/>
            <w:gridSpan w:val="3"/>
            <w:vAlign w:val="center"/>
          </w:tcPr>
          <w:p>
            <w:pPr>
              <w:ind w:firstLine="1050" w:firstLineChars="500"/>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2" w:hRule="atLeast"/>
          <w:jc w:val="center"/>
        </w:trPr>
        <w:tc>
          <w:tcPr>
            <w:tcW w:w="9729" w:type="dxa"/>
            <w:gridSpan w:val="4"/>
            <w:shd w:val="clear" w:color="auto" w:fill="C0C0C0"/>
            <w:vAlign w:val="center"/>
          </w:tcPr>
          <w:p>
            <w:pPr>
              <w:jc w:val="center"/>
              <w:rPr>
                <w:rFonts w:ascii="宋体" w:hAnsi="宋体"/>
                <w:szCs w:val="21"/>
              </w:rPr>
            </w:pPr>
            <w:r>
              <w:rPr>
                <w:rFonts w:hint="eastAsia" w:ascii="宋体" w:hAnsi="宋体"/>
                <w:szCs w:val="21"/>
              </w:rPr>
              <w:t>主承销商授权经办人确认以上内容无误并签字（加盖单位公章）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4" w:hRule="atLeast"/>
          <w:jc w:val="center"/>
        </w:trPr>
        <w:tc>
          <w:tcPr>
            <w:tcW w:w="9729" w:type="dxa"/>
            <w:gridSpan w:val="4"/>
            <w:vAlign w:val="center"/>
          </w:tcPr>
          <w:p>
            <w:pPr>
              <w:ind w:firstLine="1050" w:firstLineChars="500"/>
              <w:rPr>
                <w:rFonts w:ascii="宋体" w:hAnsi="宋体"/>
                <w:szCs w:val="21"/>
              </w:rPr>
            </w:pPr>
          </w:p>
          <w:p>
            <w:pPr>
              <w:rPr>
                <w:rFonts w:ascii="宋体" w:hAnsi="宋体"/>
                <w:szCs w:val="21"/>
              </w:rPr>
            </w:pPr>
          </w:p>
        </w:tc>
      </w:tr>
    </w:tbl>
    <w:p>
      <w:pPr>
        <w:spacing w:line="560" w:lineRule="exact"/>
        <w:jc w:val="left"/>
        <w:rPr>
          <w:rFonts w:ascii="方正仿宋简体" w:eastAsia="方正仿宋简体"/>
        </w:rPr>
        <w:sectPr>
          <w:pgSz w:w="11906" w:h="16838"/>
          <w:pgMar w:top="1440" w:right="1800" w:bottom="1440" w:left="1800" w:header="851" w:footer="992" w:gutter="0"/>
          <w:cols w:space="720" w:num="1"/>
          <w:docGrid w:type="lines" w:linePitch="312" w:charSpace="0"/>
        </w:sectPr>
      </w:pPr>
    </w:p>
    <w:p>
      <w:pPr>
        <w:spacing w:line="560" w:lineRule="exact"/>
        <w:rPr>
          <w:rFonts w:ascii="黑体" w:hAnsi="黑体" w:eastAsia="黑体"/>
          <w:b/>
          <w:sz w:val="32"/>
          <w:szCs w:val="32"/>
        </w:rPr>
      </w:pPr>
      <w:r>
        <w:rPr>
          <w:rFonts w:hint="eastAsia" w:ascii="黑体" w:hAnsi="黑体" w:eastAsia="黑体"/>
          <w:b/>
          <w:sz w:val="32"/>
          <w:szCs w:val="32"/>
        </w:rPr>
        <w:t>附件6</w:t>
      </w:r>
    </w:p>
    <w:p>
      <w:pPr>
        <w:spacing w:line="560" w:lineRule="exact"/>
        <w:rPr>
          <w:rFonts w:ascii="方正仿宋简体" w:eastAsia="方正仿宋简体"/>
          <w:b/>
          <w:sz w:val="28"/>
          <w:szCs w:val="28"/>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中国证券登记结算有限责任公司深圳分公司</w:t>
      </w: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可转债网上配售、发行认购资金划款申请表</w:t>
      </w:r>
    </w:p>
    <w:tbl>
      <w:tblPr>
        <w:tblStyle w:val="5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27" w:type="dxa"/>
          <w:bottom w:w="0" w:type="dxa"/>
          <w:right w:w="227" w:type="dxa"/>
        </w:tblCellMar>
      </w:tblPr>
      <w:tblGrid>
        <w:gridCol w:w="2554"/>
        <w:gridCol w:w="1935"/>
        <w:gridCol w:w="2410"/>
        <w:gridCol w:w="20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cantSplit/>
          <w:trHeight w:val="724" w:hRule="atLeast"/>
          <w:jc w:val="center"/>
        </w:trPr>
        <w:tc>
          <w:tcPr>
            <w:tcW w:w="2554" w:type="dxa"/>
            <w:vAlign w:val="center"/>
          </w:tcPr>
          <w:p>
            <w:pPr>
              <w:jc w:val="center"/>
              <w:rPr>
                <w:rFonts w:ascii="宋体" w:hAnsi="宋体"/>
                <w:bCs/>
                <w:color w:val="000000"/>
                <w:szCs w:val="21"/>
              </w:rPr>
            </w:pPr>
            <w:r>
              <w:rPr>
                <w:rFonts w:hint="eastAsia" w:ascii="宋体" w:hAnsi="宋体"/>
                <w:bCs/>
                <w:color w:val="000000"/>
                <w:szCs w:val="21"/>
              </w:rPr>
              <w:t>主承销商</w:t>
            </w:r>
          </w:p>
        </w:tc>
        <w:tc>
          <w:tcPr>
            <w:tcW w:w="6377" w:type="dxa"/>
            <w:gridSpan w:val="3"/>
            <w:vAlign w:val="center"/>
          </w:tcPr>
          <w:p>
            <w:pPr>
              <w:ind w:firstLine="961"/>
              <w:jc w:val="center"/>
              <w:rPr>
                <w:rFonts w:ascii="宋体" w:hAnsi="宋体"/>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trHeight w:val="724" w:hRule="atLeast"/>
          <w:jc w:val="center"/>
        </w:trPr>
        <w:tc>
          <w:tcPr>
            <w:tcW w:w="2554" w:type="dxa"/>
            <w:vAlign w:val="center"/>
          </w:tcPr>
          <w:p>
            <w:pPr>
              <w:jc w:val="center"/>
              <w:rPr>
                <w:rFonts w:ascii="宋体" w:hAnsi="宋体"/>
                <w:bCs/>
                <w:color w:val="000000"/>
                <w:szCs w:val="21"/>
              </w:rPr>
            </w:pPr>
            <w:r>
              <w:rPr>
                <w:rFonts w:hint="eastAsia" w:ascii="宋体" w:hAnsi="宋体"/>
                <w:bCs/>
                <w:color w:val="000000"/>
                <w:szCs w:val="21"/>
              </w:rPr>
              <w:t>主承销商联系人</w:t>
            </w:r>
          </w:p>
        </w:tc>
        <w:tc>
          <w:tcPr>
            <w:tcW w:w="1935" w:type="dxa"/>
            <w:vAlign w:val="center"/>
          </w:tcPr>
          <w:p>
            <w:pPr>
              <w:jc w:val="center"/>
              <w:rPr>
                <w:rFonts w:ascii="宋体" w:hAnsi="宋体"/>
                <w:bCs/>
                <w:color w:val="000000"/>
                <w:szCs w:val="21"/>
              </w:rPr>
            </w:pPr>
          </w:p>
        </w:tc>
        <w:tc>
          <w:tcPr>
            <w:tcW w:w="2410" w:type="dxa"/>
            <w:vAlign w:val="center"/>
          </w:tcPr>
          <w:p>
            <w:pPr>
              <w:jc w:val="center"/>
              <w:rPr>
                <w:rFonts w:ascii="宋体" w:hAnsi="宋体"/>
                <w:bCs/>
                <w:color w:val="000000"/>
                <w:szCs w:val="21"/>
              </w:rPr>
            </w:pPr>
            <w:r>
              <w:rPr>
                <w:rFonts w:hint="eastAsia" w:ascii="宋体" w:hAnsi="宋体"/>
                <w:bCs/>
                <w:color w:val="000000"/>
                <w:szCs w:val="21"/>
              </w:rPr>
              <w:t>联系电话</w:t>
            </w:r>
          </w:p>
        </w:tc>
        <w:tc>
          <w:tcPr>
            <w:tcW w:w="2032" w:type="dxa"/>
            <w:vAlign w:val="center"/>
          </w:tcPr>
          <w:p>
            <w:pPr>
              <w:jc w:val="center"/>
              <w:rPr>
                <w:rFonts w:ascii="宋体" w:hAnsi="宋体"/>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trHeight w:val="724" w:hRule="atLeast"/>
          <w:jc w:val="center"/>
        </w:trPr>
        <w:tc>
          <w:tcPr>
            <w:tcW w:w="2554" w:type="dxa"/>
            <w:vAlign w:val="center"/>
          </w:tcPr>
          <w:p>
            <w:pPr>
              <w:jc w:val="center"/>
              <w:rPr>
                <w:rFonts w:ascii="宋体" w:hAnsi="宋体"/>
                <w:bCs/>
                <w:color w:val="000000"/>
                <w:szCs w:val="21"/>
              </w:rPr>
            </w:pPr>
            <w:r>
              <w:rPr>
                <w:rFonts w:hint="eastAsia" w:ascii="宋体" w:hAnsi="宋体"/>
                <w:bCs/>
                <w:color w:val="000000"/>
                <w:szCs w:val="21"/>
              </w:rPr>
              <w:t>配售简称</w:t>
            </w:r>
          </w:p>
        </w:tc>
        <w:tc>
          <w:tcPr>
            <w:tcW w:w="1935" w:type="dxa"/>
            <w:vAlign w:val="center"/>
          </w:tcPr>
          <w:p>
            <w:pPr>
              <w:jc w:val="center"/>
              <w:rPr>
                <w:rFonts w:ascii="宋体" w:hAnsi="宋体"/>
                <w:bCs/>
                <w:color w:val="000000"/>
                <w:szCs w:val="21"/>
              </w:rPr>
            </w:pPr>
          </w:p>
        </w:tc>
        <w:tc>
          <w:tcPr>
            <w:tcW w:w="2410" w:type="dxa"/>
            <w:vAlign w:val="center"/>
          </w:tcPr>
          <w:p>
            <w:pPr>
              <w:jc w:val="center"/>
              <w:rPr>
                <w:rFonts w:ascii="宋体" w:hAnsi="宋体"/>
                <w:bCs/>
                <w:color w:val="000000"/>
                <w:szCs w:val="21"/>
              </w:rPr>
            </w:pPr>
            <w:r>
              <w:rPr>
                <w:rFonts w:hint="eastAsia" w:ascii="宋体" w:hAnsi="宋体"/>
                <w:bCs/>
                <w:color w:val="000000"/>
                <w:szCs w:val="21"/>
              </w:rPr>
              <w:t>配售代码</w:t>
            </w:r>
          </w:p>
        </w:tc>
        <w:tc>
          <w:tcPr>
            <w:tcW w:w="2032" w:type="dxa"/>
            <w:vAlign w:val="center"/>
          </w:tcPr>
          <w:p>
            <w:pPr>
              <w:jc w:val="center"/>
              <w:rPr>
                <w:rFonts w:ascii="宋体" w:hAnsi="宋体"/>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trHeight w:val="724" w:hRule="atLeast"/>
          <w:jc w:val="center"/>
        </w:trPr>
        <w:tc>
          <w:tcPr>
            <w:tcW w:w="2554" w:type="dxa"/>
            <w:vAlign w:val="center"/>
          </w:tcPr>
          <w:p>
            <w:pPr>
              <w:jc w:val="center"/>
              <w:rPr>
                <w:rFonts w:ascii="宋体" w:hAnsi="宋体"/>
                <w:bCs/>
                <w:color w:val="000000"/>
                <w:szCs w:val="21"/>
              </w:rPr>
            </w:pPr>
            <w:r>
              <w:rPr>
                <w:rFonts w:hint="eastAsia" w:ascii="宋体" w:hAnsi="宋体"/>
                <w:bCs/>
                <w:color w:val="000000"/>
                <w:szCs w:val="21"/>
              </w:rPr>
              <w:t>申购简称</w:t>
            </w:r>
          </w:p>
        </w:tc>
        <w:tc>
          <w:tcPr>
            <w:tcW w:w="1935" w:type="dxa"/>
            <w:vAlign w:val="center"/>
          </w:tcPr>
          <w:p>
            <w:pPr>
              <w:jc w:val="center"/>
              <w:rPr>
                <w:rFonts w:ascii="宋体" w:hAnsi="宋体"/>
                <w:bCs/>
                <w:color w:val="000000"/>
                <w:szCs w:val="21"/>
              </w:rPr>
            </w:pPr>
          </w:p>
        </w:tc>
        <w:tc>
          <w:tcPr>
            <w:tcW w:w="2410" w:type="dxa"/>
            <w:vAlign w:val="center"/>
          </w:tcPr>
          <w:p>
            <w:pPr>
              <w:jc w:val="center"/>
              <w:rPr>
                <w:rFonts w:ascii="宋体" w:hAnsi="宋体"/>
                <w:bCs/>
                <w:color w:val="000000"/>
                <w:szCs w:val="21"/>
              </w:rPr>
            </w:pPr>
            <w:r>
              <w:rPr>
                <w:rFonts w:hint="eastAsia" w:ascii="宋体" w:hAnsi="宋体"/>
                <w:bCs/>
                <w:color w:val="000000"/>
                <w:szCs w:val="21"/>
              </w:rPr>
              <w:t>申购代码</w:t>
            </w:r>
          </w:p>
        </w:tc>
        <w:tc>
          <w:tcPr>
            <w:tcW w:w="2032" w:type="dxa"/>
            <w:vAlign w:val="center"/>
          </w:tcPr>
          <w:p>
            <w:pPr>
              <w:jc w:val="center"/>
              <w:rPr>
                <w:rFonts w:ascii="宋体" w:hAnsi="宋体"/>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trHeight w:val="724" w:hRule="atLeast"/>
          <w:jc w:val="center"/>
        </w:trPr>
        <w:tc>
          <w:tcPr>
            <w:tcW w:w="2554" w:type="dxa"/>
            <w:vAlign w:val="center"/>
          </w:tcPr>
          <w:p>
            <w:pPr>
              <w:jc w:val="center"/>
              <w:rPr>
                <w:rFonts w:ascii="宋体" w:hAnsi="宋体"/>
                <w:bCs/>
                <w:color w:val="000000"/>
                <w:szCs w:val="21"/>
              </w:rPr>
            </w:pPr>
            <w:r>
              <w:rPr>
                <w:rFonts w:hint="eastAsia" w:ascii="宋体" w:hAnsi="宋体"/>
                <w:bCs/>
                <w:color w:val="000000"/>
                <w:szCs w:val="21"/>
              </w:rPr>
              <w:t>网上发行总量（张）</w:t>
            </w:r>
          </w:p>
        </w:tc>
        <w:tc>
          <w:tcPr>
            <w:tcW w:w="6377" w:type="dxa"/>
            <w:gridSpan w:val="3"/>
            <w:vAlign w:val="center"/>
          </w:tcPr>
          <w:p>
            <w:pPr>
              <w:jc w:val="center"/>
              <w:rPr>
                <w:rFonts w:ascii="宋体" w:hAnsi="宋体"/>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trHeight w:val="724" w:hRule="atLeast"/>
          <w:jc w:val="center"/>
        </w:trPr>
        <w:tc>
          <w:tcPr>
            <w:tcW w:w="2554" w:type="dxa"/>
            <w:vAlign w:val="center"/>
          </w:tcPr>
          <w:p>
            <w:pPr>
              <w:jc w:val="center"/>
              <w:rPr>
                <w:rFonts w:ascii="宋体" w:hAnsi="宋体"/>
                <w:bCs/>
                <w:color w:val="000000"/>
                <w:szCs w:val="21"/>
              </w:rPr>
            </w:pPr>
            <w:r>
              <w:rPr>
                <w:rFonts w:hint="eastAsia" w:ascii="宋体" w:hAnsi="宋体"/>
                <w:bCs/>
                <w:color w:val="000000"/>
                <w:szCs w:val="21"/>
              </w:rPr>
              <w:t>网上配售、申购日期</w:t>
            </w:r>
          </w:p>
        </w:tc>
        <w:tc>
          <w:tcPr>
            <w:tcW w:w="6377" w:type="dxa"/>
            <w:gridSpan w:val="3"/>
            <w:vAlign w:val="center"/>
          </w:tcPr>
          <w:p>
            <w:pPr>
              <w:jc w:val="center"/>
              <w:rPr>
                <w:rFonts w:ascii="宋体" w:hAnsi="宋体"/>
                <w:bCs/>
                <w:color w:val="000000"/>
                <w:szCs w:val="21"/>
              </w:rPr>
            </w:pPr>
            <w:r>
              <w:rPr>
                <w:rFonts w:hint="eastAsia" w:ascii="宋体" w:hAnsi="宋体"/>
                <w:bCs/>
                <w:color w:val="000000"/>
                <w:szCs w:val="21"/>
              </w:rPr>
              <w:t>（T日）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trHeight w:val="724" w:hRule="atLeast"/>
          <w:jc w:val="center"/>
        </w:trPr>
        <w:tc>
          <w:tcPr>
            <w:tcW w:w="2554" w:type="dxa"/>
            <w:vAlign w:val="center"/>
          </w:tcPr>
          <w:p>
            <w:pPr>
              <w:snapToGrid w:val="0"/>
              <w:jc w:val="center"/>
              <w:rPr>
                <w:rFonts w:ascii="宋体" w:hAnsi="宋体"/>
                <w:bCs/>
                <w:color w:val="000000"/>
                <w:szCs w:val="21"/>
              </w:rPr>
            </w:pPr>
            <w:r>
              <w:rPr>
                <w:rFonts w:hint="eastAsia" w:ascii="宋体" w:hAnsi="宋体"/>
                <w:bCs/>
                <w:color w:val="000000"/>
                <w:szCs w:val="21"/>
              </w:rPr>
              <w:t>配售认购资金</w:t>
            </w:r>
          </w:p>
          <w:p>
            <w:pPr>
              <w:snapToGrid w:val="0"/>
              <w:jc w:val="center"/>
              <w:rPr>
                <w:rFonts w:ascii="宋体" w:hAnsi="宋体"/>
                <w:bCs/>
                <w:color w:val="000000"/>
                <w:szCs w:val="21"/>
              </w:rPr>
            </w:pPr>
            <w:r>
              <w:rPr>
                <w:rFonts w:hint="eastAsia" w:ascii="宋体" w:hAnsi="宋体"/>
                <w:bCs/>
                <w:color w:val="000000"/>
                <w:szCs w:val="21"/>
              </w:rPr>
              <w:t>划付日期</w:t>
            </w:r>
          </w:p>
        </w:tc>
        <w:tc>
          <w:tcPr>
            <w:tcW w:w="1935" w:type="dxa"/>
            <w:vAlign w:val="center"/>
          </w:tcPr>
          <w:p>
            <w:pPr>
              <w:snapToGrid w:val="0"/>
              <w:jc w:val="center"/>
              <w:rPr>
                <w:rFonts w:ascii="宋体" w:hAnsi="宋体"/>
                <w:bCs/>
                <w:color w:val="000000"/>
                <w:szCs w:val="21"/>
              </w:rPr>
            </w:pPr>
            <w:r>
              <w:rPr>
                <w:rFonts w:hint="eastAsia" w:ascii="宋体" w:hAnsi="宋体"/>
                <w:bCs/>
                <w:color w:val="000000"/>
                <w:szCs w:val="21"/>
              </w:rPr>
              <w:t>（T+4日）</w:t>
            </w:r>
          </w:p>
        </w:tc>
        <w:tc>
          <w:tcPr>
            <w:tcW w:w="2410" w:type="dxa"/>
            <w:vAlign w:val="center"/>
          </w:tcPr>
          <w:p>
            <w:pPr>
              <w:snapToGrid w:val="0"/>
              <w:jc w:val="center"/>
              <w:rPr>
                <w:rFonts w:ascii="宋体" w:hAnsi="宋体"/>
                <w:bCs/>
                <w:color w:val="000000"/>
                <w:szCs w:val="21"/>
              </w:rPr>
            </w:pPr>
            <w:r>
              <w:rPr>
                <w:rFonts w:hint="eastAsia" w:ascii="宋体" w:hAnsi="宋体"/>
                <w:bCs/>
                <w:color w:val="000000"/>
                <w:szCs w:val="21"/>
              </w:rPr>
              <w:t>网上发行认购资金划付日期</w:t>
            </w:r>
          </w:p>
        </w:tc>
        <w:tc>
          <w:tcPr>
            <w:tcW w:w="2032" w:type="dxa"/>
            <w:vAlign w:val="center"/>
          </w:tcPr>
          <w:p>
            <w:pPr>
              <w:snapToGrid w:val="0"/>
              <w:jc w:val="center"/>
              <w:rPr>
                <w:rFonts w:ascii="宋体" w:hAnsi="宋体"/>
                <w:bCs/>
                <w:color w:val="000000"/>
                <w:szCs w:val="21"/>
              </w:rPr>
            </w:pPr>
            <w:r>
              <w:rPr>
                <w:rFonts w:hint="eastAsia" w:ascii="宋体" w:hAnsi="宋体"/>
                <w:bCs/>
                <w:color w:val="000000"/>
                <w:szCs w:val="21"/>
              </w:rPr>
              <w:t>（T+3日）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cantSplit/>
          <w:trHeight w:val="724" w:hRule="atLeast"/>
          <w:jc w:val="center"/>
        </w:trPr>
        <w:tc>
          <w:tcPr>
            <w:tcW w:w="2554" w:type="dxa"/>
            <w:vAlign w:val="center"/>
          </w:tcPr>
          <w:p>
            <w:pPr>
              <w:snapToGrid w:val="0"/>
              <w:jc w:val="center"/>
              <w:rPr>
                <w:rFonts w:ascii="宋体" w:hAnsi="宋体"/>
                <w:bCs/>
                <w:color w:val="000000"/>
                <w:szCs w:val="21"/>
              </w:rPr>
            </w:pPr>
            <w:r>
              <w:rPr>
                <w:rFonts w:hint="eastAsia" w:ascii="宋体" w:hAnsi="宋体"/>
                <w:bCs/>
                <w:color w:val="000000"/>
                <w:szCs w:val="21"/>
              </w:rPr>
              <w:t>主承销商自营</w:t>
            </w:r>
          </w:p>
          <w:p>
            <w:pPr>
              <w:snapToGrid w:val="0"/>
              <w:jc w:val="center"/>
              <w:rPr>
                <w:rFonts w:ascii="宋体" w:hAnsi="宋体"/>
                <w:bCs/>
                <w:color w:val="000000"/>
                <w:szCs w:val="21"/>
              </w:rPr>
            </w:pPr>
            <w:r>
              <w:rPr>
                <w:rFonts w:hint="eastAsia" w:ascii="宋体" w:hAnsi="宋体"/>
                <w:bCs/>
                <w:color w:val="000000"/>
                <w:szCs w:val="21"/>
              </w:rPr>
              <w:t>结算备付金账号</w:t>
            </w:r>
          </w:p>
        </w:tc>
        <w:tc>
          <w:tcPr>
            <w:tcW w:w="6377" w:type="dxa"/>
            <w:gridSpan w:val="3"/>
            <w:vAlign w:val="center"/>
          </w:tcPr>
          <w:p>
            <w:pPr>
              <w:snapToGrid w:val="0"/>
              <w:jc w:val="center"/>
              <w:rPr>
                <w:rFonts w:ascii="宋体" w:hAnsi="宋体"/>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27" w:type="dxa"/>
            <w:bottom w:w="0" w:type="dxa"/>
            <w:right w:w="227" w:type="dxa"/>
          </w:tblCellMar>
        </w:tblPrEx>
        <w:trPr>
          <w:cantSplit/>
          <w:trHeight w:val="3952" w:hRule="atLeast"/>
          <w:jc w:val="center"/>
        </w:trPr>
        <w:tc>
          <w:tcPr>
            <w:tcW w:w="4489" w:type="dxa"/>
            <w:gridSpan w:val="2"/>
            <w:vAlign w:val="center"/>
          </w:tcPr>
          <w:p>
            <w:pPr>
              <w:rPr>
                <w:rFonts w:ascii="宋体" w:hAnsi="宋体"/>
                <w:bCs/>
                <w:color w:val="000000"/>
                <w:szCs w:val="21"/>
              </w:rPr>
            </w:pPr>
            <w:r>
              <w:rPr>
                <w:rFonts w:hint="eastAsia" w:ascii="宋体" w:hAnsi="宋体"/>
                <w:bCs/>
                <w:color w:val="000000"/>
                <w:szCs w:val="21"/>
              </w:rPr>
              <w:t>主承销商确认：</w:t>
            </w:r>
          </w:p>
          <w:p>
            <w:pPr>
              <w:jc w:val="center"/>
              <w:rPr>
                <w:rFonts w:ascii="宋体" w:hAnsi="宋体"/>
                <w:bCs/>
                <w:color w:val="000000"/>
                <w:szCs w:val="21"/>
              </w:rPr>
            </w:pPr>
          </w:p>
          <w:p>
            <w:pPr>
              <w:jc w:val="center"/>
              <w:rPr>
                <w:rFonts w:ascii="宋体" w:hAnsi="宋体"/>
                <w:bCs/>
                <w:color w:val="000000"/>
                <w:szCs w:val="21"/>
              </w:rPr>
            </w:pPr>
            <w:r>
              <w:rPr>
                <w:rFonts w:hint="eastAsia" w:ascii="宋体" w:hAnsi="宋体"/>
                <w:bCs/>
                <w:color w:val="000000"/>
                <w:szCs w:val="21"/>
              </w:rPr>
              <w:t>法人公章</w:t>
            </w:r>
          </w:p>
          <w:p>
            <w:pPr>
              <w:jc w:val="center"/>
              <w:rPr>
                <w:rFonts w:ascii="宋体" w:hAnsi="宋体"/>
                <w:bCs/>
                <w:color w:val="000000"/>
                <w:szCs w:val="21"/>
              </w:rPr>
            </w:pPr>
          </w:p>
          <w:p>
            <w:pPr>
              <w:jc w:val="center"/>
              <w:rPr>
                <w:rFonts w:ascii="宋体" w:hAnsi="宋体"/>
                <w:bCs/>
                <w:color w:val="000000"/>
                <w:szCs w:val="21"/>
              </w:rPr>
            </w:pPr>
            <w:r>
              <w:rPr>
                <w:rFonts w:hint="eastAsia" w:ascii="宋体" w:hAnsi="宋体"/>
                <w:bCs/>
                <w:color w:val="000000"/>
                <w:szCs w:val="21"/>
              </w:rPr>
              <w:t>法定代表人（或授权代表）</w:t>
            </w:r>
          </w:p>
        </w:tc>
        <w:tc>
          <w:tcPr>
            <w:tcW w:w="4442" w:type="dxa"/>
            <w:gridSpan w:val="2"/>
            <w:vAlign w:val="center"/>
          </w:tcPr>
          <w:p>
            <w:pPr>
              <w:rPr>
                <w:rFonts w:ascii="宋体" w:hAnsi="宋体"/>
                <w:bCs/>
                <w:color w:val="000000"/>
                <w:szCs w:val="21"/>
              </w:rPr>
            </w:pPr>
            <w:r>
              <w:rPr>
                <w:rFonts w:hint="eastAsia" w:ascii="宋体" w:hAnsi="宋体"/>
                <w:bCs/>
                <w:color w:val="000000"/>
                <w:szCs w:val="21"/>
              </w:rPr>
              <w:t>上市公司确认：</w:t>
            </w:r>
          </w:p>
          <w:p>
            <w:pPr>
              <w:jc w:val="center"/>
              <w:rPr>
                <w:rFonts w:ascii="宋体" w:hAnsi="宋体"/>
                <w:bCs/>
                <w:color w:val="000000"/>
                <w:szCs w:val="21"/>
              </w:rPr>
            </w:pPr>
          </w:p>
          <w:p>
            <w:pPr>
              <w:jc w:val="center"/>
              <w:rPr>
                <w:rFonts w:ascii="宋体" w:hAnsi="宋体"/>
                <w:bCs/>
                <w:color w:val="000000"/>
                <w:szCs w:val="21"/>
              </w:rPr>
            </w:pPr>
            <w:r>
              <w:rPr>
                <w:rFonts w:hint="eastAsia" w:ascii="宋体" w:hAnsi="宋体"/>
                <w:bCs/>
                <w:color w:val="000000"/>
                <w:szCs w:val="21"/>
              </w:rPr>
              <w:t>法人公章</w:t>
            </w:r>
          </w:p>
          <w:p>
            <w:pPr>
              <w:jc w:val="center"/>
              <w:rPr>
                <w:rFonts w:ascii="宋体" w:hAnsi="宋体"/>
                <w:bCs/>
                <w:color w:val="000000"/>
                <w:szCs w:val="21"/>
              </w:rPr>
            </w:pPr>
          </w:p>
          <w:p>
            <w:pPr>
              <w:jc w:val="center"/>
              <w:rPr>
                <w:rFonts w:ascii="宋体" w:hAnsi="宋体"/>
                <w:bCs/>
                <w:color w:val="000000"/>
                <w:szCs w:val="21"/>
              </w:rPr>
            </w:pPr>
            <w:r>
              <w:rPr>
                <w:rFonts w:hint="eastAsia" w:ascii="宋体" w:hAnsi="宋体"/>
                <w:bCs/>
                <w:color w:val="000000"/>
                <w:szCs w:val="21"/>
              </w:rPr>
              <w:t>法定代表人（或授权代表）</w:t>
            </w:r>
          </w:p>
        </w:tc>
      </w:tr>
    </w:tbl>
    <w:p>
      <w:pPr>
        <w:spacing w:line="560" w:lineRule="exact"/>
        <w:rPr>
          <w:rFonts w:ascii="宋体" w:hAnsi="宋体"/>
          <w:color w:val="000000"/>
          <w:szCs w:val="21"/>
        </w:rPr>
      </w:pPr>
      <w:r>
        <w:rPr>
          <w:rFonts w:hint="eastAsia" w:ascii="宋体" w:hAnsi="宋体"/>
          <w:bCs/>
          <w:color w:val="000000"/>
          <w:szCs w:val="21"/>
        </w:rPr>
        <w:t>说明：</w:t>
      </w:r>
    </w:p>
    <w:p>
      <w:pPr>
        <w:spacing w:line="560" w:lineRule="exact"/>
        <w:rPr>
          <w:rFonts w:ascii="宋体" w:hAnsi="宋体"/>
          <w:bCs/>
          <w:color w:val="000000"/>
          <w:szCs w:val="21"/>
        </w:rPr>
      </w:pPr>
      <w:r>
        <w:rPr>
          <w:rFonts w:hint="eastAsia" w:ascii="宋体" w:hAnsi="宋体"/>
          <w:bCs/>
          <w:color w:val="000000"/>
          <w:szCs w:val="21"/>
        </w:rPr>
        <w:t>1．本申请表</w:t>
      </w:r>
      <w:r>
        <w:rPr>
          <w:rFonts w:hint="eastAsia" w:ascii="宋体" w:hAnsi="宋体"/>
          <w:b/>
          <w:bCs/>
          <w:color w:val="000000"/>
          <w:szCs w:val="21"/>
          <w:u w:val="single"/>
        </w:rPr>
        <w:t>原件</w:t>
      </w:r>
      <w:r>
        <w:rPr>
          <w:rFonts w:hint="eastAsia" w:ascii="宋体" w:hAnsi="宋体"/>
          <w:bCs/>
          <w:color w:val="000000"/>
          <w:szCs w:val="21"/>
        </w:rPr>
        <w:t>须于可转债发行</w:t>
      </w:r>
      <w:r>
        <w:rPr>
          <w:rFonts w:hint="eastAsia" w:ascii="宋体" w:hAnsi="宋体"/>
          <w:b/>
          <w:bCs/>
          <w:color w:val="000000"/>
          <w:szCs w:val="21"/>
          <w:u w:val="single"/>
        </w:rPr>
        <w:t>T日17:00前</w:t>
      </w:r>
      <w:r>
        <w:rPr>
          <w:rFonts w:hint="eastAsia" w:ascii="宋体" w:hAnsi="宋体"/>
          <w:bCs/>
          <w:color w:val="000000"/>
          <w:szCs w:val="21"/>
        </w:rPr>
        <w:t>送达或寄达我公司。</w:t>
      </w:r>
      <w:r>
        <w:rPr>
          <w:rFonts w:hint="eastAsia" w:ascii="宋体" w:hAnsi="宋体"/>
        </w:rPr>
        <w:t>可先将</w:t>
      </w:r>
      <w:r>
        <w:rPr>
          <w:rFonts w:hint="eastAsia" w:ascii="宋体" w:hAnsi="宋体"/>
          <w:b/>
        </w:rPr>
        <w:t>扫描或拍照件</w:t>
      </w:r>
      <w:r>
        <w:rPr>
          <w:rFonts w:hint="eastAsia" w:ascii="宋体" w:hAnsi="宋体"/>
        </w:rPr>
        <w:t>发送至</w:t>
      </w:r>
      <w:r>
        <w:rPr>
          <w:rFonts w:ascii="宋体" w:hAnsi="宋体"/>
          <w:bCs/>
          <w:szCs w:val="21"/>
        </w:rPr>
        <w:t>fxyw@chinaclear</w:t>
      </w:r>
      <w:r>
        <w:rPr>
          <w:rFonts w:hint="eastAsia" w:ascii="宋体" w:hAnsi="宋体"/>
          <w:bCs/>
          <w:szCs w:val="21"/>
        </w:rPr>
        <w:t>.</w:t>
      </w:r>
      <w:r>
        <w:rPr>
          <w:rFonts w:ascii="宋体" w:hAnsi="宋体"/>
          <w:bCs/>
          <w:szCs w:val="21"/>
        </w:rPr>
        <w:t>com</w:t>
      </w:r>
      <w:r>
        <w:rPr>
          <w:rFonts w:hint="eastAsia" w:ascii="宋体" w:hAnsi="宋体"/>
          <w:bCs/>
          <w:szCs w:val="21"/>
        </w:rPr>
        <w:t>.</w:t>
      </w:r>
      <w:r>
        <w:rPr>
          <w:rFonts w:ascii="宋体" w:hAnsi="宋体"/>
          <w:bCs/>
          <w:szCs w:val="21"/>
        </w:rPr>
        <w:t>cn</w:t>
      </w:r>
      <w:r>
        <w:rPr>
          <w:rFonts w:hint="eastAsia" w:ascii="宋体" w:hAnsi="宋体"/>
          <w:bCs/>
          <w:color w:val="000000"/>
          <w:szCs w:val="21"/>
        </w:rPr>
        <w:t>；</w:t>
      </w:r>
    </w:p>
    <w:p>
      <w:pPr>
        <w:spacing w:line="560" w:lineRule="exact"/>
        <w:rPr>
          <w:rFonts w:ascii="宋体" w:hAnsi="宋体"/>
          <w:color w:val="000000"/>
          <w:szCs w:val="21"/>
        </w:rPr>
      </w:pPr>
      <w:r>
        <w:rPr>
          <w:rFonts w:hint="eastAsia" w:ascii="宋体" w:hAnsi="宋体"/>
          <w:color w:val="000000"/>
          <w:szCs w:val="21"/>
        </w:rPr>
        <w:t>2．联系人：结算公司结算业务部，公司行为组</w:t>
      </w:r>
    </w:p>
    <w:p>
      <w:pPr>
        <w:spacing w:line="560" w:lineRule="exact"/>
        <w:rPr>
          <w:rFonts w:ascii="宋体" w:hAnsi="宋体"/>
          <w:color w:val="000000"/>
          <w:szCs w:val="21"/>
        </w:rPr>
      </w:pPr>
      <w:r>
        <w:rPr>
          <w:rFonts w:hint="eastAsia" w:ascii="宋体" w:hAnsi="宋体"/>
          <w:color w:val="000000"/>
          <w:szCs w:val="21"/>
        </w:rPr>
        <w:t>送达或邮寄地址：深圳市深南大道2012号深圳证券交易所广场25楼（</w:t>
      </w:r>
      <w:r>
        <w:rPr>
          <w:rFonts w:hint="eastAsia" w:ascii="宋体" w:hAnsi="宋体"/>
          <w:bCs/>
        </w:rPr>
        <w:t>邮编：518038）</w:t>
      </w:r>
    </w:p>
    <w:p>
      <w:pPr>
        <w:spacing w:line="560" w:lineRule="exact"/>
        <w:rPr>
          <w:rFonts w:ascii="宋体" w:hAnsi="宋体"/>
          <w:color w:val="000000"/>
          <w:szCs w:val="21"/>
        </w:rPr>
      </w:pPr>
      <w:r>
        <w:rPr>
          <w:rFonts w:hint="eastAsia" w:ascii="宋体" w:hAnsi="宋体"/>
          <w:color w:val="000000"/>
          <w:szCs w:val="21"/>
        </w:rPr>
        <w:t>联系电话：0755-21899224、21899201；传</w:t>
      </w:r>
      <w:r>
        <w:rPr>
          <w:rFonts w:ascii="宋体" w:hAnsi="宋体"/>
          <w:color w:val="000000"/>
          <w:szCs w:val="21"/>
        </w:rPr>
        <w:t xml:space="preserve"> </w:t>
      </w:r>
      <w:r>
        <w:rPr>
          <w:rFonts w:hint="eastAsia" w:ascii="宋体" w:hAnsi="宋体"/>
          <w:color w:val="000000"/>
          <w:szCs w:val="21"/>
        </w:rPr>
        <w:t>真：0755-25987433</w:t>
      </w:r>
    </w:p>
    <w:p>
      <w:pPr>
        <w:widowControl/>
        <w:jc w:val="left"/>
        <w:rPr>
          <w:rFonts w:ascii="黑体" w:hAnsi="黑体" w:eastAsia="黑体"/>
          <w:b/>
          <w:sz w:val="32"/>
          <w:szCs w:val="32"/>
        </w:rPr>
      </w:pPr>
      <w:r>
        <w:rPr>
          <w:rFonts w:ascii="方正仿宋简体" w:eastAsia="方正仿宋简体"/>
        </w:rPr>
        <w:br w:type="page"/>
      </w:r>
      <w:r>
        <w:rPr>
          <w:rFonts w:hint="eastAsia" w:ascii="黑体" w:hAnsi="黑体" w:eastAsia="黑体"/>
          <w:b/>
          <w:sz w:val="32"/>
          <w:szCs w:val="32"/>
        </w:rPr>
        <w:t>附件</w:t>
      </w:r>
      <w:r>
        <w:rPr>
          <w:rFonts w:ascii="黑体" w:hAnsi="黑体" w:eastAsia="黑体"/>
          <w:b/>
          <w:sz w:val="32"/>
          <w:szCs w:val="32"/>
        </w:rPr>
        <w:t>7</w:t>
      </w:r>
    </w:p>
    <w:p>
      <w:pPr>
        <w:spacing w:line="560" w:lineRule="exact"/>
        <w:rPr>
          <w:rFonts w:ascii="黑体" w:hAnsi="黑体" w:eastAsia="黑体"/>
          <w:b/>
          <w:sz w:val="32"/>
          <w:szCs w:val="32"/>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上市公司可转债回售业务参考流程（变更募投项目回售）</w:t>
      </w:r>
    </w:p>
    <w:p>
      <w:pPr>
        <w:spacing w:line="560" w:lineRule="exact"/>
        <w:jc w:val="center"/>
        <w:rPr>
          <w:rFonts w:ascii="宋体" w:hAnsi="宋体"/>
          <w:b/>
        </w:rPr>
      </w:pPr>
      <w:r>
        <w:rPr>
          <w:rFonts w:hint="eastAsia" w:ascii="宋体" w:hAnsi="宋体"/>
          <w:b/>
        </w:rPr>
        <w:t>（</w:t>
      </w:r>
      <w:r>
        <w:rPr>
          <w:rFonts w:hint="eastAsia" w:ascii="宋体" w:hAnsi="宋体"/>
          <w:b/>
          <w:szCs w:val="21"/>
        </w:rPr>
        <w:t>T日：股东大会通过日，</w:t>
      </w:r>
      <w:r>
        <w:rPr>
          <w:rFonts w:hint="eastAsia" w:ascii="宋体" w:hAnsi="宋体"/>
          <w:b/>
        </w:rPr>
        <w:t>H日：回售申报开始日</w:t>
      </w:r>
      <w:r>
        <w:rPr>
          <w:rFonts w:hint="eastAsia" w:ascii="宋体" w:hAnsi="宋体"/>
          <w:b/>
          <w:szCs w:val="21"/>
        </w:rPr>
        <w:t>，</w:t>
      </w:r>
      <w:r>
        <w:rPr>
          <w:rFonts w:hint="eastAsia" w:ascii="宋体" w:hAnsi="宋体"/>
          <w:b/>
        </w:rPr>
        <w:t>K日：回售申报结束日）</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1372"/>
        <w:gridCol w:w="5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tcPr>
          <w:p>
            <w:pPr>
              <w:jc w:val="center"/>
              <w:rPr>
                <w:rFonts w:ascii="宋体" w:hAnsi="宋体"/>
                <w:b/>
                <w:szCs w:val="21"/>
              </w:rPr>
            </w:pPr>
            <w:r>
              <w:rPr>
                <w:rFonts w:hint="eastAsia" w:ascii="宋体" w:hAnsi="宋体"/>
                <w:b/>
                <w:szCs w:val="21"/>
              </w:rPr>
              <w:t>阶段</w:t>
            </w:r>
          </w:p>
        </w:tc>
        <w:tc>
          <w:tcPr>
            <w:tcW w:w="1372" w:type="dxa"/>
            <w:vAlign w:val="center"/>
          </w:tcPr>
          <w:p>
            <w:pPr>
              <w:jc w:val="center"/>
              <w:rPr>
                <w:rFonts w:ascii="宋体" w:hAnsi="宋体"/>
                <w:b/>
                <w:szCs w:val="21"/>
              </w:rPr>
            </w:pPr>
            <w:r>
              <w:rPr>
                <w:rFonts w:hint="eastAsia" w:ascii="宋体" w:hAnsi="宋体"/>
                <w:b/>
                <w:szCs w:val="21"/>
              </w:rPr>
              <w:t>时</w:t>
            </w:r>
            <w:r>
              <w:rPr>
                <w:rFonts w:ascii="宋体" w:hAnsi="宋体"/>
                <w:b/>
                <w:szCs w:val="21"/>
              </w:rPr>
              <w:t xml:space="preserve"> </w:t>
            </w:r>
            <w:r>
              <w:rPr>
                <w:rFonts w:hint="eastAsia" w:ascii="宋体" w:hAnsi="宋体"/>
                <w:b/>
                <w:szCs w:val="21"/>
              </w:rPr>
              <w:t>间</w:t>
            </w:r>
          </w:p>
        </w:tc>
        <w:tc>
          <w:tcPr>
            <w:tcW w:w="5776" w:type="dxa"/>
            <w:vAlign w:val="center"/>
          </w:tcPr>
          <w:p>
            <w:pPr>
              <w:jc w:val="center"/>
              <w:rPr>
                <w:rFonts w:ascii="宋体" w:hAnsi="宋体"/>
                <w:b/>
                <w:szCs w:val="21"/>
              </w:rPr>
            </w:pPr>
            <w:r>
              <w:rPr>
                <w:rFonts w:hint="eastAsia" w:ascii="宋体" w:hAnsi="宋体"/>
                <w:b/>
                <w:szCs w:val="21"/>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vMerge w:val="restart"/>
          </w:tcPr>
          <w:p>
            <w:pPr>
              <w:jc w:val="left"/>
              <w:rPr>
                <w:rFonts w:ascii="宋体" w:hAnsi="宋体"/>
                <w:szCs w:val="21"/>
              </w:rPr>
            </w:pPr>
          </w:p>
          <w:p>
            <w:pPr>
              <w:jc w:val="left"/>
              <w:rPr>
                <w:rFonts w:ascii="宋体" w:hAnsi="宋体"/>
                <w:szCs w:val="21"/>
              </w:rPr>
            </w:pPr>
          </w:p>
          <w:p>
            <w:pPr>
              <w:jc w:val="left"/>
              <w:rPr>
                <w:rFonts w:ascii="宋体" w:hAnsi="宋体"/>
                <w:szCs w:val="21"/>
              </w:rPr>
            </w:pPr>
            <w:r>
              <w:rPr>
                <w:rFonts w:hint="eastAsia" w:ascii="宋体" w:hAnsi="宋体"/>
                <w:szCs w:val="21"/>
              </w:rPr>
              <w:t>首次披露《可转换公司债券回售公告》</w:t>
            </w:r>
          </w:p>
        </w:tc>
        <w:tc>
          <w:tcPr>
            <w:tcW w:w="1372" w:type="dxa"/>
            <w:vAlign w:val="center"/>
          </w:tcPr>
          <w:p>
            <w:pPr>
              <w:jc w:val="center"/>
              <w:rPr>
                <w:rFonts w:ascii="宋体" w:hAnsi="宋体"/>
                <w:szCs w:val="21"/>
              </w:rPr>
            </w:pPr>
            <w:r>
              <w:rPr>
                <w:rFonts w:hint="eastAsia" w:ascii="宋体" w:hAnsi="宋体"/>
                <w:szCs w:val="21"/>
              </w:rPr>
              <w:t>T日-T+4日</w:t>
            </w:r>
          </w:p>
        </w:tc>
        <w:tc>
          <w:tcPr>
            <w:tcW w:w="5776" w:type="dxa"/>
            <w:vAlign w:val="center"/>
          </w:tcPr>
          <w:p>
            <w:pPr>
              <w:ind w:firstLine="420" w:firstLineChars="200"/>
              <w:jc w:val="left"/>
              <w:rPr>
                <w:rFonts w:ascii="宋体" w:hAnsi="宋体"/>
                <w:szCs w:val="21"/>
              </w:rPr>
            </w:pPr>
            <w:r>
              <w:rPr>
                <w:rFonts w:hint="eastAsia" w:ascii="宋体" w:hAnsi="宋体"/>
                <w:szCs w:val="21"/>
              </w:rPr>
              <w:t>上市公司改变公告的募集资金用途的，上市公司应当在股东大会通过后20个交易日内赋予债券持有人一次回售的权利。公司应在股东大会审议相关事项的决议通过当日及以后</w:t>
            </w:r>
            <w:r>
              <w:rPr>
                <w:rFonts w:ascii="宋体" w:hAnsi="宋体"/>
                <w:szCs w:val="21"/>
              </w:rPr>
              <w:t>4个交易日内，向</w:t>
            </w:r>
            <w:r>
              <w:rPr>
                <w:rFonts w:hint="eastAsia" w:ascii="宋体" w:hAnsi="宋体"/>
                <w:szCs w:val="21"/>
              </w:rPr>
              <w:t>创业板公司管理部</w:t>
            </w:r>
            <w:r>
              <w:rPr>
                <w:rFonts w:ascii="宋体" w:hAnsi="宋体"/>
                <w:szCs w:val="21"/>
              </w:rPr>
              <w:t>提交可转换公司债券回售电子申请，同时提交《可转换公司债券回售公告》信息披露申请</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374" w:type="dxa"/>
            <w:vMerge w:val="continue"/>
          </w:tcPr>
          <w:p>
            <w:pPr>
              <w:jc w:val="center"/>
              <w:rPr>
                <w:rFonts w:ascii="宋体" w:hAnsi="宋体"/>
                <w:szCs w:val="21"/>
              </w:rPr>
            </w:pPr>
          </w:p>
        </w:tc>
        <w:tc>
          <w:tcPr>
            <w:tcW w:w="1372" w:type="dxa"/>
            <w:vAlign w:val="center"/>
          </w:tcPr>
          <w:p>
            <w:pPr>
              <w:jc w:val="center"/>
              <w:rPr>
                <w:rFonts w:ascii="宋体" w:hAnsi="宋体"/>
                <w:szCs w:val="21"/>
              </w:rPr>
            </w:pPr>
            <w:r>
              <w:rPr>
                <w:rFonts w:ascii="宋体" w:hAnsi="宋体"/>
                <w:szCs w:val="21"/>
              </w:rPr>
              <w:t>T+1-T+5日</w:t>
            </w:r>
          </w:p>
        </w:tc>
        <w:tc>
          <w:tcPr>
            <w:tcW w:w="5776" w:type="dxa"/>
            <w:vAlign w:val="center"/>
          </w:tcPr>
          <w:p>
            <w:pPr>
              <w:ind w:firstLine="420" w:firstLineChars="200"/>
              <w:jc w:val="left"/>
              <w:rPr>
                <w:rFonts w:ascii="宋体" w:hAnsi="宋体"/>
                <w:szCs w:val="21"/>
              </w:rPr>
            </w:pPr>
          </w:p>
          <w:p>
            <w:pPr>
              <w:ind w:firstLine="420" w:firstLineChars="200"/>
              <w:jc w:val="left"/>
              <w:rPr>
                <w:rFonts w:ascii="宋体" w:hAnsi="宋体"/>
                <w:szCs w:val="21"/>
              </w:rPr>
            </w:pPr>
            <w:r>
              <w:rPr>
                <w:rFonts w:hint="eastAsia" w:ascii="宋体" w:hAnsi="宋体"/>
                <w:szCs w:val="21"/>
              </w:rPr>
              <w:t>至少披露1次《可转换公司债券回售公告》</w:t>
            </w:r>
          </w:p>
          <w:p>
            <w:pPr>
              <w:ind w:firstLine="2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374" w:type="dxa"/>
            <w:vMerge w:val="restart"/>
          </w:tcPr>
          <w:p>
            <w:pPr>
              <w:rPr>
                <w:rFonts w:ascii="宋体" w:hAnsi="宋体"/>
                <w:szCs w:val="21"/>
              </w:rPr>
            </w:pPr>
          </w:p>
          <w:p>
            <w:pPr>
              <w:jc w:val="center"/>
              <w:rPr>
                <w:rFonts w:ascii="宋体" w:hAnsi="宋体"/>
                <w:szCs w:val="21"/>
              </w:rPr>
            </w:pPr>
            <w:r>
              <w:rPr>
                <w:rFonts w:hint="eastAsia" w:ascii="宋体" w:hAnsi="宋体"/>
                <w:szCs w:val="21"/>
              </w:rPr>
              <w:t>首次披露回售公告后至回售申报结束日</w:t>
            </w:r>
          </w:p>
        </w:tc>
        <w:tc>
          <w:tcPr>
            <w:tcW w:w="1372" w:type="dxa"/>
            <w:vAlign w:val="center"/>
          </w:tcPr>
          <w:p>
            <w:pPr>
              <w:jc w:val="center"/>
              <w:rPr>
                <w:rFonts w:ascii="宋体" w:hAnsi="宋体"/>
                <w:szCs w:val="21"/>
              </w:rPr>
            </w:pPr>
            <w:r>
              <w:rPr>
                <w:rFonts w:ascii="宋体" w:hAnsi="宋体"/>
                <w:szCs w:val="21"/>
              </w:rPr>
              <w:t>H日至K日</w:t>
            </w:r>
          </w:p>
        </w:tc>
        <w:tc>
          <w:tcPr>
            <w:tcW w:w="5776" w:type="dxa"/>
            <w:vAlign w:val="center"/>
          </w:tcPr>
          <w:p>
            <w:pPr>
              <w:ind w:firstLine="420" w:firstLineChars="200"/>
              <w:jc w:val="left"/>
              <w:rPr>
                <w:rFonts w:ascii="宋体" w:hAnsi="宋体"/>
                <w:szCs w:val="21"/>
              </w:rPr>
            </w:pPr>
            <w:r>
              <w:rPr>
                <w:rFonts w:ascii="宋体" w:hAnsi="宋体"/>
                <w:szCs w:val="21"/>
              </w:rPr>
              <w:t>上市公司应在回售实施期间</w:t>
            </w:r>
            <w:r>
              <w:rPr>
                <w:rFonts w:hint="eastAsia" w:ascii="宋体" w:hAnsi="宋体"/>
                <w:szCs w:val="21"/>
              </w:rPr>
              <w:t>（H日-K日）</w:t>
            </w:r>
            <w:r>
              <w:rPr>
                <w:rFonts w:ascii="宋体" w:hAnsi="宋体"/>
                <w:szCs w:val="21"/>
              </w:rPr>
              <w:t>至少</w:t>
            </w:r>
            <w:r>
              <w:rPr>
                <w:rFonts w:hint="eastAsia" w:ascii="宋体" w:hAnsi="宋体"/>
                <w:szCs w:val="21"/>
              </w:rPr>
              <w:t>披露</w:t>
            </w:r>
            <w:r>
              <w:rPr>
                <w:rFonts w:ascii="宋体" w:hAnsi="宋体"/>
                <w:szCs w:val="21"/>
              </w:rPr>
              <w:t>一次回售公告；</w:t>
            </w:r>
          </w:p>
          <w:p>
            <w:pPr>
              <w:ind w:firstLine="420" w:firstLineChars="200"/>
              <w:jc w:val="left"/>
              <w:rPr>
                <w:rFonts w:ascii="宋体" w:hAnsi="宋体"/>
                <w:szCs w:val="21"/>
              </w:rPr>
            </w:pPr>
            <w:r>
              <w:rPr>
                <w:rFonts w:ascii="宋体" w:hAnsi="宋体"/>
                <w:szCs w:val="21"/>
              </w:rPr>
              <w:t>H日-K日期间，可转换公司债券回售申报期间，相关系统进行回售申报的处理。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374" w:type="dxa"/>
            <w:vMerge w:val="continue"/>
          </w:tcPr>
          <w:p>
            <w:pPr>
              <w:jc w:val="center"/>
              <w:rPr>
                <w:rFonts w:ascii="宋体" w:hAnsi="宋体"/>
                <w:szCs w:val="21"/>
              </w:rPr>
            </w:pPr>
          </w:p>
        </w:tc>
        <w:tc>
          <w:tcPr>
            <w:tcW w:w="1372" w:type="dxa"/>
            <w:vAlign w:val="center"/>
          </w:tcPr>
          <w:p>
            <w:pPr>
              <w:jc w:val="center"/>
              <w:rPr>
                <w:rFonts w:ascii="宋体" w:hAnsi="宋体"/>
                <w:szCs w:val="21"/>
              </w:rPr>
            </w:pPr>
          </w:p>
        </w:tc>
        <w:tc>
          <w:tcPr>
            <w:tcW w:w="5776" w:type="dxa"/>
            <w:vAlign w:val="center"/>
          </w:tcPr>
          <w:p>
            <w:pPr>
              <w:ind w:firstLine="420" w:firstLineChars="200"/>
              <w:jc w:val="left"/>
              <w:rPr>
                <w:rFonts w:ascii="宋体" w:hAnsi="宋体"/>
                <w:szCs w:val="21"/>
              </w:rPr>
            </w:pPr>
            <w:r>
              <w:rPr>
                <w:rFonts w:hint="eastAsia" w:ascii="宋体" w:hAnsi="宋体"/>
                <w:szCs w:val="21"/>
              </w:rPr>
              <w:t>余下一次回售公告发布的时间视需要而定。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4" w:type="dxa"/>
          </w:tcPr>
          <w:p>
            <w:pPr>
              <w:jc w:val="center"/>
              <w:rPr>
                <w:rFonts w:ascii="宋体" w:hAnsi="宋体"/>
                <w:szCs w:val="21"/>
              </w:rPr>
            </w:pPr>
          </w:p>
          <w:p>
            <w:pPr>
              <w:jc w:val="center"/>
              <w:rPr>
                <w:rFonts w:ascii="宋体" w:hAnsi="宋体"/>
                <w:szCs w:val="21"/>
              </w:rPr>
            </w:pPr>
            <w:r>
              <w:rPr>
                <w:rFonts w:hint="eastAsia" w:ascii="宋体" w:hAnsi="宋体"/>
                <w:szCs w:val="21"/>
              </w:rPr>
              <w:t>回售资金划转、</w:t>
            </w:r>
          </w:p>
          <w:p>
            <w:pPr>
              <w:jc w:val="center"/>
              <w:rPr>
                <w:rFonts w:ascii="宋体" w:hAnsi="宋体"/>
                <w:szCs w:val="21"/>
              </w:rPr>
            </w:pPr>
            <w:r>
              <w:rPr>
                <w:rFonts w:hint="eastAsia" w:ascii="宋体" w:hAnsi="宋体"/>
                <w:szCs w:val="21"/>
              </w:rPr>
              <w:t>披露回售结果</w:t>
            </w:r>
          </w:p>
        </w:tc>
        <w:tc>
          <w:tcPr>
            <w:tcW w:w="1372" w:type="dxa"/>
            <w:vAlign w:val="center"/>
          </w:tcPr>
          <w:p>
            <w:pPr>
              <w:jc w:val="center"/>
              <w:rPr>
                <w:rFonts w:ascii="宋体" w:hAnsi="宋体"/>
                <w:szCs w:val="21"/>
              </w:rPr>
            </w:pPr>
            <w:r>
              <w:rPr>
                <w:rFonts w:hint="eastAsia" w:ascii="宋体" w:hAnsi="宋体"/>
                <w:szCs w:val="21"/>
              </w:rPr>
              <w:t>K+1日-K+7日</w:t>
            </w:r>
          </w:p>
        </w:tc>
        <w:tc>
          <w:tcPr>
            <w:tcW w:w="5776" w:type="dxa"/>
            <w:vAlign w:val="center"/>
          </w:tcPr>
          <w:p>
            <w:pPr>
              <w:ind w:firstLine="420" w:firstLineChars="200"/>
              <w:jc w:val="left"/>
              <w:rPr>
                <w:rFonts w:ascii="宋体" w:hAnsi="宋体"/>
                <w:szCs w:val="21"/>
              </w:rPr>
            </w:pPr>
            <w:r>
              <w:rPr>
                <w:rFonts w:hint="eastAsia" w:ascii="宋体" w:hAnsi="宋体"/>
                <w:szCs w:val="21"/>
              </w:rPr>
              <w:t>上市公司收到结算出具的回售结果表</w:t>
            </w:r>
            <w:r>
              <w:rPr>
                <w:rFonts w:ascii="宋体" w:hAnsi="宋体"/>
                <w:szCs w:val="21"/>
              </w:rPr>
              <w:t xml:space="preserve">, </w:t>
            </w:r>
            <w:r>
              <w:rPr>
                <w:rFonts w:hint="eastAsia" w:ascii="宋体" w:hAnsi="宋体"/>
                <w:szCs w:val="21"/>
              </w:rPr>
              <w:t>将回售所需资金划拨至结算公司的指定账户（K+1日-K+5日）。</w:t>
            </w:r>
          </w:p>
          <w:p>
            <w:pPr>
              <w:ind w:firstLine="420" w:firstLineChars="200"/>
              <w:jc w:val="left"/>
              <w:rPr>
                <w:rFonts w:ascii="宋体" w:hAnsi="宋体"/>
                <w:szCs w:val="21"/>
              </w:rPr>
            </w:pPr>
            <w:r>
              <w:rPr>
                <w:rFonts w:hint="eastAsia" w:ascii="宋体" w:hAnsi="宋体"/>
                <w:szCs w:val="21"/>
              </w:rPr>
              <w:t>在完成清算、交收手续后，上市公司向创业板公司管理部提交并披露《可转换公司债券回售结果公告》（K+1日-K+7日）</w:t>
            </w:r>
          </w:p>
        </w:tc>
      </w:tr>
    </w:tbl>
    <w:p>
      <w:pPr>
        <w:spacing w:line="560" w:lineRule="exact"/>
        <w:rPr>
          <w:rFonts w:ascii="方正仿宋简体" w:hAnsi="Times New Roman"/>
          <w:sz w:val="28"/>
        </w:rPr>
      </w:pPr>
    </w:p>
    <w:p>
      <w:pPr>
        <w:spacing w:line="560" w:lineRule="exact"/>
        <w:jc w:val="left"/>
        <w:rPr>
          <w:rFonts w:ascii="黑体" w:hAnsi="黑体" w:eastAsia="黑体"/>
          <w:b/>
          <w:sz w:val="32"/>
          <w:szCs w:val="32"/>
        </w:rPr>
      </w:pPr>
      <w:r>
        <w:rPr>
          <w:rFonts w:ascii="方正仿宋简体" w:eastAsia="方正仿宋简体"/>
        </w:rPr>
        <w:br w:type="page"/>
      </w:r>
      <w:r>
        <w:rPr>
          <w:rFonts w:hint="eastAsia" w:ascii="黑体" w:hAnsi="黑体" w:eastAsia="黑体"/>
          <w:b/>
          <w:sz w:val="32"/>
          <w:szCs w:val="32"/>
        </w:rPr>
        <w:t>附件8</w:t>
      </w: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上市公司可转债回售业务参考流程（其他有条件回售）</w:t>
      </w:r>
    </w:p>
    <w:p>
      <w:pPr>
        <w:spacing w:line="560" w:lineRule="exact"/>
        <w:jc w:val="center"/>
        <w:rPr>
          <w:rFonts w:ascii="宋体" w:hAnsi="宋体"/>
          <w:b/>
        </w:rPr>
      </w:pPr>
      <w:r>
        <w:rPr>
          <w:rFonts w:hint="eastAsia" w:ascii="宋体" w:hAnsi="宋体"/>
          <w:b/>
          <w:szCs w:val="21"/>
        </w:rPr>
        <w:t>（T</w:t>
      </w:r>
      <w:r>
        <w:rPr>
          <w:rFonts w:hint="eastAsia" w:ascii="宋体" w:hAnsi="宋体"/>
          <w:b/>
        </w:rPr>
        <w:t>日</w:t>
      </w:r>
      <w:r>
        <w:rPr>
          <w:rFonts w:hint="eastAsia" w:ascii="宋体" w:hAnsi="宋体"/>
          <w:b/>
          <w:szCs w:val="21"/>
        </w:rPr>
        <w:t>：回售条件触发日，H日：回售申报开始日，K日：回售申报结束日，T日和H日的间隔期限不得超过15个</w:t>
      </w:r>
      <w:r>
        <w:rPr>
          <w:rFonts w:hint="eastAsia" w:ascii="宋体" w:hAnsi="宋体"/>
          <w:b/>
        </w:rPr>
        <w:t>交易日</w:t>
      </w:r>
      <w:r>
        <w:rPr>
          <w:rFonts w:hint="eastAsia" w:ascii="宋体" w:hAnsi="宋体"/>
          <w:b/>
          <w:szCs w:val="21"/>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1940"/>
        <w:gridCol w:w="5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9" w:type="dxa"/>
          </w:tcPr>
          <w:p>
            <w:pPr>
              <w:spacing w:line="560" w:lineRule="exact"/>
              <w:jc w:val="center"/>
              <w:rPr>
                <w:rFonts w:ascii="方正仿宋简体" w:hAnsi="宋体"/>
                <w:b/>
              </w:rPr>
            </w:pPr>
            <w:r>
              <w:rPr>
                <w:rFonts w:hint="eastAsia" w:ascii="方正仿宋简体" w:hAnsi="宋体" w:eastAsia="方正仿宋简体"/>
                <w:b/>
                <w:szCs w:val="21"/>
              </w:rPr>
              <w:t>阶段</w:t>
            </w:r>
          </w:p>
        </w:tc>
        <w:tc>
          <w:tcPr>
            <w:tcW w:w="1940" w:type="dxa"/>
            <w:vAlign w:val="center"/>
          </w:tcPr>
          <w:p>
            <w:pPr>
              <w:spacing w:line="560" w:lineRule="exact"/>
              <w:jc w:val="center"/>
              <w:rPr>
                <w:rFonts w:ascii="方正仿宋简体" w:hAnsi="宋体"/>
                <w:b/>
              </w:rPr>
            </w:pPr>
            <w:r>
              <w:rPr>
                <w:rFonts w:hint="eastAsia" w:ascii="方正仿宋简体" w:hAnsi="宋体" w:eastAsia="方正仿宋简体"/>
                <w:b/>
                <w:szCs w:val="21"/>
              </w:rPr>
              <w:t>时</w:t>
            </w:r>
            <w:r>
              <w:rPr>
                <w:rFonts w:ascii="方正仿宋简体" w:hAnsi="宋体" w:eastAsia="方正仿宋简体"/>
                <w:b/>
                <w:szCs w:val="21"/>
              </w:rPr>
              <w:t xml:space="preserve"> </w:t>
            </w:r>
            <w:r>
              <w:rPr>
                <w:rFonts w:hint="eastAsia" w:ascii="方正仿宋简体" w:hAnsi="宋体" w:eastAsia="方正仿宋简体"/>
                <w:b/>
                <w:szCs w:val="21"/>
              </w:rPr>
              <w:t>间</w:t>
            </w:r>
          </w:p>
        </w:tc>
        <w:tc>
          <w:tcPr>
            <w:tcW w:w="5013" w:type="dxa"/>
            <w:vAlign w:val="center"/>
          </w:tcPr>
          <w:p>
            <w:pPr>
              <w:spacing w:line="560" w:lineRule="exact"/>
              <w:jc w:val="center"/>
              <w:rPr>
                <w:rFonts w:ascii="方正仿宋简体" w:hAnsi="宋体"/>
                <w:b/>
              </w:rPr>
            </w:pPr>
            <w:r>
              <w:rPr>
                <w:rFonts w:hint="eastAsia" w:ascii="方正仿宋简体" w:hAnsi="宋体" w:eastAsia="方正仿宋简体"/>
                <w:b/>
                <w:szCs w:val="21"/>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9" w:type="dxa"/>
            <w:vMerge w:val="restart"/>
          </w:tcPr>
          <w:p>
            <w:pPr>
              <w:jc w:val="center"/>
              <w:rPr>
                <w:rFonts w:ascii="宋体" w:hAnsi="宋体"/>
                <w:szCs w:val="21"/>
              </w:rPr>
            </w:pPr>
          </w:p>
          <w:p>
            <w:pPr>
              <w:rPr>
                <w:rFonts w:ascii="宋体" w:hAnsi="宋体"/>
              </w:rPr>
            </w:pPr>
            <w:r>
              <w:rPr>
                <w:rFonts w:hint="eastAsia" w:ascii="宋体" w:hAnsi="宋体"/>
                <w:szCs w:val="21"/>
              </w:rPr>
              <w:t>首次披露《可转换公司债券回售公告》</w:t>
            </w:r>
          </w:p>
        </w:tc>
        <w:tc>
          <w:tcPr>
            <w:tcW w:w="1940" w:type="dxa"/>
            <w:vAlign w:val="center"/>
          </w:tcPr>
          <w:p>
            <w:pPr>
              <w:jc w:val="center"/>
              <w:rPr>
                <w:rFonts w:ascii="宋体" w:hAnsi="宋体"/>
              </w:rPr>
            </w:pPr>
            <w:r>
              <w:rPr>
                <w:rFonts w:hint="eastAsia" w:ascii="宋体" w:hAnsi="宋体"/>
                <w:szCs w:val="21"/>
              </w:rPr>
              <w:t>T日</w:t>
            </w:r>
          </w:p>
        </w:tc>
        <w:tc>
          <w:tcPr>
            <w:tcW w:w="5013" w:type="dxa"/>
            <w:vAlign w:val="center"/>
          </w:tcPr>
          <w:p>
            <w:pPr>
              <w:ind w:firstLine="420" w:firstLineChars="200"/>
              <w:jc w:val="left"/>
              <w:rPr>
                <w:rFonts w:ascii="方正仿宋简体"/>
              </w:rPr>
            </w:pPr>
            <w:r>
              <w:rPr>
                <w:rFonts w:ascii="宋体" w:hAnsi="宋体"/>
                <w:szCs w:val="21"/>
              </w:rPr>
              <w:t>首次满足其他约定回售条件</w:t>
            </w:r>
            <w:r>
              <w:rPr>
                <w:rFonts w:hint="eastAsia" w:ascii="宋体" w:hAnsi="宋体"/>
                <w:szCs w:val="21"/>
              </w:rPr>
              <w:t>当日（T日），上市公司应当</w:t>
            </w:r>
            <w:r>
              <w:rPr>
                <w:rFonts w:ascii="宋体" w:hAnsi="宋体"/>
                <w:szCs w:val="21"/>
              </w:rPr>
              <w:t>向</w:t>
            </w:r>
            <w:r>
              <w:rPr>
                <w:rFonts w:hint="eastAsia" w:ascii="宋体" w:hAnsi="宋体"/>
                <w:szCs w:val="21"/>
              </w:rPr>
              <w:t>创业板公司管理部</w:t>
            </w:r>
            <w:r>
              <w:rPr>
                <w:rFonts w:ascii="宋体" w:hAnsi="宋体"/>
                <w:szCs w:val="21"/>
              </w:rPr>
              <w:t>提交可转换公司债券回售申请，同时提交《可转换公司债券回售公告》</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569" w:type="dxa"/>
            <w:vMerge w:val="continue"/>
          </w:tcPr>
          <w:p>
            <w:pPr>
              <w:spacing w:line="560" w:lineRule="exact"/>
              <w:jc w:val="center"/>
              <w:rPr>
                <w:rFonts w:ascii="方正仿宋简体" w:hAnsi="宋体"/>
              </w:rPr>
            </w:pPr>
          </w:p>
        </w:tc>
        <w:tc>
          <w:tcPr>
            <w:tcW w:w="1940" w:type="dxa"/>
            <w:vAlign w:val="center"/>
          </w:tcPr>
          <w:p>
            <w:pPr>
              <w:jc w:val="center"/>
              <w:rPr>
                <w:rFonts w:ascii="宋体" w:hAnsi="宋体"/>
              </w:rPr>
            </w:pPr>
            <w:r>
              <w:rPr>
                <w:rFonts w:hint="eastAsia" w:ascii="宋体" w:hAnsi="宋体"/>
                <w:szCs w:val="21"/>
              </w:rPr>
              <w:t>T+1</w:t>
            </w:r>
            <w:r>
              <w:rPr>
                <w:rFonts w:ascii="宋体" w:hAnsi="宋体"/>
                <w:szCs w:val="21"/>
              </w:rPr>
              <w:t>日</w:t>
            </w:r>
            <w:r>
              <w:rPr>
                <w:rFonts w:hint="eastAsia" w:ascii="宋体" w:hAnsi="宋体"/>
                <w:szCs w:val="21"/>
              </w:rPr>
              <w:t>开市前</w:t>
            </w:r>
          </w:p>
        </w:tc>
        <w:tc>
          <w:tcPr>
            <w:tcW w:w="5013" w:type="dxa"/>
            <w:vAlign w:val="center"/>
          </w:tcPr>
          <w:p>
            <w:pPr>
              <w:spacing w:line="560" w:lineRule="exact"/>
              <w:ind w:firstLine="210" w:firstLineChars="100"/>
              <w:jc w:val="left"/>
              <w:rPr>
                <w:rFonts w:ascii="方正仿宋简体" w:hAnsi="宋体"/>
              </w:rPr>
            </w:pPr>
            <w:r>
              <w:rPr>
                <w:rFonts w:hint="eastAsia" w:ascii="宋体" w:hAnsi="宋体"/>
                <w:szCs w:val="21"/>
              </w:rPr>
              <w:t>披露《可转换公司债券回售公告》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69" w:type="dxa"/>
          </w:tcPr>
          <w:p>
            <w:pPr>
              <w:jc w:val="center"/>
              <w:rPr>
                <w:rFonts w:ascii="方正仿宋简体" w:hAnsi="宋体"/>
              </w:rPr>
            </w:pPr>
            <w:r>
              <w:rPr>
                <w:rFonts w:hint="eastAsia" w:ascii="宋体" w:hAnsi="宋体"/>
                <w:szCs w:val="21"/>
              </w:rPr>
              <w:t>首次披露回售公告后至回售申报结束日</w:t>
            </w:r>
          </w:p>
        </w:tc>
        <w:tc>
          <w:tcPr>
            <w:tcW w:w="1940" w:type="dxa"/>
            <w:vAlign w:val="center"/>
          </w:tcPr>
          <w:p>
            <w:pPr>
              <w:jc w:val="center"/>
              <w:rPr>
                <w:rFonts w:ascii="宋体" w:hAnsi="宋体"/>
              </w:rPr>
            </w:pPr>
            <w:r>
              <w:rPr>
                <w:rFonts w:hint="eastAsia" w:ascii="宋体" w:hAnsi="宋体"/>
                <w:szCs w:val="21"/>
              </w:rPr>
              <w:t>T+2</w:t>
            </w:r>
            <w:r>
              <w:rPr>
                <w:rFonts w:ascii="宋体" w:hAnsi="宋体"/>
                <w:szCs w:val="21"/>
              </w:rPr>
              <w:t>日至K日</w:t>
            </w:r>
          </w:p>
        </w:tc>
        <w:tc>
          <w:tcPr>
            <w:tcW w:w="5013" w:type="dxa"/>
            <w:vAlign w:val="center"/>
          </w:tcPr>
          <w:p>
            <w:pPr>
              <w:ind w:firstLine="420" w:firstLineChars="200"/>
              <w:jc w:val="left"/>
              <w:rPr>
                <w:rFonts w:ascii="宋体" w:hAnsi="宋体"/>
                <w:szCs w:val="21"/>
              </w:rPr>
            </w:pPr>
            <w:r>
              <w:rPr>
                <w:rFonts w:hint="eastAsia" w:ascii="宋体" w:hAnsi="宋体"/>
                <w:szCs w:val="21"/>
              </w:rPr>
              <w:t>首次披露可转换公司债券回售公告后，在回售期结束前每个交易日披露1次《回售提示性公告》。</w:t>
            </w:r>
          </w:p>
          <w:p>
            <w:pPr>
              <w:ind w:firstLine="420" w:firstLineChars="200"/>
              <w:jc w:val="left"/>
              <w:rPr>
                <w:rFonts w:ascii="方正仿宋简体" w:hAnsi="宋体"/>
              </w:rPr>
            </w:pPr>
            <w:r>
              <w:rPr>
                <w:rFonts w:ascii="宋体" w:hAnsi="宋体"/>
                <w:szCs w:val="21"/>
              </w:rPr>
              <w:t>H日-K日期间，可转换公司债券回售申报期间，相关系统进行回售申报的处理。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9" w:type="dxa"/>
          </w:tcPr>
          <w:p>
            <w:pPr>
              <w:spacing w:line="560" w:lineRule="exact"/>
              <w:jc w:val="center"/>
              <w:rPr>
                <w:rFonts w:ascii="方正仿宋简体" w:hAnsi="宋体" w:eastAsia="方正仿宋简体"/>
                <w:szCs w:val="21"/>
              </w:rPr>
            </w:pPr>
            <w:r>
              <w:rPr>
                <w:rFonts w:hint="eastAsia" w:ascii="宋体" w:hAnsi="宋体"/>
                <w:szCs w:val="21"/>
              </w:rPr>
              <w:t>回售资金划转、</w:t>
            </w:r>
          </w:p>
          <w:p>
            <w:pPr>
              <w:jc w:val="center"/>
              <w:rPr>
                <w:rFonts w:ascii="方正仿宋简体" w:hAnsi="宋体"/>
              </w:rPr>
            </w:pPr>
            <w:r>
              <w:rPr>
                <w:rFonts w:hint="eastAsia" w:ascii="宋体" w:hAnsi="宋体"/>
                <w:szCs w:val="21"/>
              </w:rPr>
              <w:t>披露回售结果</w:t>
            </w:r>
          </w:p>
        </w:tc>
        <w:tc>
          <w:tcPr>
            <w:tcW w:w="1940" w:type="dxa"/>
            <w:vAlign w:val="center"/>
          </w:tcPr>
          <w:p>
            <w:pPr>
              <w:jc w:val="center"/>
              <w:rPr>
                <w:rFonts w:ascii="宋体" w:hAnsi="宋体"/>
              </w:rPr>
            </w:pPr>
            <w:r>
              <w:rPr>
                <w:rFonts w:ascii="宋体" w:hAnsi="宋体"/>
                <w:szCs w:val="21"/>
              </w:rPr>
              <w:t>K+1日</w:t>
            </w:r>
            <w:r>
              <w:rPr>
                <w:rFonts w:hint="eastAsia" w:ascii="宋体" w:hAnsi="宋体"/>
                <w:szCs w:val="21"/>
              </w:rPr>
              <w:t>-K+7日</w:t>
            </w:r>
          </w:p>
        </w:tc>
        <w:tc>
          <w:tcPr>
            <w:tcW w:w="5013" w:type="dxa"/>
            <w:vAlign w:val="center"/>
          </w:tcPr>
          <w:p>
            <w:pPr>
              <w:ind w:firstLine="420" w:firstLineChars="200"/>
              <w:jc w:val="left"/>
              <w:rPr>
                <w:rFonts w:ascii="宋体" w:hAnsi="宋体"/>
                <w:szCs w:val="21"/>
              </w:rPr>
            </w:pPr>
            <w:r>
              <w:rPr>
                <w:rFonts w:hint="eastAsia" w:ascii="宋体" w:hAnsi="宋体"/>
                <w:szCs w:val="21"/>
              </w:rPr>
              <w:t>上市公司收到结算出具的回售结果表</w:t>
            </w:r>
            <w:r>
              <w:rPr>
                <w:rFonts w:ascii="宋体" w:hAnsi="宋体"/>
                <w:szCs w:val="21"/>
              </w:rPr>
              <w:t xml:space="preserve">, </w:t>
            </w:r>
            <w:r>
              <w:rPr>
                <w:rFonts w:hint="eastAsia" w:ascii="宋体" w:hAnsi="宋体"/>
                <w:szCs w:val="21"/>
              </w:rPr>
              <w:t>将回售所需资金划拨至中国结算深圳分公司的指定帐户（K+1日-K+5日）。</w:t>
            </w:r>
          </w:p>
          <w:p>
            <w:pPr>
              <w:ind w:firstLine="420" w:firstLineChars="200"/>
              <w:jc w:val="left"/>
              <w:rPr>
                <w:rFonts w:ascii="方正仿宋简体" w:hAnsi="宋体"/>
              </w:rPr>
            </w:pPr>
            <w:r>
              <w:rPr>
                <w:rFonts w:hint="eastAsia" w:ascii="宋体" w:hAnsi="宋体"/>
                <w:szCs w:val="21"/>
              </w:rPr>
              <w:t>在完成清算、交收手续后，上市公司向创业板公司管理部提交并披露《可转换公司债券回售结果公告》（</w:t>
            </w:r>
            <w:r>
              <w:rPr>
                <w:rFonts w:ascii="宋体" w:hAnsi="宋体"/>
                <w:szCs w:val="21"/>
              </w:rPr>
              <w:t>K+1日</w:t>
            </w:r>
            <w:r>
              <w:rPr>
                <w:rFonts w:hint="eastAsia" w:ascii="宋体" w:hAnsi="宋体"/>
                <w:szCs w:val="21"/>
              </w:rPr>
              <w:t>-K+7日）。</w:t>
            </w:r>
          </w:p>
        </w:tc>
      </w:tr>
    </w:tbl>
    <w:p>
      <w:pPr>
        <w:widowControl/>
        <w:jc w:val="left"/>
        <w:rPr>
          <w:rFonts w:ascii="黑体" w:hAnsi="黑体"/>
          <w:b/>
          <w:sz w:val="32"/>
        </w:rPr>
      </w:pPr>
    </w:p>
    <w:p>
      <w:pPr>
        <w:widowControl/>
        <w:jc w:val="left"/>
        <w:rPr>
          <w:rFonts w:ascii="黑体" w:hAnsi="黑体" w:eastAsia="黑体"/>
          <w:b/>
          <w:sz w:val="32"/>
          <w:szCs w:val="32"/>
        </w:rPr>
      </w:pPr>
    </w:p>
    <w:p>
      <w:pPr>
        <w:widowControl/>
        <w:jc w:val="left"/>
        <w:rPr>
          <w:rFonts w:ascii="黑体" w:hAnsi="黑体" w:eastAsia="黑体"/>
          <w:b/>
          <w:sz w:val="32"/>
          <w:szCs w:val="32"/>
        </w:rPr>
      </w:pPr>
    </w:p>
    <w:p>
      <w:pPr>
        <w:widowControl/>
        <w:jc w:val="left"/>
        <w:rPr>
          <w:rFonts w:ascii="黑体" w:hAnsi="黑体" w:eastAsia="黑体"/>
          <w:b/>
          <w:sz w:val="32"/>
          <w:szCs w:val="32"/>
        </w:rPr>
      </w:pPr>
    </w:p>
    <w:p>
      <w:pPr>
        <w:widowControl/>
        <w:jc w:val="left"/>
        <w:rPr>
          <w:rFonts w:ascii="黑体" w:hAnsi="黑体" w:eastAsia="黑体"/>
          <w:b/>
          <w:sz w:val="32"/>
          <w:szCs w:val="32"/>
        </w:rPr>
      </w:pPr>
    </w:p>
    <w:p>
      <w:pPr>
        <w:widowControl/>
        <w:jc w:val="left"/>
        <w:rPr>
          <w:rFonts w:ascii="黑体" w:hAnsi="黑体" w:eastAsia="黑体"/>
          <w:b/>
          <w:sz w:val="32"/>
          <w:szCs w:val="32"/>
        </w:rPr>
      </w:pPr>
    </w:p>
    <w:p>
      <w:pPr>
        <w:widowControl/>
        <w:jc w:val="left"/>
        <w:rPr>
          <w:rFonts w:ascii="黑体" w:hAnsi="黑体" w:eastAsia="黑体"/>
          <w:b/>
          <w:sz w:val="32"/>
          <w:szCs w:val="32"/>
        </w:rPr>
      </w:pPr>
    </w:p>
    <w:p>
      <w:pPr>
        <w:widowControl/>
        <w:jc w:val="left"/>
        <w:rPr>
          <w:rFonts w:ascii="黑体" w:hAnsi="黑体" w:eastAsia="黑体"/>
          <w:b/>
          <w:sz w:val="32"/>
          <w:szCs w:val="32"/>
        </w:rPr>
      </w:pPr>
    </w:p>
    <w:p>
      <w:pPr>
        <w:widowControl/>
        <w:jc w:val="left"/>
        <w:rPr>
          <w:rFonts w:ascii="黑体" w:hAnsi="黑体" w:eastAsia="黑体"/>
          <w:b/>
          <w:sz w:val="32"/>
          <w:szCs w:val="32"/>
        </w:rPr>
      </w:pPr>
    </w:p>
    <w:p>
      <w:pPr>
        <w:widowControl/>
        <w:jc w:val="left"/>
        <w:rPr>
          <w:rFonts w:ascii="黑体" w:hAnsi="黑体" w:eastAsia="黑体"/>
          <w:b/>
          <w:sz w:val="32"/>
          <w:szCs w:val="32"/>
        </w:rPr>
      </w:pPr>
    </w:p>
    <w:p>
      <w:pPr>
        <w:widowControl/>
        <w:jc w:val="left"/>
        <w:rPr>
          <w:rFonts w:ascii="黑体" w:hAnsi="黑体" w:eastAsia="黑体"/>
          <w:b/>
          <w:sz w:val="32"/>
          <w:szCs w:val="32"/>
        </w:rPr>
      </w:pPr>
      <w:r>
        <w:rPr>
          <w:rFonts w:hint="eastAsia" w:ascii="黑体" w:hAnsi="黑体" w:eastAsia="黑体"/>
          <w:b/>
          <w:sz w:val="32"/>
          <w:szCs w:val="32"/>
        </w:rPr>
        <w:t>附件9</w:t>
      </w:r>
    </w:p>
    <w:p>
      <w:pPr>
        <w:widowControl/>
        <w:jc w:val="left"/>
        <w:rPr>
          <w:rFonts w:ascii="方正仿宋简体" w:eastAsia="方正仿宋简体"/>
          <w:b/>
          <w:szCs w:val="28"/>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上市公司可转债赎回参考流程</w:t>
      </w:r>
    </w:p>
    <w:p>
      <w:pPr>
        <w:spacing w:line="560" w:lineRule="exact"/>
        <w:jc w:val="center"/>
        <w:rPr>
          <w:rFonts w:ascii="宋体" w:hAnsi="宋体"/>
          <w:b/>
        </w:rPr>
      </w:pPr>
      <w:r>
        <w:rPr>
          <w:rFonts w:hint="eastAsia" w:ascii="宋体" w:hAnsi="宋体"/>
          <w:b/>
        </w:rPr>
        <w:t>（注：T日：赎回条件触发日，</w:t>
      </w:r>
      <w:r>
        <w:rPr>
          <w:rFonts w:hint="eastAsia" w:ascii="宋体" w:hAnsi="宋体"/>
          <w:b/>
          <w:szCs w:val="21"/>
        </w:rPr>
        <w:t>S日：可转债赎回日。T和S日的间隔期限应当不少于十五个交易日且不超过三十个交易日</w:t>
      </w:r>
      <w:r>
        <w:rPr>
          <w:rFonts w:hint="eastAsia" w:ascii="宋体" w:hAnsi="宋体"/>
          <w:b/>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1253"/>
        <w:gridCol w:w="4413"/>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9" w:type="dxa"/>
          </w:tcPr>
          <w:p>
            <w:pPr>
              <w:spacing w:line="560" w:lineRule="exact"/>
              <w:jc w:val="center"/>
              <w:rPr>
                <w:rFonts w:ascii="方正仿宋简体" w:hAnsi="宋体"/>
                <w:b/>
              </w:rPr>
            </w:pPr>
            <w:r>
              <w:rPr>
                <w:rFonts w:hint="eastAsia" w:ascii="方正仿宋简体" w:hAnsi="宋体" w:eastAsia="方正仿宋简体"/>
                <w:b/>
                <w:szCs w:val="21"/>
              </w:rPr>
              <w:t>阶段</w:t>
            </w:r>
          </w:p>
        </w:tc>
        <w:tc>
          <w:tcPr>
            <w:tcW w:w="1253" w:type="dxa"/>
            <w:vAlign w:val="center"/>
          </w:tcPr>
          <w:p>
            <w:pPr>
              <w:spacing w:line="560" w:lineRule="exact"/>
              <w:jc w:val="center"/>
              <w:rPr>
                <w:rFonts w:ascii="方正仿宋简体" w:hAnsi="宋体" w:eastAsia="方正仿宋简体"/>
                <w:b/>
                <w:szCs w:val="21"/>
              </w:rPr>
            </w:pPr>
            <w:r>
              <w:rPr>
                <w:rFonts w:hint="eastAsia" w:ascii="方正仿宋简体" w:hAnsi="宋体" w:eastAsia="方正仿宋简体"/>
                <w:b/>
                <w:szCs w:val="21"/>
              </w:rPr>
              <w:t>时</w:t>
            </w:r>
            <w:r>
              <w:rPr>
                <w:rFonts w:ascii="方正仿宋简体" w:hAnsi="宋体" w:eastAsia="方正仿宋简体"/>
                <w:b/>
                <w:szCs w:val="21"/>
              </w:rPr>
              <w:t xml:space="preserve"> </w:t>
            </w:r>
            <w:r>
              <w:rPr>
                <w:rFonts w:hint="eastAsia" w:ascii="方正仿宋简体" w:hAnsi="宋体" w:eastAsia="方正仿宋简体"/>
                <w:b/>
                <w:szCs w:val="21"/>
              </w:rPr>
              <w:t>间</w:t>
            </w:r>
          </w:p>
        </w:tc>
        <w:tc>
          <w:tcPr>
            <w:tcW w:w="4413" w:type="dxa"/>
            <w:vAlign w:val="center"/>
          </w:tcPr>
          <w:p>
            <w:pPr>
              <w:spacing w:line="560" w:lineRule="exact"/>
              <w:jc w:val="center"/>
              <w:rPr>
                <w:rFonts w:ascii="方正仿宋简体" w:hAnsi="宋体"/>
                <w:b/>
              </w:rPr>
            </w:pPr>
            <w:r>
              <w:rPr>
                <w:rFonts w:hint="eastAsia" w:ascii="方正仿宋简体" w:hAnsi="宋体"/>
                <w:b/>
              </w:rPr>
              <w:t>工作</w:t>
            </w:r>
            <w:r>
              <w:rPr>
                <w:rFonts w:hint="eastAsia" w:ascii="方正仿宋简体" w:hAnsi="宋体" w:eastAsia="方正仿宋简体"/>
                <w:b/>
                <w:szCs w:val="21"/>
              </w:rPr>
              <w:t>内容</w:t>
            </w:r>
          </w:p>
        </w:tc>
        <w:tc>
          <w:tcPr>
            <w:tcW w:w="1287" w:type="dxa"/>
          </w:tcPr>
          <w:p>
            <w:pPr>
              <w:spacing w:line="560" w:lineRule="exact"/>
              <w:jc w:val="center"/>
              <w:rPr>
                <w:rFonts w:ascii="方正仿宋简体" w:hAnsi="宋体"/>
                <w:b/>
              </w:rPr>
            </w:pPr>
            <w:r>
              <w:rPr>
                <w:rFonts w:hint="eastAsia" w:ascii="方正仿宋简体" w:hAnsi="宋体"/>
                <w:b/>
              </w:rPr>
              <w:t>是否停止交易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9" w:type="dxa"/>
          </w:tcPr>
          <w:p>
            <w:pPr>
              <w:rPr>
                <w:rFonts w:ascii="宋体" w:hAnsi="宋体"/>
                <w:szCs w:val="21"/>
              </w:rPr>
            </w:pPr>
            <w:r>
              <w:rPr>
                <w:rFonts w:hint="eastAsia" w:ascii="宋体" w:hAnsi="宋体"/>
                <w:szCs w:val="21"/>
              </w:rPr>
              <w:t>预先披露赎回风险提示性公告</w:t>
            </w:r>
          </w:p>
        </w:tc>
        <w:tc>
          <w:tcPr>
            <w:tcW w:w="1253" w:type="dxa"/>
            <w:vAlign w:val="center"/>
          </w:tcPr>
          <w:p>
            <w:pPr>
              <w:rPr>
                <w:rFonts w:ascii="宋体" w:hAnsi="宋体"/>
                <w:szCs w:val="21"/>
              </w:rPr>
            </w:pPr>
            <w:r>
              <w:rPr>
                <w:rFonts w:hint="eastAsia" w:ascii="宋体" w:hAnsi="宋体"/>
                <w:szCs w:val="21"/>
              </w:rPr>
              <w:t>T-5日前</w:t>
            </w:r>
          </w:p>
        </w:tc>
        <w:tc>
          <w:tcPr>
            <w:tcW w:w="4413" w:type="dxa"/>
            <w:vAlign w:val="center"/>
          </w:tcPr>
          <w:p>
            <w:pPr>
              <w:rPr>
                <w:rFonts w:ascii="宋体" w:hAnsi="宋体"/>
                <w:szCs w:val="21"/>
              </w:rPr>
            </w:pPr>
            <w:r>
              <w:rPr>
                <w:rFonts w:hint="eastAsia" w:ascii="宋体" w:hAnsi="宋体"/>
                <w:szCs w:val="21"/>
              </w:rPr>
              <w:t>预计可能触发赎回权的公司应当在预计赎回条件触发日五个交易日前至少发布一次风险提示公告。</w:t>
            </w:r>
          </w:p>
        </w:tc>
        <w:tc>
          <w:tcPr>
            <w:tcW w:w="1287" w:type="dxa"/>
          </w:tcPr>
          <w:p>
            <w:pPr>
              <w:spacing w:line="560" w:lineRule="exact"/>
              <w:ind w:firstLine="420" w:firstLineChars="200"/>
              <w:jc w:val="left"/>
              <w:rPr>
                <w:rFonts w:ascii="方正仿宋简体" w:hAnsi="宋体"/>
              </w:rPr>
            </w:pPr>
            <w:r>
              <w:rPr>
                <w:rFonts w:hint="eastAsia" w:ascii="方正仿宋简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9" w:type="dxa"/>
            <w:vMerge w:val="restart"/>
          </w:tcPr>
          <w:p>
            <w:pPr>
              <w:rPr>
                <w:rFonts w:ascii="宋体" w:hAnsi="宋体"/>
              </w:rPr>
            </w:pPr>
            <w:r>
              <w:rPr>
                <w:rFonts w:hint="eastAsia" w:ascii="宋体" w:hAnsi="宋体"/>
                <w:szCs w:val="21"/>
              </w:rPr>
              <w:t>首次披露《不行使赎回权的公告》或《赎回公告》</w:t>
            </w:r>
          </w:p>
        </w:tc>
        <w:tc>
          <w:tcPr>
            <w:tcW w:w="1253" w:type="dxa"/>
            <w:vAlign w:val="center"/>
          </w:tcPr>
          <w:p>
            <w:pPr>
              <w:rPr>
                <w:rFonts w:ascii="宋体" w:hAnsi="宋体"/>
                <w:szCs w:val="21"/>
              </w:rPr>
            </w:pPr>
            <w:r>
              <w:rPr>
                <w:rFonts w:hint="eastAsia" w:ascii="宋体" w:hAnsi="宋体"/>
                <w:szCs w:val="21"/>
              </w:rPr>
              <w:t>T日</w:t>
            </w:r>
          </w:p>
        </w:tc>
        <w:tc>
          <w:tcPr>
            <w:tcW w:w="4413" w:type="dxa"/>
            <w:vAlign w:val="center"/>
          </w:tcPr>
          <w:p>
            <w:pPr>
              <w:rPr>
                <w:rFonts w:ascii="宋体" w:hAnsi="宋体"/>
                <w:szCs w:val="21"/>
              </w:rPr>
            </w:pPr>
            <w:r>
              <w:rPr>
                <w:rFonts w:hint="eastAsia" w:ascii="宋体" w:hAnsi="宋体"/>
                <w:szCs w:val="21"/>
              </w:rPr>
              <w:t>上市公司应当在满足可转债赎回条件的当日召开董事会审议决定是否行使赎回权，如决定不行使赎回权的，提交《不行使赎回权的公告》；</w:t>
            </w:r>
          </w:p>
          <w:p>
            <w:pPr>
              <w:rPr>
                <w:rFonts w:ascii="宋体" w:hAnsi="宋体"/>
              </w:rPr>
            </w:pPr>
            <w:r>
              <w:rPr>
                <w:rFonts w:hint="eastAsia" w:ascii="宋体" w:hAnsi="宋体"/>
                <w:szCs w:val="21"/>
              </w:rPr>
              <w:t>如决定行使赎回权的，</w:t>
            </w:r>
            <w:r>
              <w:rPr>
                <w:rFonts w:hint="eastAsia" w:ascii="宋体" w:hAnsi="宋体"/>
              </w:rPr>
              <w:t>提交可转债赎回业务申请以及</w:t>
            </w:r>
            <w:r>
              <w:rPr>
                <w:rFonts w:hint="eastAsia" w:ascii="宋体" w:hAnsi="宋体"/>
                <w:szCs w:val="21"/>
              </w:rPr>
              <w:t>《赎回公告》。</w:t>
            </w:r>
          </w:p>
        </w:tc>
        <w:tc>
          <w:tcPr>
            <w:tcW w:w="1287" w:type="dxa"/>
          </w:tcPr>
          <w:p>
            <w:pPr>
              <w:spacing w:line="560" w:lineRule="exact"/>
              <w:ind w:firstLine="420" w:firstLineChars="200"/>
              <w:jc w:val="left"/>
              <w:rPr>
                <w:rFonts w:ascii="方正仿宋简体" w:hAnsi="宋体"/>
              </w:rPr>
            </w:pPr>
            <w:r>
              <w:rPr>
                <w:rFonts w:hint="eastAsia" w:ascii="方正仿宋简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69" w:type="dxa"/>
            <w:vMerge w:val="continue"/>
          </w:tcPr>
          <w:p>
            <w:pPr>
              <w:rPr>
                <w:rFonts w:ascii="宋体" w:hAnsi="宋体"/>
              </w:rPr>
            </w:pPr>
          </w:p>
        </w:tc>
        <w:tc>
          <w:tcPr>
            <w:tcW w:w="1253" w:type="dxa"/>
            <w:vAlign w:val="center"/>
          </w:tcPr>
          <w:p>
            <w:pPr>
              <w:rPr>
                <w:rFonts w:ascii="宋体" w:hAnsi="宋体"/>
                <w:szCs w:val="21"/>
              </w:rPr>
            </w:pPr>
            <w:r>
              <w:rPr>
                <w:rFonts w:hint="eastAsia" w:ascii="宋体" w:hAnsi="宋体"/>
                <w:szCs w:val="21"/>
              </w:rPr>
              <w:t>T+1日开市前</w:t>
            </w:r>
          </w:p>
        </w:tc>
        <w:tc>
          <w:tcPr>
            <w:tcW w:w="4413" w:type="dxa"/>
            <w:vAlign w:val="center"/>
          </w:tcPr>
          <w:p>
            <w:pPr>
              <w:rPr>
                <w:rFonts w:ascii="宋体" w:hAnsi="宋体"/>
              </w:rPr>
            </w:pPr>
            <w:r>
              <w:rPr>
                <w:rFonts w:hint="eastAsia" w:ascii="宋体" w:hAnsi="宋体"/>
                <w:szCs w:val="21"/>
              </w:rPr>
              <w:t>披露《不行使赎回权的公告》或《赎回公告》</w:t>
            </w:r>
          </w:p>
        </w:tc>
        <w:tc>
          <w:tcPr>
            <w:tcW w:w="1287" w:type="dxa"/>
          </w:tcPr>
          <w:p>
            <w:pPr>
              <w:spacing w:line="560" w:lineRule="exact"/>
              <w:ind w:firstLine="420" w:firstLineChars="200"/>
              <w:jc w:val="left"/>
              <w:rPr>
                <w:rFonts w:ascii="方正仿宋简体" w:hAnsi="宋体"/>
              </w:rPr>
            </w:pPr>
            <w:r>
              <w:rPr>
                <w:rFonts w:hint="eastAsia" w:ascii="方正仿宋简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69" w:type="dxa"/>
          </w:tcPr>
          <w:p>
            <w:pPr>
              <w:rPr>
                <w:rFonts w:ascii="宋体" w:hAnsi="宋体"/>
              </w:rPr>
            </w:pPr>
            <w:r>
              <w:rPr>
                <w:rFonts w:hint="eastAsia" w:ascii="宋体" w:hAnsi="宋体"/>
                <w:szCs w:val="21"/>
              </w:rPr>
              <w:t>首次披露赎回公告后至赎回</w:t>
            </w:r>
            <w:r>
              <w:rPr>
                <w:rFonts w:hint="eastAsia" w:ascii="宋体" w:hAnsi="宋体"/>
              </w:rPr>
              <w:t>日前</w:t>
            </w:r>
            <w:r>
              <w:rPr>
                <w:rFonts w:hint="eastAsia" w:ascii="宋体" w:hAnsi="宋体"/>
                <w:szCs w:val="21"/>
              </w:rPr>
              <w:t>3个交易日</w:t>
            </w:r>
          </w:p>
        </w:tc>
        <w:tc>
          <w:tcPr>
            <w:tcW w:w="1253" w:type="dxa"/>
            <w:vAlign w:val="center"/>
          </w:tcPr>
          <w:p>
            <w:pPr>
              <w:rPr>
                <w:rFonts w:ascii="宋体" w:hAnsi="宋体"/>
                <w:szCs w:val="21"/>
              </w:rPr>
            </w:pPr>
            <w:r>
              <w:rPr>
                <w:rFonts w:hint="eastAsia" w:ascii="宋体" w:hAnsi="宋体"/>
                <w:szCs w:val="21"/>
              </w:rPr>
              <w:t>T+2日-S-4日</w:t>
            </w:r>
          </w:p>
        </w:tc>
        <w:tc>
          <w:tcPr>
            <w:tcW w:w="4413" w:type="dxa"/>
            <w:vAlign w:val="center"/>
          </w:tcPr>
          <w:p>
            <w:pPr>
              <w:rPr>
                <w:rFonts w:ascii="宋体" w:hAnsi="宋体"/>
              </w:rPr>
            </w:pPr>
            <w:r>
              <w:rPr>
                <w:rFonts w:hint="eastAsia" w:ascii="宋体" w:hAnsi="宋体"/>
                <w:szCs w:val="21"/>
              </w:rPr>
              <w:t>每个交易日</w:t>
            </w:r>
            <w:r>
              <w:rPr>
                <w:rFonts w:hint="eastAsia" w:ascii="宋体" w:hAnsi="宋体"/>
              </w:rPr>
              <w:t>披露</w:t>
            </w:r>
            <w:r>
              <w:rPr>
                <w:rFonts w:hint="eastAsia" w:ascii="宋体" w:hAnsi="宋体"/>
                <w:szCs w:val="21"/>
              </w:rPr>
              <w:t>1次</w:t>
            </w:r>
            <w:r>
              <w:rPr>
                <w:rFonts w:hint="eastAsia" w:ascii="宋体" w:hAnsi="宋体"/>
              </w:rPr>
              <w:t>《可转债赎回提示性公告》</w:t>
            </w:r>
          </w:p>
        </w:tc>
        <w:tc>
          <w:tcPr>
            <w:tcW w:w="1287" w:type="dxa"/>
          </w:tcPr>
          <w:p>
            <w:pPr>
              <w:spacing w:line="560" w:lineRule="exact"/>
              <w:ind w:firstLine="420" w:firstLineChars="200"/>
              <w:jc w:val="left"/>
              <w:rPr>
                <w:rFonts w:ascii="方正仿宋简体" w:hAnsi="宋体"/>
              </w:rPr>
            </w:pPr>
            <w:r>
              <w:rPr>
                <w:rFonts w:hint="eastAsia" w:ascii="方正仿宋简体" w:hAnsi="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569" w:type="dxa"/>
          </w:tcPr>
          <w:p>
            <w:pPr>
              <w:rPr>
                <w:rFonts w:ascii="宋体" w:hAnsi="宋体"/>
              </w:rPr>
            </w:pPr>
            <w:r>
              <w:rPr>
                <w:rFonts w:hint="eastAsia" w:ascii="宋体" w:hAnsi="宋体"/>
                <w:szCs w:val="21"/>
              </w:rPr>
              <w:t>赎回日前3个</w:t>
            </w:r>
            <w:r>
              <w:rPr>
                <w:rFonts w:hint="eastAsia" w:ascii="宋体" w:hAnsi="宋体"/>
              </w:rPr>
              <w:t>交易</w:t>
            </w:r>
            <w:r>
              <w:rPr>
                <w:rFonts w:hint="eastAsia" w:ascii="宋体" w:hAnsi="宋体"/>
                <w:szCs w:val="21"/>
              </w:rPr>
              <w:t>日开始</w:t>
            </w:r>
            <w:r>
              <w:rPr>
                <w:rFonts w:hint="eastAsia" w:ascii="宋体" w:hAnsi="宋体"/>
              </w:rPr>
              <w:t>停止交易</w:t>
            </w:r>
          </w:p>
        </w:tc>
        <w:tc>
          <w:tcPr>
            <w:tcW w:w="1253" w:type="dxa"/>
            <w:vAlign w:val="center"/>
          </w:tcPr>
          <w:p>
            <w:pPr>
              <w:rPr>
                <w:rFonts w:ascii="宋体" w:hAnsi="宋体"/>
              </w:rPr>
            </w:pPr>
            <w:r>
              <w:rPr>
                <w:rFonts w:hint="eastAsia" w:ascii="宋体" w:hAnsi="宋体"/>
                <w:szCs w:val="21"/>
              </w:rPr>
              <w:t>S-3日-S-1日</w:t>
            </w:r>
          </w:p>
        </w:tc>
        <w:tc>
          <w:tcPr>
            <w:tcW w:w="4413" w:type="dxa"/>
            <w:vAlign w:val="center"/>
          </w:tcPr>
          <w:p>
            <w:pPr>
              <w:rPr>
                <w:rFonts w:ascii="宋体" w:hAnsi="宋体"/>
                <w:szCs w:val="21"/>
              </w:rPr>
            </w:pPr>
          </w:p>
        </w:tc>
        <w:tc>
          <w:tcPr>
            <w:tcW w:w="1287" w:type="dxa"/>
          </w:tcPr>
          <w:p>
            <w:pPr>
              <w:spacing w:line="560" w:lineRule="exact"/>
              <w:ind w:firstLine="420" w:firstLineChars="200"/>
              <w:jc w:val="left"/>
              <w:rPr>
                <w:rFonts w:ascii="方正仿宋简体" w:hAnsi="宋体" w:eastAsia="方正仿宋简体"/>
                <w:szCs w:val="21"/>
              </w:rPr>
            </w:pPr>
            <w:r>
              <w:rPr>
                <w:rFonts w:hint="eastAsia" w:ascii="方正仿宋简体" w:hAnsi="宋体"/>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9" w:type="dxa"/>
          </w:tcPr>
          <w:p>
            <w:pPr>
              <w:rPr>
                <w:rFonts w:ascii="宋体" w:hAnsi="宋体"/>
                <w:szCs w:val="21"/>
              </w:rPr>
            </w:pPr>
          </w:p>
          <w:p>
            <w:pPr>
              <w:rPr>
                <w:rFonts w:ascii="宋体" w:hAnsi="宋体"/>
                <w:szCs w:val="21"/>
              </w:rPr>
            </w:pPr>
            <w:r>
              <w:rPr>
                <w:rFonts w:hint="eastAsia" w:ascii="宋体" w:hAnsi="宋体"/>
                <w:szCs w:val="21"/>
              </w:rPr>
              <w:t>赎回资金划转、</w:t>
            </w:r>
          </w:p>
          <w:p>
            <w:pPr>
              <w:rPr>
                <w:rFonts w:ascii="宋体" w:hAnsi="宋体"/>
                <w:szCs w:val="21"/>
              </w:rPr>
            </w:pPr>
            <w:r>
              <w:rPr>
                <w:rFonts w:hint="eastAsia" w:ascii="宋体" w:hAnsi="宋体"/>
                <w:szCs w:val="21"/>
              </w:rPr>
              <w:t>披露赎回结果及摘牌</w:t>
            </w:r>
          </w:p>
        </w:tc>
        <w:tc>
          <w:tcPr>
            <w:tcW w:w="1253" w:type="dxa"/>
            <w:vAlign w:val="center"/>
          </w:tcPr>
          <w:p>
            <w:pPr>
              <w:rPr>
                <w:rFonts w:ascii="宋体" w:hAnsi="宋体"/>
              </w:rPr>
            </w:pPr>
            <w:r>
              <w:rPr>
                <w:rFonts w:hint="eastAsia" w:ascii="宋体" w:hAnsi="宋体"/>
              </w:rPr>
              <w:t>S</w:t>
            </w:r>
            <w:r>
              <w:rPr>
                <w:rFonts w:ascii="宋体" w:hAnsi="宋体"/>
                <w:szCs w:val="21"/>
              </w:rPr>
              <w:t>+</w:t>
            </w:r>
            <w:r>
              <w:rPr>
                <w:rFonts w:ascii="宋体" w:hAnsi="宋体"/>
              </w:rPr>
              <w:t>1日</w:t>
            </w:r>
            <w:r>
              <w:rPr>
                <w:rFonts w:hint="eastAsia" w:ascii="宋体" w:hAnsi="宋体"/>
                <w:szCs w:val="21"/>
              </w:rPr>
              <w:t>-S+7日</w:t>
            </w:r>
          </w:p>
        </w:tc>
        <w:tc>
          <w:tcPr>
            <w:tcW w:w="4413" w:type="dxa"/>
            <w:vAlign w:val="center"/>
          </w:tcPr>
          <w:p>
            <w:pPr>
              <w:rPr>
                <w:rFonts w:ascii="宋体" w:hAnsi="宋体"/>
                <w:szCs w:val="21"/>
              </w:rPr>
            </w:pPr>
            <w:r>
              <w:rPr>
                <w:rFonts w:hint="eastAsia" w:ascii="宋体" w:hAnsi="宋体"/>
                <w:szCs w:val="21"/>
              </w:rPr>
              <w:t>上市公司收到结算出具的</w:t>
            </w:r>
            <w:r>
              <w:rPr>
                <w:rFonts w:hint="eastAsia" w:ascii="宋体" w:hAnsi="宋体"/>
              </w:rPr>
              <w:t>赎回</w:t>
            </w:r>
            <w:r>
              <w:rPr>
                <w:rFonts w:hint="eastAsia" w:ascii="宋体" w:hAnsi="宋体"/>
                <w:szCs w:val="21"/>
              </w:rPr>
              <w:t>结果表</w:t>
            </w:r>
            <w:r>
              <w:rPr>
                <w:rFonts w:ascii="宋体" w:hAnsi="宋体"/>
                <w:szCs w:val="21"/>
              </w:rPr>
              <w:t xml:space="preserve">, </w:t>
            </w:r>
            <w:r>
              <w:rPr>
                <w:rFonts w:hint="eastAsia" w:ascii="宋体" w:hAnsi="宋体"/>
                <w:szCs w:val="21"/>
              </w:rPr>
              <w:t>将回售</w:t>
            </w:r>
            <w:r>
              <w:rPr>
                <w:rFonts w:hint="eastAsia" w:ascii="宋体" w:hAnsi="宋体"/>
              </w:rPr>
              <w:t>所需资金</w:t>
            </w:r>
            <w:r>
              <w:rPr>
                <w:rFonts w:hint="eastAsia" w:ascii="宋体" w:hAnsi="宋体"/>
                <w:szCs w:val="21"/>
              </w:rPr>
              <w:t>划拨至中国</w:t>
            </w:r>
            <w:r>
              <w:rPr>
                <w:rFonts w:hint="eastAsia" w:ascii="宋体" w:hAnsi="宋体"/>
              </w:rPr>
              <w:t>结算</w:t>
            </w:r>
            <w:r>
              <w:rPr>
                <w:rFonts w:hint="eastAsia" w:ascii="宋体" w:hAnsi="宋体"/>
                <w:szCs w:val="21"/>
              </w:rPr>
              <w:t>深圳分公司的</w:t>
            </w:r>
            <w:r>
              <w:rPr>
                <w:rFonts w:hint="eastAsia" w:ascii="宋体" w:hAnsi="宋体"/>
              </w:rPr>
              <w:t>指定</w:t>
            </w:r>
            <w:r>
              <w:rPr>
                <w:rFonts w:hint="eastAsia" w:ascii="宋体" w:hAnsi="宋体"/>
                <w:szCs w:val="21"/>
              </w:rPr>
              <w:t>帐户（S</w:t>
            </w:r>
            <w:r>
              <w:rPr>
                <w:rFonts w:ascii="宋体" w:hAnsi="宋体"/>
                <w:szCs w:val="21"/>
              </w:rPr>
              <w:t>+1日</w:t>
            </w:r>
            <w:r>
              <w:rPr>
                <w:rFonts w:hint="eastAsia" w:ascii="宋体" w:hAnsi="宋体"/>
                <w:szCs w:val="21"/>
              </w:rPr>
              <w:t>-S+5日）。</w:t>
            </w:r>
          </w:p>
          <w:p>
            <w:pPr>
              <w:rPr>
                <w:rFonts w:ascii="宋体" w:hAnsi="宋体"/>
                <w:szCs w:val="21"/>
              </w:rPr>
            </w:pPr>
            <w:r>
              <w:rPr>
                <w:rFonts w:hint="eastAsia" w:ascii="宋体" w:hAnsi="宋体"/>
                <w:szCs w:val="21"/>
              </w:rPr>
              <w:t>在完成清算、交收手续后，上市公司向创业板公司管理部提交并披露《可转换公司债券赎回结果公告》（S</w:t>
            </w:r>
            <w:r>
              <w:rPr>
                <w:rFonts w:ascii="宋体" w:hAnsi="宋体"/>
                <w:szCs w:val="21"/>
              </w:rPr>
              <w:t>+1日</w:t>
            </w:r>
            <w:r>
              <w:rPr>
                <w:rFonts w:hint="eastAsia" w:ascii="宋体" w:hAnsi="宋体"/>
                <w:szCs w:val="21"/>
              </w:rPr>
              <w:t>-S+7日）；</w:t>
            </w:r>
          </w:p>
          <w:p>
            <w:pPr>
              <w:rPr>
                <w:rFonts w:ascii="宋体" w:hAnsi="宋体"/>
              </w:rPr>
            </w:pPr>
            <w:r>
              <w:rPr>
                <w:rFonts w:hint="eastAsia" w:ascii="宋体" w:hAnsi="宋体"/>
                <w:szCs w:val="21"/>
              </w:rPr>
              <w:t>如为全部赎回，同时提交并披露《可转债摘牌公告》。</w:t>
            </w:r>
          </w:p>
        </w:tc>
        <w:tc>
          <w:tcPr>
            <w:tcW w:w="1287" w:type="dxa"/>
          </w:tcPr>
          <w:p>
            <w:pPr>
              <w:spacing w:line="560" w:lineRule="exact"/>
              <w:ind w:firstLine="420" w:firstLineChars="200"/>
              <w:rPr>
                <w:rFonts w:ascii="方正仿宋简体" w:hAnsi="宋体"/>
              </w:rPr>
            </w:pPr>
            <w:r>
              <w:rPr>
                <w:rFonts w:hint="eastAsia" w:ascii="方正仿宋简体" w:hAnsi="宋体"/>
              </w:rPr>
              <w:t>是</w:t>
            </w:r>
          </w:p>
        </w:tc>
      </w:tr>
    </w:tbl>
    <w:p>
      <w:pPr>
        <w:rPr>
          <w:rFonts w:ascii="方正仿宋简体" w:eastAsia="方正仿宋简体"/>
        </w:rPr>
      </w:pPr>
    </w:p>
    <w:p>
      <w:pPr>
        <w:rPr>
          <w:rFonts w:ascii="Times New Roman" w:hAnsi="Times New Roman"/>
        </w:rPr>
      </w:pPr>
    </w:p>
    <w:p>
      <w:pPr>
        <w:rPr>
          <w:rFonts w:ascii="Times New Roman" w:hAnsi="Times New Roman"/>
        </w:rPr>
      </w:pPr>
      <w:r>
        <w:rPr>
          <w:rFonts w:ascii="Times New Roman" w:hAnsi="Times New Roman"/>
        </w:rPr>
        <w:br w:type="page"/>
      </w:r>
    </w:p>
    <w:p>
      <w:pPr>
        <w:pStyle w:val="162"/>
        <w:ind w:firstLine="0" w:firstLineChars="0"/>
        <w:outlineLvl w:val="1"/>
        <w:rPr>
          <w:rFonts w:hAnsi="黑体"/>
          <w:sz w:val="32"/>
          <w:szCs w:val="32"/>
        </w:rPr>
      </w:pPr>
      <w:bookmarkStart w:id="59" w:name="_Toc21838"/>
      <w:bookmarkStart w:id="60" w:name="_Toc129272532"/>
      <w:bookmarkStart w:id="61" w:name="_Toc141954538"/>
      <w:r>
        <w:rPr>
          <w:rFonts w:hint="eastAsia" w:hAnsi="黑体"/>
          <w:sz w:val="32"/>
          <w:szCs w:val="32"/>
        </w:rPr>
        <w:t xml:space="preserve">第四节 </w:t>
      </w:r>
      <w:r>
        <w:rPr>
          <w:rFonts w:hAnsi="黑体"/>
          <w:sz w:val="32"/>
          <w:szCs w:val="32"/>
        </w:rPr>
        <w:t>向特定对象发行可转换公司债券</w:t>
      </w:r>
      <w:bookmarkEnd w:id="59"/>
      <w:bookmarkEnd w:id="60"/>
      <w:bookmarkEnd w:id="61"/>
    </w:p>
    <w:p>
      <w:pPr>
        <w:spacing w:line="560" w:lineRule="exact"/>
        <w:ind w:firstLine="643" w:firstLineChars="200"/>
        <w:rPr>
          <w:rFonts w:ascii="黑体" w:hAnsi="黑体" w:eastAsia="黑体"/>
          <w:b/>
          <w:sz w:val="32"/>
          <w:szCs w:val="32"/>
        </w:rPr>
      </w:pPr>
      <w:r>
        <w:rPr>
          <w:rFonts w:ascii="黑体" w:hAnsi="黑体" w:eastAsia="黑体"/>
          <w:b/>
          <w:sz w:val="32"/>
          <w:szCs w:val="32"/>
        </w:rPr>
        <w:t>一、审核注册阶段信息披露要求</w:t>
      </w:r>
    </w:p>
    <w:p>
      <w:pPr>
        <w:pStyle w:val="36"/>
        <w:spacing w:line="560" w:lineRule="exact"/>
        <w:ind w:firstLine="614"/>
        <w:rPr>
          <w:rFonts w:ascii="楷体" w:hAnsi="楷体" w:eastAsia="楷体"/>
          <w:sz w:val="32"/>
          <w:szCs w:val="32"/>
        </w:rPr>
      </w:pPr>
      <w:r>
        <w:rPr>
          <w:rFonts w:ascii="楷体" w:hAnsi="楷体" w:eastAsia="楷体"/>
          <w:sz w:val="32"/>
          <w:szCs w:val="32"/>
        </w:rPr>
        <w:t>（一）发行可转债募集资金</w:t>
      </w:r>
    </w:p>
    <w:p>
      <w:pPr>
        <w:spacing w:line="560" w:lineRule="exact"/>
        <w:ind w:firstLine="640" w:firstLineChars="200"/>
        <w:rPr>
          <w:rFonts w:ascii="仿宋" w:hAnsi="仿宋" w:eastAsia="仿宋"/>
          <w:sz w:val="32"/>
          <w:szCs w:val="32"/>
        </w:rPr>
      </w:pPr>
      <w:r>
        <w:rPr>
          <w:rFonts w:ascii="仿宋" w:hAnsi="仿宋" w:eastAsia="仿宋"/>
          <w:sz w:val="32"/>
          <w:szCs w:val="32"/>
        </w:rPr>
        <w:t>1．上市公司向特定对象发行可转债提出发行申请后，出现下列情形之一的，应当在次一个交易日予以公告：</w:t>
      </w:r>
    </w:p>
    <w:p>
      <w:pPr>
        <w:spacing w:line="560" w:lineRule="exact"/>
        <w:ind w:firstLine="640" w:firstLineChars="200"/>
        <w:rPr>
          <w:rFonts w:ascii="仿宋" w:hAnsi="仿宋" w:eastAsia="仿宋"/>
          <w:sz w:val="32"/>
          <w:szCs w:val="32"/>
        </w:rPr>
      </w:pPr>
      <w:r>
        <w:rPr>
          <w:rFonts w:ascii="仿宋" w:hAnsi="仿宋" w:eastAsia="仿宋"/>
          <w:sz w:val="32"/>
          <w:szCs w:val="32"/>
        </w:rPr>
        <w:t>（1）收到交易所不予受理或者终止发行上市审核决定；</w:t>
      </w:r>
    </w:p>
    <w:p>
      <w:pPr>
        <w:spacing w:line="560" w:lineRule="exact"/>
        <w:ind w:firstLine="640" w:firstLineChars="200"/>
        <w:rPr>
          <w:rFonts w:ascii="仿宋" w:hAnsi="仿宋" w:eastAsia="仿宋"/>
          <w:sz w:val="32"/>
          <w:szCs w:val="32"/>
        </w:rPr>
      </w:pPr>
      <w:r>
        <w:rPr>
          <w:rFonts w:ascii="仿宋" w:hAnsi="仿宋" w:eastAsia="仿宋"/>
          <w:sz w:val="32"/>
          <w:szCs w:val="32"/>
        </w:rPr>
        <w:t>（2）收到中国证监会终止发行注册决定；</w:t>
      </w:r>
    </w:p>
    <w:p>
      <w:pPr>
        <w:spacing w:line="560" w:lineRule="exact"/>
        <w:ind w:firstLine="640" w:firstLineChars="200"/>
        <w:rPr>
          <w:rFonts w:ascii="仿宋" w:hAnsi="仿宋" w:eastAsia="仿宋"/>
          <w:sz w:val="32"/>
          <w:szCs w:val="32"/>
        </w:rPr>
      </w:pPr>
      <w:r>
        <w:rPr>
          <w:rFonts w:ascii="仿宋" w:hAnsi="仿宋" w:eastAsia="仿宋"/>
          <w:sz w:val="32"/>
          <w:szCs w:val="32"/>
        </w:rPr>
        <w:t>（3）收到中国证监会注册或者不予注册决定；</w:t>
      </w:r>
    </w:p>
    <w:p>
      <w:pPr>
        <w:spacing w:line="560" w:lineRule="exact"/>
        <w:ind w:firstLine="640" w:firstLineChars="200"/>
        <w:rPr>
          <w:rFonts w:ascii="仿宋" w:hAnsi="仿宋" w:eastAsia="仿宋"/>
          <w:sz w:val="32"/>
          <w:szCs w:val="32"/>
        </w:rPr>
      </w:pPr>
      <w:r>
        <w:rPr>
          <w:rFonts w:ascii="仿宋" w:hAnsi="仿宋" w:eastAsia="仿宋"/>
          <w:sz w:val="32"/>
          <w:szCs w:val="32"/>
        </w:rPr>
        <w:t>（4）上市公司撤回证券发行申请。</w:t>
      </w:r>
    </w:p>
    <w:p>
      <w:pPr>
        <w:spacing w:line="560" w:lineRule="exact"/>
        <w:ind w:firstLine="640" w:firstLineChars="200"/>
        <w:rPr>
          <w:rFonts w:ascii="仿宋" w:hAnsi="仿宋" w:eastAsia="仿宋"/>
          <w:sz w:val="32"/>
          <w:szCs w:val="32"/>
        </w:rPr>
      </w:pPr>
      <w:r>
        <w:rPr>
          <w:rFonts w:ascii="仿宋" w:hAnsi="仿宋" w:eastAsia="仿宋"/>
          <w:sz w:val="32"/>
          <w:szCs w:val="32"/>
        </w:rPr>
        <w:t>2．本所受理证券发行上市申请文件当日，公司应当披露受理公告，并同时披露募集说明书、发行保荐书、上市保荐书、审计报告、法律意见书。</w:t>
      </w:r>
    </w:p>
    <w:p>
      <w:pPr>
        <w:spacing w:line="560" w:lineRule="exact"/>
        <w:ind w:firstLine="640" w:firstLineChars="200"/>
        <w:rPr>
          <w:rFonts w:ascii="仿宋" w:hAnsi="仿宋" w:eastAsia="仿宋"/>
          <w:sz w:val="32"/>
          <w:szCs w:val="32"/>
        </w:rPr>
      </w:pPr>
      <w:r>
        <w:rPr>
          <w:rFonts w:ascii="仿宋" w:hAnsi="仿宋" w:eastAsia="仿宋"/>
          <w:sz w:val="32"/>
          <w:szCs w:val="32"/>
        </w:rPr>
        <w:t>3．上市公司应当以临时公告的形式及时披露对本所审核问询的回复。</w:t>
      </w:r>
    </w:p>
    <w:p>
      <w:pPr>
        <w:spacing w:line="560" w:lineRule="exact"/>
        <w:ind w:firstLine="640" w:firstLineChars="200"/>
        <w:rPr>
          <w:rFonts w:ascii="仿宋" w:hAnsi="仿宋" w:eastAsia="仿宋"/>
          <w:sz w:val="32"/>
          <w:szCs w:val="32"/>
        </w:rPr>
      </w:pPr>
      <w:r>
        <w:rPr>
          <w:rFonts w:ascii="仿宋" w:hAnsi="仿宋" w:eastAsia="仿宋"/>
          <w:sz w:val="32"/>
          <w:szCs w:val="32"/>
        </w:rPr>
        <w:t>4．上市公司收到本所具有明确审核意见的函件或决定后，应当以临时公告的形式及时对外披露。如为符合发行条件、上市条件和信息披露要求的审核意见，公司应在公告中声明“公司本次向特定对象发行可转换公司债券尚需中国证监会注册，敬请广大投资者注意投资风险”。</w:t>
      </w:r>
    </w:p>
    <w:p>
      <w:pPr>
        <w:spacing w:line="560" w:lineRule="exact"/>
        <w:ind w:firstLine="640" w:firstLineChars="200"/>
        <w:rPr>
          <w:rFonts w:ascii="仿宋" w:hAnsi="仿宋" w:eastAsia="仿宋"/>
          <w:sz w:val="32"/>
          <w:szCs w:val="32"/>
        </w:rPr>
      </w:pPr>
      <w:r>
        <w:rPr>
          <w:rFonts w:ascii="仿宋" w:hAnsi="仿宋" w:eastAsia="仿宋"/>
          <w:sz w:val="32"/>
          <w:szCs w:val="32"/>
        </w:rPr>
        <w:t>5．上市公司披露收到中国证监会予以注册决定的公告时，应当说明取得注册</w:t>
      </w:r>
      <w:r>
        <w:rPr>
          <w:rFonts w:hint="eastAsia" w:ascii="仿宋" w:hAnsi="仿宋" w:eastAsia="仿宋"/>
          <w:sz w:val="32"/>
          <w:szCs w:val="32"/>
        </w:rPr>
        <w:t>文件</w:t>
      </w:r>
      <w:r>
        <w:rPr>
          <w:rFonts w:ascii="仿宋" w:hAnsi="仿宋" w:eastAsia="仿宋"/>
          <w:sz w:val="32"/>
          <w:szCs w:val="32"/>
        </w:rPr>
        <w:t>的日期、注册发行的债券数量等，并公告本次发行的</w:t>
      </w:r>
      <w:r>
        <w:rPr>
          <w:rFonts w:hint="eastAsia" w:ascii="仿宋" w:hAnsi="仿宋" w:eastAsia="仿宋"/>
          <w:sz w:val="32"/>
          <w:szCs w:val="32"/>
        </w:rPr>
        <w:t>主承销商</w:t>
      </w:r>
      <w:r>
        <w:rPr>
          <w:rFonts w:ascii="仿宋" w:hAnsi="仿宋" w:eastAsia="仿宋"/>
          <w:sz w:val="32"/>
          <w:szCs w:val="32"/>
        </w:rPr>
        <w:t>，公开上市公司和</w:t>
      </w:r>
      <w:r>
        <w:rPr>
          <w:rFonts w:hint="eastAsia" w:ascii="仿宋" w:hAnsi="仿宋" w:eastAsia="仿宋"/>
          <w:sz w:val="32"/>
          <w:szCs w:val="32"/>
        </w:rPr>
        <w:t>主承销商</w:t>
      </w:r>
      <w:r>
        <w:rPr>
          <w:rFonts w:ascii="仿宋" w:hAnsi="仿宋" w:eastAsia="仿宋"/>
          <w:sz w:val="32"/>
          <w:szCs w:val="32"/>
        </w:rPr>
        <w:t>指定办理本次发行的负责人及其有效联系方式。</w:t>
      </w:r>
    </w:p>
    <w:p>
      <w:pPr>
        <w:spacing w:line="560" w:lineRule="exact"/>
        <w:ind w:firstLine="640" w:firstLineChars="200"/>
        <w:rPr>
          <w:rFonts w:ascii="仿宋" w:hAnsi="仿宋" w:eastAsia="仿宋"/>
          <w:sz w:val="32"/>
          <w:szCs w:val="32"/>
        </w:rPr>
      </w:pPr>
      <w:r>
        <w:rPr>
          <w:rFonts w:ascii="仿宋" w:hAnsi="仿宋" w:eastAsia="仿宋"/>
          <w:sz w:val="32"/>
          <w:szCs w:val="32"/>
        </w:rPr>
        <w:t>6．上市公司应当在收到中国证监会予以注册决定后的两个交易日内，以临时公告的形式披露经证监会予以注册的募集说明书。</w:t>
      </w:r>
    </w:p>
    <w:p>
      <w:pPr>
        <w:pStyle w:val="36"/>
        <w:spacing w:line="560" w:lineRule="exact"/>
        <w:ind w:firstLine="614"/>
        <w:rPr>
          <w:rFonts w:ascii="楷体" w:hAnsi="楷体" w:eastAsia="楷体"/>
          <w:sz w:val="32"/>
          <w:szCs w:val="32"/>
        </w:rPr>
      </w:pPr>
      <w:r>
        <w:rPr>
          <w:rFonts w:ascii="楷体" w:hAnsi="楷体" w:eastAsia="楷体"/>
          <w:sz w:val="32"/>
          <w:szCs w:val="32"/>
        </w:rPr>
        <w:t>（二）发行可转债购买资产或配套募集资金</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上市公司根据《重组办法》规定发行可转债购买资产或配套募集资金的，重组审核注册阶段应按照《深圳证券交易所创业板上市公司重大资产重组审核规则》和《深圳证券交易所上市公司</w:t>
      </w:r>
      <w:r>
        <w:rPr>
          <w:rFonts w:hint="eastAsia" w:ascii="仿宋" w:hAnsi="仿宋" w:eastAsia="仿宋"/>
          <w:sz w:val="32"/>
          <w:szCs w:val="32"/>
        </w:rPr>
        <w:t>自律监管</w:t>
      </w:r>
      <w:r>
        <w:rPr>
          <w:rFonts w:ascii="仿宋" w:hAnsi="仿宋" w:eastAsia="仿宋"/>
          <w:sz w:val="32"/>
          <w:szCs w:val="32"/>
        </w:rPr>
        <w:t>指引第</w:t>
      </w:r>
      <w:r>
        <w:rPr>
          <w:rFonts w:hint="eastAsia" w:ascii="仿宋" w:hAnsi="仿宋" w:eastAsia="仿宋"/>
          <w:sz w:val="32"/>
          <w:szCs w:val="32"/>
        </w:rPr>
        <w:t>8</w:t>
      </w:r>
      <w:r>
        <w:rPr>
          <w:rFonts w:ascii="仿宋" w:hAnsi="仿宋" w:eastAsia="仿宋"/>
          <w:sz w:val="32"/>
          <w:szCs w:val="32"/>
        </w:rPr>
        <w:t>号——重大资产重组》相关要求进行信息披露。</w:t>
      </w:r>
    </w:p>
    <w:p>
      <w:pPr>
        <w:spacing w:line="560" w:lineRule="exact"/>
        <w:ind w:firstLine="643" w:firstLineChars="200"/>
        <w:rPr>
          <w:rFonts w:ascii="黑体" w:hAnsi="黑体" w:eastAsia="黑体"/>
          <w:b/>
          <w:sz w:val="32"/>
          <w:szCs w:val="32"/>
        </w:rPr>
      </w:pPr>
      <w:r>
        <w:rPr>
          <w:rFonts w:ascii="黑体" w:hAnsi="黑体" w:eastAsia="黑体"/>
          <w:b/>
          <w:sz w:val="32"/>
          <w:szCs w:val="32"/>
        </w:rPr>
        <w:t>二、组织发行</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1．发行可转债募集资金或重组配套募集资金的，上市公司应当在注册</w:t>
      </w:r>
      <w:r>
        <w:rPr>
          <w:rFonts w:hint="eastAsia" w:ascii="仿宋" w:hAnsi="仿宋" w:eastAsia="仿宋"/>
          <w:sz w:val="32"/>
          <w:szCs w:val="32"/>
        </w:rPr>
        <w:t>文件</w:t>
      </w:r>
      <w:r>
        <w:rPr>
          <w:rFonts w:ascii="仿宋" w:hAnsi="仿宋" w:eastAsia="仿宋"/>
          <w:sz w:val="32"/>
          <w:szCs w:val="32"/>
        </w:rPr>
        <w:t>的有效期内，按照《证券发行与承销管理办法》《深圳证券交易所上市公司证券发行与承销业务实施细则》等有关规定组织发行。</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2．上市公司根据《重组办法》规定发行可转债购买资产的，相关发行事宜参照发行股份购买资产办理。</w:t>
      </w:r>
    </w:p>
    <w:p>
      <w:pPr>
        <w:spacing w:line="560" w:lineRule="exact"/>
        <w:ind w:firstLine="643" w:firstLineChars="200"/>
        <w:rPr>
          <w:rFonts w:ascii="黑体" w:hAnsi="黑体" w:eastAsia="黑体"/>
          <w:b/>
          <w:sz w:val="32"/>
          <w:szCs w:val="32"/>
        </w:rPr>
      </w:pPr>
      <w:r>
        <w:rPr>
          <w:rFonts w:ascii="黑体" w:hAnsi="黑体" w:eastAsia="黑体"/>
          <w:b/>
          <w:sz w:val="32"/>
          <w:szCs w:val="32"/>
        </w:rPr>
        <w:t>三、申请证券代码和证券简称</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上市公司在可转债发行结束后，应及时向创业板公司管理部提交可转债证券代码和证券简称申请（参见附件3）。</w:t>
      </w:r>
      <w:r>
        <w:rPr>
          <w:rFonts w:hint="eastAsia" w:ascii="仿宋" w:hAnsi="仿宋" w:eastAsia="仿宋"/>
          <w:sz w:val="32"/>
          <w:szCs w:val="32"/>
        </w:rPr>
        <w:t>可转债的代码范围为“124000～124999”，上市公司发行的可转债代码应按顺序编制。可转债证券简称除“定转”以外的字符取自上市公司A股证券简称，后四位字符为“定转”。如上市公司多次向特定对象发行可转债，后面的字符根据其发行批次分别为“定02”“定03”等。</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创业板公司管理部对申请材料进行完备性核对，符合相关规定的，联系上市公司确定该期可转债代码和简称。</w:t>
      </w:r>
    </w:p>
    <w:p>
      <w:pPr>
        <w:spacing w:line="560" w:lineRule="exact"/>
        <w:ind w:firstLine="643" w:firstLineChars="200"/>
        <w:rPr>
          <w:rFonts w:ascii="黑体" w:hAnsi="黑体" w:eastAsia="黑体"/>
          <w:b/>
          <w:sz w:val="32"/>
          <w:szCs w:val="32"/>
        </w:rPr>
      </w:pPr>
      <w:r>
        <w:rPr>
          <w:rFonts w:ascii="黑体" w:hAnsi="黑体" w:eastAsia="黑体"/>
          <w:b/>
          <w:sz w:val="32"/>
          <w:szCs w:val="32"/>
        </w:rPr>
        <w:t>四、披露发行结果及债券登记</w:t>
      </w:r>
    </w:p>
    <w:p>
      <w:pPr>
        <w:pStyle w:val="36"/>
        <w:spacing w:line="560" w:lineRule="exact"/>
        <w:ind w:firstLine="640" w:firstLineChars="200"/>
        <w:rPr>
          <w:rFonts w:ascii="楷体" w:hAnsi="楷体" w:eastAsia="楷体"/>
          <w:sz w:val="32"/>
          <w:szCs w:val="32"/>
        </w:rPr>
      </w:pPr>
      <w:r>
        <w:rPr>
          <w:rFonts w:ascii="楷体" w:hAnsi="楷体" w:eastAsia="楷体"/>
          <w:sz w:val="32"/>
          <w:szCs w:val="32"/>
        </w:rPr>
        <w:t>（一）发行可转债募集资金</w:t>
      </w:r>
      <w:r>
        <w:rPr>
          <w:rFonts w:hint="eastAsia" w:ascii="楷体" w:hAnsi="楷体" w:eastAsia="楷体"/>
          <w:sz w:val="32"/>
          <w:szCs w:val="32"/>
        </w:rPr>
        <w:t>（含重组</w:t>
      </w:r>
      <w:r>
        <w:rPr>
          <w:rFonts w:ascii="楷体" w:hAnsi="楷体" w:eastAsia="楷体"/>
          <w:sz w:val="32"/>
          <w:szCs w:val="32"/>
        </w:rPr>
        <w:t>配套募集资金</w:t>
      </w:r>
      <w:r>
        <w:rPr>
          <w:rFonts w:hint="eastAsia" w:ascii="楷体" w:hAnsi="楷体" w:eastAsia="楷体"/>
          <w:sz w:val="32"/>
          <w:szCs w:val="32"/>
        </w:rPr>
        <w:t>）</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 xml:space="preserve">1．上市公司发行可转债募集资金的，应当在本次发行结束后两个交易日内向创业板公司管理部提交以下文件，并履行信息披露义务： </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（1）发行情况报告书（上网）</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（2）保荐人</w:t>
      </w:r>
      <w:r>
        <w:rPr>
          <w:rFonts w:hint="eastAsia" w:ascii="仿宋" w:hAnsi="仿宋" w:eastAsia="仿宋"/>
          <w:sz w:val="32"/>
          <w:szCs w:val="32"/>
        </w:rPr>
        <w:t>或独立财务顾问</w:t>
      </w:r>
      <w:r>
        <w:rPr>
          <w:rFonts w:ascii="仿宋" w:hAnsi="仿宋" w:eastAsia="仿宋"/>
          <w:sz w:val="32"/>
          <w:szCs w:val="32"/>
        </w:rPr>
        <w:t>出具的关于本次发行过程和认购对象合规性的报告（上网）</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（3） 律师关于本次发行过程和认购对象合规性的报告书（上网）</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发行完成后经会计师事务所</w:t>
      </w:r>
      <w:r>
        <w:rPr>
          <w:rFonts w:ascii="仿宋" w:hAnsi="仿宋" w:eastAsia="仿宋"/>
          <w:sz w:val="32"/>
          <w:szCs w:val="32"/>
        </w:rPr>
        <w:t>出具的验资报告（报备）</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（5）可转债证券代码和证券简称申请（报备）</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2．发行人应按照《公开发行证券的公司信息披露内容与格式准则第</w:t>
      </w:r>
      <w:r>
        <w:rPr>
          <w:rFonts w:hint="eastAsia" w:ascii="仿宋" w:hAnsi="仿宋" w:eastAsia="仿宋"/>
          <w:sz w:val="32"/>
          <w:szCs w:val="32"/>
        </w:rPr>
        <w:t>61</w:t>
      </w:r>
      <w:r>
        <w:rPr>
          <w:rFonts w:ascii="仿宋" w:hAnsi="仿宋" w:eastAsia="仿宋"/>
          <w:sz w:val="32"/>
          <w:szCs w:val="32"/>
        </w:rPr>
        <w:t xml:space="preserve">号——上市公司向特定对象发行证券募集说明书和发行情况报告书》第三章的规定编制本次发行情况报告书的详细内容。    </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3．可转债发行结束并确定可转债代码和简称后，上市公司应及时向结算公司申请办理新增可转债登记，具体流程</w:t>
      </w:r>
      <w:r>
        <w:rPr>
          <w:rFonts w:hint="eastAsia" w:ascii="仿宋" w:hAnsi="仿宋" w:eastAsia="仿宋"/>
          <w:sz w:val="32"/>
          <w:szCs w:val="32"/>
        </w:rPr>
        <w:t>按照</w:t>
      </w:r>
      <w:r>
        <w:rPr>
          <w:rFonts w:ascii="仿宋" w:hAnsi="仿宋" w:eastAsia="仿宋"/>
          <w:sz w:val="32"/>
          <w:szCs w:val="32"/>
        </w:rPr>
        <w:t>结算公司相关规定执行。</w:t>
      </w:r>
    </w:p>
    <w:p>
      <w:pPr>
        <w:pStyle w:val="36"/>
        <w:spacing w:line="560" w:lineRule="exact"/>
        <w:ind w:firstLine="640" w:firstLineChars="200"/>
        <w:rPr>
          <w:rFonts w:ascii="楷体" w:hAnsi="楷体" w:eastAsia="楷体"/>
          <w:sz w:val="32"/>
          <w:szCs w:val="32"/>
        </w:rPr>
      </w:pPr>
      <w:r>
        <w:rPr>
          <w:rFonts w:ascii="楷体" w:hAnsi="楷体" w:eastAsia="楷体"/>
          <w:sz w:val="32"/>
          <w:szCs w:val="32"/>
        </w:rPr>
        <w:t>（二）发行可转债购买资产</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1．上市公司发行可转债购买资产的，发行结束并确定可转债代码和简称后，上市公司应及时向结算公司申请办理新增可转债登记，具体流程</w:t>
      </w:r>
      <w:r>
        <w:rPr>
          <w:rFonts w:hint="eastAsia" w:ascii="仿宋" w:hAnsi="仿宋" w:eastAsia="仿宋"/>
          <w:sz w:val="32"/>
          <w:szCs w:val="32"/>
        </w:rPr>
        <w:t>按照</w:t>
      </w:r>
      <w:r>
        <w:rPr>
          <w:rFonts w:ascii="仿宋" w:hAnsi="仿宋" w:eastAsia="仿宋"/>
          <w:sz w:val="32"/>
          <w:szCs w:val="32"/>
        </w:rPr>
        <w:t>结算公司相关规定执行。</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2．可转债登记完成后，上市公司应当及时向创业板公司管理部报送以下文件，并履行信息披露义务：</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（1）重组可转债发行结果暨登记完成的公告（上网），至少应包括可转债代码、简称、发行的具体情况、可转债的重要条款等内容</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（2）独立财务顾问出具的专业意见（上网）</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3</w:t>
      </w:r>
      <w:r>
        <w:rPr>
          <w:rFonts w:ascii="仿宋" w:hAnsi="仿宋" w:eastAsia="仿宋"/>
          <w:sz w:val="32"/>
          <w:szCs w:val="32"/>
        </w:rPr>
        <w:t>）可转债证券代码和证券简称申请（报备）</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4</w:t>
      </w:r>
      <w:r>
        <w:rPr>
          <w:rFonts w:ascii="仿宋" w:hAnsi="仿宋" w:eastAsia="仿宋"/>
          <w:sz w:val="32"/>
          <w:szCs w:val="32"/>
        </w:rPr>
        <w:t>）资产转移手续完成的证明文件（报备）</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5</w:t>
      </w:r>
      <w:r>
        <w:rPr>
          <w:rFonts w:ascii="仿宋" w:hAnsi="仿宋" w:eastAsia="仿宋"/>
          <w:sz w:val="32"/>
          <w:szCs w:val="32"/>
        </w:rPr>
        <w:t>）</w:t>
      </w:r>
      <w:r>
        <w:rPr>
          <w:rFonts w:hint="eastAsia" w:ascii="仿宋" w:hAnsi="仿宋" w:eastAsia="仿宋"/>
          <w:sz w:val="32"/>
          <w:szCs w:val="32"/>
        </w:rPr>
        <w:t xml:space="preserve"> </w:t>
      </w:r>
      <w:r>
        <w:rPr>
          <w:rFonts w:ascii="仿宋" w:hAnsi="仿宋" w:eastAsia="仿宋"/>
          <w:sz w:val="32"/>
          <w:szCs w:val="32"/>
        </w:rPr>
        <w:t>结算公司对可转债已登记的书面确认文件（报备）</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6</w:t>
      </w:r>
      <w:r>
        <w:rPr>
          <w:rFonts w:ascii="仿宋" w:hAnsi="仿宋" w:eastAsia="仿宋"/>
          <w:sz w:val="32"/>
          <w:szCs w:val="32"/>
        </w:rPr>
        <w:t>）中国证监会和本所要求的其他文件</w:t>
      </w:r>
    </w:p>
    <w:p>
      <w:pPr>
        <w:spacing w:line="560" w:lineRule="exact"/>
        <w:ind w:firstLine="643" w:firstLineChars="200"/>
        <w:rPr>
          <w:rFonts w:ascii="黑体" w:hAnsi="黑体" w:eastAsia="黑体"/>
          <w:b/>
          <w:sz w:val="32"/>
          <w:szCs w:val="32"/>
        </w:rPr>
      </w:pPr>
      <w:r>
        <w:rPr>
          <w:rFonts w:ascii="黑体" w:hAnsi="黑体" w:eastAsia="黑体"/>
          <w:b/>
          <w:sz w:val="32"/>
          <w:szCs w:val="32"/>
        </w:rPr>
        <w:t>五、可转债挂牌转让的相关事项</w:t>
      </w:r>
    </w:p>
    <w:p>
      <w:pPr>
        <w:pStyle w:val="36"/>
        <w:spacing w:line="560" w:lineRule="exact"/>
        <w:ind w:firstLine="640" w:firstLineChars="200"/>
        <w:rPr>
          <w:rFonts w:ascii="楷体" w:hAnsi="楷体" w:eastAsia="楷体"/>
          <w:sz w:val="32"/>
          <w:szCs w:val="32"/>
        </w:rPr>
      </w:pPr>
      <w:r>
        <w:rPr>
          <w:rFonts w:ascii="楷体" w:hAnsi="楷体" w:eastAsia="楷体"/>
          <w:sz w:val="32"/>
          <w:szCs w:val="32"/>
        </w:rPr>
        <w:t>（一）申请挂牌转让披露文件</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上市公司应在可转债登记完成后及时向创业板公司管理部报送以下文件，在可转债转让服务启动前五个交易日内履行信息披露义务：</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1．转让公告书（上网）</w:t>
      </w:r>
    </w:p>
    <w:p>
      <w:pPr>
        <w:pStyle w:val="36"/>
        <w:spacing w:line="560" w:lineRule="exact"/>
        <w:ind w:firstLine="640" w:firstLineChars="200"/>
        <w:rPr>
          <w:rFonts w:ascii="仿宋" w:hAnsi="仿宋" w:eastAsia="仿宋"/>
          <w:sz w:val="32"/>
          <w:szCs w:val="32"/>
        </w:rPr>
      </w:pPr>
      <w:r>
        <w:rPr>
          <w:rFonts w:hint="eastAsia" w:ascii="仿宋" w:hAnsi="仿宋" w:eastAsia="仿宋"/>
          <w:sz w:val="32"/>
          <w:szCs w:val="32"/>
        </w:rPr>
        <w:t>2. 申请可转债挂牌转让的董事会决议</w:t>
      </w:r>
      <w:r>
        <w:rPr>
          <w:rFonts w:ascii="仿宋" w:hAnsi="仿宋" w:eastAsia="仿宋"/>
          <w:sz w:val="32"/>
          <w:szCs w:val="32"/>
        </w:rPr>
        <w:t>（上网）</w:t>
      </w:r>
    </w:p>
    <w:p>
      <w:pPr>
        <w:pStyle w:val="36"/>
        <w:spacing w:line="560" w:lineRule="exact"/>
        <w:ind w:firstLine="640" w:firstLineChars="200"/>
        <w:rPr>
          <w:rFonts w:ascii="仿宋" w:hAnsi="仿宋" w:eastAsia="仿宋"/>
          <w:sz w:val="32"/>
          <w:szCs w:val="32"/>
        </w:rPr>
      </w:pPr>
      <w:r>
        <w:rPr>
          <w:rFonts w:hint="eastAsia" w:ascii="仿宋" w:hAnsi="仿宋" w:eastAsia="仿宋"/>
          <w:sz w:val="32"/>
          <w:szCs w:val="32"/>
        </w:rPr>
        <w:t>3</w:t>
      </w:r>
      <w:r>
        <w:rPr>
          <w:rFonts w:ascii="仿宋" w:hAnsi="仿宋" w:eastAsia="仿宋"/>
          <w:sz w:val="32"/>
          <w:szCs w:val="32"/>
        </w:rPr>
        <w:t>．保荐人出具的转让保荐书或独立财务顾问出具的专业意见（上网）</w:t>
      </w:r>
    </w:p>
    <w:p>
      <w:pPr>
        <w:pStyle w:val="36"/>
        <w:spacing w:line="560" w:lineRule="exact"/>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．法律意见书（上网）</w:t>
      </w:r>
    </w:p>
    <w:p>
      <w:pPr>
        <w:pStyle w:val="36"/>
        <w:spacing w:line="560" w:lineRule="exact"/>
        <w:ind w:firstLine="640" w:firstLineChars="200"/>
        <w:rPr>
          <w:rFonts w:ascii="仿宋" w:hAnsi="仿宋" w:eastAsia="仿宋"/>
          <w:sz w:val="32"/>
          <w:szCs w:val="32"/>
        </w:rPr>
      </w:pPr>
      <w:r>
        <w:rPr>
          <w:rFonts w:hint="eastAsia" w:ascii="仿宋" w:hAnsi="仿宋" w:eastAsia="仿宋"/>
          <w:sz w:val="32"/>
          <w:szCs w:val="32"/>
        </w:rPr>
        <w:t>5</w:t>
      </w:r>
      <w:r>
        <w:rPr>
          <w:rFonts w:ascii="仿宋" w:hAnsi="仿宋" w:eastAsia="仿宋"/>
          <w:sz w:val="32"/>
          <w:szCs w:val="32"/>
        </w:rPr>
        <w:t>．转让申请书（报备）</w:t>
      </w:r>
    </w:p>
    <w:p>
      <w:pPr>
        <w:pStyle w:val="36"/>
        <w:spacing w:line="560" w:lineRule="exact"/>
        <w:ind w:firstLine="640" w:firstLineChars="200"/>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．保荐协议或独立财务顾问协议（报备）</w:t>
      </w:r>
    </w:p>
    <w:p>
      <w:pPr>
        <w:pStyle w:val="36"/>
        <w:spacing w:line="560" w:lineRule="exact"/>
        <w:ind w:firstLine="640" w:firstLineChars="200"/>
        <w:rPr>
          <w:rFonts w:ascii="仿宋" w:hAnsi="仿宋" w:eastAsia="仿宋"/>
          <w:sz w:val="32"/>
          <w:szCs w:val="32"/>
        </w:rPr>
      </w:pPr>
      <w:r>
        <w:rPr>
          <w:rFonts w:hint="eastAsia" w:ascii="仿宋" w:hAnsi="仿宋" w:eastAsia="仿宋"/>
          <w:sz w:val="32"/>
          <w:szCs w:val="32"/>
        </w:rPr>
        <w:t>7</w:t>
      </w:r>
      <w:r>
        <w:rPr>
          <w:rFonts w:ascii="仿宋" w:hAnsi="仿宋" w:eastAsia="仿宋"/>
          <w:sz w:val="32"/>
          <w:szCs w:val="32"/>
        </w:rPr>
        <w:t>．结算公司对可转债已登记的书面确认文件（报备，如前期已报备则不需再提供）</w:t>
      </w:r>
    </w:p>
    <w:p>
      <w:pPr>
        <w:pStyle w:val="36"/>
        <w:spacing w:line="560" w:lineRule="exact"/>
        <w:ind w:firstLine="640" w:firstLineChars="200"/>
        <w:rPr>
          <w:rFonts w:ascii="仿宋" w:hAnsi="仿宋" w:eastAsia="仿宋"/>
          <w:sz w:val="32"/>
          <w:szCs w:val="32"/>
        </w:rPr>
      </w:pPr>
      <w:r>
        <w:rPr>
          <w:rFonts w:hint="eastAsia" w:ascii="仿宋" w:hAnsi="仿宋" w:eastAsia="仿宋"/>
          <w:sz w:val="32"/>
          <w:szCs w:val="32"/>
        </w:rPr>
        <w:t>8</w:t>
      </w:r>
      <w:r>
        <w:rPr>
          <w:rFonts w:ascii="仿宋" w:hAnsi="仿宋" w:eastAsia="仿宋"/>
          <w:sz w:val="32"/>
          <w:szCs w:val="32"/>
        </w:rPr>
        <w:t>．公司仍符合发行条件的说明。说明截至上市申请日，公司仍符合向特定对象发行可转换公司债券条件（报备）</w:t>
      </w:r>
    </w:p>
    <w:p>
      <w:pPr>
        <w:pStyle w:val="36"/>
        <w:spacing w:line="560" w:lineRule="exact"/>
        <w:ind w:firstLine="640" w:firstLineChars="200"/>
        <w:rPr>
          <w:rFonts w:ascii="仿宋" w:hAnsi="仿宋" w:eastAsia="仿宋"/>
          <w:sz w:val="32"/>
          <w:szCs w:val="32"/>
        </w:rPr>
      </w:pPr>
      <w:r>
        <w:rPr>
          <w:rFonts w:hint="eastAsia" w:ascii="仿宋" w:hAnsi="仿宋" w:eastAsia="仿宋"/>
          <w:sz w:val="32"/>
          <w:szCs w:val="32"/>
        </w:rPr>
        <w:t>9</w:t>
      </w:r>
      <w:r>
        <w:rPr>
          <w:rFonts w:ascii="仿宋" w:hAnsi="仿宋" w:eastAsia="仿宋"/>
          <w:sz w:val="32"/>
          <w:szCs w:val="32"/>
        </w:rPr>
        <w:t>．无会后事项承诺函（报备）</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10．</w:t>
      </w:r>
      <w:r>
        <w:rPr>
          <w:rFonts w:hint="eastAsia" w:ascii="仿宋" w:hAnsi="仿宋" w:eastAsia="仿宋"/>
          <w:sz w:val="32"/>
          <w:szCs w:val="32"/>
        </w:rPr>
        <w:t>受托管理事项</w:t>
      </w:r>
      <w:r>
        <w:rPr>
          <w:rFonts w:ascii="仿宋" w:hAnsi="仿宋" w:eastAsia="仿宋"/>
          <w:sz w:val="32"/>
          <w:szCs w:val="32"/>
        </w:rPr>
        <w:t>（报备）</w:t>
      </w:r>
    </w:p>
    <w:p>
      <w:pPr>
        <w:pStyle w:val="36"/>
        <w:spacing w:line="560" w:lineRule="exact"/>
        <w:ind w:firstLine="640" w:firstLineChars="200"/>
        <w:rPr>
          <w:rFonts w:ascii="仿宋" w:hAnsi="仿宋" w:eastAsia="仿宋"/>
          <w:sz w:val="32"/>
          <w:szCs w:val="32"/>
        </w:rPr>
      </w:pPr>
      <w:r>
        <w:rPr>
          <w:rFonts w:hint="eastAsia" w:ascii="仿宋" w:hAnsi="仿宋" w:eastAsia="仿宋"/>
          <w:sz w:val="32"/>
          <w:szCs w:val="32"/>
        </w:rPr>
        <w:t>11. 发行对象关于承诺及履行情况的说明（如适用）</w:t>
      </w:r>
      <w:r>
        <w:rPr>
          <w:rFonts w:ascii="仿宋" w:hAnsi="仿宋" w:eastAsia="仿宋"/>
          <w:sz w:val="32"/>
          <w:szCs w:val="32"/>
        </w:rPr>
        <w:t>（报备）</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2</w:t>
      </w:r>
      <w:r>
        <w:rPr>
          <w:rFonts w:ascii="仿宋" w:hAnsi="仿宋" w:eastAsia="仿宋"/>
          <w:sz w:val="32"/>
          <w:szCs w:val="32"/>
        </w:rPr>
        <w:t>．中国证监会和本所要求的其他文件</w:t>
      </w:r>
    </w:p>
    <w:p>
      <w:pPr>
        <w:pStyle w:val="36"/>
        <w:spacing w:line="560" w:lineRule="exact"/>
        <w:ind w:firstLine="614"/>
        <w:rPr>
          <w:rFonts w:ascii="楷体" w:hAnsi="楷体" w:eastAsia="楷体"/>
          <w:sz w:val="32"/>
          <w:szCs w:val="32"/>
        </w:rPr>
      </w:pPr>
      <w:r>
        <w:rPr>
          <w:rFonts w:ascii="楷体" w:hAnsi="楷体" w:eastAsia="楷体"/>
          <w:sz w:val="32"/>
          <w:szCs w:val="32"/>
        </w:rPr>
        <w:t>（二）转让公告书的披露要求</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上市公司应当在可转债挂牌转让前五个交易日内披露《可转债挂牌转让公告书》，该公告至少应当包括以下内容：</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1．重要声明与提示</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2．可转债基本情况及挂牌转让情况，包括可转债代码、简称、类型、流通数量、发行结束日、开始转让时间、转让程序和平台、存续期、转股安排、限售安排（如有）、付息日等</w:t>
      </w:r>
    </w:p>
    <w:p>
      <w:pPr>
        <w:pStyle w:val="36"/>
        <w:spacing w:line="560" w:lineRule="exact"/>
        <w:ind w:firstLine="614"/>
        <w:rPr>
          <w:rFonts w:ascii="仿宋" w:hAnsi="仿宋" w:eastAsia="仿宋"/>
          <w:sz w:val="32"/>
          <w:szCs w:val="32"/>
        </w:rPr>
      </w:pPr>
      <w:r>
        <w:rPr>
          <w:rFonts w:ascii="仿宋" w:hAnsi="仿宋" w:eastAsia="仿宋"/>
          <w:sz w:val="32"/>
          <w:szCs w:val="32"/>
        </w:rPr>
        <w:t>3．本次发行方案的主要内容及发行基本情况，本次发行履行的相关程序，发行的保荐人</w:t>
      </w:r>
      <w:r>
        <w:rPr>
          <w:rFonts w:hint="eastAsia" w:ascii="仿宋" w:hAnsi="仿宋" w:eastAsia="仿宋"/>
          <w:sz w:val="32"/>
          <w:szCs w:val="32"/>
        </w:rPr>
        <w:t>、主承销商</w:t>
      </w:r>
      <w:r>
        <w:rPr>
          <w:rFonts w:ascii="仿宋" w:hAnsi="仿宋" w:eastAsia="仿宋"/>
          <w:sz w:val="32"/>
          <w:szCs w:val="32"/>
        </w:rPr>
        <w:t>或独立财务顾问、律师、验资机构（如有）等，本次发行后公司可转债前十名持有人情况，募集资金情况（如适用）</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4．上市公司、股东和实际控制人情况</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5．上市公司资信和担保情况（如有）</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6．偿债措施</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7．保荐人或独立财务顾问意见</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8．本次可转债转股后对公司股权的影响</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9．公司业绩情况（披露最近一期业绩情况、预告未来一期业绩</w:t>
      </w:r>
      <w:r>
        <w:rPr>
          <w:rFonts w:hint="eastAsia" w:ascii="仿宋" w:hAnsi="仿宋" w:eastAsia="仿宋"/>
          <w:sz w:val="32"/>
          <w:szCs w:val="32"/>
        </w:rPr>
        <w:t>（如适用）</w:t>
      </w:r>
      <w:r>
        <w:rPr>
          <w:rFonts w:ascii="仿宋" w:hAnsi="仿宋" w:eastAsia="仿宋"/>
          <w:sz w:val="32"/>
          <w:szCs w:val="32"/>
        </w:rPr>
        <w:t>，及时揭示业绩下降风险。）</w:t>
      </w:r>
    </w:p>
    <w:p>
      <w:pPr>
        <w:pStyle w:val="36"/>
        <w:spacing w:line="560" w:lineRule="exact"/>
        <w:ind w:firstLine="640" w:firstLineChars="200"/>
        <w:rPr>
          <w:rFonts w:ascii="仿宋" w:hAnsi="仿宋" w:eastAsia="仿宋"/>
          <w:sz w:val="32"/>
          <w:szCs w:val="32"/>
        </w:rPr>
      </w:pPr>
      <w:r>
        <w:rPr>
          <w:rFonts w:hint="eastAsia" w:ascii="仿宋" w:hAnsi="仿宋" w:eastAsia="仿宋"/>
          <w:sz w:val="32"/>
          <w:szCs w:val="32"/>
        </w:rPr>
        <w:t>10. 仍符合挂牌条件的说明</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1</w:t>
      </w:r>
      <w:r>
        <w:rPr>
          <w:rFonts w:ascii="仿宋" w:hAnsi="仿宋" w:eastAsia="仿宋"/>
          <w:sz w:val="32"/>
          <w:szCs w:val="32"/>
        </w:rPr>
        <w:t>．中国证监会及本所要求披露的其他事项</w:t>
      </w:r>
    </w:p>
    <w:p>
      <w:pPr>
        <w:spacing w:line="560" w:lineRule="exact"/>
        <w:ind w:firstLine="643" w:firstLineChars="200"/>
        <w:rPr>
          <w:rFonts w:ascii="黑体" w:hAnsi="黑体" w:eastAsia="黑体"/>
          <w:b/>
          <w:sz w:val="32"/>
          <w:szCs w:val="32"/>
        </w:rPr>
      </w:pPr>
      <w:r>
        <w:rPr>
          <w:rFonts w:ascii="黑体" w:hAnsi="黑体" w:eastAsia="黑体"/>
          <w:b/>
          <w:sz w:val="32"/>
          <w:szCs w:val="32"/>
        </w:rPr>
        <w:t>六、其他业务</w:t>
      </w:r>
    </w:p>
    <w:p>
      <w:pPr>
        <w:pStyle w:val="36"/>
        <w:spacing w:line="560" w:lineRule="exact"/>
        <w:ind w:firstLine="640" w:firstLineChars="200"/>
        <w:rPr>
          <w:rFonts w:ascii="楷体" w:hAnsi="楷体" w:eastAsia="楷体"/>
          <w:sz w:val="32"/>
          <w:szCs w:val="32"/>
        </w:rPr>
      </w:pPr>
      <w:r>
        <w:rPr>
          <w:rFonts w:ascii="楷体" w:hAnsi="楷体" w:eastAsia="楷体"/>
          <w:sz w:val="32"/>
          <w:szCs w:val="32"/>
        </w:rPr>
        <w:t>（一）可转债及可转债所转换公司股份解除限售</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可转债有限售期要求的或可转债转股后的股票涉及限售期的，可转债持有人或相关股东可在满足解除限售相关条件时，委托上市公司董事会在拟申请解除限售日五个交易日前向本所申请办理解限业务，相关业务办理流程和信息披露按照股份解除限售的相关规定进行办理。</w:t>
      </w:r>
    </w:p>
    <w:p>
      <w:pPr>
        <w:pStyle w:val="36"/>
        <w:spacing w:line="560" w:lineRule="exact"/>
        <w:ind w:firstLine="640" w:firstLineChars="200"/>
        <w:rPr>
          <w:rFonts w:ascii="楷体" w:hAnsi="楷体" w:eastAsia="楷体"/>
          <w:sz w:val="32"/>
          <w:szCs w:val="32"/>
        </w:rPr>
      </w:pPr>
      <w:r>
        <w:rPr>
          <w:rFonts w:ascii="楷体" w:hAnsi="楷体" w:eastAsia="楷体"/>
          <w:sz w:val="32"/>
          <w:szCs w:val="32"/>
        </w:rPr>
        <w:t>（二）因履行业绩补偿义务导致的可转债注销</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如因履行业绩补偿义务导致可转债需要注销的，应按照重组报告书约定予以注销，业务办理流程和信息披露参考股份回购注销的相关流程进行办理。</w:t>
      </w:r>
    </w:p>
    <w:p>
      <w:pPr>
        <w:pStyle w:val="36"/>
        <w:spacing w:line="560" w:lineRule="exact"/>
        <w:ind w:firstLine="640" w:firstLineChars="200"/>
        <w:rPr>
          <w:rFonts w:ascii="楷体" w:hAnsi="楷体" w:eastAsia="楷体"/>
          <w:sz w:val="32"/>
          <w:szCs w:val="32"/>
        </w:rPr>
      </w:pPr>
      <w:r>
        <w:rPr>
          <w:rFonts w:ascii="楷体" w:hAnsi="楷体" w:eastAsia="楷体"/>
          <w:sz w:val="32"/>
          <w:szCs w:val="32"/>
        </w:rPr>
        <w:t>（三）其他业务</w:t>
      </w:r>
    </w:p>
    <w:p>
      <w:pPr>
        <w:pStyle w:val="36"/>
        <w:spacing w:line="560" w:lineRule="exact"/>
        <w:ind w:firstLine="640" w:firstLineChars="200"/>
        <w:rPr>
          <w:rFonts w:ascii="仿宋" w:hAnsi="仿宋" w:eastAsia="仿宋"/>
          <w:sz w:val="32"/>
          <w:szCs w:val="32"/>
        </w:rPr>
      </w:pPr>
      <w:r>
        <w:rPr>
          <w:rFonts w:ascii="仿宋" w:hAnsi="仿宋" w:eastAsia="仿宋"/>
          <w:sz w:val="32"/>
          <w:szCs w:val="32"/>
        </w:rPr>
        <w:t>向特定对象发行可转债的转股、付息、回售、赎回以及摘牌等业务的办理流程和信息披露参考</w:t>
      </w:r>
      <w:r>
        <w:rPr>
          <w:rFonts w:hint="eastAsia" w:ascii="仿宋" w:hAnsi="仿宋" w:eastAsia="仿宋"/>
          <w:sz w:val="32"/>
          <w:szCs w:val="32"/>
        </w:rPr>
        <w:t>本指南第三章“向不特定对象发行可转换公司债券”</w:t>
      </w:r>
      <w:r>
        <w:rPr>
          <w:rFonts w:ascii="仿宋" w:hAnsi="仿宋" w:eastAsia="仿宋"/>
          <w:sz w:val="32"/>
          <w:szCs w:val="32"/>
        </w:rPr>
        <w:t>的相关规定进行办理。</w:t>
      </w:r>
    </w:p>
    <w:p>
      <w:pPr>
        <w:pStyle w:val="36"/>
        <w:spacing w:line="560" w:lineRule="exact"/>
        <w:ind w:firstLine="640" w:firstLineChars="200"/>
        <w:rPr>
          <w:rFonts w:eastAsia="方正仿宋简体"/>
          <w:sz w:val="32"/>
          <w:szCs w:val="32"/>
        </w:rPr>
      </w:pPr>
    </w:p>
    <w:p>
      <w:pPr>
        <w:widowControl/>
        <w:jc w:val="left"/>
        <w:rPr>
          <w:rFonts w:ascii="黑体" w:hAnsi="黑体" w:eastAsia="黑体"/>
          <w:sz w:val="32"/>
          <w:szCs w:val="32"/>
        </w:rPr>
      </w:pPr>
      <w:r>
        <w:rPr>
          <w:rFonts w:ascii="Times New Roman" w:hAnsi="Times New Roman" w:eastAsia="方正仿宋简体"/>
          <w:szCs w:val="28"/>
        </w:rPr>
        <w:br w:type="page"/>
      </w:r>
      <w:r>
        <w:rPr>
          <w:rFonts w:ascii="黑体" w:hAnsi="黑体" w:eastAsia="黑体"/>
          <w:sz w:val="32"/>
          <w:szCs w:val="32"/>
        </w:rPr>
        <w:t>附件1</w:t>
      </w:r>
    </w:p>
    <w:p>
      <w:pPr>
        <w:widowControl/>
        <w:spacing w:line="560" w:lineRule="exact"/>
        <w:jc w:val="left"/>
        <w:rPr>
          <w:rFonts w:ascii="黑体" w:hAnsi="黑体" w:eastAsia="黑体"/>
          <w:sz w:val="32"/>
          <w:szCs w:val="32"/>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上市公司向特定对象发行可转债挂牌转让参考流程</w:t>
      </w:r>
    </w:p>
    <w:p>
      <w:pPr>
        <w:spacing w:line="560" w:lineRule="exact"/>
        <w:jc w:val="center"/>
        <w:rPr>
          <w:rFonts w:ascii="黑体" w:hAnsi="黑体" w:eastAsia="黑体"/>
          <w:b/>
          <w:bCs/>
          <w:color w:val="000000"/>
          <w:sz w:val="32"/>
          <w:szCs w:val="32"/>
        </w:rPr>
      </w:pPr>
      <w:r>
        <w:rPr>
          <w:rFonts w:ascii="黑体" w:hAnsi="黑体" w:eastAsia="黑体"/>
          <w:b/>
          <w:bCs/>
          <w:color w:val="000000"/>
          <w:sz w:val="32"/>
          <w:szCs w:val="32"/>
        </w:rPr>
        <w:t>（发行可转债募集资金</w:t>
      </w:r>
      <w:r>
        <w:rPr>
          <w:rFonts w:hint="eastAsia" w:ascii="黑体" w:hAnsi="黑体" w:eastAsia="黑体"/>
          <w:b/>
          <w:bCs/>
          <w:color w:val="000000"/>
          <w:sz w:val="32"/>
          <w:szCs w:val="32"/>
        </w:rPr>
        <w:t>及重组配套募集资金</w:t>
      </w:r>
      <w:r>
        <w:rPr>
          <w:rFonts w:ascii="黑体" w:hAnsi="黑体" w:eastAsia="黑体"/>
          <w:b/>
          <w:bCs/>
          <w:color w:val="000000"/>
          <w:sz w:val="32"/>
          <w:szCs w:val="32"/>
        </w:rPr>
        <w:t>适用）</w:t>
      </w:r>
    </w:p>
    <w:tbl>
      <w:tblPr>
        <w:tblStyle w:val="56"/>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277"/>
        <w:gridCol w:w="6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ascii="宋体" w:hAnsi="宋体"/>
                <w:b/>
              </w:rPr>
              <w:t>序号</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ascii="宋体" w:hAnsi="宋体"/>
                <w:b/>
              </w:rPr>
              <w:t>时间</w:t>
            </w:r>
          </w:p>
        </w:tc>
        <w:tc>
          <w:tcPr>
            <w:tcW w:w="6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ascii="宋体" w:hAnsi="宋体"/>
                <w:b/>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4" w:space="0"/>
              <w:left w:val="single" w:color="auto" w:sz="4" w:space="0"/>
              <w:right w:val="single" w:color="auto" w:sz="4" w:space="0"/>
            </w:tcBorders>
            <w:vAlign w:val="center"/>
          </w:tcPr>
          <w:p>
            <w:pPr>
              <w:jc w:val="center"/>
              <w:rPr>
                <w:rFonts w:ascii="宋体" w:hAnsi="宋体"/>
              </w:rPr>
            </w:pPr>
            <w:r>
              <w:rPr>
                <w:rFonts w:ascii="宋体" w:hAnsi="宋体"/>
              </w:rPr>
              <w:t>1</w:t>
            </w:r>
          </w:p>
        </w:tc>
        <w:tc>
          <w:tcPr>
            <w:tcW w:w="1277" w:type="dxa"/>
            <w:tcBorders>
              <w:top w:val="single" w:color="auto" w:sz="4" w:space="0"/>
              <w:left w:val="single" w:color="auto" w:sz="4" w:space="0"/>
              <w:right w:val="single" w:color="auto" w:sz="4" w:space="0"/>
            </w:tcBorders>
            <w:vAlign w:val="center"/>
          </w:tcPr>
          <w:p>
            <w:pPr>
              <w:rPr>
                <w:rFonts w:ascii="宋体" w:hAnsi="宋体"/>
              </w:rPr>
            </w:pPr>
            <w:r>
              <w:rPr>
                <w:rFonts w:ascii="宋体" w:hAnsi="宋体"/>
              </w:rPr>
              <w:t>发行结束后两个交易日内</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rPr>
            </w:pPr>
            <w:r>
              <w:rPr>
                <w:rFonts w:ascii="宋体" w:hAnsi="宋体"/>
              </w:rPr>
              <w:t xml:space="preserve">上市公司应当在本次发行结束后两个交易日内向创业板公司管理部提交以下文件，并履行信息披露义务： </w:t>
            </w:r>
          </w:p>
          <w:p>
            <w:pPr>
              <w:ind w:firstLine="315" w:firstLineChars="150"/>
              <w:rPr>
                <w:rFonts w:ascii="宋体" w:hAnsi="宋体"/>
              </w:rPr>
            </w:pPr>
            <w:r>
              <w:rPr>
                <w:rFonts w:ascii="宋体" w:hAnsi="宋体"/>
              </w:rPr>
              <w:t>1．发行情况报告书（上网）</w:t>
            </w:r>
          </w:p>
          <w:p>
            <w:pPr>
              <w:ind w:firstLine="315" w:firstLineChars="150"/>
              <w:rPr>
                <w:rFonts w:ascii="宋体" w:hAnsi="宋体"/>
              </w:rPr>
            </w:pPr>
            <w:r>
              <w:rPr>
                <w:rFonts w:ascii="宋体" w:hAnsi="宋体"/>
              </w:rPr>
              <w:t>2．保荐人或独立财务顾问出具的关于本次发行过程和认购对象合规性的报告（上网）</w:t>
            </w:r>
          </w:p>
          <w:p>
            <w:pPr>
              <w:ind w:firstLine="315" w:firstLineChars="150"/>
              <w:rPr>
                <w:rFonts w:ascii="宋体" w:hAnsi="宋体"/>
              </w:rPr>
            </w:pPr>
            <w:r>
              <w:rPr>
                <w:rFonts w:ascii="宋体" w:hAnsi="宋体"/>
              </w:rPr>
              <w:t>3．律师关于本次发行过程和认购对象合规性的报告书（上网）</w:t>
            </w:r>
          </w:p>
          <w:p>
            <w:pPr>
              <w:ind w:firstLine="315" w:firstLineChars="150"/>
              <w:rPr>
                <w:rFonts w:ascii="宋体" w:hAnsi="宋体"/>
              </w:rPr>
            </w:pPr>
            <w:r>
              <w:rPr>
                <w:rFonts w:ascii="宋体" w:hAnsi="宋体"/>
              </w:rPr>
              <w:t>4．</w:t>
            </w:r>
            <w:r>
              <w:rPr>
                <w:rFonts w:hint="eastAsia" w:ascii="宋体" w:hAnsi="宋体"/>
              </w:rPr>
              <w:t>发行完成后</w:t>
            </w:r>
            <w:r>
              <w:rPr>
                <w:rFonts w:ascii="宋体" w:hAnsi="宋体"/>
              </w:rPr>
              <w:t>会计师事务所出具的验资报告（报备）</w:t>
            </w:r>
          </w:p>
          <w:p>
            <w:pPr>
              <w:ind w:firstLine="315" w:firstLineChars="150"/>
              <w:rPr>
                <w:rFonts w:ascii="宋体" w:hAnsi="宋体"/>
              </w:rPr>
            </w:pPr>
            <w:r>
              <w:rPr>
                <w:rFonts w:ascii="宋体" w:hAnsi="宋体"/>
              </w:rPr>
              <w:t>5．可转债证券代码和证券简称申请（报备）</w:t>
            </w:r>
          </w:p>
          <w:p>
            <w:pPr>
              <w:ind w:firstLine="315" w:firstLineChars="150"/>
              <w:rPr>
                <w:rFonts w:ascii="宋体" w:hAnsi="宋体"/>
              </w:rPr>
            </w:pPr>
            <w:r>
              <w:rPr>
                <w:rFonts w:ascii="宋体" w:hAnsi="宋体"/>
              </w:rPr>
              <w:t>创业板公司管理部对这证券简称和代码申请材料进行完备性核对，符合相关规定的，联系上市公司确定该期可转债代码和简称。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2</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ascii="宋体" w:hAnsi="宋体"/>
              </w:rPr>
              <w:t>L－5日前</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rPr>
            </w:pPr>
            <w:r>
              <w:rPr>
                <w:rFonts w:ascii="宋体" w:hAnsi="宋体"/>
              </w:rPr>
              <w:t>上市公司在结算公司办理登记，结算公司发行人业务部向上市公司出具可转债登记证明文件。</w:t>
            </w:r>
          </w:p>
          <w:p>
            <w:pPr>
              <w:ind w:firstLine="315" w:firstLineChars="150"/>
              <w:rPr>
                <w:rFonts w:ascii="宋体" w:hAnsi="宋体"/>
              </w:rPr>
            </w:pPr>
            <w:r>
              <w:rPr>
                <w:rFonts w:ascii="宋体" w:hAnsi="宋体"/>
              </w:rPr>
              <w:t>上市公司可转债登记完成并取得结算公司出具的登记证明文件后应及时向创业板公司管理部提交以下材料：</w:t>
            </w:r>
          </w:p>
          <w:p>
            <w:pPr>
              <w:pStyle w:val="160"/>
              <w:numPr>
                <w:ilvl w:val="0"/>
                <w:numId w:val="6"/>
              </w:numPr>
              <w:ind w:firstLineChars="0"/>
              <w:rPr>
                <w:rFonts w:ascii="宋体" w:hAnsi="宋体"/>
              </w:rPr>
            </w:pPr>
            <w:r>
              <w:rPr>
                <w:rFonts w:hint="eastAsia" w:ascii="宋体" w:hAnsi="宋体"/>
              </w:rPr>
              <w:t>转让公告书</w:t>
            </w:r>
          </w:p>
          <w:p>
            <w:pPr>
              <w:pStyle w:val="160"/>
              <w:numPr>
                <w:ilvl w:val="0"/>
                <w:numId w:val="6"/>
              </w:numPr>
              <w:ind w:firstLineChars="0"/>
              <w:rPr>
                <w:rFonts w:ascii="宋体" w:hAnsi="宋体"/>
              </w:rPr>
            </w:pPr>
            <w:r>
              <w:rPr>
                <w:rFonts w:hint="eastAsia" w:ascii="宋体" w:hAnsi="宋体"/>
              </w:rPr>
              <w:t>申请可转债挂牌转让的董事会决议</w:t>
            </w:r>
          </w:p>
          <w:p>
            <w:pPr>
              <w:ind w:firstLine="315" w:firstLineChars="150"/>
              <w:rPr>
                <w:rFonts w:ascii="宋体" w:hAnsi="宋体"/>
              </w:rPr>
            </w:pPr>
            <w:r>
              <w:rPr>
                <w:rFonts w:hint="eastAsia" w:ascii="宋体" w:hAnsi="宋体"/>
              </w:rPr>
              <w:t>3</w:t>
            </w:r>
            <w:r>
              <w:rPr>
                <w:rFonts w:ascii="宋体" w:hAnsi="宋体"/>
              </w:rPr>
              <w:t>．保荐人出具的转让保荐书</w:t>
            </w:r>
            <w:r>
              <w:rPr>
                <w:rFonts w:hint="eastAsia" w:ascii="宋体" w:hAnsi="宋体"/>
              </w:rPr>
              <w:t>或独立财务顾问出具的专业意见</w:t>
            </w:r>
          </w:p>
          <w:p>
            <w:pPr>
              <w:ind w:firstLine="315" w:firstLineChars="150"/>
              <w:rPr>
                <w:rFonts w:ascii="宋体" w:hAnsi="宋体"/>
              </w:rPr>
            </w:pPr>
            <w:r>
              <w:rPr>
                <w:rFonts w:hint="eastAsia" w:ascii="宋体" w:hAnsi="宋体"/>
              </w:rPr>
              <w:t>4</w:t>
            </w:r>
            <w:r>
              <w:rPr>
                <w:rFonts w:ascii="宋体" w:hAnsi="宋体"/>
              </w:rPr>
              <w:t>．法律意见书</w:t>
            </w:r>
          </w:p>
          <w:p>
            <w:pPr>
              <w:ind w:firstLine="315" w:firstLineChars="150"/>
              <w:rPr>
                <w:rFonts w:ascii="宋体" w:hAnsi="宋体"/>
              </w:rPr>
            </w:pPr>
            <w:r>
              <w:rPr>
                <w:rFonts w:hint="eastAsia" w:ascii="宋体" w:hAnsi="宋体"/>
              </w:rPr>
              <w:t>5</w:t>
            </w:r>
            <w:r>
              <w:rPr>
                <w:rFonts w:ascii="宋体" w:hAnsi="宋体"/>
              </w:rPr>
              <w:t>．可转债转让申请书</w:t>
            </w:r>
          </w:p>
          <w:p>
            <w:pPr>
              <w:ind w:firstLine="315" w:firstLineChars="150"/>
              <w:rPr>
                <w:rFonts w:ascii="宋体" w:hAnsi="宋体"/>
              </w:rPr>
            </w:pPr>
            <w:r>
              <w:rPr>
                <w:rFonts w:hint="eastAsia" w:ascii="宋体" w:hAnsi="宋体"/>
              </w:rPr>
              <w:t>6．</w:t>
            </w:r>
            <w:r>
              <w:rPr>
                <w:rFonts w:ascii="宋体" w:hAnsi="宋体"/>
              </w:rPr>
              <w:t>保荐协议</w:t>
            </w:r>
            <w:r>
              <w:rPr>
                <w:rFonts w:hint="eastAsia" w:ascii="宋体" w:hAnsi="宋体"/>
              </w:rPr>
              <w:t>或独立财务顾问协议</w:t>
            </w:r>
          </w:p>
          <w:p>
            <w:pPr>
              <w:ind w:firstLine="315" w:firstLineChars="150"/>
              <w:rPr>
                <w:rFonts w:ascii="宋体" w:hAnsi="宋体"/>
              </w:rPr>
            </w:pPr>
            <w:r>
              <w:rPr>
                <w:rFonts w:hint="eastAsia" w:ascii="宋体" w:hAnsi="宋体"/>
              </w:rPr>
              <w:t>7</w:t>
            </w:r>
            <w:r>
              <w:rPr>
                <w:rFonts w:ascii="宋体" w:hAnsi="宋体"/>
              </w:rPr>
              <w:t>．结算公司对可转债已登记的书面确认文件</w:t>
            </w:r>
          </w:p>
          <w:p>
            <w:pPr>
              <w:ind w:firstLine="315" w:firstLineChars="150"/>
              <w:rPr>
                <w:rFonts w:ascii="宋体" w:hAnsi="宋体"/>
              </w:rPr>
            </w:pPr>
            <w:r>
              <w:rPr>
                <w:rFonts w:ascii="宋体" w:hAnsi="宋体"/>
              </w:rPr>
              <w:t>8．公司仍符合发行条件的说明。说明截至上市申请日，公司仍符合向特定对象发行可转换公司债券条件</w:t>
            </w:r>
          </w:p>
          <w:p>
            <w:pPr>
              <w:ind w:firstLine="315" w:firstLineChars="150"/>
              <w:rPr>
                <w:rFonts w:ascii="宋体" w:hAnsi="宋体"/>
              </w:rPr>
            </w:pPr>
            <w:r>
              <w:rPr>
                <w:rFonts w:ascii="宋体" w:hAnsi="宋体"/>
              </w:rPr>
              <w:t>9．无会后事项承诺函</w:t>
            </w:r>
          </w:p>
          <w:p>
            <w:pPr>
              <w:ind w:firstLine="315" w:firstLineChars="150"/>
              <w:rPr>
                <w:rFonts w:ascii="宋体" w:hAnsi="宋体"/>
              </w:rPr>
            </w:pPr>
            <w:r>
              <w:rPr>
                <w:rFonts w:ascii="宋体" w:hAnsi="宋体"/>
              </w:rPr>
              <w:t>10．</w:t>
            </w:r>
            <w:r>
              <w:rPr>
                <w:rFonts w:hint="eastAsia" w:ascii="宋体" w:hAnsi="宋体"/>
              </w:rPr>
              <w:t>受托管理事项</w:t>
            </w:r>
          </w:p>
          <w:p>
            <w:pPr>
              <w:ind w:firstLine="315" w:firstLineChars="150"/>
              <w:rPr>
                <w:rFonts w:ascii="宋体" w:hAnsi="宋体"/>
              </w:rPr>
            </w:pPr>
            <w:r>
              <w:rPr>
                <w:rFonts w:ascii="宋体" w:hAnsi="宋体"/>
              </w:rPr>
              <w:t>1</w:t>
            </w:r>
            <w:r>
              <w:rPr>
                <w:rFonts w:hint="eastAsia" w:ascii="宋体" w:hAnsi="宋体"/>
              </w:rPr>
              <w:t>1</w:t>
            </w:r>
            <w:r>
              <w:rPr>
                <w:rFonts w:ascii="宋体" w:hAnsi="宋体"/>
              </w:rPr>
              <w:t>．中国证监会和本所要求的其他文件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3</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ascii="宋体" w:hAnsi="宋体"/>
              </w:rPr>
              <w:t>L－5日内</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rPr>
            </w:pPr>
            <w:r>
              <w:rPr>
                <w:rFonts w:ascii="宋体" w:hAnsi="宋体"/>
              </w:rPr>
              <w:t>上市公司披露以下文件：</w:t>
            </w:r>
          </w:p>
          <w:p>
            <w:pPr>
              <w:ind w:firstLine="315" w:firstLineChars="150"/>
              <w:rPr>
                <w:rFonts w:ascii="宋体" w:hAnsi="宋体"/>
              </w:rPr>
            </w:pPr>
            <w:r>
              <w:rPr>
                <w:rFonts w:ascii="宋体" w:hAnsi="宋体"/>
              </w:rPr>
              <w:t>1．转让公告书</w:t>
            </w:r>
          </w:p>
          <w:p>
            <w:pPr>
              <w:ind w:firstLine="315" w:firstLineChars="150"/>
              <w:rPr>
                <w:rFonts w:ascii="宋体" w:hAnsi="宋体"/>
              </w:rPr>
            </w:pPr>
            <w:r>
              <w:rPr>
                <w:rFonts w:ascii="宋体" w:hAnsi="宋体"/>
              </w:rPr>
              <w:t>2．保荐人出具的转让保荐书或独立财务顾问出具的专业意见</w:t>
            </w:r>
          </w:p>
          <w:p>
            <w:pPr>
              <w:ind w:firstLine="315" w:firstLineChars="150"/>
              <w:rPr>
                <w:rFonts w:ascii="宋体" w:hAnsi="宋体"/>
              </w:rPr>
            </w:pPr>
            <w:r>
              <w:rPr>
                <w:rFonts w:ascii="宋体" w:hAnsi="宋体"/>
              </w:rPr>
              <w:t>3．法律意见书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4</w:t>
            </w:r>
          </w:p>
        </w:tc>
        <w:tc>
          <w:tcPr>
            <w:tcW w:w="1277"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ascii="宋体" w:hAnsi="宋体"/>
              </w:rPr>
              <w:t>L日</w:t>
            </w:r>
          </w:p>
        </w:tc>
        <w:tc>
          <w:tcPr>
            <w:tcW w:w="6271"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rPr>
            </w:pPr>
            <w:r>
              <w:rPr>
                <w:rFonts w:ascii="宋体" w:hAnsi="宋体"/>
              </w:rPr>
              <w:t>上市日</w:t>
            </w:r>
          </w:p>
        </w:tc>
      </w:tr>
    </w:tbl>
    <w:p>
      <w:pPr>
        <w:widowControl/>
        <w:jc w:val="left"/>
        <w:rPr>
          <w:rFonts w:ascii="Times New Roman" w:hAnsi="Times New Roman" w:eastAsia="方正仿宋简体"/>
          <w:sz w:val="28"/>
          <w:szCs w:val="28"/>
        </w:rPr>
      </w:pPr>
    </w:p>
    <w:p>
      <w:pPr>
        <w:widowControl/>
        <w:jc w:val="left"/>
        <w:rPr>
          <w:rFonts w:ascii="黑体" w:hAnsi="黑体" w:eastAsia="黑体"/>
          <w:sz w:val="32"/>
          <w:szCs w:val="32"/>
        </w:rPr>
      </w:pPr>
      <w:r>
        <w:rPr>
          <w:rFonts w:ascii="Times New Roman" w:hAnsi="Times New Roman" w:eastAsia="方正仿宋简体"/>
          <w:sz w:val="28"/>
          <w:szCs w:val="28"/>
        </w:rPr>
        <w:br w:type="page"/>
      </w:r>
      <w:r>
        <w:rPr>
          <w:rFonts w:ascii="黑体" w:hAnsi="黑体" w:eastAsia="黑体"/>
          <w:sz w:val="32"/>
          <w:szCs w:val="32"/>
        </w:rPr>
        <w:t>附件2</w:t>
      </w:r>
    </w:p>
    <w:p>
      <w:pPr>
        <w:widowControl/>
        <w:jc w:val="left"/>
        <w:rPr>
          <w:rFonts w:ascii="黑体" w:hAnsi="黑体" w:eastAsia="黑体"/>
          <w:sz w:val="32"/>
          <w:szCs w:val="32"/>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上市公司向特定对象发行可转债挂牌转让参考流程</w:t>
      </w:r>
    </w:p>
    <w:p>
      <w:pPr>
        <w:spacing w:line="560" w:lineRule="exact"/>
        <w:jc w:val="center"/>
        <w:rPr>
          <w:rFonts w:ascii="黑体" w:hAnsi="黑体" w:eastAsia="黑体"/>
          <w:b/>
          <w:bCs/>
          <w:color w:val="000000"/>
          <w:sz w:val="32"/>
          <w:szCs w:val="32"/>
        </w:rPr>
      </w:pPr>
      <w:r>
        <w:rPr>
          <w:rFonts w:ascii="黑体" w:hAnsi="黑体" w:eastAsia="黑体"/>
          <w:b/>
          <w:bCs/>
          <w:color w:val="000000"/>
          <w:sz w:val="32"/>
          <w:szCs w:val="32"/>
        </w:rPr>
        <w:t>（发行可转债购买资产适用）</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455"/>
        <w:gridCol w:w="5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2" w:type="dxa"/>
            <w:vAlign w:val="center"/>
          </w:tcPr>
          <w:p>
            <w:pPr>
              <w:jc w:val="center"/>
              <w:rPr>
                <w:rFonts w:ascii="宋体" w:hAnsi="宋体"/>
                <w:b/>
              </w:rPr>
            </w:pPr>
            <w:r>
              <w:rPr>
                <w:rFonts w:ascii="宋体" w:hAnsi="宋体"/>
                <w:b/>
              </w:rPr>
              <w:t>序号</w:t>
            </w:r>
          </w:p>
        </w:tc>
        <w:tc>
          <w:tcPr>
            <w:tcW w:w="1455" w:type="dxa"/>
            <w:vAlign w:val="center"/>
          </w:tcPr>
          <w:p>
            <w:pPr>
              <w:jc w:val="center"/>
              <w:rPr>
                <w:rFonts w:ascii="宋体" w:hAnsi="宋体"/>
                <w:b/>
              </w:rPr>
            </w:pPr>
            <w:r>
              <w:rPr>
                <w:rFonts w:ascii="宋体" w:hAnsi="宋体"/>
                <w:b/>
              </w:rPr>
              <w:t>时间</w:t>
            </w:r>
          </w:p>
        </w:tc>
        <w:tc>
          <w:tcPr>
            <w:tcW w:w="5625" w:type="dxa"/>
            <w:vAlign w:val="center"/>
          </w:tcPr>
          <w:p>
            <w:pPr>
              <w:jc w:val="center"/>
              <w:rPr>
                <w:rFonts w:ascii="宋体" w:hAnsi="宋体"/>
                <w:b/>
              </w:rPr>
            </w:pPr>
            <w:r>
              <w:rPr>
                <w:rFonts w:ascii="宋体" w:hAnsi="宋体"/>
                <w:b/>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2" w:type="dxa"/>
            <w:vMerge w:val="restart"/>
            <w:vAlign w:val="center"/>
          </w:tcPr>
          <w:p>
            <w:pPr>
              <w:jc w:val="center"/>
              <w:rPr>
                <w:rFonts w:ascii="宋体" w:hAnsi="宋体"/>
                <w:b/>
              </w:rPr>
            </w:pPr>
            <w:r>
              <w:rPr>
                <w:rFonts w:ascii="宋体" w:hAnsi="宋体"/>
              </w:rPr>
              <w:t>1</w:t>
            </w:r>
          </w:p>
          <w:p>
            <w:pPr>
              <w:jc w:val="center"/>
              <w:rPr>
                <w:rFonts w:ascii="宋体" w:hAnsi="宋体"/>
                <w:b/>
              </w:rPr>
            </w:pPr>
          </w:p>
        </w:tc>
        <w:tc>
          <w:tcPr>
            <w:tcW w:w="1455" w:type="dxa"/>
            <w:vMerge w:val="restart"/>
            <w:vAlign w:val="center"/>
          </w:tcPr>
          <w:p>
            <w:pPr>
              <w:jc w:val="center"/>
              <w:rPr>
                <w:rFonts w:ascii="宋体" w:hAnsi="宋体"/>
                <w:b/>
              </w:rPr>
            </w:pPr>
            <w:r>
              <w:rPr>
                <w:rFonts w:ascii="宋体" w:hAnsi="宋体"/>
              </w:rPr>
              <w:t>发行完成后</w:t>
            </w:r>
          </w:p>
          <w:p>
            <w:pPr>
              <w:rPr>
                <w:rFonts w:ascii="宋体" w:hAnsi="宋体"/>
                <w:b/>
              </w:rPr>
            </w:pPr>
          </w:p>
        </w:tc>
        <w:tc>
          <w:tcPr>
            <w:tcW w:w="5625" w:type="dxa"/>
            <w:vAlign w:val="center"/>
          </w:tcPr>
          <w:p>
            <w:pPr>
              <w:ind w:firstLine="315" w:firstLineChars="150"/>
              <w:rPr>
                <w:rFonts w:ascii="宋体" w:hAnsi="宋体"/>
              </w:rPr>
            </w:pPr>
            <w:r>
              <w:rPr>
                <w:rFonts w:ascii="宋体" w:hAnsi="宋体"/>
              </w:rPr>
              <w:t>上市公司应当在发行结束后及时向创业板公司管理部报送以下文件，并向结算公司申请办理新增可转债登记，登记完毕后及时履行信息披露义务：</w:t>
            </w:r>
          </w:p>
          <w:p>
            <w:pPr>
              <w:ind w:firstLine="315" w:firstLineChars="150"/>
              <w:rPr>
                <w:rFonts w:ascii="宋体" w:hAnsi="宋体"/>
              </w:rPr>
            </w:pPr>
            <w:r>
              <w:rPr>
                <w:rFonts w:ascii="宋体" w:hAnsi="宋体"/>
              </w:rPr>
              <w:t>1．《重组可转债发行结果暨登记完成的公告》（上网），至少应包括可转债代码、简称、发行的具体情况、可转债的重要条款等内容</w:t>
            </w:r>
          </w:p>
          <w:p>
            <w:pPr>
              <w:ind w:firstLine="315" w:firstLineChars="150"/>
              <w:rPr>
                <w:rFonts w:ascii="宋体" w:hAnsi="宋体"/>
              </w:rPr>
            </w:pPr>
            <w:r>
              <w:rPr>
                <w:rFonts w:hint="eastAsia" w:ascii="宋体" w:hAnsi="宋体"/>
              </w:rPr>
              <w:t>2</w:t>
            </w:r>
            <w:r>
              <w:rPr>
                <w:rFonts w:ascii="宋体" w:hAnsi="宋体"/>
              </w:rPr>
              <w:t>．独立财务顾问出具的专业意见（上网）</w:t>
            </w:r>
          </w:p>
          <w:p>
            <w:pPr>
              <w:ind w:firstLine="315" w:firstLineChars="150"/>
              <w:rPr>
                <w:rFonts w:ascii="宋体" w:hAnsi="宋体"/>
              </w:rPr>
            </w:pPr>
            <w:r>
              <w:rPr>
                <w:rFonts w:hint="eastAsia" w:ascii="宋体" w:hAnsi="宋体"/>
              </w:rPr>
              <w:t>3</w:t>
            </w:r>
            <w:r>
              <w:rPr>
                <w:rFonts w:ascii="宋体" w:hAnsi="宋体"/>
              </w:rPr>
              <w:t>．可转债证券代码和证券简称申请（报备）</w:t>
            </w:r>
          </w:p>
          <w:p>
            <w:pPr>
              <w:ind w:firstLine="315" w:firstLineChars="150"/>
              <w:rPr>
                <w:rFonts w:ascii="宋体" w:hAnsi="宋体"/>
              </w:rPr>
            </w:pPr>
            <w:r>
              <w:rPr>
                <w:rFonts w:hint="eastAsia" w:ascii="宋体" w:hAnsi="宋体"/>
              </w:rPr>
              <w:t>4</w:t>
            </w:r>
            <w:r>
              <w:rPr>
                <w:rFonts w:ascii="宋体" w:hAnsi="宋体"/>
              </w:rPr>
              <w:t>．资产转移手续完成的证明文件（报备）</w:t>
            </w:r>
          </w:p>
          <w:p>
            <w:pPr>
              <w:ind w:firstLine="315" w:firstLineChars="150"/>
              <w:rPr>
                <w:rFonts w:ascii="宋体" w:hAnsi="宋体"/>
              </w:rPr>
            </w:pPr>
            <w:r>
              <w:rPr>
                <w:rFonts w:hint="eastAsia" w:ascii="宋体" w:hAnsi="宋体"/>
              </w:rPr>
              <w:t>5</w:t>
            </w:r>
            <w:r>
              <w:rPr>
                <w:rFonts w:ascii="宋体" w:hAnsi="宋体"/>
              </w:rPr>
              <w:t>．结算公司对可转债已登记的书面确认文件（报备）</w:t>
            </w:r>
          </w:p>
          <w:p>
            <w:pPr>
              <w:ind w:firstLine="315" w:firstLineChars="150"/>
              <w:rPr>
                <w:rFonts w:ascii="宋体" w:hAnsi="宋体"/>
                <w:b/>
              </w:rPr>
            </w:pPr>
            <w:r>
              <w:rPr>
                <w:rFonts w:ascii="宋体" w:hAnsi="宋体"/>
              </w:rPr>
              <w:t>创业板公司管理部对这证券简称和代码申请材料进行完备性核对，符合相关规定的，联系上市公司确定该期可转债代码和简称。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2" w:type="dxa"/>
            <w:vMerge w:val="continue"/>
            <w:vAlign w:val="center"/>
          </w:tcPr>
          <w:p>
            <w:pPr>
              <w:jc w:val="center"/>
              <w:rPr>
                <w:rFonts w:ascii="宋体" w:hAnsi="宋体"/>
              </w:rPr>
            </w:pPr>
          </w:p>
        </w:tc>
        <w:tc>
          <w:tcPr>
            <w:tcW w:w="1455" w:type="dxa"/>
            <w:vMerge w:val="continue"/>
            <w:vAlign w:val="center"/>
          </w:tcPr>
          <w:p>
            <w:pPr>
              <w:rPr>
                <w:rFonts w:ascii="宋体" w:hAnsi="宋体"/>
              </w:rPr>
            </w:pPr>
          </w:p>
        </w:tc>
        <w:tc>
          <w:tcPr>
            <w:tcW w:w="5625" w:type="dxa"/>
            <w:vAlign w:val="center"/>
          </w:tcPr>
          <w:p>
            <w:pPr>
              <w:ind w:firstLine="315" w:firstLineChars="150"/>
              <w:rPr>
                <w:rFonts w:ascii="宋体" w:hAnsi="宋体"/>
              </w:rPr>
            </w:pPr>
            <w:r>
              <w:rPr>
                <w:rFonts w:ascii="宋体" w:hAnsi="宋体"/>
              </w:rPr>
              <w:t>可转债发行结束并确定可转债代码和简称后，上市公司应及时向结算公司申请办理新增可转债登记。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42" w:type="dxa"/>
            <w:vAlign w:val="center"/>
          </w:tcPr>
          <w:p>
            <w:pPr>
              <w:jc w:val="center"/>
              <w:rPr>
                <w:rFonts w:ascii="宋体" w:hAnsi="宋体"/>
              </w:rPr>
            </w:pPr>
            <w:r>
              <w:rPr>
                <w:rFonts w:ascii="宋体" w:hAnsi="宋体"/>
              </w:rPr>
              <w:t>2</w:t>
            </w:r>
          </w:p>
        </w:tc>
        <w:tc>
          <w:tcPr>
            <w:tcW w:w="1455" w:type="dxa"/>
            <w:vAlign w:val="center"/>
          </w:tcPr>
          <w:p>
            <w:pPr>
              <w:rPr>
                <w:rFonts w:ascii="宋体" w:hAnsi="宋体"/>
              </w:rPr>
            </w:pPr>
            <w:r>
              <w:rPr>
                <w:rFonts w:ascii="宋体" w:hAnsi="宋体"/>
              </w:rPr>
              <w:t>L－5日前</w:t>
            </w:r>
          </w:p>
        </w:tc>
        <w:tc>
          <w:tcPr>
            <w:tcW w:w="5625" w:type="dxa"/>
            <w:vAlign w:val="center"/>
          </w:tcPr>
          <w:p>
            <w:pPr>
              <w:ind w:firstLine="315" w:firstLineChars="150"/>
              <w:rPr>
                <w:rFonts w:ascii="宋体" w:hAnsi="宋体"/>
              </w:rPr>
            </w:pPr>
            <w:r>
              <w:rPr>
                <w:rFonts w:ascii="宋体" w:hAnsi="宋体"/>
              </w:rPr>
              <w:t>上市公司可转债登记完成后应及时向创业板公司管理部提交以下材料：</w:t>
            </w:r>
          </w:p>
          <w:p>
            <w:pPr>
              <w:ind w:firstLine="315" w:firstLineChars="150"/>
              <w:rPr>
                <w:rFonts w:ascii="宋体" w:hAnsi="宋体"/>
              </w:rPr>
            </w:pPr>
            <w:r>
              <w:rPr>
                <w:rFonts w:ascii="宋体" w:hAnsi="宋体"/>
              </w:rPr>
              <w:t>1．转让公告书</w:t>
            </w:r>
          </w:p>
          <w:p>
            <w:pPr>
              <w:ind w:firstLine="315" w:firstLineChars="150"/>
              <w:rPr>
                <w:rFonts w:ascii="宋体" w:hAnsi="宋体"/>
              </w:rPr>
            </w:pPr>
            <w:r>
              <w:rPr>
                <w:rFonts w:ascii="宋体" w:hAnsi="宋体"/>
              </w:rPr>
              <w:t>2．独立财务顾问出具的专业意见</w:t>
            </w:r>
          </w:p>
          <w:p>
            <w:pPr>
              <w:ind w:firstLine="315" w:firstLineChars="150"/>
              <w:rPr>
                <w:rFonts w:ascii="宋体" w:hAnsi="宋体"/>
              </w:rPr>
            </w:pPr>
            <w:r>
              <w:rPr>
                <w:rFonts w:ascii="宋体" w:hAnsi="宋体"/>
              </w:rPr>
              <w:t>3．法律意见书</w:t>
            </w:r>
          </w:p>
          <w:p>
            <w:pPr>
              <w:ind w:firstLine="315" w:firstLineChars="150"/>
              <w:rPr>
                <w:rFonts w:ascii="宋体" w:hAnsi="宋体"/>
              </w:rPr>
            </w:pPr>
            <w:r>
              <w:rPr>
                <w:rFonts w:ascii="宋体" w:hAnsi="宋体"/>
              </w:rPr>
              <w:t>4．可转债转让申请书</w:t>
            </w:r>
          </w:p>
          <w:p>
            <w:pPr>
              <w:ind w:firstLine="315" w:firstLineChars="150"/>
              <w:rPr>
                <w:rFonts w:ascii="宋体" w:hAnsi="宋体"/>
              </w:rPr>
            </w:pPr>
            <w:r>
              <w:rPr>
                <w:rFonts w:ascii="宋体" w:hAnsi="宋体"/>
              </w:rPr>
              <w:t>5．独立财务顾问协议</w:t>
            </w:r>
          </w:p>
          <w:p>
            <w:pPr>
              <w:ind w:firstLine="315" w:firstLineChars="150"/>
              <w:rPr>
                <w:rFonts w:ascii="宋体" w:hAnsi="宋体"/>
              </w:rPr>
            </w:pPr>
            <w:r>
              <w:rPr>
                <w:rFonts w:hint="eastAsia" w:ascii="宋体" w:hAnsi="宋体"/>
              </w:rPr>
              <w:t>6</w:t>
            </w:r>
            <w:r>
              <w:rPr>
                <w:rFonts w:ascii="宋体" w:hAnsi="宋体"/>
              </w:rPr>
              <w:t>．公司仍符合法定条件的说明。说明截至上市申请日，公司仍符合向特定对象发行可转换公司债券条件</w:t>
            </w:r>
          </w:p>
          <w:p>
            <w:pPr>
              <w:ind w:firstLine="315" w:firstLineChars="150"/>
              <w:rPr>
                <w:rFonts w:ascii="宋体" w:hAnsi="宋体"/>
              </w:rPr>
            </w:pPr>
            <w:r>
              <w:rPr>
                <w:rFonts w:hint="eastAsia" w:ascii="宋体" w:hAnsi="宋体"/>
              </w:rPr>
              <w:t>7</w:t>
            </w:r>
            <w:r>
              <w:rPr>
                <w:rFonts w:ascii="宋体" w:hAnsi="宋体"/>
              </w:rPr>
              <w:t>．无会后事项承诺函</w:t>
            </w:r>
          </w:p>
          <w:p>
            <w:pPr>
              <w:ind w:firstLine="315" w:firstLineChars="150"/>
              <w:rPr>
                <w:rFonts w:ascii="宋体" w:hAnsi="宋体"/>
              </w:rPr>
            </w:pPr>
            <w:r>
              <w:rPr>
                <w:rFonts w:hint="eastAsia" w:ascii="宋体" w:hAnsi="宋体"/>
              </w:rPr>
              <w:t>8．受托管理事项</w:t>
            </w:r>
          </w:p>
          <w:p>
            <w:pPr>
              <w:ind w:firstLine="315" w:firstLineChars="150"/>
              <w:rPr>
                <w:rFonts w:ascii="宋体" w:hAnsi="宋体"/>
              </w:rPr>
            </w:pPr>
            <w:r>
              <w:rPr>
                <w:rFonts w:hint="eastAsia" w:ascii="宋体" w:hAnsi="宋体"/>
              </w:rPr>
              <w:t>9. 发行对象关于承诺及履行情况的说明（如适用）</w:t>
            </w:r>
          </w:p>
          <w:p>
            <w:pPr>
              <w:ind w:firstLine="315" w:firstLineChars="150"/>
              <w:rPr>
                <w:rFonts w:ascii="宋体" w:hAnsi="宋体"/>
              </w:rPr>
            </w:pPr>
            <w:r>
              <w:rPr>
                <w:rFonts w:ascii="宋体" w:hAnsi="宋体"/>
              </w:rPr>
              <w:t>10．中国证监会和本所要求的其他文件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442" w:type="dxa"/>
            <w:vAlign w:val="center"/>
          </w:tcPr>
          <w:p>
            <w:pPr>
              <w:jc w:val="center"/>
              <w:rPr>
                <w:rFonts w:ascii="宋体" w:hAnsi="宋体"/>
              </w:rPr>
            </w:pPr>
            <w:r>
              <w:rPr>
                <w:rFonts w:ascii="宋体" w:hAnsi="宋体"/>
              </w:rPr>
              <w:t>3</w:t>
            </w:r>
          </w:p>
        </w:tc>
        <w:tc>
          <w:tcPr>
            <w:tcW w:w="1455" w:type="dxa"/>
            <w:vAlign w:val="center"/>
          </w:tcPr>
          <w:p>
            <w:pPr>
              <w:rPr>
                <w:rFonts w:ascii="宋体" w:hAnsi="宋体"/>
              </w:rPr>
            </w:pPr>
            <w:r>
              <w:rPr>
                <w:rFonts w:ascii="宋体" w:hAnsi="宋体"/>
              </w:rPr>
              <w:t>L－5日内</w:t>
            </w:r>
          </w:p>
        </w:tc>
        <w:tc>
          <w:tcPr>
            <w:tcW w:w="5625" w:type="dxa"/>
            <w:vAlign w:val="center"/>
          </w:tcPr>
          <w:p>
            <w:pPr>
              <w:ind w:firstLine="315" w:firstLineChars="150"/>
              <w:rPr>
                <w:rFonts w:ascii="宋体" w:hAnsi="宋体"/>
              </w:rPr>
            </w:pPr>
            <w:r>
              <w:rPr>
                <w:rFonts w:ascii="宋体" w:hAnsi="宋体"/>
              </w:rPr>
              <w:t>上市公司披露以下文件：</w:t>
            </w:r>
          </w:p>
          <w:p>
            <w:pPr>
              <w:ind w:firstLine="315" w:firstLineChars="150"/>
              <w:rPr>
                <w:rFonts w:ascii="宋体" w:hAnsi="宋体"/>
              </w:rPr>
            </w:pPr>
            <w:r>
              <w:rPr>
                <w:rFonts w:ascii="宋体" w:hAnsi="宋体"/>
              </w:rPr>
              <w:t xml:space="preserve">1．《转让公告书》 </w:t>
            </w:r>
          </w:p>
          <w:p>
            <w:pPr>
              <w:ind w:firstLine="315" w:firstLineChars="150"/>
              <w:rPr>
                <w:rFonts w:ascii="宋体" w:hAnsi="宋体"/>
              </w:rPr>
            </w:pPr>
            <w:r>
              <w:rPr>
                <w:rFonts w:ascii="宋体" w:hAnsi="宋体"/>
              </w:rPr>
              <w:t>2．独立财务顾问出具的专业意见</w:t>
            </w:r>
          </w:p>
          <w:p>
            <w:pPr>
              <w:ind w:firstLine="315" w:firstLineChars="150"/>
              <w:rPr>
                <w:rFonts w:ascii="宋体" w:hAnsi="宋体"/>
              </w:rPr>
            </w:pPr>
            <w:r>
              <w:rPr>
                <w:rFonts w:ascii="宋体" w:hAnsi="宋体"/>
              </w:rPr>
              <w:t>3．法律意见书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442" w:type="dxa"/>
            <w:vAlign w:val="center"/>
          </w:tcPr>
          <w:p>
            <w:pPr>
              <w:jc w:val="center"/>
              <w:rPr>
                <w:rFonts w:ascii="宋体" w:hAnsi="宋体"/>
              </w:rPr>
            </w:pPr>
            <w:r>
              <w:rPr>
                <w:rFonts w:ascii="宋体" w:hAnsi="宋体"/>
              </w:rPr>
              <w:t>4</w:t>
            </w:r>
          </w:p>
        </w:tc>
        <w:tc>
          <w:tcPr>
            <w:tcW w:w="1455" w:type="dxa"/>
            <w:vAlign w:val="center"/>
          </w:tcPr>
          <w:p>
            <w:pPr>
              <w:rPr>
                <w:rFonts w:ascii="宋体" w:hAnsi="宋体"/>
              </w:rPr>
            </w:pPr>
            <w:r>
              <w:rPr>
                <w:rFonts w:ascii="宋体" w:hAnsi="宋体"/>
              </w:rPr>
              <w:t>L日</w:t>
            </w:r>
          </w:p>
        </w:tc>
        <w:tc>
          <w:tcPr>
            <w:tcW w:w="5625" w:type="dxa"/>
            <w:vAlign w:val="center"/>
          </w:tcPr>
          <w:p>
            <w:pPr>
              <w:ind w:firstLine="315" w:firstLineChars="150"/>
              <w:rPr>
                <w:rFonts w:ascii="宋体" w:hAnsi="宋体"/>
              </w:rPr>
            </w:pPr>
            <w:r>
              <w:rPr>
                <w:rFonts w:ascii="宋体" w:hAnsi="宋体"/>
              </w:rPr>
              <w:t>上市日</w:t>
            </w:r>
          </w:p>
        </w:tc>
      </w:tr>
    </w:tbl>
    <w:p>
      <w:pPr>
        <w:spacing w:line="560" w:lineRule="exact"/>
        <w:rPr>
          <w:rFonts w:ascii="Times New Roman" w:hAnsi="Times New Roman" w:eastAsia="仿宋"/>
          <w:b/>
          <w:bCs/>
          <w:color w:val="000000"/>
          <w:sz w:val="28"/>
          <w:szCs w:val="28"/>
        </w:rPr>
        <w:sectPr>
          <w:footerReference r:id="rId8" w:type="default"/>
          <w:pgSz w:w="11906" w:h="16838"/>
          <w:pgMar w:top="1440" w:right="1800" w:bottom="1440" w:left="1800" w:header="851" w:footer="992" w:gutter="0"/>
          <w:cols w:space="720" w:num="1"/>
          <w:docGrid w:type="lines" w:linePitch="312" w:charSpace="0"/>
        </w:sectPr>
      </w:pPr>
    </w:p>
    <w:p>
      <w:pPr>
        <w:widowControl/>
        <w:jc w:val="left"/>
        <w:rPr>
          <w:rFonts w:ascii="黑体" w:hAnsi="黑体" w:eastAsia="黑体"/>
          <w:sz w:val="32"/>
          <w:szCs w:val="32"/>
        </w:rPr>
      </w:pPr>
      <w:r>
        <w:rPr>
          <w:rFonts w:ascii="黑体" w:hAnsi="黑体" w:eastAsia="黑体"/>
          <w:sz w:val="32"/>
          <w:szCs w:val="32"/>
        </w:rPr>
        <w:t>附件3</w:t>
      </w:r>
    </w:p>
    <w:p>
      <w:pPr>
        <w:widowControl/>
        <w:jc w:val="left"/>
        <w:rPr>
          <w:rFonts w:ascii="Times New Roman" w:hAnsi="Times New Roman" w:eastAsia="方正仿宋简体"/>
          <w:sz w:val="28"/>
          <w:szCs w:val="28"/>
        </w:rPr>
      </w:pPr>
    </w:p>
    <w:p>
      <w:pPr>
        <w:jc w:val="center"/>
        <w:rPr>
          <w:rFonts w:ascii="方正小标宋简体" w:hAnsi="黑体" w:eastAsia="方正小标宋简体"/>
          <w:b/>
          <w:bCs/>
          <w:sz w:val="32"/>
          <w:szCs w:val="32"/>
        </w:rPr>
      </w:pPr>
      <w:r>
        <w:rPr>
          <w:rFonts w:hint="eastAsia" w:ascii="方正小标宋简体" w:hAnsi="黑体" w:eastAsia="方正小标宋简体"/>
          <w:b/>
          <w:bCs/>
          <w:sz w:val="32"/>
          <w:szCs w:val="32"/>
        </w:rPr>
        <w:t>关于</w:t>
      </w:r>
      <w:r>
        <w:rPr>
          <w:rFonts w:hint="eastAsia" w:ascii="方正小标宋简体" w:hAnsi="黑体" w:eastAsia="方正小标宋简体"/>
          <w:b/>
          <w:bCs/>
          <w:sz w:val="32"/>
          <w:szCs w:val="32"/>
          <w:u w:val="single"/>
        </w:rPr>
        <w:t xml:space="preserve">         </w:t>
      </w:r>
      <w:r>
        <w:rPr>
          <w:rFonts w:hint="eastAsia" w:ascii="方正小标宋简体" w:hAnsi="黑体" w:eastAsia="方正小标宋简体"/>
          <w:b/>
          <w:bCs/>
          <w:sz w:val="32"/>
          <w:szCs w:val="32"/>
        </w:rPr>
        <w:t>公司向特定对象发行可转债证券简称及证券代码的申请</w:t>
      </w:r>
    </w:p>
    <w:p>
      <w:pPr>
        <w:spacing w:line="360" w:lineRule="auto"/>
        <w:rPr>
          <w:rFonts w:ascii="Times New Roman" w:hAnsi="Times New Roman"/>
          <w:b/>
          <w:bCs/>
          <w:sz w:val="24"/>
        </w:rPr>
      </w:pPr>
    </w:p>
    <w:p>
      <w:pPr>
        <w:spacing w:line="560" w:lineRule="exact"/>
        <w:rPr>
          <w:rFonts w:ascii="仿宋" w:hAnsi="仿宋" w:eastAsia="仿宋"/>
          <w:b/>
          <w:bCs/>
          <w:sz w:val="32"/>
          <w:szCs w:val="32"/>
        </w:rPr>
      </w:pPr>
      <w:r>
        <w:rPr>
          <w:rFonts w:ascii="仿宋" w:hAnsi="仿宋" w:eastAsia="仿宋"/>
          <w:b/>
          <w:bCs/>
          <w:sz w:val="32"/>
          <w:szCs w:val="32"/>
        </w:rPr>
        <w:t>深圳证券交易所创业板公司管理部：</w:t>
      </w:r>
    </w:p>
    <w:p>
      <w:pPr>
        <w:ind w:firstLine="640" w:firstLineChars="200"/>
        <w:rPr>
          <w:rFonts w:ascii="仿宋" w:hAnsi="仿宋" w:eastAsia="仿宋"/>
          <w:color w:val="000000"/>
          <w:sz w:val="32"/>
          <w:szCs w:val="32"/>
        </w:rPr>
      </w:pPr>
      <w:r>
        <w:rPr>
          <w:rFonts w:ascii="仿宋" w:hAnsi="仿宋" w:eastAsia="仿宋"/>
          <w:color w:val="000000"/>
          <w:sz w:val="32"/>
          <w:szCs w:val="32"/>
        </w:rPr>
        <w:t>根据中国证监会     号文核准注册，我公司已于    年   月   日完成向特定对象发行第  期可转债的发行工作，该期可转债简称拟定为          。我公司特向你部申请证券简称和证券代码。</w:t>
      </w:r>
    </w:p>
    <w:p>
      <w:pPr>
        <w:spacing w:line="360" w:lineRule="auto"/>
        <w:ind w:firstLine="496" w:firstLineChars="207"/>
        <w:rPr>
          <w:rFonts w:ascii="Times New Roman" w:hAnsi="Times New Roman" w:eastAsia="方正仿宋简体"/>
          <w:color w:val="000000"/>
          <w:sz w:val="24"/>
        </w:rPr>
      </w:pPr>
    </w:p>
    <w:p>
      <w:pPr>
        <w:spacing w:line="360" w:lineRule="auto"/>
        <w:ind w:firstLine="435"/>
        <w:rPr>
          <w:rFonts w:ascii="仿宋" w:hAnsi="仿宋" w:eastAsia="仿宋"/>
          <w:color w:val="000000"/>
          <w:sz w:val="32"/>
          <w:szCs w:val="32"/>
        </w:rPr>
      </w:pPr>
      <w:r>
        <w:rPr>
          <w:rFonts w:ascii="Times New Roman" w:hAnsi="Times New Roman" w:eastAsia="方正仿宋简体"/>
          <w:color w:val="000000"/>
          <w:sz w:val="24"/>
        </w:rPr>
        <w:t xml:space="preserve">                                </w:t>
      </w:r>
      <w:r>
        <w:rPr>
          <w:rFonts w:ascii="仿宋" w:hAnsi="仿宋" w:eastAsia="仿宋"/>
          <w:color w:val="000000"/>
          <w:sz w:val="32"/>
          <w:szCs w:val="32"/>
        </w:rPr>
        <w:t xml:space="preserve">        公司（加盖公章）</w:t>
      </w:r>
    </w:p>
    <w:p>
      <w:pPr>
        <w:spacing w:line="360" w:lineRule="auto"/>
        <w:ind w:firstLine="435"/>
        <w:rPr>
          <w:rFonts w:ascii="仿宋" w:hAnsi="仿宋" w:eastAsia="仿宋"/>
          <w:color w:val="000000"/>
          <w:sz w:val="32"/>
          <w:szCs w:val="32"/>
        </w:rPr>
      </w:pPr>
      <w:r>
        <w:rPr>
          <w:rFonts w:ascii="仿宋" w:hAnsi="仿宋" w:eastAsia="仿宋"/>
          <w:color w:val="000000"/>
          <w:sz w:val="32"/>
          <w:szCs w:val="32"/>
        </w:rPr>
        <w:t xml:space="preserve">                             </w:t>
      </w:r>
      <w:r>
        <w:rPr>
          <w:rFonts w:hint="eastAsia" w:ascii="仿宋" w:hAnsi="仿宋" w:eastAsia="仿宋"/>
          <w:color w:val="000000"/>
          <w:sz w:val="32"/>
          <w:szCs w:val="32"/>
        </w:rPr>
        <w:t xml:space="preserve">   </w:t>
      </w:r>
      <w:r>
        <w:rPr>
          <w:rFonts w:ascii="仿宋" w:hAnsi="仿宋" w:eastAsia="仿宋"/>
          <w:color w:val="000000"/>
          <w:sz w:val="32"/>
          <w:szCs w:val="32"/>
        </w:rPr>
        <w:t xml:space="preserve">经办人签名        </w:t>
      </w:r>
    </w:p>
    <w:p>
      <w:pPr>
        <w:spacing w:line="360" w:lineRule="auto"/>
        <w:ind w:firstLine="435"/>
        <w:rPr>
          <w:rFonts w:ascii="仿宋" w:hAnsi="仿宋" w:eastAsia="仿宋"/>
          <w:color w:val="000000"/>
          <w:sz w:val="32"/>
          <w:szCs w:val="32"/>
        </w:rPr>
      </w:pPr>
      <w:r>
        <w:rPr>
          <w:rFonts w:ascii="仿宋" w:hAnsi="仿宋" w:eastAsia="仿宋"/>
          <w:color w:val="000000"/>
          <w:sz w:val="32"/>
          <w:szCs w:val="32"/>
        </w:rPr>
        <w:t xml:space="preserve">                           </w:t>
      </w:r>
      <w:r>
        <w:rPr>
          <w:rFonts w:hint="eastAsia" w:ascii="仿宋" w:hAnsi="仿宋" w:eastAsia="仿宋"/>
          <w:color w:val="000000"/>
          <w:sz w:val="32"/>
          <w:szCs w:val="32"/>
        </w:rPr>
        <w:t xml:space="preserve">    </w:t>
      </w:r>
      <w:r>
        <w:rPr>
          <w:rFonts w:ascii="仿宋" w:hAnsi="仿宋" w:eastAsia="仿宋"/>
          <w:color w:val="000000"/>
          <w:sz w:val="32"/>
          <w:szCs w:val="32"/>
        </w:rPr>
        <w:t xml:space="preserve"> 年     月     日</w:t>
      </w:r>
    </w:p>
    <w:p>
      <w:pPr>
        <w:spacing w:line="480" w:lineRule="auto"/>
        <w:rPr>
          <w:rFonts w:ascii="Times New Roman" w:hAnsi="Times New Roman"/>
          <w:b/>
          <w:bCs/>
          <w:sz w:val="24"/>
        </w:rPr>
      </w:pPr>
    </w:p>
    <w:p>
      <w:pPr>
        <w:spacing w:line="560" w:lineRule="exact"/>
        <w:rPr>
          <w:rFonts w:ascii="仿宋" w:hAnsi="仿宋" w:eastAsia="仿宋"/>
          <w:b/>
          <w:bCs/>
          <w:sz w:val="32"/>
          <w:szCs w:val="32"/>
        </w:rPr>
      </w:pPr>
      <w:r>
        <w:rPr>
          <w:rFonts w:ascii="仿宋" w:hAnsi="仿宋" w:eastAsia="仿宋"/>
          <w:b/>
          <w:bCs/>
          <w:sz w:val="32"/>
          <w:szCs w:val="32"/>
        </w:rPr>
        <w:t>深圳证券交易所创业板公司管理部核对结果如下：</w:t>
      </w:r>
    </w:p>
    <w:p>
      <w:pPr>
        <w:ind w:firstLine="640" w:firstLineChars="200"/>
        <w:rPr>
          <w:rFonts w:ascii="仿宋" w:hAnsi="仿宋" w:eastAsia="仿宋"/>
          <w:color w:val="000000"/>
          <w:sz w:val="32"/>
          <w:szCs w:val="32"/>
        </w:rPr>
      </w:pPr>
      <w:r>
        <w:rPr>
          <w:rFonts w:ascii="仿宋" w:hAnsi="仿宋" w:eastAsia="仿宋"/>
          <w:color w:val="000000"/>
          <w:sz w:val="32"/>
          <w:szCs w:val="32"/>
        </w:rPr>
        <w:t>经     公司申请，我部拟同意该公司向特定对象发行第  期可转债的证券简称及证券代码如下：</w:t>
      </w:r>
    </w:p>
    <w:p>
      <w:pPr>
        <w:spacing w:line="360" w:lineRule="auto"/>
        <w:ind w:firstLine="496" w:firstLineChars="207"/>
        <w:rPr>
          <w:rFonts w:ascii="Times New Roman" w:hAnsi="Times New Roman" w:eastAsia="方正仿宋简体"/>
          <w:color w:val="000000"/>
          <w:sz w:val="24"/>
        </w:rPr>
      </w:pPr>
      <w:r>
        <w:rPr>
          <w:rFonts w:ascii="Times New Roman" w:hAnsi="Times New Roman" w:eastAsia="方正仿宋简体"/>
          <w:color w:val="000000"/>
          <w:sz w:val="24"/>
        </w:rPr>
        <w:t xml:space="preserve">   </w:t>
      </w:r>
    </w:p>
    <w:p>
      <w:pPr>
        <w:spacing w:line="360" w:lineRule="auto"/>
        <w:ind w:firstLine="434" w:firstLineChars="207"/>
        <w:rPr>
          <w:rFonts w:ascii="仿宋" w:hAnsi="仿宋" w:eastAsia="仿宋"/>
          <w:color w:val="000000"/>
          <w:sz w:val="32"/>
          <w:szCs w:val="32"/>
        </w:rPr>
      </w:pPr>
      <w:r>
        <mc:AlternateContent>
          <mc:Choice Requires="wps">
            <w:drawing>
              <wp:anchor distT="0" distB="0" distL="114300" distR="114300" simplePos="0" relativeHeight="251705344" behindDoc="0" locked="0" layoutInCell="1" allowOverlap="1">
                <wp:simplePos x="0" y="0"/>
                <wp:positionH relativeFrom="column">
                  <wp:posOffset>1392555</wp:posOffset>
                </wp:positionH>
                <wp:positionV relativeFrom="paragraph">
                  <wp:posOffset>217170</wp:posOffset>
                </wp:positionV>
                <wp:extent cx="933450" cy="0"/>
                <wp:effectExtent l="0" t="0" r="19050" b="19050"/>
                <wp:wrapNone/>
                <wp:docPr id="65" name="直接连接符 65"/>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9.65pt;margin-top:17.1pt;height:0pt;width:73.5pt;z-index:251705344;mso-width-relative:page;mso-height-relative:page;" filled="f" stroked="t" coordsize="21600,21600" o:gfxdata="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TapjW1gAAAAkB&#10;AAAPAAAAAAAAAAEAIAAAACIAAABkcnMvZG93bnJldi54bWxQSwECFAAUAAAACACHTuJAClUy4OQB&#10;AACrAwAADgAAAAAAAAABACAAAAAlAQAAZHJzL2Uyb0RvYy54bWxQSwUGAAAAAAYABgBZAQAAewUA&#10;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4248150</wp:posOffset>
                </wp:positionH>
                <wp:positionV relativeFrom="paragraph">
                  <wp:posOffset>217170</wp:posOffset>
                </wp:positionV>
                <wp:extent cx="933450" cy="0"/>
                <wp:effectExtent l="0" t="0" r="19050" b="19050"/>
                <wp:wrapNone/>
                <wp:docPr id="64" name="直接连接符 64"/>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34.5pt;margin-top:17.1pt;height:0pt;width:73.5pt;z-index:251704320;mso-width-relative:page;mso-height-relative:page;" filled="f" stroked="t" coordsize="21600,21600" o:gfxdata="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0l1P1gAAAAkB&#10;AAAPAAAAAAAAAAEAIAAAACIAAABkcnMvZG93bnJldi54bWxQSwECFAAUAAAACACHTuJA9Hy4I+QB&#10;AACrAwAADgAAAAAAAAABACAAAAAlAQAAZHJzL2Uyb0RvYy54bWxQSwUGAAAAAAYABgBZAQAAewUA&#10;AAAA&#10;">
                <v:fill on="f" focussize="0,0"/>
                <v:stroke color="#000000" joinstyle="round"/>
                <v:imagedata o:title=""/>
                <o:lock v:ext="edit" aspectratio="f"/>
              </v:line>
            </w:pict>
          </mc:Fallback>
        </mc:AlternateContent>
      </w:r>
      <w:r>
        <w:rPr>
          <w:rFonts w:ascii="仿宋" w:hAnsi="仿宋" w:eastAsia="仿宋"/>
          <w:color w:val="000000"/>
          <w:sz w:val="32"/>
          <w:szCs w:val="32"/>
        </w:rPr>
        <w:t xml:space="preserve">证券代码：                 </w:t>
      </w:r>
      <w:r>
        <w:rPr>
          <w:rFonts w:hint="eastAsia" w:ascii="仿宋" w:hAnsi="仿宋" w:eastAsia="仿宋"/>
          <w:color w:val="000000"/>
          <w:sz w:val="32"/>
          <w:szCs w:val="32"/>
        </w:rPr>
        <w:t xml:space="preserve"> </w:t>
      </w:r>
      <w:r>
        <w:rPr>
          <w:rFonts w:ascii="仿宋" w:hAnsi="仿宋" w:eastAsia="仿宋"/>
          <w:color w:val="000000"/>
          <w:sz w:val="32"/>
          <w:szCs w:val="32"/>
        </w:rPr>
        <w:t xml:space="preserve">证券简称：  </w:t>
      </w:r>
    </w:p>
    <w:p>
      <w:pPr>
        <w:spacing w:line="360" w:lineRule="auto"/>
        <w:ind w:firstLine="496" w:firstLineChars="207"/>
        <w:rPr>
          <w:rFonts w:ascii="Times New Roman" w:hAnsi="Times New Roman" w:eastAsia="方正仿宋简体"/>
          <w:color w:val="000000"/>
          <w:sz w:val="24"/>
        </w:rPr>
      </w:pPr>
    </w:p>
    <w:p>
      <w:pPr>
        <w:spacing w:line="360" w:lineRule="auto"/>
        <w:ind w:firstLine="496" w:firstLineChars="207"/>
        <w:jc w:val="right"/>
        <w:rPr>
          <w:rFonts w:ascii="仿宋" w:hAnsi="仿宋" w:eastAsia="仿宋"/>
          <w:color w:val="000000"/>
          <w:sz w:val="32"/>
          <w:szCs w:val="32"/>
        </w:rPr>
      </w:pPr>
      <w:r>
        <w:rPr>
          <w:rFonts w:ascii="Times New Roman" w:hAnsi="Times New Roman" w:eastAsia="方正仿宋简体"/>
          <w:color w:val="000000"/>
          <w:sz w:val="24"/>
        </w:rPr>
        <w:t xml:space="preserve">             </w:t>
      </w:r>
      <w:r>
        <w:rPr>
          <w:rFonts w:ascii="仿宋" w:hAnsi="仿宋" w:eastAsia="仿宋"/>
          <w:color w:val="000000"/>
          <w:sz w:val="32"/>
          <w:szCs w:val="32"/>
        </w:rPr>
        <w:t>经办人签名        年    月    日</w:t>
      </w:r>
    </w:p>
    <w:p>
      <w:pPr>
        <w:spacing w:line="360" w:lineRule="auto"/>
        <w:ind w:firstLine="662" w:firstLineChars="207"/>
        <w:jc w:val="right"/>
        <w:rPr>
          <w:rFonts w:ascii="Times New Roman" w:hAnsi="Times New Roman" w:eastAsia="方正仿宋简体"/>
          <w:color w:val="000000"/>
          <w:sz w:val="24"/>
        </w:rPr>
      </w:pPr>
      <w:r>
        <w:rPr>
          <w:rFonts w:ascii="仿宋" w:hAnsi="仿宋" w:eastAsia="仿宋"/>
          <w:color w:val="000000"/>
          <w:sz w:val="32"/>
          <w:szCs w:val="32"/>
        </w:rPr>
        <w:t>负责人签名</w:t>
      </w:r>
      <w:r>
        <w:rPr>
          <w:rFonts w:hint="eastAsia" w:ascii="仿宋" w:hAnsi="仿宋" w:eastAsia="仿宋"/>
          <w:color w:val="000000"/>
          <w:sz w:val="32"/>
          <w:szCs w:val="32"/>
        </w:rPr>
        <w:t xml:space="preserve"> </w:t>
      </w:r>
      <w:r>
        <w:rPr>
          <w:rFonts w:ascii="仿宋" w:hAnsi="仿宋" w:eastAsia="仿宋"/>
          <w:color w:val="000000"/>
          <w:sz w:val="32"/>
          <w:szCs w:val="32"/>
        </w:rPr>
        <w:t xml:space="preserve">       年    月    日 </w:t>
      </w:r>
      <w:r>
        <w:rPr>
          <w:rFonts w:ascii="Times New Roman" w:hAnsi="Times New Roman" w:eastAsia="方正仿宋简体"/>
          <w:color w:val="000000"/>
          <w:sz w:val="24"/>
        </w:rPr>
        <w:t xml:space="preserve"> </w:t>
      </w:r>
    </w:p>
    <w:p>
      <w:pPr>
        <w:pStyle w:val="162"/>
        <w:ind w:firstLine="0" w:firstLineChars="0"/>
        <w:outlineLvl w:val="1"/>
        <w:rPr>
          <w:rFonts w:hAnsi="黑体"/>
          <w:sz w:val="32"/>
          <w:szCs w:val="32"/>
        </w:rPr>
      </w:pPr>
      <w:bookmarkStart w:id="62" w:name="_Toc141954539"/>
      <w:bookmarkStart w:id="63" w:name="_Toc129272533"/>
      <w:bookmarkStart w:id="64" w:name="_Toc31699"/>
      <w:r>
        <w:rPr>
          <w:rFonts w:hint="eastAsia" w:hAnsi="黑体"/>
          <w:sz w:val="32"/>
          <w:szCs w:val="32"/>
        </w:rPr>
        <w:t xml:space="preserve">第五节 </w:t>
      </w:r>
      <w:r>
        <w:rPr>
          <w:rFonts w:hAnsi="黑体"/>
          <w:sz w:val="32"/>
          <w:szCs w:val="32"/>
        </w:rPr>
        <w:t>向原股东配售股份</w:t>
      </w:r>
      <w:bookmarkEnd w:id="62"/>
      <w:bookmarkEnd w:id="63"/>
      <w:bookmarkEnd w:id="64"/>
    </w:p>
    <w:p>
      <w:pPr>
        <w:rPr>
          <w:rFonts w:ascii="Times New Roman" w:hAnsi="Times New Roman"/>
          <w:color w:val="000000"/>
        </w:rPr>
      </w:pPr>
    </w:p>
    <w:p>
      <w:pPr>
        <w:spacing w:line="560" w:lineRule="exact"/>
        <w:ind w:firstLine="643" w:firstLineChars="200"/>
        <w:rPr>
          <w:rFonts w:ascii="黑体" w:hAnsi="黑体" w:eastAsia="黑体"/>
          <w:b/>
          <w:sz w:val="32"/>
          <w:szCs w:val="32"/>
        </w:rPr>
      </w:pPr>
      <w:r>
        <w:rPr>
          <w:rFonts w:ascii="黑体" w:hAnsi="黑体" w:eastAsia="黑体"/>
          <w:b/>
          <w:sz w:val="32"/>
          <w:szCs w:val="32"/>
        </w:rPr>
        <w:t>一、审核注册阶段信息披露要求</w:t>
      </w:r>
    </w:p>
    <w:p>
      <w:pPr>
        <w:spacing w:line="560" w:lineRule="exact"/>
        <w:ind w:firstLine="640" w:firstLineChars="200"/>
        <w:rPr>
          <w:rFonts w:ascii="仿宋" w:hAnsi="仿宋" w:eastAsia="仿宋"/>
          <w:sz w:val="32"/>
          <w:szCs w:val="32"/>
        </w:rPr>
      </w:pPr>
      <w:r>
        <w:rPr>
          <w:rFonts w:ascii="仿宋" w:hAnsi="仿宋" w:eastAsia="仿宋"/>
          <w:sz w:val="32"/>
          <w:szCs w:val="32"/>
        </w:rPr>
        <w:t>1．上市公司</w:t>
      </w:r>
      <w:r>
        <w:rPr>
          <w:rFonts w:ascii="仿宋" w:hAnsi="仿宋" w:eastAsia="仿宋"/>
          <w:color w:val="000000"/>
          <w:sz w:val="32"/>
          <w:szCs w:val="32"/>
        </w:rPr>
        <w:t>向原股东配售股份（以下简称配股）</w:t>
      </w:r>
      <w:r>
        <w:rPr>
          <w:rFonts w:ascii="仿宋" w:hAnsi="仿宋" w:eastAsia="仿宋"/>
          <w:sz w:val="32"/>
          <w:szCs w:val="32"/>
        </w:rPr>
        <w:t>提出发行申请后，出现下列情形之一的，应当在次一个交易日予以公告：</w:t>
      </w:r>
    </w:p>
    <w:p>
      <w:pPr>
        <w:spacing w:line="560" w:lineRule="exact"/>
        <w:ind w:firstLine="640" w:firstLineChars="200"/>
        <w:rPr>
          <w:rFonts w:ascii="仿宋" w:hAnsi="仿宋" w:eastAsia="仿宋"/>
          <w:sz w:val="32"/>
          <w:szCs w:val="32"/>
        </w:rPr>
      </w:pPr>
      <w:r>
        <w:rPr>
          <w:rFonts w:ascii="仿宋" w:hAnsi="仿宋" w:eastAsia="仿宋"/>
          <w:sz w:val="32"/>
          <w:szCs w:val="32"/>
        </w:rPr>
        <w:t>（1）收到交易所不予受理或者终止发行上市审核决定；</w:t>
      </w:r>
    </w:p>
    <w:p>
      <w:pPr>
        <w:spacing w:line="560" w:lineRule="exact"/>
        <w:ind w:firstLine="640" w:firstLineChars="200"/>
        <w:rPr>
          <w:rFonts w:ascii="仿宋" w:hAnsi="仿宋" w:eastAsia="仿宋"/>
          <w:sz w:val="32"/>
          <w:szCs w:val="32"/>
        </w:rPr>
      </w:pPr>
      <w:r>
        <w:rPr>
          <w:rFonts w:ascii="仿宋" w:hAnsi="仿宋" w:eastAsia="仿宋"/>
          <w:sz w:val="32"/>
          <w:szCs w:val="32"/>
        </w:rPr>
        <w:t>（2）收到中国证监会终止发行注册决定；</w:t>
      </w:r>
    </w:p>
    <w:p>
      <w:pPr>
        <w:spacing w:line="560" w:lineRule="exact"/>
        <w:ind w:firstLine="640" w:firstLineChars="200"/>
        <w:rPr>
          <w:rFonts w:ascii="仿宋" w:hAnsi="仿宋" w:eastAsia="仿宋"/>
          <w:sz w:val="32"/>
          <w:szCs w:val="32"/>
        </w:rPr>
      </w:pPr>
      <w:r>
        <w:rPr>
          <w:rFonts w:ascii="仿宋" w:hAnsi="仿宋" w:eastAsia="仿宋"/>
          <w:sz w:val="32"/>
          <w:szCs w:val="32"/>
        </w:rPr>
        <w:t>（3）收到中国证监会注册或者不予注册决定；</w:t>
      </w:r>
    </w:p>
    <w:p>
      <w:pPr>
        <w:spacing w:line="560" w:lineRule="exact"/>
        <w:ind w:firstLine="640" w:firstLineChars="200"/>
        <w:rPr>
          <w:rFonts w:ascii="仿宋" w:hAnsi="仿宋" w:eastAsia="仿宋"/>
          <w:sz w:val="32"/>
          <w:szCs w:val="32"/>
        </w:rPr>
      </w:pPr>
      <w:r>
        <w:rPr>
          <w:rFonts w:ascii="仿宋" w:hAnsi="仿宋" w:eastAsia="仿宋"/>
          <w:sz w:val="32"/>
          <w:szCs w:val="32"/>
        </w:rPr>
        <w:t>（4）上市公司撤回证券发行申请。</w:t>
      </w:r>
    </w:p>
    <w:p>
      <w:pPr>
        <w:spacing w:line="560" w:lineRule="exact"/>
        <w:ind w:firstLine="640" w:firstLineChars="200"/>
        <w:rPr>
          <w:rFonts w:ascii="仿宋" w:hAnsi="仿宋" w:eastAsia="仿宋"/>
          <w:sz w:val="32"/>
          <w:szCs w:val="32"/>
        </w:rPr>
      </w:pPr>
      <w:r>
        <w:rPr>
          <w:rFonts w:ascii="仿宋" w:hAnsi="仿宋" w:eastAsia="仿宋"/>
          <w:sz w:val="32"/>
          <w:szCs w:val="32"/>
        </w:rPr>
        <w:t>2．本所受理证券发行上市申请文件当日，公司应当披露受理公告，并同时披露募集说明书、发行保荐书、上市保荐书、审计报告、法律意见书。</w:t>
      </w:r>
    </w:p>
    <w:p>
      <w:pPr>
        <w:spacing w:line="560" w:lineRule="exact"/>
        <w:ind w:firstLine="640" w:firstLineChars="200"/>
        <w:rPr>
          <w:rFonts w:ascii="仿宋" w:hAnsi="仿宋" w:eastAsia="仿宋"/>
          <w:sz w:val="32"/>
          <w:szCs w:val="32"/>
        </w:rPr>
      </w:pPr>
      <w:r>
        <w:rPr>
          <w:rFonts w:ascii="仿宋" w:hAnsi="仿宋" w:eastAsia="仿宋"/>
          <w:sz w:val="32"/>
          <w:szCs w:val="32"/>
        </w:rPr>
        <w:t>3．上市公司应当以临时公告的形式及时披露对本所审核问询的回复。</w:t>
      </w:r>
    </w:p>
    <w:p>
      <w:pPr>
        <w:spacing w:line="560" w:lineRule="exact"/>
        <w:ind w:firstLine="640" w:firstLineChars="200"/>
        <w:rPr>
          <w:rFonts w:ascii="仿宋" w:hAnsi="仿宋" w:eastAsia="仿宋"/>
          <w:sz w:val="32"/>
          <w:szCs w:val="32"/>
        </w:rPr>
      </w:pPr>
      <w:r>
        <w:rPr>
          <w:rFonts w:ascii="仿宋" w:hAnsi="仿宋" w:eastAsia="仿宋"/>
          <w:sz w:val="32"/>
          <w:szCs w:val="32"/>
        </w:rPr>
        <w:t>4．上市公司收到本所具有明确审核意见的函件或决定后，应当以临时公告的形式及时对外披露。如为符合发行条件、上市条件和信息披露要求的审核意见，公司应在公告中声明“公司本次向原股东配售股份尚需中国证监会注册，敬请广大投资者注意投资风险”。</w:t>
      </w:r>
    </w:p>
    <w:p>
      <w:pPr>
        <w:spacing w:line="560" w:lineRule="exact"/>
        <w:ind w:firstLine="640" w:firstLineChars="200"/>
        <w:rPr>
          <w:rFonts w:ascii="仿宋" w:hAnsi="仿宋" w:eastAsia="仿宋"/>
          <w:sz w:val="32"/>
          <w:szCs w:val="32"/>
        </w:rPr>
      </w:pPr>
      <w:r>
        <w:rPr>
          <w:rFonts w:ascii="仿宋" w:hAnsi="仿宋" w:eastAsia="仿宋"/>
          <w:sz w:val="32"/>
          <w:szCs w:val="32"/>
        </w:rPr>
        <w:t>5．上市公司披露收到中国证监会予以注册决定的公告时，应当说明取得注册</w:t>
      </w:r>
      <w:r>
        <w:rPr>
          <w:rFonts w:hint="eastAsia" w:ascii="仿宋" w:hAnsi="仿宋" w:eastAsia="仿宋"/>
          <w:sz w:val="32"/>
          <w:szCs w:val="32"/>
        </w:rPr>
        <w:t>文件</w:t>
      </w:r>
      <w:r>
        <w:rPr>
          <w:rFonts w:ascii="仿宋" w:hAnsi="仿宋" w:eastAsia="仿宋"/>
          <w:sz w:val="32"/>
          <w:szCs w:val="32"/>
        </w:rPr>
        <w:t>的日期、注册发行的股份数量等。</w:t>
      </w:r>
    </w:p>
    <w:p>
      <w:pPr>
        <w:spacing w:line="560" w:lineRule="exact"/>
        <w:ind w:firstLine="643" w:firstLineChars="200"/>
        <w:rPr>
          <w:rFonts w:ascii="黑体" w:hAnsi="黑体" w:eastAsia="黑体"/>
          <w:b/>
          <w:sz w:val="32"/>
          <w:szCs w:val="32"/>
        </w:rPr>
      </w:pPr>
      <w:r>
        <w:rPr>
          <w:rFonts w:ascii="黑体" w:hAnsi="黑体" w:eastAsia="黑体"/>
          <w:b/>
          <w:sz w:val="32"/>
          <w:szCs w:val="32"/>
        </w:rPr>
        <w:t>二、配股发行前的准备工作</w:t>
      </w:r>
    </w:p>
    <w:p>
      <w:pPr>
        <w:spacing w:line="560" w:lineRule="exact"/>
        <w:ind w:firstLine="640" w:firstLineChars="200"/>
        <w:rPr>
          <w:rFonts w:ascii="楷体" w:hAnsi="楷体" w:eastAsia="楷体"/>
          <w:sz w:val="32"/>
          <w:szCs w:val="32"/>
        </w:rPr>
      </w:pPr>
      <w:r>
        <w:rPr>
          <w:rFonts w:ascii="楷体" w:hAnsi="楷体" w:eastAsia="楷体"/>
          <w:sz w:val="32"/>
          <w:szCs w:val="32"/>
        </w:rPr>
        <w:t>（一）沟通发行方案</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根据《证券发行与承销管理办法》的规定，上市公司发行证券，存在利润分配方案、公积金转增股本方案尚未提交股东大会表决或者虽经股东大会表决通过但未实施的，应当在方案实施后发行。相关方案实施前，主承销商不得承销上市公司发行的证券。配股应采用《证券法》规定的代销方式发行。</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拟定的发行方案与深圳市场已实施过的配股发行方式存在差异的，上市公司及主承销商应当至少在披露发行方案三个交易日前与创业板公司管理部联系，就发行方案的要点进行充分沟通，以确保发行方案顺利实施。</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 xml:space="preserve">创业板公司管理部负责创新方案的事前沟通，对创新方案进行内部协调以及与结算公司沟通，并告知上市公司及主承销商该方案是否可行，如可行，告知其本所完成系统准备需要的时间。 </w:t>
      </w:r>
    </w:p>
    <w:p>
      <w:pPr>
        <w:spacing w:line="560" w:lineRule="exact"/>
        <w:ind w:firstLine="640" w:firstLineChars="200"/>
        <w:rPr>
          <w:rFonts w:ascii="仿宋" w:hAnsi="仿宋" w:eastAsia="仿宋"/>
          <w:b/>
          <w:sz w:val="32"/>
          <w:szCs w:val="32"/>
        </w:rPr>
      </w:pPr>
      <w:r>
        <w:rPr>
          <w:rFonts w:ascii="楷体" w:hAnsi="楷体" w:eastAsia="楷体"/>
          <w:sz w:val="32"/>
          <w:szCs w:val="32"/>
        </w:rPr>
        <w:t>（二）配股网上发行业务要点</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1．上市公司配股发行上市业务流程及时间安排参见《上市公司配股发行上市参考流程》（附件1）。</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2．上市公司配股代码为“38</w:t>
      </w:r>
      <w:r>
        <w:rPr>
          <w:rFonts w:ascii="仿宋" w:hAnsi="仿宋" w:eastAsia="仿宋"/>
          <w:sz w:val="32"/>
          <w:szCs w:val="32"/>
        </w:rPr>
        <w:t>××××</w:t>
      </w:r>
      <w:r>
        <w:rPr>
          <w:rFonts w:ascii="仿宋" w:hAnsi="仿宋" w:eastAsia="仿宋"/>
          <w:color w:val="000000"/>
          <w:sz w:val="32"/>
          <w:szCs w:val="32"/>
        </w:rPr>
        <w:t>”，其中“</w:t>
      </w:r>
      <w:r>
        <w:rPr>
          <w:rFonts w:ascii="仿宋" w:hAnsi="仿宋" w:eastAsia="仿宋"/>
          <w:sz w:val="32"/>
          <w:szCs w:val="32"/>
        </w:rPr>
        <w:t>××××</w:t>
      </w:r>
      <w:r>
        <w:rPr>
          <w:rFonts w:ascii="仿宋" w:hAnsi="仿宋" w:eastAsia="仿宋"/>
          <w:color w:val="000000"/>
          <w:sz w:val="32"/>
          <w:szCs w:val="32"/>
        </w:rPr>
        <w:t>”为上市公司股票代码后四位；</w:t>
      </w:r>
      <w:r>
        <w:rPr>
          <w:rFonts w:hint="eastAsia" w:ascii="仿宋" w:hAnsi="仿宋" w:eastAsia="仿宋"/>
          <w:color w:val="000000"/>
          <w:sz w:val="32"/>
          <w:szCs w:val="32"/>
        </w:rPr>
        <w:t>配股认购简称除“A1配”以外的字符取自上市公司股票简称，后四位字符为“A1配”。</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3．配股缴款时，如投资者在多个证券营业部开户并持有该上市公司股票的，应到各个相应的证券营业部进行配股认购。</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4．投资者在配股缴款时可以多次申报，在申报当日可以撤单。</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5．持有有限售条件的流通股股东可以通过网上或网下方式认购，认购方式应在《配股说明书》中予以明确。</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6．配股发行不向投资者收取手续费。</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7．如配股发行成功，按实际配股认购比例除权。</w:t>
      </w:r>
    </w:p>
    <w:p>
      <w:pPr>
        <w:spacing w:line="560" w:lineRule="exact"/>
        <w:ind w:firstLine="640" w:firstLineChars="200"/>
        <w:rPr>
          <w:rFonts w:ascii="楷体" w:hAnsi="楷体" w:eastAsia="楷体"/>
          <w:sz w:val="32"/>
          <w:szCs w:val="32"/>
        </w:rPr>
      </w:pPr>
      <w:r>
        <w:rPr>
          <w:rFonts w:ascii="楷体" w:hAnsi="楷体" w:eastAsia="楷体"/>
          <w:sz w:val="32"/>
          <w:szCs w:val="32"/>
        </w:rPr>
        <w:t>（三）与结算公司联系办理发行前的相关手续</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上市公司及主承销商应当提前与结算公司发行人业务部、结算业务部等有关部门联系，了解配股发行的相关工作。</w:t>
      </w:r>
    </w:p>
    <w:p>
      <w:pPr>
        <w:spacing w:line="560" w:lineRule="exact"/>
        <w:ind w:firstLine="640" w:firstLineChars="200"/>
        <w:rPr>
          <w:rFonts w:ascii="楷体" w:hAnsi="楷体" w:eastAsia="楷体"/>
          <w:sz w:val="32"/>
          <w:szCs w:val="32"/>
        </w:rPr>
      </w:pPr>
      <w:r>
        <w:rPr>
          <w:rFonts w:ascii="楷体" w:hAnsi="楷体" w:eastAsia="楷体"/>
          <w:sz w:val="32"/>
          <w:szCs w:val="32"/>
        </w:rPr>
        <w:t>（四）与香港证监会联系办理发行前的相关手续（深港通标的，如适用）</w:t>
      </w:r>
    </w:p>
    <w:p>
      <w:pPr>
        <w:spacing w:line="560" w:lineRule="exact"/>
        <w:ind w:firstLine="643" w:firstLineChars="200"/>
        <w:rPr>
          <w:rFonts w:ascii="仿宋" w:hAnsi="仿宋" w:eastAsia="仿宋"/>
          <w:b/>
          <w:sz w:val="32"/>
          <w:szCs w:val="32"/>
        </w:rPr>
      </w:pPr>
      <w:r>
        <w:rPr>
          <w:rFonts w:ascii="黑体" w:hAnsi="黑体" w:eastAsia="黑体"/>
          <w:b/>
          <w:sz w:val="32"/>
          <w:szCs w:val="32"/>
        </w:rPr>
        <w:t>三、配股发行期间的工作</w:t>
      </w:r>
    </w:p>
    <w:p>
      <w:pPr>
        <w:spacing w:line="560" w:lineRule="exact"/>
        <w:ind w:firstLine="640" w:firstLineChars="200"/>
        <w:rPr>
          <w:rFonts w:ascii="楷体" w:hAnsi="楷体" w:eastAsia="楷体"/>
          <w:sz w:val="32"/>
          <w:szCs w:val="32"/>
        </w:rPr>
      </w:pPr>
      <w:r>
        <w:rPr>
          <w:rFonts w:ascii="楷体" w:hAnsi="楷体" w:eastAsia="楷体"/>
          <w:sz w:val="32"/>
          <w:szCs w:val="32"/>
        </w:rPr>
        <w:t>（一）披露《配股说明书》及发行公告</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1．上市公司取得中国证监会予以注册</w:t>
      </w:r>
      <w:r>
        <w:rPr>
          <w:rFonts w:hint="eastAsia" w:ascii="仿宋" w:hAnsi="仿宋" w:eastAsia="仿宋"/>
          <w:color w:val="000000"/>
          <w:sz w:val="32"/>
          <w:szCs w:val="32"/>
        </w:rPr>
        <w:t>决定</w:t>
      </w:r>
      <w:r>
        <w:rPr>
          <w:rFonts w:ascii="仿宋" w:hAnsi="仿宋" w:eastAsia="仿宋"/>
          <w:color w:val="000000"/>
          <w:sz w:val="32"/>
          <w:szCs w:val="32"/>
        </w:rPr>
        <w:t>后，应当在</w:t>
      </w:r>
      <w:r>
        <w:rPr>
          <w:rFonts w:hint="eastAsia" w:ascii="仿宋" w:hAnsi="仿宋" w:eastAsia="仿宋"/>
          <w:color w:val="000000"/>
          <w:sz w:val="32"/>
          <w:szCs w:val="32"/>
        </w:rPr>
        <w:t>注册文件</w:t>
      </w:r>
      <w:r>
        <w:rPr>
          <w:rFonts w:ascii="仿宋" w:hAnsi="仿宋" w:eastAsia="仿宋"/>
          <w:color w:val="000000"/>
          <w:sz w:val="32"/>
          <w:szCs w:val="32"/>
        </w:rPr>
        <w:t>有效期内披露《配股说明书》等相关公告，以保证配股发行顺利实施。</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2．上市公司及保荐人、主承销商在披露《配股说明书》前一个交易日（R-3日）16:00前通过业务专区报送以下发行申请文件：</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（1）配股提示性公告（登报，上网）</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（2）配股募集说明书（上网）</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（3）发行公告（上网）</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（4）路演公告（上网）</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（5）配股申请书（附件2，报备）</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（6）发行方案要点（附件3，报备）</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（7）配股发行失败应退利息支付承诺函（附件4，报备）</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（8）上市公司不存在未实施的利润分配方案的说明（报备）</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《发行公告》公告至少应当包括以下内容：</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（1）配股说明书及发行公告披露日</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（2）股权登记日（R）、配股认购期（R+1至R+5）</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（3）发行数量、发行价格</w:t>
      </w:r>
    </w:p>
    <w:p>
      <w:pPr>
        <w:tabs>
          <w:tab w:val="left" w:pos="0"/>
        </w:tabs>
        <w:snapToGrid w:val="0"/>
        <w:spacing w:line="560" w:lineRule="exact"/>
        <w:ind w:left="420" w:leftChars="200" w:firstLine="160" w:firstLineChars="50"/>
        <w:contextualSpacing/>
        <w:rPr>
          <w:rFonts w:ascii="仿宋" w:hAnsi="仿宋" w:eastAsia="仿宋"/>
          <w:color w:val="000000"/>
          <w:sz w:val="32"/>
          <w:szCs w:val="32"/>
        </w:rPr>
      </w:pPr>
      <w:r>
        <w:rPr>
          <w:rFonts w:ascii="仿宋" w:hAnsi="仿宋" w:eastAsia="仿宋"/>
          <w:color w:val="000000"/>
          <w:sz w:val="32"/>
          <w:szCs w:val="32"/>
        </w:rPr>
        <w:t xml:space="preserve">（4）配股认购代码（38××××）及配股认购简称 </w:t>
      </w:r>
    </w:p>
    <w:p>
      <w:pPr>
        <w:tabs>
          <w:tab w:val="left" w:pos="0"/>
        </w:tabs>
        <w:snapToGrid w:val="0"/>
        <w:spacing w:line="560" w:lineRule="exact"/>
        <w:ind w:left="420" w:leftChars="200" w:firstLine="160" w:firstLineChars="50"/>
        <w:contextualSpacing/>
        <w:rPr>
          <w:rFonts w:ascii="仿宋" w:hAnsi="仿宋" w:eastAsia="仿宋"/>
          <w:color w:val="000000"/>
          <w:sz w:val="32"/>
          <w:szCs w:val="32"/>
        </w:rPr>
      </w:pPr>
      <w:r>
        <w:rPr>
          <w:rFonts w:ascii="仿宋" w:hAnsi="仿宋" w:eastAsia="仿宋"/>
          <w:color w:val="000000"/>
          <w:sz w:val="32"/>
          <w:szCs w:val="32"/>
        </w:rPr>
        <w:t>（5）配股认购办法</w:t>
      </w:r>
    </w:p>
    <w:p>
      <w:pPr>
        <w:tabs>
          <w:tab w:val="left" w:pos="0"/>
        </w:tabs>
        <w:snapToGrid w:val="0"/>
        <w:spacing w:line="560" w:lineRule="exact"/>
        <w:ind w:left="420" w:leftChars="200" w:firstLine="160" w:firstLineChars="50"/>
        <w:contextualSpacing/>
        <w:rPr>
          <w:rFonts w:ascii="仿宋" w:hAnsi="仿宋" w:eastAsia="仿宋"/>
          <w:color w:val="000000"/>
          <w:sz w:val="32"/>
          <w:szCs w:val="32"/>
        </w:rPr>
      </w:pPr>
      <w:r>
        <w:rPr>
          <w:rFonts w:ascii="仿宋" w:hAnsi="仿宋" w:eastAsia="仿宋"/>
          <w:color w:val="000000"/>
          <w:sz w:val="32"/>
          <w:szCs w:val="32"/>
        </w:rPr>
        <w:t>（6）本所要求的其他内容</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3．如上市公司股票属于深港通标的，在《配股说明书》和《发行公告》等文件披露前一个交易日，上市公司及保荐人、主承销商应联系香港证监会及香港公司注册处，咨询业务办理及信息披露事宜，并向香港证监会及香港公司注册处报送必要的材料，确保《配股说明书》和《发行公告》等文件在本所的披露时间与在香港交易所的披露时间保持一致。具体流程按照香港证监会及香港公司注册处的要求办理。</w:t>
      </w:r>
    </w:p>
    <w:p>
      <w:pPr>
        <w:spacing w:line="560" w:lineRule="exact"/>
        <w:ind w:firstLine="640" w:firstLineChars="200"/>
        <w:rPr>
          <w:rFonts w:ascii="楷体" w:hAnsi="楷体" w:eastAsia="楷体"/>
          <w:sz w:val="32"/>
          <w:szCs w:val="32"/>
        </w:rPr>
      </w:pPr>
      <w:r>
        <w:rPr>
          <w:rFonts w:ascii="楷体" w:hAnsi="楷体" w:eastAsia="楷体"/>
          <w:sz w:val="32"/>
          <w:szCs w:val="32"/>
        </w:rPr>
        <w:t>（二）披露《配股提示性公告》</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1．上市公司应当在股权登记日（R日）通过业务专区上传《代销方式配股首次提示性公告》及停牌申请，并于配股认购缴款首日（R+1日）披露，上市公司股票及其衍生品种在R+1至R+6日期间停牌。上市公司应当选择公告类别“代销方式配股首次提示性公告（特停）”。《配股提示性公告》至少应当包括的内容参照前述《发行公告》的相关要求及上市公司股票及其衍生品种停复牌时间。</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2．配股认购期（R+1至R+5日内）上市公司应就配股事项至少再披露两次提示性公告，上市公司应在公告披露前一交易日通过业务专区上传《配股提示性公告》。上市公司R日登记在册的股东在R+1日到R+5日内通过交易系统报盘认购本次获配股份并缴纳认购款。有网下认购配股的（含余股），上市公司应在R+6日10:00前将认购情况送交结算公司办理登记。</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3．深港通标的若遇到本所节假日休市安排与香港不一致的情况（如圣诞节国内不放假，香港放假），上市公司和保荐人、主承销商应与香港证监会和香港中央结算有限公司提前沟通，确保香港的配股缴款期满足要求，募集资金能顺利划付至结算公司。</w:t>
      </w:r>
    </w:p>
    <w:p>
      <w:pPr>
        <w:spacing w:line="560" w:lineRule="exact"/>
        <w:ind w:firstLine="640" w:firstLineChars="200"/>
        <w:rPr>
          <w:rFonts w:ascii="楷体" w:hAnsi="楷体" w:eastAsia="楷体"/>
          <w:sz w:val="32"/>
          <w:szCs w:val="32"/>
        </w:rPr>
      </w:pPr>
      <w:r>
        <w:rPr>
          <w:rFonts w:ascii="楷体" w:hAnsi="楷体" w:eastAsia="楷体"/>
          <w:sz w:val="32"/>
          <w:szCs w:val="32"/>
        </w:rPr>
        <w:t>（三）披露《配股结果公告》</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1．上市公司应在R+6日16：00前通过业务专区上传《配股结果公告》，上市公司应当选择公告类别“代销方式配股结果公告（取消特停）”，经本所审</w:t>
      </w:r>
      <w:r>
        <w:rPr>
          <w:rFonts w:hint="eastAsia" w:ascii="仿宋" w:hAnsi="仿宋" w:eastAsia="仿宋"/>
          <w:color w:val="000000"/>
          <w:sz w:val="32"/>
          <w:szCs w:val="32"/>
        </w:rPr>
        <w:t>查</w:t>
      </w:r>
      <w:r>
        <w:rPr>
          <w:rFonts w:ascii="仿宋" w:hAnsi="仿宋" w:eastAsia="仿宋"/>
          <w:color w:val="000000"/>
          <w:sz w:val="32"/>
          <w:szCs w:val="32"/>
        </w:rPr>
        <w:t>无误后披露。配股发行结束，上市公司股票及其衍生品种于R+7日复牌。</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2．在配股缴款结束日（R+6日），结算公司向上市公司或主承销商出具配股网上申购情况统计表，上市公司或主承销商应向本所提供网上和网下（如有）配股数据，并根据网上和网下（如有）的合并数据来确定配股是否成功。上市公司据此向本所提交配股结果公告，同时申请次一交易日（R+7）公司股票及其衍生品种复牌。</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3．控股股东不履行认配股份的承诺，或者代销期限届满，原股东认购股票的数量未达到拟配售数量百分之七十的，本次配股失败。结算公司将配股认购本金及利息退还到结算参与人结算备付金账户，认购资金利息由主承销商垫付。若主承销商结算备付金账户没有足额资金用于垫付利息，则不进行退款指令维护，并推迟退款日。</w:t>
      </w:r>
    </w:p>
    <w:p>
      <w:pPr>
        <w:spacing w:line="560" w:lineRule="exact"/>
        <w:ind w:firstLine="643" w:firstLineChars="200"/>
        <w:rPr>
          <w:rFonts w:ascii="黑体" w:hAnsi="黑体" w:eastAsia="黑体"/>
          <w:b/>
          <w:sz w:val="32"/>
          <w:szCs w:val="32"/>
        </w:rPr>
      </w:pPr>
      <w:bookmarkStart w:id="65" w:name="_Toc26104635"/>
      <w:bookmarkStart w:id="66" w:name="_Toc26103028"/>
      <w:bookmarkStart w:id="67" w:name="_Toc26093102"/>
      <w:bookmarkStart w:id="68" w:name="_Toc26104224"/>
      <w:bookmarkStart w:id="69" w:name="_Toc26103690"/>
      <w:bookmarkStart w:id="70" w:name="_Toc26092450"/>
      <w:bookmarkStart w:id="71" w:name="_Toc26093847"/>
      <w:bookmarkStart w:id="72" w:name="_Toc26115227"/>
      <w:bookmarkStart w:id="73" w:name="_Toc26115368"/>
      <w:bookmarkStart w:id="74" w:name="_Toc26022251"/>
      <w:bookmarkStart w:id="75" w:name="_Toc26107655"/>
      <w:bookmarkStart w:id="76" w:name="_Toc26104473"/>
      <w:bookmarkStart w:id="77" w:name="_Toc26092058"/>
      <w:bookmarkStart w:id="78" w:name="_Toc26106168"/>
      <w:r>
        <w:rPr>
          <w:rFonts w:ascii="黑体" w:hAnsi="黑体" w:eastAsia="黑体"/>
          <w:b/>
          <w:sz w:val="32"/>
          <w:szCs w:val="32"/>
        </w:rPr>
        <w:t>四、股份登记及上市的相关工作</w:t>
      </w:r>
    </w:p>
    <w:p>
      <w:pPr>
        <w:spacing w:line="560" w:lineRule="exact"/>
        <w:ind w:firstLine="640" w:firstLineChars="200"/>
        <w:rPr>
          <w:rFonts w:ascii="楷体" w:hAnsi="楷体" w:eastAsia="楷体"/>
          <w:sz w:val="32"/>
          <w:szCs w:val="32"/>
        </w:rPr>
      </w:pPr>
      <w:r>
        <w:rPr>
          <w:rFonts w:ascii="楷体" w:hAnsi="楷体" w:eastAsia="楷体"/>
          <w:sz w:val="32"/>
          <w:szCs w:val="32"/>
        </w:rPr>
        <w:t>（一）股份登记</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发行结束后的两个交易日内，上市公司及主承销商应当按照结算公司的要求办理配股股份登记托管手续，具体流程</w:t>
      </w:r>
      <w:r>
        <w:rPr>
          <w:rFonts w:hint="eastAsia" w:ascii="仿宋" w:hAnsi="仿宋" w:eastAsia="仿宋"/>
          <w:color w:val="000000"/>
          <w:sz w:val="32"/>
          <w:szCs w:val="32"/>
        </w:rPr>
        <w:t>按照</w:t>
      </w:r>
      <w:r>
        <w:rPr>
          <w:rFonts w:ascii="仿宋" w:hAnsi="仿宋" w:eastAsia="仿宋"/>
          <w:color w:val="000000"/>
          <w:sz w:val="32"/>
          <w:szCs w:val="32"/>
        </w:rPr>
        <w:t>结算公司相关业务指南。</w:t>
      </w:r>
    </w:p>
    <w:p>
      <w:pPr>
        <w:spacing w:line="560" w:lineRule="exact"/>
        <w:ind w:firstLine="640" w:firstLineChars="200"/>
        <w:rPr>
          <w:rFonts w:ascii="楷体" w:hAnsi="楷体" w:eastAsia="楷体"/>
          <w:sz w:val="32"/>
          <w:szCs w:val="32"/>
        </w:rPr>
      </w:pPr>
      <w:r>
        <w:rPr>
          <w:rFonts w:ascii="楷体" w:hAnsi="楷体" w:eastAsia="楷体"/>
          <w:sz w:val="32"/>
          <w:szCs w:val="32"/>
        </w:rPr>
        <w:t>（二）申请配股上市披露文件</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1．股份登记业务完成后的两个交易日内，上市公司及保荐人应申请配股股份上市，并通过业务专区提交以下申请文件：</w:t>
      </w:r>
      <w:bookmarkEnd w:id="65"/>
      <w:bookmarkEnd w:id="66"/>
      <w:bookmarkEnd w:id="67"/>
      <w:bookmarkEnd w:id="68"/>
      <w:bookmarkEnd w:id="69"/>
      <w:bookmarkEnd w:id="70"/>
      <w:bookmarkEnd w:id="71"/>
      <w:bookmarkEnd w:id="72"/>
      <w:bookmarkEnd w:id="73"/>
      <w:bookmarkEnd w:id="74"/>
      <w:bookmarkEnd w:id="75"/>
      <w:bookmarkEnd w:id="76"/>
      <w:bookmarkEnd w:id="77"/>
      <w:bookmarkEnd w:id="78"/>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（1）上市申请书（报备）</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（2）股份变动及配股上市公告书（上网）</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（3）上市保荐书（上网）、保荐协议（报备）</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（4）</w:t>
      </w:r>
      <w:r>
        <w:rPr>
          <w:rFonts w:hint="eastAsia" w:ascii="仿宋" w:hAnsi="仿宋" w:eastAsia="仿宋"/>
          <w:color w:val="000000"/>
          <w:sz w:val="32"/>
          <w:szCs w:val="32"/>
        </w:rPr>
        <w:t>符合《证券法》规定的会计师事务所</w:t>
      </w:r>
      <w:r>
        <w:rPr>
          <w:rFonts w:ascii="仿宋" w:hAnsi="仿宋" w:eastAsia="仿宋"/>
          <w:color w:val="000000"/>
          <w:sz w:val="32"/>
          <w:szCs w:val="32"/>
        </w:rPr>
        <w:t>出具的验资报告（报备）</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sz w:val="32"/>
          <w:szCs w:val="32"/>
        </w:rPr>
        <w:t>（</w:t>
      </w:r>
      <w:r>
        <w:rPr>
          <w:rFonts w:ascii="仿宋" w:hAnsi="仿宋" w:eastAsia="仿宋"/>
          <w:color w:val="000000"/>
          <w:sz w:val="32"/>
          <w:szCs w:val="32"/>
        </w:rPr>
        <w:t>5）结算公司对新增股份登记的书面证明、前十大股东名册（报备）</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（6）董事、监事和高级管理人员持股情况变动的报告（如适用，上网）</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（7）公司仍符合发行条件的说明，说明截至上市申请日，公司仍符合配股发行条件（报备）</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（8）无会后事项承诺函（报备）</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（9）本所要求的其他文件</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2．上市公司及保荐人将《股份变动及配股上市公告》报送香港证监会备案（深港通标的，如有涉及）。</w:t>
      </w:r>
    </w:p>
    <w:p>
      <w:pPr>
        <w:spacing w:line="560" w:lineRule="exact"/>
        <w:ind w:firstLine="640" w:firstLineChars="200"/>
        <w:rPr>
          <w:rFonts w:ascii="楷体" w:hAnsi="楷体" w:eastAsia="楷体"/>
          <w:sz w:val="32"/>
          <w:szCs w:val="32"/>
        </w:rPr>
      </w:pPr>
      <w:r>
        <w:rPr>
          <w:rFonts w:ascii="楷体" w:hAnsi="楷体" w:eastAsia="楷体"/>
          <w:sz w:val="32"/>
          <w:szCs w:val="32"/>
        </w:rPr>
        <w:t>（三）上市公告书</w:t>
      </w:r>
      <w:r>
        <w:rPr>
          <w:rFonts w:hint="eastAsia" w:ascii="楷体" w:hAnsi="楷体" w:eastAsia="楷体"/>
          <w:sz w:val="32"/>
          <w:szCs w:val="32"/>
        </w:rPr>
        <w:t>等</w:t>
      </w:r>
      <w:r>
        <w:rPr>
          <w:rFonts w:ascii="楷体" w:hAnsi="楷体" w:eastAsia="楷体"/>
          <w:sz w:val="32"/>
          <w:szCs w:val="32"/>
        </w:rPr>
        <w:t>披露要求</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1．上市公司应当在配股股份上市流通前五个交易日内披露《股份变动及配股上市公告》，公告内容与格式应当符合《公开发行证券的公司信息披露内容与格式准则第5号——公司股份变动报告的内容与格式》以及本所《创业板上市公司新增股份变动报告及上市公告书格式》等相关规定的要求。</w:t>
      </w:r>
    </w:p>
    <w:p>
      <w:pPr>
        <w:tabs>
          <w:tab w:val="left" w:pos="0"/>
        </w:tabs>
        <w:snapToGrid w:val="0"/>
        <w:spacing w:line="560" w:lineRule="exact"/>
        <w:ind w:firstLine="640" w:firstLineChars="200"/>
        <w:contextualSpacing/>
        <w:rPr>
          <w:rFonts w:ascii="仿宋" w:hAnsi="仿宋" w:eastAsia="仿宋"/>
          <w:color w:val="000000"/>
          <w:sz w:val="32"/>
          <w:szCs w:val="32"/>
        </w:rPr>
      </w:pPr>
      <w:r>
        <w:rPr>
          <w:rFonts w:ascii="仿宋" w:hAnsi="仿宋" w:eastAsia="仿宋"/>
          <w:color w:val="000000"/>
          <w:sz w:val="32"/>
          <w:szCs w:val="32"/>
        </w:rPr>
        <w:t>2．上市公司新增股份上市首日，上市公司总股本按《股份变动及配股上市公告》中的相关指标进行调整。因配股导致部分股东持股比例触及《收购管理办法》所规范的收购及股份权益变动披露标准的，应按《收购管理办法》及相关法律法规、规范性文件要求，履行权益变动披露程序。相关股东应在披露配股发行结果之日起3日内披露《简式权益变动报告书》《详式权益变动报告书》等文件。</w:t>
      </w:r>
    </w:p>
    <w:p>
      <w:pPr>
        <w:tabs>
          <w:tab w:val="left" w:pos="0"/>
        </w:tabs>
        <w:snapToGrid w:val="0"/>
        <w:spacing w:line="560" w:lineRule="exact"/>
        <w:ind w:firstLine="640" w:firstLineChars="200"/>
        <w:contextualSpacing/>
        <w:rPr>
          <w:rFonts w:ascii="仿宋" w:hAnsi="仿宋" w:eastAsia="仿宋"/>
          <w:color w:val="000000"/>
          <w:sz w:val="32"/>
          <w:szCs w:val="32"/>
        </w:rPr>
      </w:pPr>
    </w:p>
    <w:p>
      <w:pPr>
        <w:spacing w:line="560" w:lineRule="exact"/>
        <w:rPr>
          <w:rFonts w:ascii="黑体" w:hAnsi="黑体" w:eastAsia="黑体"/>
          <w:sz w:val="32"/>
          <w:szCs w:val="32"/>
        </w:rPr>
      </w:pPr>
      <w:r>
        <w:br w:type="page"/>
      </w:r>
      <w:r>
        <w:rPr>
          <w:rFonts w:ascii="黑体" w:hAnsi="黑体" w:eastAsia="黑体"/>
          <w:sz w:val="32"/>
          <w:szCs w:val="32"/>
        </w:rPr>
        <w:t>附件1</w:t>
      </w:r>
    </w:p>
    <w:p>
      <w:pPr>
        <w:spacing w:line="560" w:lineRule="exact"/>
        <w:rPr>
          <w:rFonts w:eastAsia="黑体"/>
          <w:sz w:val="32"/>
          <w:szCs w:val="32"/>
        </w:rPr>
      </w:pPr>
    </w:p>
    <w:p>
      <w:pPr>
        <w:spacing w:line="560" w:lineRule="exact"/>
        <w:jc w:val="center"/>
        <w:rPr>
          <w:rFonts w:ascii="方正小标宋简体" w:hAnsi="黑体" w:eastAsia="方正小标宋简体"/>
          <w:bCs/>
          <w:color w:val="000000"/>
          <w:sz w:val="32"/>
          <w:szCs w:val="32"/>
        </w:rPr>
      </w:pPr>
      <w:r>
        <w:rPr>
          <w:rFonts w:hint="eastAsia" w:ascii="方正小标宋简体" w:hAnsi="黑体" w:eastAsia="方正小标宋简体"/>
          <w:bCs/>
          <w:color w:val="000000"/>
          <w:sz w:val="32"/>
          <w:szCs w:val="32"/>
        </w:rPr>
        <w:t>创业板上市公司配股发行上市参考流程</w:t>
      </w:r>
    </w:p>
    <w:p>
      <w:pPr>
        <w:ind w:left="376" w:leftChars="-43" w:hanging="466" w:hangingChars="222"/>
        <w:jc w:val="center"/>
        <w:rPr>
          <w:rFonts w:ascii="宋体" w:hAnsi="宋体"/>
        </w:rPr>
      </w:pPr>
      <w:r>
        <w:rPr>
          <w:rFonts w:ascii="宋体" w:hAnsi="宋体"/>
        </w:rPr>
        <w:t>（注：R为股权登记日，L为获配股份上市日）</w:t>
      </w:r>
    </w:p>
    <w:tbl>
      <w:tblPr>
        <w:tblStyle w:val="56"/>
        <w:tblpPr w:leftFromText="180" w:rightFromText="180" w:vertAnchor="text" w:horzAnchor="margin" w:tblpXSpec="center" w:tblpY="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67"/>
        <w:gridCol w:w="1320"/>
        <w:gridCol w:w="1704"/>
        <w:gridCol w:w="5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8" w:hRule="atLeast"/>
        </w:trPr>
        <w:tc>
          <w:tcPr>
            <w:tcW w:w="767" w:type="dxa"/>
            <w:vAlign w:val="center"/>
          </w:tcPr>
          <w:p>
            <w:pPr>
              <w:jc w:val="center"/>
              <w:rPr>
                <w:rFonts w:ascii="宋体" w:hAnsi="宋体"/>
                <w:b/>
                <w:szCs w:val="21"/>
              </w:rPr>
            </w:pPr>
            <w:r>
              <w:rPr>
                <w:rFonts w:ascii="宋体" w:hAnsi="宋体"/>
                <w:b/>
                <w:szCs w:val="21"/>
              </w:rPr>
              <w:t>序号</w:t>
            </w:r>
          </w:p>
        </w:tc>
        <w:tc>
          <w:tcPr>
            <w:tcW w:w="1320" w:type="dxa"/>
            <w:vAlign w:val="center"/>
          </w:tcPr>
          <w:p>
            <w:pPr>
              <w:jc w:val="center"/>
              <w:rPr>
                <w:rFonts w:ascii="宋体" w:hAnsi="宋体"/>
                <w:b/>
                <w:szCs w:val="21"/>
              </w:rPr>
            </w:pPr>
            <w:r>
              <w:rPr>
                <w:rFonts w:ascii="宋体" w:hAnsi="宋体"/>
                <w:b/>
                <w:szCs w:val="21"/>
              </w:rPr>
              <w:t>阶段</w:t>
            </w:r>
          </w:p>
        </w:tc>
        <w:tc>
          <w:tcPr>
            <w:tcW w:w="1704" w:type="dxa"/>
            <w:vAlign w:val="center"/>
          </w:tcPr>
          <w:p>
            <w:pPr>
              <w:jc w:val="center"/>
              <w:rPr>
                <w:rFonts w:ascii="宋体" w:hAnsi="宋体"/>
                <w:b/>
                <w:szCs w:val="21"/>
              </w:rPr>
            </w:pPr>
            <w:r>
              <w:rPr>
                <w:rFonts w:ascii="宋体" w:hAnsi="宋体"/>
                <w:b/>
                <w:szCs w:val="21"/>
              </w:rPr>
              <w:t>时  间</w:t>
            </w:r>
          </w:p>
        </w:tc>
        <w:tc>
          <w:tcPr>
            <w:tcW w:w="5141" w:type="dxa"/>
            <w:vAlign w:val="center"/>
          </w:tcPr>
          <w:p>
            <w:pPr>
              <w:jc w:val="center"/>
              <w:rPr>
                <w:rFonts w:ascii="宋体" w:hAnsi="宋体"/>
                <w:b/>
                <w:szCs w:val="21"/>
              </w:rPr>
            </w:pPr>
            <w:r>
              <w:rPr>
                <w:rFonts w:ascii="宋体" w:hAnsi="宋体"/>
                <w:b/>
                <w:szCs w:val="21"/>
              </w:rPr>
              <w:t>具体工作内容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86" w:hRule="atLeast"/>
        </w:trPr>
        <w:tc>
          <w:tcPr>
            <w:tcW w:w="767" w:type="dxa"/>
            <w:vAlign w:val="center"/>
          </w:tcPr>
          <w:p>
            <w:pPr>
              <w:jc w:val="center"/>
              <w:rPr>
                <w:rFonts w:ascii="宋体" w:hAnsi="宋体"/>
                <w:szCs w:val="21"/>
              </w:rPr>
            </w:pPr>
            <w:r>
              <w:rPr>
                <w:rFonts w:ascii="宋体" w:hAnsi="宋体"/>
                <w:szCs w:val="21"/>
              </w:rPr>
              <w:t>1</w:t>
            </w:r>
          </w:p>
        </w:tc>
        <w:tc>
          <w:tcPr>
            <w:tcW w:w="1320" w:type="dxa"/>
            <w:vAlign w:val="center"/>
          </w:tcPr>
          <w:p>
            <w:pPr>
              <w:rPr>
                <w:rFonts w:ascii="宋体" w:hAnsi="宋体"/>
                <w:b/>
                <w:szCs w:val="21"/>
              </w:rPr>
            </w:pPr>
            <w:r>
              <w:rPr>
                <w:rFonts w:ascii="宋体" w:hAnsi="宋体"/>
                <w:b/>
                <w:szCs w:val="21"/>
              </w:rPr>
              <w:t>发行安排</w:t>
            </w:r>
          </w:p>
        </w:tc>
        <w:tc>
          <w:tcPr>
            <w:tcW w:w="1704" w:type="dxa"/>
            <w:vAlign w:val="center"/>
          </w:tcPr>
          <w:p>
            <w:pPr>
              <w:rPr>
                <w:rFonts w:ascii="宋体" w:hAnsi="宋体"/>
                <w:szCs w:val="21"/>
              </w:rPr>
            </w:pPr>
            <w:r>
              <w:rPr>
                <w:rFonts w:ascii="宋体" w:hAnsi="宋体"/>
                <w:szCs w:val="21"/>
              </w:rPr>
              <w:t>获取证监会予以注册</w:t>
            </w:r>
            <w:r>
              <w:rPr>
                <w:rFonts w:hint="eastAsia" w:ascii="宋体" w:hAnsi="宋体"/>
                <w:szCs w:val="21"/>
              </w:rPr>
              <w:t>文件</w:t>
            </w:r>
            <w:r>
              <w:rPr>
                <w:rFonts w:ascii="宋体" w:hAnsi="宋体"/>
                <w:szCs w:val="21"/>
              </w:rPr>
              <w:t>后至披露《配股说明书及发行公告》前一交易日（R-3日）（可与1同时进行）</w:t>
            </w:r>
          </w:p>
        </w:tc>
        <w:tc>
          <w:tcPr>
            <w:tcW w:w="5141" w:type="dxa"/>
            <w:vAlign w:val="center"/>
          </w:tcPr>
          <w:p>
            <w:pPr>
              <w:rPr>
                <w:rFonts w:ascii="宋体" w:hAnsi="宋体"/>
                <w:szCs w:val="21"/>
              </w:rPr>
            </w:pPr>
            <w:r>
              <w:rPr>
                <w:rFonts w:ascii="宋体" w:hAnsi="宋体"/>
                <w:szCs w:val="21"/>
              </w:rPr>
              <w:t>发行方案若有创新，上市公司（或主承销商）应及时与创业板公司管理部沟通，创业板公司管理部负责创新方案实施的内部协调，并与结算公司进行沟通。根据情况不同，告知上市公司（或主承销商）该方案是否可行、本所和结算公司完成系统准备的最后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46" w:hRule="atLeast"/>
        </w:trPr>
        <w:tc>
          <w:tcPr>
            <w:tcW w:w="767" w:type="dxa"/>
            <w:vMerge w:val="restart"/>
            <w:vAlign w:val="center"/>
          </w:tcPr>
          <w:p>
            <w:pPr>
              <w:jc w:val="center"/>
              <w:rPr>
                <w:rFonts w:ascii="宋体" w:hAnsi="宋体"/>
                <w:szCs w:val="21"/>
              </w:rPr>
            </w:pPr>
            <w:r>
              <w:rPr>
                <w:rFonts w:ascii="宋体" w:hAnsi="宋体"/>
                <w:szCs w:val="21"/>
              </w:rPr>
              <w:t>2</w:t>
            </w:r>
          </w:p>
          <w:p>
            <w:pPr>
              <w:jc w:val="center"/>
              <w:rPr>
                <w:rFonts w:ascii="宋体" w:hAnsi="宋体"/>
                <w:szCs w:val="21"/>
              </w:rPr>
            </w:pPr>
          </w:p>
        </w:tc>
        <w:tc>
          <w:tcPr>
            <w:tcW w:w="1320" w:type="dxa"/>
            <w:vMerge w:val="restart"/>
            <w:vAlign w:val="center"/>
          </w:tcPr>
          <w:p>
            <w:pPr>
              <w:rPr>
                <w:rFonts w:ascii="宋体" w:hAnsi="宋体"/>
                <w:b/>
                <w:szCs w:val="21"/>
              </w:rPr>
            </w:pPr>
            <w:r>
              <w:rPr>
                <w:rFonts w:ascii="宋体" w:hAnsi="宋体"/>
                <w:b/>
                <w:szCs w:val="21"/>
              </w:rPr>
              <w:t>披露《配股说明书及发行公告》</w:t>
            </w:r>
          </w:p>
        </w:tc>
        <w:tc>
          <w:tcPr>
            <w:tcW w:w="1704" w:type="dxa"/>
            <w:vAlign w:val="center"/>
          </w:tcPr>
          <w:p>
            <w:pPr>
              <w:rPr>
                <w:rFonts w:ascii="宋体" w:hAnsi="宋体"/>
                <w:szCs w:val="21"/>
              </w:rPr>
            </w:pPr>
            <w:r>
              <w:rPr>
                <w:rFonts w:ascii="宋体" w:hAnsi="宋体"/>
                <w:szCs w:val="21"/>
              </w:rPr>
              <w:t>R-4日</w:t>
            </w:r>
          </w:p>
          <w:p>
            <w:pPr>
              <w:rPr>
                <w:rFonts w:ascii="宋体" w:hAnsi="宋体"/>
                <w:szCs w:val="21"/>
              </w:rPr>
            </w:pPr>
            <w:r>
              <w:rPr>
                <w:rFonts w:ascii="宋体" w:hAnsi="宋体"/>
                <w:szCs w:val="21"/>
              </w:rPr>
              <w:t>（披露《配股说明书及发行公告》前两个交易日）</w:t>
            </w:r>
          </w:p>
        </w:tc>
        <w:tc>
          <w:tcPr>
            <w:tcW w:w="5141" w:type="dxa"/>
            <w:vAlign w:val="center"/>
          </w:tcPr>
          <w:p>
            <w:pPr>
              <w:rPr>
                <w:rFonts w:ascii="宋体" w:hAnsi="宋体"/>
                <w:szCs w:val="21"/>
              </w:rPr>
            </w:pPr>
            <w:r>
              <w:rPr>
                <w:rFonts w:ascii="宋体" w:hAnsi="宋体"/>
                <w:szCs w:val="21"/>
              </w:rPr>
              <w:t>向本所报送以下电子材料：</w:t>
            </w:r>
          </w:p>
          <w:p>
            <w:pPr>
              <w:rPr>
                <w:rFonts w:ascii="宋体" w:hAnsi="宋体"/>
                <w:szCs w:val="21"/>
              </w:rPr>
            </w:pPr>
            <w:r>
              <w:rPr>
                <w:rFonts w:ascii="宋体" w:hAnsi="宋体"/>
                <w:szCs w:val="21"/>
              </w:rPr>
              <w:t>（1）发行方案要点和发行公告</w:t>
            </w:r>
          </w:p>
          <w:p>
            <w:pPr>
              <w:rPr>
                <w:rFonts w:ascii="宋体" w:hAnsi="宋体"/>
                <w:szCs w:val="21"/>
              </w:rPr>
            </w:pPr>
            <w:r>
              <w:rPr>
                <w:rFonts w:ascii="宋体" w:hAnsi="宋体"/>
                <w:szCs w:val="21"/>
              </w:rPr>
              <w:t>（2）发行上市一般时间安排</w:t>
            </w:r>
          </w:p>
          <w:p>
            <w:pPr>
              <w:rPr>
                <w:rFonts w:ascii="宋体" w:hAnsi="宋体"/>
                <w:szCs w:val="21"/>
              </w:rPr>
            </w:pPr>
            <w:r>
              <w:rPr>
                <w:rFonts w:ascii="宋体" w:hAnsi="宋体"/>
                <w:szCs w:val="21"/>
              </w:rPr>
              <w:t>（3）配股说明书摘要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86" w:hRule="atLeast"/>
        </w:trPr>
        <w:tc>
          <w:tcPr>
            <w:tcW w:w="767" w:type="dxa"/>
            <w:vMerge w:val="continue"/>
            <w:vAlign w:val="center"/>
          </w:tcPr>
          <w:p>
            <w:pPr>
              <w:jc w:val="center"/>
              <w:rPr>
                <w:rFonts w:ascii="宋体" w:hAnsi="宋体"/>
                <w:szCs w:val="21"/>
              </w:rPr>
            </w:pPr>
          </w:p>
        </w:tc>
        <w:tc>
          <w:tcPr>
            <w:tcW w:w="1320" w:type="dxa"/>
            <w:vMerge w:val="continue"/>
            <w:vAlign w:val="center"/>
          </w:tcPr>
          <w:p>
            <w:pPr>
              <w:rPr>
                <w:rFonts w:ascii="宋体" w:hAnsi="宋体"/>
                <w:szCs w:val="21"/>
              </w:rPr>
            </w:pPr>
          </w:p>
        </w:tc>
        <w:tc>
          <w:tcPr>
            <w:tcW w:w="1704" w:type="dxa"/>
            <w:vAlign w:val="center"/>
          </w:tcPr>
          <w:p>
            <w:pPr>
              <w:rPr>
                <w:rFonts w:ascii="宋体" w:hAnsi="宋体"/>
                <w:szCs w:val="21"/>
              </w:rPr>
            </w:pPr>
            <w:r>
              <w:rPr>
                <w:rFonts w:ascii="宋体" w:hAnsi="宋体"/>
                <w:szCs w:val="21"/>
              </w:rPr>
              <w:t>R-3日</w:t>
            </w:r>
          </w:p>
          <w:p>
            <w:pPr>
              <w:rPr>
                <w:rFonts w:ascii="宋体" w:hAnsi="宋体"/>
                <w:szCs w:val="21"/>
              </w:rPr>
            </w:pPr>
            <w:r>
              <w:rPr>
                <w:rFonts w:ascii="宋体" w:hAnsi="宋体"/>
                <w:szCs w:val="21"/>
              </w:rPr>
              <w:t>（披露《配股说明书及发行公告》前一个交易日）</w:t>
            </w:r>
          </w:p>
        </w:tc>
        <w:tc>
          <w:tcPr>
            <w:tcW w:w="5141" w:type="dxa"/>
            <w:vAlign w:val="center"/>
          </w:tcPr>
          <w:p>
            <w:pPr>
              <w:rPr>
                <w:rFonts w:ascii="宋体" w:hAnsi="宋体"/>
                <w:szCs w:val="21"/>
              </w:rPr>
            </w:pPr>
            <w:r>
              <w:rPr>
                <w:rFonts w:ascii="宋体" w:hAnsi="宋体"/>
                <w:szCs w:val="21"/>
              </w:rPr>
              <w:t>向香港证监会报送套封材料（深港通标的，如有涉及）</w:t>
            </w:r>
          </w:p>
          <w:p>
            <w:pPr>
              <w:rPr>
                <w:rFonts w:ascii="宋体" w:hAnsi="宋体"/>
                <w:szCs w:val="21"/>
              </w:rPr>
            </w:pPr>
            <w:r>
              <w:rPr>
                <w:rFonts w:ascii="宋体" w:hAnsi="宋体"/>
                <w:szCs w:val="21"/>
              </w:rPr>
              <w:t>（1）上市公司及保荐人、主承销商9：00向香港证监会报送套封材料，香港证监会处理完后提供授权函件。</w:t>
            </w:r>
          </w:p>
          <w:p>
            <w:pPr>
              <w:rPr>
                <w:rFonts w:ascii="宋体" w:hAnsi="宋体"/>
                <w:szCs w:val="21"/>
              </w:rPr>
            </w:pPr>
            <w:r>
              <w:rPr>
                <w:rFonts w:ascii="宋体" w:hAnsi="宋体"/>
                <w:szCs w:val="21"/>
              </w:rPr>
              <w:t>（2）上市公司及保荐人、主承销商向公司注册处提供香港证监会出具的授权函件和配股说明书，香港公司注册处处理完后提供受理函件。</w:t>
            </w:r>
          </w:p>
          <w:p>
            <w:pPr>
              <w:rPr>
                <w:rFonts w:ascii="宋体" w:hAnsi="宋体"/>
                <w:szCs w:val="21"/>
              </w:rPr>
            </w:pPr>
            <w:r>
              <w:rPr>
                <w:rFonts w:ascii="宋体" w:hAnsi="宋体"/>
                <w:szCs w:val="21"/>
              </w:rPr>
              <w:t>（3）香港证监会18：00前依据公司注册处提供的受理函件，并在本所完成《配股说明书及发行公告》的业务全流程后，进行业务处理，相关公告于次一交易日在</w:t>
            </w:r>
            <w:r>
              <w:rPr>
                <w:rFonts w:hint="eastAsia" w:ascii="宋体" w:hAnsi="宋体"/>
                <w:szCs w:val="21"/>
              </w:rPr>
              <w:t>符合条件媒体</w:t>
            </w:r>
            <w:r>
              <w:rPr>
                <w:rFonts w:ascii="宋体" w:hAnsi="宋体"/>
                <w:szCs w:val="21"/>
              </w:rPr>
              <w:t>披露。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95" w:hRule="atLeast"/>
        </w:trPr>
        <w:tc>
          <w:tcPr>
            <w:tcW w:w="767" w:type="dxa"/>
            <w:vMerge w:val="continue"/>
            <w:vAlign w:val="center"/>
          </w:tcPr>
          <w:p>
            <w:pPr>
              <w:jc w:val="center"/>
              <w:rPr>
                <w:rFonts w:ascii="宋体" w:hAnsi="宋体"/>
                <w:szCs w:val="21"/>
              </w:rPr>
            </w:pPr>
          </w:p>
        </w:tc>
        <w:tc>
          <w:tcPr>
            <w:tcW w:w="1320" w:type="dxa"/>
            <w:vMerge w:val="continue"/>
            <w:vAlign w:val="center"/>
          </w:tcPr>
          <w:p>
            <w:pPr>
              <w:rPr>
                <w:rFonts w:ascii="宋体" w:hAnsi="宋体"/>
                <w:szCs w:val="21"/>
              </w:rPr>
            </w:pPr>
          </w:p>
        </w:tc>
        <w:tc>
          <w:tcPr>
            <w:tcW w:w="1704" w:type="dxa"/>
            <w:vAlign w:val="center"/>
          </w:tcPr>
          <w:p>
            <w:pPr>
              <w:rPr>
                <w:rFonts w:ascii="宋体" w:hAnsi="宋体"/>
                <w:szCs w:val="21"/>
              </w:rPr>
            </w:pPr>
            <w:r>
              <w:rPr>
                <w:rFonts w:ascii="宋体" w:hAnsi="宋体"/>
                <w:szCs w:val="21"/>
              </w:rPr>
              <w:t>R-3日</w:t>
            </w:r>
          </w:p>
          <w:p>
            <w:pPr>
              <w:rPr>
                <w:rFonts w:ascii="宋体" w:hAnsi="宋体"/>
                <w:szCs w:val="21"/>
              </w:rPr>
            </w:pPr>
            <w:r>
              <w:rPr>
                <w:rFonts w:ascii="宋体" w:hAnsi="宋体"/>
                <w:szCs w:val="21"/>
              </w:rPr>
              <w:t>（披露《配股说明书及发行公告》前一个交易日）</w:t>
            </w:r>
          </w:p>
        </w:tc>
        <w:tc>
          <w:tcPr>
            <w:tcW w:w="5141" w:type="dxa"/>
            <w:vAlign w:val="center"/>
          </w:tcPr>
          <w:p>
            <w:pPr>
              <w:rPr>
                <w:rFonts w:ascii="宋体" w:hAnsi="宋体"/>
                <w:szCs w:val="21"/>
              </w:rPr>
            </w:pPr>
            <w:r>
              <w:rPr>
                <w:rFonts w:ascii="宋体" w:hAnsi="宋体"/>
                <w:szCs w:val="21"/>
              </w:rPr>
              <w:t>同时，上市公司通过业务专区向本所报送申请文件：</w:t>
            </w:r>
          </w:p>
          <w:p>
            <w:pPr>
              <w:rPr>
                <w:rFonts w:ascii="宋体" w:hAnsi="宋体"/>
                <w:szCs w:val="21"/>
              </w:rPr>
            </w:pPr>
            <w:r>
              <w:rPr>
                <w:rFonts w:ascii="宋体" w:hAnsi="宋体"/>
                <w:szCs w:val="21"/>
              </w:rPr>
              <w:t>（1）配股申请书（附件2，公司和主承销商盖章）；</w:t>
            </w:r>
          </w:p>
          <w:p>
            <w:pPr>
              <w:rPr>
                <w:rFonts w:ascii="宋体" w:hAnsi="宋体"/>
                <w:szCs w:val="21"/>
              </w:rPr>
            </w:pPr>
            <w:r>
              <w:rPr>
                <w:rFonts w:ascii="宋体" w:hAnsi="宋体"/>
                <w:szCs w:val="21"/>
              </w:rPr>
              <w:t>（2）发行方案要点（附件3，主承销商盖章）和发行公告（公司和主承销商盖章）；</w:t>
            </w:r>
          </w:p>
          <w:p>
            <w:pPr>
              <w:rPr>
                <w:rFonts w:ascii="宋体" w:hAnsi="宋体"/>
                <w:szCs w:val="21"/>
              </w:rPr>
            </w:pPr>
            <w:r>
              <w:rPr>
                <w:rFonts w:ascii="宋体" w:hAnsi="宋体"/>
                <w:szCs w:val="21"/>
              </w:rPr>
              <w:t>（3）配股说明书摘要、配股说明书全文、路演公告（公司和主承销商盖章）；</w:t>
            </w:r>
          </w:p>
          <w:p>
            <w:pPr>
              <w:rPr>
                <w:rFonts w:ascii="宋体" w:hAnsi="宋体"/>
                <w:szCs w:val="21"/>
              </w:rPr>
            </w:pPr>
            <w:r>
              <w:rPr>
                <w:rFonts w:ascii="宋体" w:hAnsi="宋体"/>
                <w:szCs w:val="21"/>
              </w:rPr>
              <w:t>（4）配股发行失败应退利息支付承诺函（附件4，主承销商盖章）；</w:t>
            </w:r>
          </w:p>
          <w:p>
            <w:pPr>
              <w:rPr>
                <w:rFonts w:ascii="宋体" w:hAnsi="宋体"/>
                <w:szCs w:val="21"/>
              </w:rPr>
            </w:pPr>
            <w:r>
              <w:rPr>
                <w:rFonts w:ascii="宋体" w:hAnsi="宋体"/>
                <w:szCs w:val="21"/>
              </w:rPr>
              <w:t>（5）上市公司不存在未实施的利润分配方案的说明（公司盖章）；</w:t>
            </w:r>
          </w:p>
          <w:p>
            <w:pPr>
              <w:rPr>
                <w:rFonts w:ascii="宋体" w:hAnsi="宋体"/>
                <w:szCs w:val="21"/>
              </w:rPr>
            </w:pPr>
            <w:r>
              <w:rPr>
                <w:rFonts w:ascii="宋体" w:hAnsi="宋体"/>
                <w:szCs w:val="21"/>
              </w:rPr>
              <w:t>（6）发行上市一般时间安排（公司和主承销商盖章）。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66" w:hRule="atLeast"/>
        </w:trPr>
        <w:tc>
          <w:tcPr>
            <w:tcW w:w="767" w:type="dxa"/>
            <w:vMerge w:val="continue"/>
            <w:vAlign w:val="center"/>
          </w:tcPr>
          <w:p>
            <w:pPr>
              <w:jc w:val="center"/>
              <w:rPr>
                <w:rFonts w:ascii="宋体" w:hAnsi="宋体"/>
                <w:szCs w:val="21"/>
              </w:rPr>
            </w:pPr>
          </w:p>
        </w:tc>
        <w:tc>
          <w:tcPr>
            <w:tcW w:w="1320" w:type="dxa"/>
            <w:vMerge w:val="continue"/>
            <w:vAlign w:val="center"/>
          </w:tcPr>
          <w:p>
            <w:pPr>
              <w:rPr>
                <w:rFonts w:ascii="宋体" w:hAnsi="宋体"/>
                <w:szCs w:val="21"/>
              </w:rPr>
            </w:pPr>
          </w:p>
        </w:tc>
        <w:tc>
          <w:tcPr>
            <w:tcW w:w="1704" w:type="dxa"/>
            <w:vAlign w:val="center"/>
          </w:tcPr>
          <w:p>
            <w:pPr>
              <w:rPr>
                <w:rFonts w:ascii="宋体" w:hAnsi="宋体"/>
                <w:szCs w:val="21"/>
              </w:rPr>
            </w:pPr>
            <w:r>
              <w:rPr>
                <w:rFonts w:ascii="宋体" w:hAnsi="宋体"/>
                <w:szCs w:val="21"/>
              </w:rPr>
              <w:t>R-3日</w:t>
            </w:r>
          </w:p>
          <w:p>
            <w:pPr>
              <w:rPr>
                <w:rFonts w:ascii="宋体" w:hAnsi="宋体"/>
                <w:szCs w:val="21"/>
              </w:rPr>
            </w:pPr>
            <w:r>
              <w:rPr>
                <w:rFonts w:ascii="宋体" w:hAnsi="宋体"/>
                <w:szCs w:val="21"/>
              </w:rPr>
              <w:t>（披露《配股说明书》前一个工作日）</w:t>
            </w:r>
          </w:p>
        </w:tc>
        <w:tc>
          <w:tcPr>
            <w:tcW w:w="5141" w:type="dxa"/>
            <w:vAlign w:val="center"/>
          </w:tcPr>
          <w:p>
            <w:pPr>
              <w:rPr>
                <w:rFonts w:ascii="宋体" w:hAnsi="宋体"/>
                <w:szCs w:val="21"/>
              </w:rPr>
            </w:pPr>
            <w:r>
              <w:rPr>
                <w:rFonts w:ascii="宋体" w:hAnsi="宋体"/>
                <w:szCs w:val="21"/>
              </w:rPr>
              <w:t>上市公司按配股业务的要求在发行人业务部办理配股的相关手续；将《配股发行失败应退利息支付承诺函》（附件4）原件交至结算公司结算业务部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98" w:hRule="atLeast"/>
        </w:trPr>
        <w:tc>
          <w:tcPr>
            <w:tcW w:w="767" w:type="dxa"/>
            <w:vMerge w:val="continue"/>
            <w:vAlign w:val="center"/>
          </w:tcPr>
          <w:p>
            <w:pPr>
              <w:jc w:val="center"/>
              <w:rPr>
                <w:rFonts w:ascii="宋体" w:hAnsi="宋体"/>
                <w:szCs w:val="21"/>
              </w:rPr>
            </w:pPr>
          </w:p>
        </w:tc>
        <w:tc>
          <w:tcPr>
            <w:tcW w:w="1320" w:type="dxa"/>
            <w:vMerge w:val="continue"/>
            <w:vAlign w:val="center"/>
          </w:tcPr>
          <w:p>
            <w:pPr>
              <w:rPr>
                <w:rFonts w:ascii="宋体" w:hAnsi="宋体"/>
                <w:szCs w:val="21"/>
              </w:rPr>
            </w:pPr>
          </w:p>
        </w:tc>
        <w:tc>
          <w:tcPr>
            <w:tcW w:w="1704" w:type="dxa"/>
            <w:vAlign w:val="center"/>
          </w:tcPr>
          <w:p>
            <w:pPr>
              <w:rPr>
                <w:rFonts w:ascii="宋体" w:hAnsi="宋体"/>
                <w:szCs w:val="21"/>
              </w:rPr>
            </w:pPr>
            <w:r>
              <w:rPr>
                <w:rFonts w:ascii="宋体" w:hAnsi="宋体"/>
                <w:szCs w:val="21"/>
              </w:rPr>
              <w:t>R-2日</w:t>
            </w:r>
          </w:p>
        </w:tc>
        <w:tc>
          <w:tcPr>
            <w:tcW w:w="5141" w:type="dxa"/>
            <w:vAlign w:val="center"/>
          </w:tcPr>
          <w:p>
            <w:pPr>
              <w:rPr>
                <w:rFonts w:ascii="宋体" w:hAnsi="宋体"/>
                <w:szCs w:val="21"/>
              </w:rPr>
            </w:pPr>
            <w:r>
              <w:rPr>
                <w:rFonts w:ascii="宋体" w:hAnsi="宋体"/>
                <w:szCs w:val="21"/>
              </w:rPr>
              <w:t>披露配股说明书公告、路演公告、发行公告等公告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61" w:hRule="atLeast"/>
        </w:trPr>
        <w:tc>
          <w:tcPr>
            <w:tcW w:w="767" w:type="dxa"/>
            <w:vMerge w:val="restart"/>
            <w:vAlign w:val="center"/>
          </w:tcPr>
          <w:p>
            <w:pPr>
              <w:jc w:val="center"/>
              <w:rPr>
                <w:rFonts w:ascii="宋体" w:hAnsi="宋体"/>
                <w:szCs w:val="21"/>
              </w:rPr>
            </w:pPr>
            <w:r>
              <w:rPr>
                <w:rFonts w:ascii="宋体" w:hAnsi="宋体"/>
                <w:szCs w:val="21"/>
              </w:rPr>
              <w:t>3</w:t>
            </w:r>
          </w:p>
        </w:tc>
        <w:tc>
          <w:tcPr>
            <w:tcW w:w="1320" w:type="dxa"/>
            <w:vMerge w:val="restart"/>
            <w:vAlign w:val="center"/>
          </w:tcPr>
          <w:p>
            <w:pPr>
              <w:rPr>
                <w:rFonts w:ascii="宋体" w:hAnsi="宋体"/>
                <w:b/>
                <w:szCs w:val="21"/>
              </w:rPr>
            </w:pPr>
            <w:r>
              <w:rPr>
                <w:rFonts w:ascii="宋体" w:hAnsi="宋体"/>
                <w:b/>
                <w:szCs w:val="21"/>
              </w:rPr>
              <w:t>配股发行缴款具体操作</w:t>
            </w:r>
          </w:p>
        </w:tc>
        <w:tc>
          <w:tcPr>
            <w:tcW w:w="1704" w:type="dxa"/>
            <w:vAlign w:val="center"/>
          </w:tcPr>
          <w:p>
            <w:pPr>
              <w:rPr>
                <w:rFonts w:ascii="宋体" w:hAnsi="宋体"/>
                <w:szCs w:val="21"/>
              </w:rPr>
            </w:pPr>
            <w:r>
              <w:rPr>
                <w:rFonts w:ascii="宋体" w:hAnsi="宋体"/>
                <w:szCs w:val="21"/>
              </w:rPr>
              <w:t>R日</w:t>
            </w:r>
          </w:p>
        </w:tc>
        <w:tc>
          <w:tcPr>
            <w:tcW w:w="5141" w:type="dxa"/>
            <w:vAlign w:val="center"/>
          </w:tcPr>
          <w:p>
            <w:pPr>
              <w:rPr>
                <w:rFonts w:ascii="宋体" w:hAnsi="宋体"/>
                <w:szCs w:val="21"/>
              </w:rPr>
            </w:pPr>
            <w:r>
              <w:rPr>
                <w:rFonts w:ascii="宋体" w:hAnsi="宋体"/>
                <w:szCs w:val="21"/>
              </w:rPr>
              <w:t>向本所提交《代销方式配股首次提示性公告》及停牌申请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jc w:val="center"/>
              <w:rPr>
                <w:rFonts w:ascii="宋体" w:hAnsi="宋体"/>
                <w:szCs w:val="21"/>
              </w:rPr>
            </w:pPr>
          </w:p>
        </w:tc>
        <w:tc>
          <w:tcPr>
            <w:tcW w:w="1320" w:type="dxa"/>
            <w:vMerge w:val="continue"/>
            <w:vAlign w:val="center"/>
          </w:tcPr>
          <w:p>
            <w:pPr>
              <w:rPr>
                <w:rFonts w:ascii="宋体" w:hAnsi="宋体"/>
                <w:szCs w:val="21"/>
              </w:rPr>
            </w:pPr>
          </w:p>
        </w:tc>
        <w:tc>
          <w:tcPr>
            <w:tcW w:w="1704" w:type="dxa"/>
            <w:vAlign w:val="center"/>
          </w:tcPr>
          <w:p>
            <w:pPr>
              <w:rPr>
                <w:rFonts w:ascii="宋体" w:hAnsi="宋体"/>
                <w:szCs w:val="21"/>
              </w:rPr>
            </w:pPr>
            <w:r>
              <w:rPr>
                <w:rFonts w:ascii="宋体" w:hAnsi="宋体"/>
                <w:szCs w:val="21"/>
              </w:rPr>
              <w:t>R+1日（全天停牌）</w:t>
            </w:r>
          </w:p>
        </w:tc>
        <w:tc>
          <w:tcPr>
            <w:tcW w:w="5141" w:type="dxa"/>
            <w:vAlign w:val="center"/>
          </w:tcPr>
          <w:p>
            <w:pPr>
              <w:rPr>
                <w:rFonts w:ascii="宋体" w:hAnsi="宋体"/>
                <w:szCs w:val="21"/>
              </w:rPr>
            </w:pPr>
            <w:r>
              <w:rPr>
                <w:rFonts w:ascii="宋体" w:hAnsi="宋体"/>
                <w:szCs w:val="21"/>
              </w:rPr>
              <w:t>披露《代销方式配股首次提示性公告》；</w:t>
            </w:r>
          </w:p>
          <w:p>
            <w:pPr>
              <w:rPr>
                <w:rFonts w:ascii="宋体" w:hAnsi="宋体"/>
                <w:szCs w:val="21"/>
              </w:rPr>
            </w:pPr>
            <w:r>
              <w:rPr>
                <w:rFonts w:ascii="宋体" w:hAnsi="宋体"/>
                <w:szCs w:val="21"/>
              </w:rPr>
              <w:t>A股配股认购起始日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jc w:val="center"/>
              <w:rPr>
                <w:rFonts w:ascii="宋体" w:hAnsi="宋体"/>
                <w:szCs w:val="21"/>
              </w:rPr>
            </w:pPr>
          </w:p>
        </w:tc>
        <w:tc>
          <w:tcPr>
            <w:tcW w:w="1320" w:type="dxa"/>
            <w:vMerge w:val="continue"/>
            <w:vAlign w:val="center"/>
          </w:tcPr>
          <w:p>
            <w:pPr>
              <w:rPr>
                <w:rFonts w:ascii="宋体" w:hAnsi="宋体"/>
                <w:szCs w:val="21"/>
              </w:rPr>
            </w:pPr>
          </w:p>
        </w:tc>
        <w:tc>
          <w:tcPr>
            <w:tcW w:w="1704" w:type="dxa"/>
            <w:vAlign w:val="center"/>
          </w:tcPr>
          <w:p>
            <w:pPr>
              <w:rPr>
                <w:rFonts w:ascii="宋体" w:hAnsi="宋体"/>
                <w:szCs w:val="21"/>
              </w:rPr>
            </w:pPr>
            <w:r>
              <w:rPr>
                <w:rFonts w:ascii="宋体" w:hAnsi="宋体"/>
                <w:szCs w:val="21"/>
              </w:rPr>
              <w:t>R+2日至R+5日（全天停牌）</w:t>
            </w:r>
          </w:p>
        </w:tc>
        <w:tc>
          <w:tcPr>
            <w:tcW w:w="5141" w:type="dxa"/>
            <w:vAlign w:val="center"/>
          </w:tcPr>
          <w:p>
            <w:pPr>
              <w:rPr>
                <w:rFonts w:ascii="宋体" w:hAnsi="宋体"/>
                <w:szCs w:val="21"/>
              </w:rPr>
            </w:pPr>
            <w:r>
              <w:rPr>
                <w:rFonts w:ascii="宋体" w:hAnsi="宋体"/>
                <w:szCs w:val="21"/>
              </w:rPr>
              <w:t>配股缴款期内应至少再披露三次《配股提示性公告》</w:t>
            </w:r>
          </w:p>
          <w:p>
            <w:pPr>
              <w:rPr>
                <w:rFonts w:ascii="宋体" w:hAnsi="宋体"/>
                <w:szCs w:val="21"/>
              </w:rPr>
            </w:pPr>
            <w:r>
              <w:rPr>
                <w:rFonts w:ascii="宋体" w:hAnsi="宋体"/>
                <w:szCs w:val="21"/>
              </w:rPr>
              <w:t>R+5为配股认购截止日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jc w:val="center"/>
              <w:rPr>
                <w:rFonts w:ascii="宋体" w:hAnsi="宋体"/>
                <w:szCs w:val="21"/>
              </w:rPr>
            </w:pPr>
          </w:p>
        </w:tc>
        <w:tc>
          <w:tcPr>
            <w:tcW w:w="1320" w:type="dxa"/>
            <w:vMerge w:val="continue"/>
            <w:vAlign w:val="center"/>
          </w:tcPr>
          <w:p>
            <w:pPr>
              <w:rPr>
                <w:rFonts w:ascii="宋体" w:hAnsi="宋体"/>
                <w:szCs w:val="21"/>
              </w:rPr>
            </w:pPr>
          </w:p>
        </w:tc>
        <w:tc>
          <w:tcPr>
            <w:tcW w:w="1704" w:type="dxa"/>
            <w:vAlign w:val="center"/>
          </w:tcPr>
          <w:p>
            <w:pPr>
              <w:rPr>
                <w:rFonts w:ascii="宋体" w:hAnsi="宋体"/>
                <w:szCs w:val="21"/>
              </w:rPr>
            </w:pPr>
            <w:r>
              <w:rPr>
                <w:rFonts w:ascii="宋体" w:hAnsi="宋体"/>
                <w:szCs w:val="21"/>
              </w:rPr>
              <w:t>R+6日（全天停牌）</w:t>
            </w:r>
          </w:p>
        </w:tc>
        <w:tc>
          <w:tcPr>
            <w:tcW w:w="5141" w:type="dxa"/>
            <w:vAlign w:val="center"/>
          </w:tcPr>
          <w:p>
            <w:pPr>
              <w:rPr>
                <w:rFonts w:ascii="宋体" w:hAnsi="宋体"/>
                <w:szCs w:val="21"/>
              </w:rPr>
            </w:pPr>
            <w:r>
              <w:rPr>
                <w:rFonts w:ascii="宋体" w:hAnsi="宋体"/>
                <w:szCs w:val="21"/>
              </w:rPr>
              <w:t>接受结算公司发行人业务部的网上发行结果</w:t>
            </w:r>
          </w:p>
          <w:p>
            <w:pPr>
              <w:rPr>
                <w:rFonts w:ascii="宋体" w:hAnsi="宋体"/>
                <w:szCs w:val="21"/>
              </w:rPr>
            </w:pPr>
            <w:r>
              <w:rPr>
                <w:rFonts w:ascii="宋体" w:hAnsi="宋体"/>
                <w:szCs w:val="21"/>
              </w:rPr>
              <w:t>16：00前向本所提交《配股结果公告》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jc w:val="center"/>
              <w:rPr>
                <w:rFonts w:ascii="宋体" w:hAnsi="宋体"/>
                <w:szCs w:val="21"/>
              </w:rPr>
            </w:pPr>
          </w:p>
        </w:tc>
        <w:tc>
          <w:tcPr>
            <w:tcW w:w="1320" w:type="dxa"/>
            <w:vMerge w:val="continue"/>
            <w:vAlign w:val="center"/>
          </w:tcPr>
          <w:p>
            <w:pPr>
              <w:rPr>
                <w:rFonts w:ascii="宋体" w:hAnsi="宋体"/>
                <w:szCs w:val="21"/>
              </w:rPr>
            </w:pPr>
          </w:p>
        </w:tc>
        <w:tc>
          <w:tcPr>
            <w:tcW w:w="1704" w:type="dxa"/>
            <w:vAlign w:val="center"/>
          </w:tcPr>
          <w:p>
            <w:pPr>
              <w:rPr>
                <w:rFonts w:ascii="宋体" w:hAnsi="宋体"/>
                <w:szCs w:val="21"/>
              </w:rPr>
            </w:pPr>
            <w:r>
              <w:rPr>
                <w:rFonts w:ascii="宋体" w:hAnsi="宋体"/>
                <w:szCs w:val="21"/>
              </w:rPr>
              <w:t>R+7日（复牌）</w:t>
            </w:r>
          </w:p>
        </w:tc>
        <w:tc>
          <w:tcPr>
            <w:tcW w:w="5141" w:type="dxa"/>
            <w:vAlign w:val="center"/>
          </w:tcPr>
          <w:p>
            <w:pPr>
              <w:rPr>
                <w:rFonts w:ascii="宋体" w:hAnsi="宋体"/>
                <w:szCs w:val="21"/>
              </w:rPr>
            </w:pPr>
            <w:r>
              <w:rPr>
                <w:rFonts w:ascii="宋体" w:hAnsi="宋体"/>
                <w:szCs w:val="21"/>
              </w:rPr>
              <w:t>披露《配股结果公告》（如配股成功，股票将除权）</w:t>
            </w:r>
          </w:p>
          <w:p>
            <w:pPr>
              <w:rPr>
                <w:rFonts w:ascii="宋体" w:hAnsi="宋体"/>
                <w:szCs w:val="21"/>
              </w:rPr>
            </w:pPr>
            <w:r>
              <w:rPr>
                <w:rFonts w:ascii="宋体" w:hAnsi="宋体"/>
                <w:szCs w:val="21"/>
              </w:rPr>
              <w:t>发行结束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restart"/>
            <w:vAlign w:val="center"/>
          </w:tcPr>
          <w:p>
            <w:pPr>
              <w:jc w:val="center"/>
              <w:rPr>
                <w:rFonts w:ascii="宋体" w:hAnsi="宋体"/>
                <w:szCs w:val="21"/>
              </w:rPr>
            </w:pPr>
            <w:r>
              <w:rPr>
                <w:rFonts w:ascii="宋体" w:hAnsi="宋体"/>
                <w:szCs w:val="21"/>
              </w:rPr>
              <w:t>4</w:t>
            </w:r>
          </w:p>
        </w:tc>
        <w:tc>
          <w:tcPr>
            <w:tcW w:w="1320" w:type="dxa"/>
            <w:vMerge w:val="restart"/>
            <w:vAlign w:val="center"/>
          </w:tcPr>
          <w:p>
            <w:pPr>
              <w:rPr>
                <w:rFonts w:ascii="宋体" w:hAnsi="宋体"/>
                <w:b/>
                <w:szCs w:val="21"/>
              </w:rPr>
            </w:pPr>
            <w:r>
              <w:rPr>
                <w:rFonts w:ascii="宋体" w:hAnsi="宋体"/>
                <w:b/>
                <w:szCs w:val="21"/>
              </w:rPr>
              <w:t>配股上市操作（如配股成功）</w:t>
            </w:r>
          </w:p>
        </w:tc>
        <w:tc>
          <w:tcPr>
            <w:tcW w:w="1704" w:type="dxa"/>
            <w:vAlign w:val="center"/>
          </w:tcPr>
          <w:p>
            <w:pPr>
              <w:rPr>
                <w:rFonts w:ascii="宋体" w:hAnsi="宋体"/>
                <w:szCs w:val="21"/>
              </w:rPr>
            </w:pPr>
            <w:r>
              <w:rPr>
                <w:rFonts w:ascii="宋体" w:hAnsi="宋体"/>
                <w:szCs w:val="21"/>
              </w:rPr>
              <w:t>L－5日前</w:t>
            </w:r>
          </w:p>
        </w:tc>
        <w:tc>
          <w:tcPr>
            <w:tcW w:w="5141" w:type="dxa"/>
            <w:vAlign w:val="center"/>
          </w:tcPr>
          <w:p>
            <w:pPr>
              <w:rPr>
                <w:rFonts w:ascii="宋体" w:hAnsi="宋体"/>
                <w:szCs w:val="21"/>
              </w:rPr>
            </w:pPr>
            <w:r>
              <w:rPr>
                <w:rFonts w:ascii="宋体" w:hAnsi="宋体"/>
                <w:szCs w:val="21"/>
              </w:rPr>
              <w:t>在结算公司办理配股登记等相关手续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rPr>
                <w:rFonts w:ascii="宋体" w:hAnsi="宋体"/>
                <w:szCs w:val="21"/>
              </w:rPr>
            </w:pPr>
          </w:p>
        </w:tc>
        <w:tc>
          <w:tcPr>
            <w:tcW w:w="1320" w:type="dxa"/>
            <w:vMerge w:val="continue"/>
            <w:vAlign w:val="center"/>
          </w:tcPr>
          <w:p>
            <w:pPr>
              <w:rPr>
                <w:rFonts w:ascii="宋体" w:hAnsi="宋体"/>
                <w:b/>
                <w:szCs w:val="21"/>
              </w:rPr>
            </w:pPr>
          </w:p>
        </w:tc>
        <w:tc>
          <w:tcPr>
            <w:tcW w:w="1704" w:type="dxa"/>
            <w:vAlign w:val="center"/>
          </w:tcPr>
          <w:p>
            <w:pPr>
              <w:rPr>
                <w:rFonts w:ascii="宋体" w:hAnsi="宋体"/>
                <w:szCs w:val="21"/>
              </w:rPr>
            </w:pPr>
            <w:r>
              <w:rPr>
                <w:rFonts w:ascii="宋体" w:hAnsi="宋体"/>
                <w:szCs w:val="21"/>
              </w:rPr>
              <w:t>L-4日前</w:t>
            </w:r>
          </w:p>
        </w:tc>
        <w:tc>
          <w:tcPr>
            <w:tcW w:w="5141" w:type="dxa"/>
            <w:vAlign w:val="center"/>
          </w:tcPr>
          <w:p>
            <w:pPr>
              <w:rPr>
                <w:rFonts w:ascii="宋体" w:hAnsi="宋体"/>
                <w:szCs w:val="21"/>
              </w:rPr>
            </w:pPr>
            <w:r>
              <w:rPr>
                <w:rFonts w:ascii="宋体" w:hAnsi="宋体"/>
                <w:szCs w:val="21"/>
              </w:rPr>
              <w:t>通过业务专区向本所上传以下申请文件：</w:t>
            </w:r>
          </w:p>
          <w:p>
            <w:pPr>
              <w:rPr>
                <w:rFonts w:ascii="宋体" w:hAnsi="宋体"/>
                <w:szCs w:val="21"/>
              </w:rPr>
            </w:pPr>
            <w:r>
              <w:rPr>
                <w:rFonts w:ascii="宋体" w:hAnsi="宋体"/>
                <w:szCs w:val="21"/>
              </w:rPr>
              <w:t>（1）上市申请书（公司和主承销商盖章）；</w:t>
            </w:r>
          </w:p>
          <w:p>
            <w:pPr>
              <w:rPr>
                <w:rFonts w:ascii="宋体" w:hAnsi="宋体"/>
                <w:szCs w:val="21"/>
              </w:rPr>
            </w:pPr>
            <w:r>
              <w:rPr>
                <w:rFonts w:ascii="宋体" w:hAnsi="宋体"/>
                <w:szCs w:val="21"/>
              </w:rPr>
              <w:t>（2）保荐协议和保荐机构出具的上市保荐书（原件）；</w:t>
            </w:r>
          </w:p>
          <w:p>
            <w:pPr>
              <w:rPr>
                <w:rFonts w:ascii="宋体" w:hAnsi="宋体"/>
                <w:szCs w:val="21"/>
              </w:rPr>
            </w:pPr>
            <w:r>
              <w:rPr>
                <w:rFonts w:ascii="宋体" w:hAnsi="宋体"/>
                <w:szCs w:val="21"/>
              </w:rPr>
              <w:t>（3） 配股完成后经</w:t>
            </w:r>
            <w:r>
              <w:rPr>
                <w:rFonts w:hint="eastAsia" w:ascii="宋体" w:hAnsi="宋体"/>
                <w:szCs w:val="21"/>
              </w:rPr>
              <w:t>符合《证券法》规定</w:t>
            </w:r>
            <w:r>
              <w:rPr>
                <w:rFonts w:ascii="宋体" w:hAnsi="宋体"/>
                <w:szCs w:val="21"/>
              </w:rPr>
              <w:t>的会计师事务所出具的验资报告（原件）；</w:t>
            </w:r>
          </w:p>
          <w:p>
            <w:pPr>
              <w:rPr>
                <w:rFonts w:ascii="宋体" w:hAnsi="宋体"/>
                <w:szCs w:val="21"/>
              </w:rPr>
            </w:pPr>
            <w:r>
              <w:rPr>
                <w:rFonts w:ascii="宋体" w:hAnsi="宋体"/>
                <w:szCs w:val="21"/>
              </w:rPr>
              <w:t>（4）董事、监事和高级管理人员持股情况变动的报告（公司盖章）；</w:t>
            </w:r>
          </w:p>
          <w:p>
            <w:pPr>
              <w:rPr>
                <w:rFonts w:ascii="宋体" w:hAnsi="宋体"/>
                <w:szCs w:val="21"/>
              </w:rPr>
            </w:pPr>
            <w:r>
              <w:rPr>
                <w:rFonts w:ascii="宋体" w:hAnsi="宋体"/>
                <w:szCs w:val="21"/>
              </w:rPr>
              <w:t>（5）股份变动及配股上市公告（公司和主承销商盖章）；</w:t>
            </w:r>
          </w:p>
          <w:p>
            <w:pPr>
              <w:rPr>
                <w:rFonts w:ascii="宋体" w:hAnsi="宋体"/>
                <w:szCs w:val="21"/>
              </w:rPr>
            </w:pPr>
            <w:r>
              <w:rPr>
                <w:rFonts w:ascii="宋体" w:hAnsi="宋体"/>
                <w:szCs w:val="21"/>
              </w:rPr>
              <w:t>（6）中登公司出具的前十大股东名册；</w:t>
            </w:r>
          </w:p>
          <w:p>
            <w:pPr>
              <w:rPr>
                <w:rFonts w:ascii="宋体" w:hAnsi="宋体"/>
                <w:szCs w:val="21"/>
              </w:rPr>
            </w:pPr>
            <w:r>
              <w:rPr>
                <w:rFonts w:ascii="宋体" w:hAnsi="宋体"/>
                <w:szCs w:val="21"/>
              </w:rPr>
              <w:t>（7）公司仍符合法定的发行条件的说明，说明截至上市申请日，公司仍符合配股发行条件（报备）。</w:t>
            </w:r>
          </w:p>
          <w:p>
            <w:pPr>
              <w:rPr>
                <w:rFonts w:ascii="宋体" w:hAnsi="宋体"/>
                <w:szCs w:val="21"/>
              </w:rPr>
            </w:pPr>
            <w:r>
              <w:rPr>
                <w:rFonts w:ascii="宋体" w:hAnsi="宋体"/>
                <w:szCs w:val="21"/>
              </w:rPr>
              <w:t>（8）无会后事项承诺函（报备）；</w:t>
            </w:r>
          </w:p>
          <w:p>
            <w:pPr>
              <w:rPr>
                <w:rFonts w:ascii="宋体" w:hAnsi="宋体"/>
                <w:szCs w:val="21"/>
              </w:rPr>
            </w:pPr>
            <w:r>
              <w:rPr>
                <w:rFonts w:ascii="宋体" w:hAnsi="宋体"/>
                <w:szCs w:val="21"/>
              </w:rPr>
              <w:t>（</w:t>
            </w:r>
            <w:r>
              <w:rPr>
                <w:rFonts w:hint="eastAsia" w:ascii="宋体" w:hAnsi="宋体"/>
                <w:szCs w:val="21"/>
              </w:rPr>
              <w:t>9</w:t>
            </w:r>
            <w:r>
              <w:rPr>
                <w:rFonts w:ascii="宋体" w:hAnsi="宋体"/>
                <w:szCs w:val="21"/>
              </w:rPr>
              <w:t>）本所要求的其他文件。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rPr>
                <w:rFonts w:ascii="宋体" w:hAnsi="宋体"/>
                <w:szCs w:val="21"/>
              </w:rPr>
            </w:pPr>
          </w:p>
        </w:tc>
        <w:tc>
          <w:tcPr>
            <w:tcW w:w="1320" w:type="dxa"/>
            <w:vMerge w:val="continue"/>
            <w:vAlign w:val="center"/>
          </w:tcPr>
          <w:p>
            <w:pPr>
              <w:rPr>
                <w:rFonts w:ascii="宋体" w:hAnsi="宋体"/>
                <w:b/>
                <w:szCs w:val="21"/>
              </w:rPr>
            </w:pPr>
          </w:p>
        </w:tc>
        <w:tc>
          <w:tcPr>
            <w:tcW w:w="1704" w:type="dxa"/>
            <w:vMerge w:val="restart"/>
            <w:vAlign w:val="center"/>
          </w:tcPr>
          <w:p>
            <w:pPr>
              <w:rPr>
                <w:rFonts w:ascii="宋体" w:hAnsi="宋体"/>
                <w:szCs w:val="21"/>
              </w:rPr>
            </w:pPr>
            <w:r>
              <w:rPr>
                <w:rFonts w:ascii="宋体" w:hAnsi="宋体"/>
                <w:szCs w:val="21"/>
              </w:rPr>
              <w:t>L-3日内</w:t>
            </w:r>
          </w:p>
        </w:tc>
        <w:tc>
          <w:tcPr>
            <w:tcW w:w="5141" w:type="dxa"/>
            <w:vAlign w:val="center"/>
          </w:tcPr>
          <w:p>
            <w:pPr>
              <w:rPr>
                <w:rFonts w:ascii="宋体" w:hAnsi="宋体"/>
                <w:szCs w:val="21"/>
              </w:rPr>
            </w:pPr>
            <w:r>
              <w:rPr>
                <w:rFonts w:ascii="宋体" w:hAnsi="宋体"/>
                <w:szCs w:val="21"/>
              </w:rPr>
              <w:t>将《股份变动及配股上市公告》报送香港证监会备案（深港通标的，如有涉及）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rPr>
                <w:rFonts w:ascii="宋体" w:hAnsi="宋体"/>
                <w:szCs w:val="21"/>
              </w:rPr>
            </w:pPr>
          </w:p>
        </w:tc>
        <w:tc>
          <w:tcPr>
            <w:tcW w:w="1320" w:type="dxa"/>
            <w:vMerge w:val="continue"/>
            <w:vAlign w:val="center"/>
          </w:tcPr>
          <w:p>
            <w:pPr>
              <w:rPr>
                <w:rFonts w:ascii="宋体" w:hAnsi="宋体"/>
                <w:b/>
                <w:szCs w:val="21"/>
              </w:rPr>
            </w:pPr>
          </w:p>
        </w:tc>
        <w:tc>
          <w:tcPr>
            <w:tcW w:w="1704" w:type="dxa"/>
            <w:vMerge w:val="continue"/>
            <w:vAlign w:val="center"/>
          </w:tcPr>
          <w:p>
            <w:pPr>
              <w:rPr>
                <w:rFonts w:ascii="宋体" w:hAnsi="宋体"/>
                <w:szCs w:val="21"/>
              </w:rPr>
            </w:pPr>
          </w:p>
        </w:tc>
        <w:tc>
          <w:tcPr>
            <w:tcW w:w="5141" w:type="dxa"/>
            <w:vAlign w:val="center"/>
          </w:tcPr>
          <w:p>
            <w:pPr>
              <w:rPr>
                <w:rFonts w:ascii="宋体" w:hAnsi="宋体"/>
                <w:szCs w:val="21"/>
              </w:rPr>
            </w:pPr>
            <w:r>
              <w:rPr>
                <w:rFonts w:ascii="宋体" w:hAnsi="宋体"/>
                <w:szCs w:val="21"/>
              </w:rPr>
              <w:t>最晚需在L-1日披露《股份变动及获配股票上市公告》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4" w:hRule="atLeast"/>
        </w:trPr>
        <w:tc>
          <w:tcPr>
            <w:tcW w:w="767" w:type="dxa"/>
            <w:vMerge w:val="continue"/>
            <w:vAlign w:val="center"/>
          </w:tcPr>
          <w:p>
            <w:pPr>
              <w:rPr>
                <w:rFonts w:ascii="宋体" w:hAnsi="宋体"/>
                <w:szCs w:val="21"/>
              </w:rPr>
            </w:pPr>
          </w:p>
        </w:tc>
        <w:tc>
          <w:tcPr>
            <w:tcW w:w="1320" w:type="dxa"/>
            <w:vMerge w:val="continue"/>
            <w:vAlign w:val="center"/>
          </w:tcPr>
          <w:p>
            <w:pPr>
              <w:rPr>
                <w:rFonts w:ascii="宋体" w:hAnsi="宋体"/>
                <w:b/>
                <w:szCs w:val="21"/>
              </w:rPr>
            </w:pPr>
          </w:p>
        </w:tc>
        <w:tc>
          <w:tcPr>
            <w:tcW w:w="1704" w:type="dxa"/>
            <w:vAlign w:val="center"/>
          </w:tcPr>
          <w:p>
            <w:pPr>
              <w:rPr>
                <w:rFonts w:ascii="宋体" w:hAnsi="宋体"/>
                <w:szCs w:val="21"/>
              </w:rPr>
            </w:pPr>
            <w:r>
              <w:rPr>
                <w:rFonts w:ascii="宋体" w:hAnsi="宋体"/>
                <w:szCs w:val="21"/>
              </w:rPr>
              <w:t>L日</w:t>
            </w:r>
          </w:p>
        </w:tc>
        <w:tc>
          <w:tcPr>
            <w:tcW w:w="5141" w:type="dxa"/>
            <w:vAlign w:val="center"/>
          </w:tcPr>
          <w:p>
            <w:pPr>
              <w:rPr>
                <w:rFonts w:ascii="宋体" w:hAnsi="宋体"/>
                <w:szCs w:val="21"/>
              </w:rPr>
            </w:pPr>
            <w:r>
              <w:rPr>
                <w:rFonts w:ascii="宋体" w:hAnsi="宋体"/>
                <w:szCs w:val="21"/>
              </w:rPr>
              <w:t>配股上市</w:t>
            </w:r>
          </w:p>
        </w:tc>
      </w:tr>
    </w:tbl>
    <w:p>
      <w:pPr>
        <w:spacing w:line="560" w:lineRule="exact"/>
        <w:rPr>
          <w:rFonts w:ascii="黑体" w:hAnsi="黑体" w:eastAsia="黑体"/>
          <w:sz w:val="32"/>
          <w:szCs w:val="32"/>
        </w:rPr>
      </w:pPr>
      <w:r>
        <w:br w:type="page"/>
      </w:r>
      <w:r>
        <w:rPr>
          <w:rFonts w:ascii="黑体" w:hAnsi="黑体" w:eastAsia="黑体"/>
          <w:sz w:val="32"/>
          <w:szCs w:val="32"/>
        </w:rPr>
        <w:t>附件2</w:t>
      </w:r>
    </w:p>
    <w:p>
      <w:pPr>
        <w:spacing w:line="560" w:lineRule="exact"/>
        <w:rPr>
          <w:rFonts w:eastAsia="黑体"/>
          <w:sz w:val="32"/>
          <w:szCs w:val="32"/>
        </w:rPr>
      </w:pPr>
    </w:p>
    <w:p>
      <w:pPr>
        <w:spacing w:line="560" w:lineRule="exact"/>
        <w:jc w:val="center"/>
        <w:rPr>
          <w:rFonts w:ascii="方正小标宋简体" w:hAnsi="黑体" w:eastAsia="方正小标宋简体"/>
          <w:bCs/>
          <w:color w:val="000000"/>
          <w:sz w:val="32"/>
          <w:szCs w:val="32"/>
        </w:rPr>
      </w:pPr>
      <w:r>
        <w:rPr>
          <w:rFonts w:hint="eastAsia" w:ascii="方正小标宋简体" w:hAnsi="黑体" w:eastAsia="方正小标宋简体"/>
          <w:bCs/>
          <w:color w:val="000000"/>
          <w:sz w:val="32"/>
          <w:szCs w:val="32"/>
          <w:u w:val="single"/>
        </w:rPr>
        <w:t xml:space="preserve">               </w:t>
      </w:r>
      <w:r>
        <w:rPr>
          <w:rFonts w:hint="eastAsia" w:ascii="方正小标宋简体" w:hAnsi="黑体" w:eastAsia="方正小标宋简体"/>
          <w:bCs/>
          <w:color w:val="000000"/>
          <w:sz w:val="32"/>
          <w:szCs w:val="32"/>
        </w:rPr>
        <w:t>股份有限公司配股发行申请书</w:t>
      </w:r>
    </w:p>
    <w:p>
      <w:pPr>
        <w:spacing w:line="360" w:lineRule="auto"/>
        <w:rPr>
          <w:rFonts w:ascii="Times New Roman" w:hAnsi="Times New Roman"/>
          <w:b/>
          <w:bCs/>
          <w:color w:val="000000"/>
        </w:rPr>
      </w:pPr>
    </w:p>
    <w:p>
      <w:pPr>
        <w:spacing w:line="560" w:lineRule="exact"/>
        <w:rPr>
          <w:rFonts w:ascii="仿宋" w:hAnsi="仿宋" w:eastAsia="仿宋"/>
          <w:b/>
          <w:sz w:val="32"/>
          <w:szCs w:val="32"/>
        </w:rPr>
      </w:pPr>
      <w:r>
        <w:rPr>
          <w:rFonts w:ascii="仿宋" w:hAnsi="仿宋" w:eastAsia="仿宋"/>
          <w:b/>
          <w:sz w:val="32"/>
          <w:szCs w:val="32"/>
        </w:rPr>
        <w:t>深圳证券交易所：</w:t>
      </w:r>
    </w:p>
    <w:p>
      <w:pPr>
        <w:adjustRightInd w:val="0"/>
        <w:snapToGrid w:val="0"/>
        <w:spacing w:line="560" w:lineRule="exact"/>
        <w:ind w:firstLine="640" w:firstLineChars="200"/>
        <w:rPr>
          <w:rFonts w:ascii="仿宋" w:hAnsi="仿宋" w:eastAsia="仿宋"/>
          <w:sz w:val="32"/>
          <w:szCs w:val="32"/>
        </w:rPr>
      </w:pPr>
      <w:r>
        <w:rPr>
          <w:rFonts w:ascii="仿宋" w:hAnsi="仿宋" w:eastAsia="仿宋"/>
          <w:color w:val="000000"/>
          <w:kern w:val="0"/>
          <w:sz w:val="32"/>
          <w:szCs w:val="32"/>
        </w:rPr>
        <w:t xml:space="preserve">  </w:t>
      </w:r>
      <w:r>
        <w:rPr>
          <w:rFonts w:ascii="仿宋" w:hAnsi="仿宋" w:eastAsia="仿宋"/>
          <w:color w:val="000000"/>
          <w:kern w:val="0"/>
          <w:sz w:val="32"/>
          <w:szCs w:val="32"/>
          <w:u w:val="single"/>
        </w:rPr>
        <w:t xml:space="preserve">            </w:t>
      </w:r>
      <w:r>
        <w:rPr>
          <w:rFonts w:ascii="仿宋" w:hAnsi="仿宋" w:eastAsia="仿宋"/>
          <w:sz w:val="32"/>
          <w:szCs w:val="32"/>
          <w:u w:val="single"/>
        </w:rPr>
        <w:t xml:space="preserve">       </w:t>
      </w:r>
      <w:r>
        <w:rPr>
          <w:rFonts w:ascii="仿宋" w:hAnsi="仿宋" w:eastAsia="仿宋"/>
          <w:sz w:val="32"/>
          <w:szCs w:val="32"/>
        </w:rPr>
        <w:t>股份有限公司向原股东配售</w:t>
      </w:r>
      <w:r>
        <w:rPr>
          <w:rFonts w:ascii="仿宋" w:hAnsi="仿宋" w:eastAsia="仿宋"/>
          <w:sz w:val="32"/>
          <w:szCs w:val="32"/>
          <w:u w:val="single"/>
        </w:rPr>
        <w:t xml:space="preserve">          </w:t>
      </w:r>
      <w:r>
        <w:rPr>
          <w:rFonts w:ascii="仿宋" w:hAnsi="仿宋" w:eastAsia="仿宋"/>
          <w:sz w:val="32"/>
          <w:szCs w:val="32"/>
        </w:rPr>
        <w:t>万股人民币普通股股票的申请已获中国证监会</w:t>
      </w:r>
      <w:r>
        <w:rPr>
          <w:rFonts w:ascii="仿宋" w:hAnsi="仿宋" w:eastAsia="仿宋"/>
          <w:sz w:val="32"/>
          <w:szCs w:val="32"/>
          <w:u w:val="single"/>
        </w:rPr>
        <w:t xml:space="preserve">       </w:t>
      </w:r>
      <w:r>
        <w:rPr>
          <w:rFonts w:ascii="仿宋" w:hAnsi="仿宋" w:eastAsia="仿宋"/>
          <w:sz w:val="32"/>
          <w:szCs w:val="32"/>
        </w:rPr>
        <w:t>号文予以注册。主承销商和发行人申请于     年   月    日至        年    月    日通过贵所证券交易系统采用资金申购上网定价方式配售本次股票，配售股票的申购简称拟定为“                ”。我们承诺按照贵所要求做好本次发行工作。</w:t>
      </w:r>
    </w:p>
    <w:p>
      <w:pPr>
        <w:adjustRightInd w:val="0"/>
        <w:snapToGrid w:val="0"/>
        <w:spacing w:line="560" w:lineRule="exact"/>
        <w:ind w:firstLine="480" w:firstLineChars="200"/>
        <w:rPr>
          <w:rFonts w:ascii="Times New Roman" w:hAnsi="Times New Roman" w:eastAsia="方正仿宋简体"/>
          <w:sz w:val="24"/>
        </w:rPr>
      </w:pPr>
    </w:p>
    <w:p>
      <w:pPr>
        <w:adjustRightInd w:val="0"/>
        <w:snapToGrid w:val="0"/>
        <w:spacing w:line="560" w:lineRule="exact"/>
        <w:ind w:firstLine="480" w:firstLineChars="200"/>
        <w:rPr>
          <w:rFonts w:ascii="Times New Roman" w:hAnsi="Times New Roman" w:eastAsia="方正仿宋简体"/>
          <w:sz w:val="24"/>
        </w:rPr>
      </w:pPr>
      <w:r>
        <w:rPr>
          <w:rFonts w:ascii="Times New Roman" w:hAnsi="Times New Roman" w:eastAsia="方正仿宋简体"/>
          <w:sz w:val="24"/>
        </w:rPr>
        <w:t xml:space="preserve">    </w:t>
      </w:r>
    </w:p>
    <w:p>
      <w:pPr>
        <w:adjustRightInd w:val="0"/>
        <w:snapToGrid w:val="0"/>
        <w:spacing w:line="560" w:lineRule="exact"/>
        <w:ind w:firstLine="3840" w:firstLineChars="1200"/>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 xml:space="preserve">    </w:t>
      </w:r>
      <w:r>
        <w:rPr>
          <w:rFonts w:ascii="仿宋" w:hAnsi="仿宋" w:eastAsia="仿宋"/>
          <w:sz w:val="32"/>
          <w:szCs w:val="32"/>
        </w:rPr>
        <w:t xml:space="preserve">上市公司：                </w:t>
      </w:r>
    </w:p>
    <w:p>
      <w:pPr>
        <w:adjustRightInd w:val="0"/>
        <w:snapToGrid w:val="0"/>
        <w:spacing w:line="560" w:lineRule="exact"/>
        <w:ind w:firstLine="4480" w:firstLineChars="1400"/>
        <w:jc w:val="left"/>
        <w:rPr>
          <w:rFonts w:ascii="仿宋" w:hAnsi="仿宋" w:eastAsia="仿宋"/>
          <w:sz w:val="32"/>
          <w:szCs w:val="32"/>
        </w:rPr>
      </w:pPr>
      <w:r>
        <w:rPr>
          <w:rFonts w:ascii="仿宋" w:hAnsi="仿宋" w:eastAsia="仿宋"/>
          <w:sz w:val="32"/>
          <w:szCs w:val="32"/>
        </w:rPr>
        <w:t>（加盖公章）</w:t>
      </w:r>
    </w:p>
    <w:p>
      <w:pPr>
        <w:adjustRightInd w:val="0"/>
        <w:snapToGrid w:val="0"/>
        <w:spacing w:line="560" w:lineRule="exact"/>
        <w:ind w:firstLine="3840" w:firstLineChars="1200"/>
        <w:jc w:val="left"/>
        <w:rPr>
          <w:rFonts w:ascii="仿宋" w:hAnsi="仿宋" w:eastAsia="仿宋"/>
          <w:sz w:val="32"/>
          <w:szCs w:val="32"/>
        </w:rPr>
      </w:pPr>
      <w:r>
        <w:rPr>
          <w:rFonts w:ascii="仿宋" w:hAnsi="仿宋" w:eastAsia="仿宋"/>
          <w:sz w:val="32"/>
          <w:szCs w:val="32"/>
        </w:rPr>
        <w:t xml:space="preserve">        年    月    日</w:t>
      </w:r>
    </w:p>
    <w:p>
      <w:pPr>
        <w:adjustRightInd w:val="0"/>
        <w:snapToGrid w:val="0"/>
        <w:spacing w:line="560" w:lineRule="exact"/>
        <w:ind w:firstLine="3840" w:firstLineChars="1200"/>
        <w:jc w:val="left"/>
        <w:rPr>
          <w:rFonts w:ascii="仿宋" w:hAnsi="仿宋" w:eastAsia="仿宋"/>
          <w:sz w:val="32"/>
          <w:szCs w:val="32"/>
        </w:rPr>
      </w:pPr>
    </w:p>
    <w:p>
      <w:pPr>
        <w:adjustRightInd w:val="0"/>
        <w:snapToGrid w:val="0"/>
        <w:spacing w:line="560" w:lineRule="exact"/>
        <w:ind w:firstLine="3840" w:firstLineChars="1200"/>
        <w:jc w:val="left"/>
        <w:rPr>
          <w:rFonts w:ascii="仿宋" w:hAnsi="仿宋" w:eastAsia="仿宋"/>
          <w:sz w:val="32"/>
          <w:szCs w:val="32"/>
        </w:rPr>
      </w:pPr>
    </w:p>
    <w:p>
      <w:pPr>
        <w:adjustRightInd w:val="0"/>
        <w:snapToGrid w:val="0"/>
        <w:spacing w:line="560" w:lineRule="exact"/>
        <w:ind w:firstLine="4640" w:firstLineChars="1450"/>
        <w:jc w:val="left"/>
        <w:rPr>
          <w:rFonts w:ascii="仿宋" w:hAnsi="仿宋" w:eastAsia="仿宋"/>
          <w:sz w:val="32"/>
          <w:szCs w:val="32"/>
        </w:rPr>
      </w:pPr>
      <w:r>
        <w:rPr>
          <w:rFonts w:ascii="仿宋" w:hAnsi="仿宋" w:eastAsia="仿宋"/>
          <w:sz w:val="32"/>
          <w:szCs w:val="32"/>
        </w:rPr>
        <w:t xml:space="preserve">主承销商：                </w:t>
      </w:r>
    </w:p>
    <w:p>
      <w:pPr>
        <w:adjustRightInd w:val="0"/>
        <w:snapToGrid w:val="0"/>
        <w:spacing w:line="560" w:lineRule="exact"/>
        <w:ind w:left="1890" w:leftChars="900" w:firstLine="2560" w:firstLineChars="800"/>
        <w:jc w:val="left"/>
        <w:rPr>
          <w:rFonts w:ascii="仿宋" w:hAnsi="仿宋" w:eastAsia="仿宋"/>
          <w:sz w:val="32"/>
          <w:szCs w:val="32"/>
        </w:rPr>
      </w:pPr>
      <w:r>
        <w:rPr>
          <w:rFonts w:ascii="仿宋" w:hAnsi="仿宋" w:eastAsia="仿宋"/>
          <w:sz w:val="32"/>
          <w:szCs w:val="32"/>
        </w:rPr>
        <w:t xml:space="preserve">（加盖公章）   </w:t>
      </w:r>
    </w:p>
    <w:p>
      <w:pPr>
        <w:adjustRightInd w:val="0"/>
        <w:snapToGrid w:val="0"/>
        <w:spacing w:line="560" w:lineRule="exact"/>
        <w:ind w:left="5080" w:leftChars="1200" w:hanging="2560" w:hangingChars="800"/>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 xml:space="preserve">    </w:t>
      </w:r>
      <w:r>
        <w:rPr>
          <w:rFonts w:ascii="仿宋" w:hAnsi="仿宋" w:eastAsia="仿宋"/>
          <w:sz w:val="32"/>
          <w:szCs w:val="32"/>
        </w:rPr>
        <w:t>年    月    日</w:t>
      </w:r>
    </w:p>
    <w:p>
      <w:pPr>
        <w:spacing w:line="560" w:lineRule="exact"/>
        <w:jc w:val="right"/>
        <w:rPr>
          <w:rFonts w:ascii="Times New Roman" w:hAnsi="Times New Roman" w:eastAsia="仿宋"/>
          <w:color w:val="000000"/>
          <w:kern w:val="0"/>
          <w:sz w:val="28"/>
          <w:szCs w:val="28"/>
        </w:rPr>
      </w:pPr>
    </w:p>
    <w:p>
      <w:pPr>
        <w:pStyle w:val="16"/>
        <w:ind w:firstLine="0"/>
      </w:pPr>
    </w:p>
    <w:p>
      <w:pPr>
        <w:pStyle w:val="16"/>
        <w:ind w:firstLine="0"/>
      </w:pPr>
    </w:p>
    <w:p>
      <w:pPr>
        <w:pStyle w:val="16"/>
        <w:ind w:firstLine="0"/>
      </w:pPr>
    </w:p>
    <w:p>
      <w:pPr>
        <w:spacing w:line="560" w:lineRule="exact"/>
        <w:rPr>
          <w:rFonts w:ascii="黑体" w:hAnsi="黑体" w:eastAsia="黑体"/>
          <w:sz w:val="32"/>
          <w:szCs w:val="32"/>
        </w:rPr>
      </w:pPr>
      <w:r>
        <w:rPr>
          <w:rFonts w:ascii="黑体" w:hAnsi="黑体" w:eastAsia="黑体"/>
          <w:sz w:val="32"/>
          <w:szCs w:val="32"/>
        </w:rPr>
        <w:t>附件3</w:t>
      </w:r>
    </w:p>
    <w:p>
      <w:pPr>
        <w:spacing w:line="560" w:lineRule="exact"/>
        <w:rPr>
          <w:rFonts w:ascii="黑体" w:hAnsi="黑体" w:eastAsia="黑体"/>
          <w:sz w:val="32"/>
          <w:szCs w:val="32"/>
        </w:rPr>
      </w:pPr>
    </w:p>
    <w:p>
      <w:pPr>
        <w:spacing w:line="560" w:lineRule="exact"/>
        <w:jc w:val="center"/>
        <w:rPr>
          <w:rFonts w:ascii="方正小标宋简体" w:hAnsi="黑体" w:eastAsia="方正小标宋简体"/>
          <w:b/>
          <w:bCs/>
          <w:color w:val="000000"/>
          <w:sz w:val="32"/>
          <w:szCs w:val="32"/>
        </w:rPr>
      </w:pPr>
      <w:r>
        <w:rPr>
          <w:rFonts w:hint="eastAsia" w:ascii="方正小标宋简体" w:hAnsi="黑体" w:eastAsia="方正小标宋简体"/>
          <w:b/>
          <w:bCs/>
          <w:color w:val="000000"/>
          <w:sz w:val="32"/>
          <w:szCs w:val="32"/>
        </w:rPr>
        <w:t>配股发行方案要点</w:t>
      </w:r>
    </w:p>
    <w:p>
      <w:pPr>
        <w:spacing w:line="560" w:lineRule="exact"/>
        <w:rPr>
          <w:rFonts w:ascii="宋体" w:hAnsi="宋体"/>
        </w:rPr>
      </w:pPr>
      <w:r>
        <w:rPr>
          <w:rFonts w:ascii="宋体" w:hAnsi="宋体"/>
        </w:rPr>
        <w:t>填表日期：</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8"/>
        <w:gridCol w:w="37"/>
        <w:gridCol w:w="2407"/>
        <w:gridCol w:w="8"/>
        <w:gridCol w:w="2415"/>
        <w:gridCol w:w="88"/>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vAlign w:val="center"/>
          </w:tcPr>
          <w:p>
            <w:pPr>
              <w:jc w:val="center"/>
              <w:rPr>
                <w:rFonts w:ascii="宋体" w:hAnsi="宋体"/>
              </w:rPr>
            </w:pPr>
            <w:r>
              <w:rPr>
                <w:rFonts w:ascii="宋体" w:hAnsi="宋体"/>
              </w:rPr>
              <w:t>上市证券代码</w:t>
            </w:r>
          </w:p>
        </w:tc>
        <w:tc>
          <w:tcPr>
            <w:tcW w:w="2444" w:type="dxa"/>
            <w:gridSpan w:val="2"/>
            <w:vAlign w:val="center"/>
          </w:tcPr>
          <w:p>
            <w:pPr>
              <w:jc w:val="center"/>
              <w:rPr>
                <w:rFonts w:ascii="宋体" w:hAnsi="宋体"/>
              </w:rPr>
            </w:pPr>
          </w:p>
        </w:tc>
        <w:tc>
          <w:tcPr>
            <w:tcW w:w="2511" w:type="dxa"/>
            <w:gridSpan w:val="3"/>
            <w:vAlign w:val="center"/>
          </w:tcPr>
          <w:p>
            <w:pPr>
              <w:jc w:val="center"/>
              <w:rPr>
                <w:rFonts w:ascii="宋体" w:hAnsi="宋体"/>
              </w:rPr>
            </w:pPr>
            <w:r>
              <w:rPr>
                <w:rFonts w:ascii="宋体" w:hAnsi="宋体"/>
              </w:rPr>
              <w:t>上市证券简称</w:t>
            </w:r>
          </w:p>
        </w:tc>
        <w:tc>
          <w:tcPr>
            <w:tcW w:w="2327"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vAlign w:val="center"/>
          </w:tcPr>
          <w:p>
            <w:pPr>
              <w:jc w:val="center"/>
              <w:rPr>
                <w:rFonts w:ascii="宋体" w:hAnsi="宋体"/>
              </w:rPr>
            </w:pPr>
            <w:r>
              <w:rPr>
                <w:rFonts w:ascii="宋体" w:hAnsi="宋体"/>
              </w:rPr>
              <w:t>主承销商</w:t>
            </w:r>
          </w:p>
        </w:tc>
        <w:tc>
          <w:tcPr>
            <w:tcW w:w="2444" w:type="dxa"/>
            <w:gridSpan w:val="2"/>
            <w:vAlign w:val="center"/>
          </w:tcPr>
          <w:p>
            <w:pPr>
              <w:jc w:val="center"/>
              <w:rPr>
                <w:rFonts w:ascii="宋体" w:hAnsi="宋体"/>
              </w:rPr>
            </w:pPr>
          </w:p>
        </w:tc>
        <w:tc>
          <w:tcPr>
            <w:tcW w:w="2511" w:type="dxa"/>
            <w:gridSpan w:val="3"/>
            <w:vAlign w:val="center"/>
          </w:tcPr>
          <w:p>
            <w:pPr>
              <w:jc w:val="center"/>
              <w:rPr>
                <w:rFonts w:ascii="宋体" w:hAnsi="宋体"/>
              </w:rPr>
            </w:pPr>
            <w:r>
              <w:rPr>
                <w:rFonts w:ascii="宋体" w:hAnsi="宋体"/>
              </w:rPr>
              <w:t>主承销商会员代号</w:t>
            </w:r>
          </w:p>
        </w:tc>
        <w:tc>
          <w:tcPr>
            <w:tcW w:w="2327"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2378" w:type="dxa"/>
            <w:vAlign w:val="center"/>
          </w:tcPr>
          <w:p>
            <w:pPr>
              <w:jc w:val="center"/>
              <w:rPr>
                <w:rFonts w:ascii="宋体" w:hAnsi="宋体"/>
              </w:rPr>
            </w:pPr>
            <w:r>
              <w:rPr>
                <w:rFonts w:ascii="宋体" w:hAnsi="宋体"/>
              </w:rPr>
              <w:t>主承销商自营席位号</w:t>
            </w:r>
          </w:p>
        </w:tc>
        <w:tc>
          <w:tcPr>
            <w:tcW w:w="2444" w:type="dxa"/>
            <w:gridSpan w:val="2"/>
            <w:vAlign w:val="center"/>
          </w:tcPr>
          <w:p>
            <w:pPr>
              <w:jc w:val="center"/>
              <w:rPr>
                <w:rFonts w:ascii="宋体" w:hAnsi="宋体"/>
              </w:rPr>
            </w:pPr>
          </w:p>
        </w:tc>
        <w:tc>
          <w:tcPr>
            <w:tcW w:w="2511" w:type="dxa"/>
            <w:gridSpan w:val="3"/>
            <w:vAlign w:val="center"/>
          </w:tcPr>
          <w:p>
            <w:pPr>
              <w:jc w:val="center"/>
              <w:rPr>
                <w:rFonts w:ascii="宋体" w:hAnsi="宋体"/>
              </w:rPr>
            </w:pPr>
            <w:r>
              <w:rPr>
                <w:rFonts w:ascii="宋体" w:hAnsi="宋体"/>
              </w:rPr>
              <w:t>主承销商自营资金结算备付金账号</w:t>
            </w:r>
          </w:p>
        </w:tc>
        <w:tc>
          <w:tcPr>
            <w:tcW w:w="2327"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tcBorders>
              <w:bottom w:val="single" w:color="auto" w:sz="4" w:space="0"/>
            </w:tcBorders>
            <w:vAlign w:val="center"/>
          </w:tcPr>
          <w:p>
            <w:pPr>
              <w:jc w:val="center"/>
              <w:rPr>
                <w:rFonts w:ascii="宋体" w:hAnsi="宋体"/>
              </w:rPr>
            </w:pPr>
            <w:r>
              <w:rPr>
                <w:rFonts w:ascii="宋体" w:hAnsi="宋体"/>
              </w:rPr>
              <w:t>主承销商联系人</w:t>
            </w:r>
          </w:p>
        </w:tc>
        <w:tc>
          <w:tcPr>
            <w:tcW w:w="2444" w:type="dxa"/>
            <w:gridSpan w:val="2"/>
            <w:tcBorders>
              <w:bottom w:val="single" w:color="auto" w:sz="4" w:space="0"/>
            </w:tcBorders>
            <w:vAlign w:val="center"/>
          </w:tcPr>
          <w:p>
            <w:pPr>
              <w:jc w:val="center"/>
              <w:rPr>
                <w:rFonts w:ascii="宋体" w:hAnsi="宋体"/>
              </w:rPr>
            </w:pPr>
          </w:p>
        </w:tc>
        <w:tc>
          <w:tcPr>
            <w:tcW w:w="2511" w:type="dxa"/>
            <w:gridSpan w:val="3"/>
            <w:tcBorders>
              <w:bottom w:val="single" w:color="auto" w:sz="4" w:space="0"/>
            </w:tcBorders>
            <w:vAlign w:val="center"/>
          </w:tcPr>
          <w:p>
            <w:pPr>
              <w:jc w:val="center"/>
              <w:rPr>
                <w:rFonts w:ascii="宋体" w:hAnsi="宋体"/>
              </w:rPr>
            </w:pPr>
            <w:r>
              <w:rPr>
                <w:rFonts w:ascii="宋体" w:hAnsi="宋体"/>
              </w:rPr>
              <w:t>上市公司联系人</w:t>
            </w:r>
          </w:p>
        </w:tc>
        <w:tc>
          <w:tcPr>
            <w:tcW w:w="2327" w:type="dxa"/>
            <w:tcBorders>
              <w:bottom w:val="single" w:color="auto" w:sz="4" w:space="0"/>
            </w:tcBorders>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tcBorders>
              <w:bottom w:val="single" w:color="auto" w:sz="4" w:space="0"/>
            </w:tcBorders>
            <w:vAlign w:val="center"/>
          </w:tcPr>
          <w:p>
            <w:pPr>
              <w:jc w:val="center"/>
              <w:rPr>
                <w:rFonts w:ascii="宋体" w:hAnsi="宋体"/>
              </w:rPr>
            </w:pPr>
            <w:r>
              <w:rPr>
                <w:rFonts w:ascii="宋体" w:hAnsi="宋体"/>
              </w:rPr>
              <w:t>联系电话（手机）</w:t>
            </w:r>
          </w:p>
        </w:tc>
        <w:tc>
          <w:tcPr>
            <w:tcW w:w="2444" w:type="dxa"/>
            <w:gridSpan w:val="2"/>
            <w:tcBorders>
              <w:bottom w:val="single" w:color="auto" w:sz="4" w:space="0"/>
            </w:tcBorders>
            <w:vAlign w:val="center"/>
          </w:tcPr>
          <w:p>
            <w:pPr>
              <w:jc w:val="center"/>
              <w:rPr>
                <w:rFonts w:ascii="宋体" w:hAnsi="宋体"/>
              </w:rPr>
            </w:pPr>
          </w:p>
        </w:tc>
        <w:tc>
          <w:tcPr>
            <w:tcW w:w="2511" w:type="dxa"/>
            <w:gridSpan w:val="3"/>
            <w:tcBorders>
              <w:bottom w:val="single" w:color="auto" w:sz="4" w:space="0"/>
            </w:tcBorders>
            <w:vAlign w:val="center"/>
          </w:tcPr>
          <w:p>
            <w:pPr>
              <w:jc w:val="center"/>
              <w:rPr>
                <w:rFonts w:ascii="宋体" w:hAnsi="宋体"/>
              </w:rPr>
            </w:pPr>
            <w:r>
              <w:rPr>
                <w:rFonts w:ascii="宋体" w:hAnsi="宋体"/>
              </w:rPr>
              <w:t>联系电话（手机）</w:t>
            </w:r>
          </w:p>
        </w:tc>
        <w:tc>
          <w:tcPr>
            <w:tcW w:w="2327" w:type="dxa"/>
            <w:tcBorders>
              <w:bottom w:val="single" w:color="auto" w:sz="4" w:space="0"/>
            </w:tcBorders>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9660" w:type="dxa"/>
            <w:gridSpan w:val="7"/>
            <w:shd w:val="clear" w:color="auto" w:fill="C0C0C0"/>
            <w:vAlign w:val="center"/>
          </w:tcPr>
          <w:p>
            <w:pPr>
              <w:jc w:val="center"/>
              <w:rPr>
                <w:rFonts w:ascii="宋体" w:hAnsi="宋体"/>
                <w:color w:val="000000"/>
                <w:sz w:val="24"/>
              </w:rPr>
            </w:pPr>
            <w:r>
              <w:rPr>
                <w:rFonts w:ascii="宋体" w:hAnsi="宋体"/>
                <w:b/>
              </w:rPr>
              <w:t>发行情况简述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vAlign w:val="center"/>
          </w:tcPr>
          <w:p>
            <w:pPr>
              <w:jc w:val="center"/>
              <w:rPr>
                <w:rFonts w:ascii="宋体" w:hAnsi="宋体"/>
              </w:rPr>
            </w:pPr>
            <w:r>
              <w:rPr>
                <w:rFonts w:ascii="宋体" w:hAnsi="宋体"/>
              </w:rPr>
              <w:t>配股权证简称</w:t>
            </w:r>
          </w:p>
        </w:tc>
        <w:tc>
          <w:tcPr>
            <w:tcW w:w="2444" w:type="dxa"/>
            <w:gridSpan w:val="2"/>
            <w:vAlign w:val="center"/>
          </w:tcPr>
          <w:p>
            <w:pPr>
              <w:jc w:val="center"/>
              <w:rPr>
                <w:rFonts w:ascii="宋体" w:hAnsi="宋体"/>
              </w:rPr>
            </w:pPr>
          </w:p>
        </w:tc>
        <w:tc>
          <w:tcPr>
            <w:tcW w:w="2511" w:type="dxa"/>
            <w:gridSpan w:val="3"/>
            <w:vAlign w:val="center"/>
          </w:tcPr>
          <w:p>
            <w:pPr>
              <w:jc w:val="center"/>
              <w:rPr>
                <w:rFonts w:ascii="宋体" w:hAnsi="宋体"/>
              </w:rPr>
            </w:pPr>
            <w:r>
              <w:rPr>
                <w:rFonts w:ascii="宋体" w:hAnsi="宋体"/>
              </w:rPr>
              <w:t>配股权证代码</w:t>
            </w:r>
          </w:p>
        </w:tc>
        <w:tc>
          <w:tcPr>
            <w:tcW w:w="2327"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vAlign w:val="center"/>
          </w:tcPr>
          <w:p>
            <w:pPr>
              <w:jc w:val="center"/>
              <w:rPr>
                <w:rFonts w:ascii="宋体" w:hAnsi="宋体"/>
              </w:rPr>
            </w:pPr>
            <w:r>
              <w:rPr>
                <w:rFonts w:ascii="宋体" w:hAnsi="宋体"/>
              </w:rPr>
              <w:t>配股基数（万股）</w:t>
            </w:r>
          </w:p>
        </w:tc>
        <w:tc>
          <w:tcPr>
            <w:tcW w:w="2444" w:type="dxa"/>
            <w:gridSpan w:val="2"/>
            <w:vAlign w:val="center"/>
          </w:tcPr>
          <w:p>
            <w:pPr>
              <w:jc w:val="center"/>
              <w:rPr>
                <w:rFonts w:ascii="宋体" w:hAnsi="宋体"/>
              </w:rPr>
            </w:pPr>
          </w:p>
        </w:tc>
        <w:tc>
          <w:tcPr>
            <w:tcW w:w="2511" w:type="dxa"/>
            <w:gridSpan w:val="3"/>
            <w:vAlign w:val="center"/>
          </w:tcPr>
          <w:p>
            <w:pPr>
              <w:jc w:val="center"/>
              <w:rPr>
                <w:rFonts w:ascii="宋体" w:hAnsi="宋体"/>
              </w:rPr>
            </w:pPr>
            <w:r>
              <w:rPr>
                <w:rFonts w:ascii="宋体" w:hAnsi="宋体"/>
              </w:rPr>
              <w:t>每10股拟配股数（股）</w:t>
            </w:r>
          </w:p>
        </w:tc>
        <w:tc>
          <w:tcPr>
            <w:tcW w:w="2327"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vAlign w:val="center"/>
          </w:tcPr>
          <w:p>
            <w:pPr>
              <w:jc w:val="center"/>
              <w:rPr>
                <w:rFonts w:ascii="宋体" w:hAnsi="宋体"/>
              </w:rPr>
            </w:pPr>
            <w:r>
              <w:rPr>
                <w:rFonts w:ascii="宋体" w:hAnsi="宋体"/>
              </w:rPr>
              <w:t>拟配股数（万股）</w:t>
            </w:r>
          </w:p>
        </w:tc>
        <w:tc>
          <w:tcPr>
            <w:tcW w:w="2444" w:type="dxa"/>
            <w:gridSpan w:val="2"/>
            <w:vAlign w:val="center"/>
          </w:tcPr>
          <w:p>
            <w:pPr>
              <w:jc w:val="center"/>
              <w:rPr>
                <w:rFonts w:ascii="宋体" w:hAnsi="宋体"/>
              </w:rPr>
            </w:pPr>
          </w:p>
        </w:tc>
        <w:tc>
          <w:tcPr>
            <w:tcW w:w="2511" w:type="dxa"/>
            <w:gridSpan w:val="3"/>
            <w:vAlign w:val="center"/>
          </w:tcPr>
          <w:p>
            <w:pPr>
              <w:jc w:val="center"/>
              <w:rPr>
                <w:rFonts w:ascii="宋体" w:hAnsi="宋体"/>
              </w:rPr>
            </w:pPr>
            <w:r>
              <w:rPr>
                <w:rFonts w:ascii="宋体" w:hAnsi="宋体"/>
              </w:rPr>
              <w:t>配股价格（元）</w:t>
            </w:r>
          </w:p>
        </w:tc>
        <w:tc>
          <w:tcPr>
            <w:tcW w:w="2327" w:type="dxa"/>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vAlign w:val="center"/>
          </w:tcPr>
          <w:p>
            <w:pPr>
              <w:jc w:val="center"/>
              <w:rPr>
                <w:rFonts w:ascii="宋体" w:hAnsi="宋体"/>
              </w:rPr>
            </w:pPr>
            <w:r>
              <w:rPr>
                <w:rFonts w:ascii="宋体" w:hAnsi="宋体"/>
              </w:rPr>
              <w:t>募集资金数量（亿元）</w:t>
            </w:r>
          </w:p>
        </w:tc>
        <w:tc>
          <w:tcPr>
            <w:tcW w:w="2444" w:type="dxa"/>
            <w:gridSpan w:val="2"/>
            <w:vAlign w:val="center"/>
          </w:tcPr>
          <w:p>
            <w:pPr>
              <w:jc w:val="center"/>
              <w:rPr>
                <w:rFonts w:ascii="宋体" w:hAnsi="宋体"/>
              </w:rPr>
            </w:pPr>
          </w:p>
        </w:tc>
        <w:tc>
          <w:tcPr>
            <w:tcW w:w="2511" w:type="dxa"/>
            <w:gridSpan w:val="3"/>
            <w:vAlign w:val="center"/>
          </w:tcPr>
          <w:p>
            <w:pPr>
              <w:jc w:val="center"/>
              <w:rPr>
                <w:rFonts w:ascii="宋体" w:hAnsi="宋体"/>
              </w:rPr>
            </w:pPr>
            <w:r>
              <w:rPr>
                <w:rFonts w:ascii="宋体" w:hAnsi="宋体"/>
              </w:rPr>
              <w:t>发行方式</w:t>
            </w:r>
          </w:p>
        </w:tc>
        <w:tc>
          <w:tcPr>
            <w:tcW w:w="2327" w:type="dxa"/>
            <w:vAlign w:val="center"/>
          </w:tcPr>
          <w:p>
            <w:pPr>
              <w:jc w:val="center"/>
              <w:rPr>
                <w:rFonts w:ascii="宋体" w:hAnsi="宋体"/>
              </w:rPr>
            </w:pPr>
            <w:r>
              <w:rPr>
                <w:rFonts w:ascii="宋体" w:hAnsi="宋体"/>
              </w:rPr>
              <w:t>□网上   □网下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tcBorders>
              <w:bottom w:val="single" w:color="auto" w:sz="4" w:space="0"/>
            </w:tcBorders>
            <w:vAlign w:val="center"/>
          </w:tcPr>
          <w:p>
            <w:pPr>
              <w:jc w:val="center"/>
              <w:rPr>
                <w:rFonts w:ascii="宋体" w:hAnsi="宋体"/>
              </w:rPr>
            </w:pPr>
            <w:r>
              <w:rPr>
                <w:rFonts w:ascii="宋体" w:hAnsi="宋体"/>
              </w:rPr>
              <w:t>配股说明书披露日</w:t>
            </w:r>
          </w:p>
        </w:tc>
        <w:tc>
          <w:tcPr>
            <w:tcW w:w="2444" w:type="dxa"/>
            <w:gridSpan w:val="2"/>
            <w:tcBorders>
              <w:bottom w:val="single" w:color="auto" w:sz="4" w:space="0"/>
            </w:tcBorders>
            <w:vAlign w:val="center"/>
          </w:tcPr>
          <w:p>
            <w:pPr>
              <w:jc w:val="center"/>
              <w:rPr>
                <w:rFonts w:ascii="宋体" w:hAnsi="宋体"/>
              </w:rPr>
            </w:pPr>
          </w:p>
        </w:tc>
        <w:tc>
          <w:tcPr>
            <w:tcW w:w="2511" w:type="dxa"/>
            <w:gridSpan w:val="3"/>
            <w:tcBorders>
              <w:bottom w:val="single" w:color="auto" w:sz="2" w:space="0"/>
            </w:tcBorders>
            <w:vAlign w:val="center"/>
          </w:tcPr>
          <w:p>
            <w:pPr>
              <w:jc w:val="center"/>
              <w:rPr>
                <w:rFonts w:ascii="宋体" w:hAnsi="宋体"/>
              </w:rPr>
            </w:pPr>
            <w:r>
              <w:rPr>
                <w:rFonts w:ascii="宋体" w:hAnsi="宋体"/>
              </w:rPr>
              <w:t>股权登记日期</w:t>
            </w:r>
          </w:p>
        </w:tc>
        <w:tc>
          <w:tcPr>
            <w:tcW w:w="2327" w:type="dxa"/>
            <w:tcBorders>
              <w:bottom w:val="single" w:color="auto" w:sz="4" w:space="0"/>
            </w:tcBorders>
            <w:vAlign w:val="center"/>
          </w:tcPr>
          <w:p>
            <w:pPr>
              <w:ind w:firstLine="105" w:firstLineChars="50"/>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78" w:type="dxa"/>
            <w:tcBorders>
              <w:bottom w:val="single" w:color="auto" w:sz="4" w:space="0"/>
            </w:tcBorders>
            <w:vAlign w:val="center"/>
          </w:tcPr>
          <w:p>
            <w:pPr>
              <w:jc w:val="center"/>
              <w:rPr>
                <w:rFonts w:ascii="宋体" w:hAnsi="宋体"/>
              </w:rPr>
            </w:pPr>
            <w:r>
              <w:rPr>
                <w:rFonts w:ascii="宋体" w:hAnsi="宋体"/>
              </w:rPr>
              <w:t>预计除权日</w:t>
            </w:r>
          </w:p>
        </w:tc>
        <w:tc>
          <w:tcPr>
            <w:tcW w:w="2444" w:type="dxa"/>
            <w:gridSpan w:val="2"/>
            <w:tcBorders>
              <w:bottom w:val="single" w:color="auto" w:sz="4" w:space="0"/>
            </w:tcBorders>
            <w:vAlign w:val="center"/>
          </w:tcPr>
          <w:p>
            <w:pPr>
              <w:jc w:val="center"/>
              <w:rPr>
                <w:rFonts w:ascii="宋体" w:hAnsi="宋体"/>
              </w:rPr>
            </w:pPr>
          </w:p>
        </w:tc>
        <w:tc>
          <w:tcPr>
            <w:tcW w:w="2511" w:type="dxa"/>
            <w:gridSpan w:val="3"/>
            <w:tcBorders>
              <w:bottom w:val="single" w:color="auto" w:sz="4" w:space="0"/>
            </w:tcBorders>
            <w:vAlign w:val="center"/>
          </w:tcPr>
          <w:p>
            <w:pPr>
              <w:jc w:val="center"/>
              <w:rPr>
                <w:rFonts w:ascii="宋体" w:hAnsi="宋体"/>
              </w:rPr>
            </w:pPr>
            <w:r>
              <w:rPr>
                <w:rFonts w:ascii="宋体" w:hAnsi="宋体"/>
              </w:rPr>
              <w:t>配股缴款起止日期</w:t>
            </w:r>
          </w:p>
        </w:tc>
        <w:tc>
          <w:tcPr>
            <w:tcW w:w="2327" w:type="dxa"/>
            <w:tcBorders>
              <w:bottom w:val="single" w:color="auto" w:sz="4" w:space="0"/>
            </w:tcBorders>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9660" w:type="dxa"/>
            <w:gridSpan w:val="7"/>
            <w:tcBorders>
              <w:bottom w:val="single" w:color="auto" w:sz="4" w:space="0"/>
            </w:tcBorders>
            <w:shd w:val="clear" w:color="auto" w:fill="B3B3B3"/>
            <w:vAlign w:val="center"/>
          </w:tcPr>
          <w:p>
            <w:pPr>
              <w:jc w:val="center"/>
              <w:rPr>
                <w:rFonts w:ascii="宋体" w:hAnsi="宋体"/>
                <w:b/>
                <w:sz w:val="24"/>
              </w:rPr>
            </w:pPr>
            <w:r>
              <w:rPr>
                <w:rFonts w:ascii="宋体" w:hAnsi="宋体"/>
                <w:b/>
              </w:rPr>
              <w:t>大股东及其他股东承诺认购情况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15" w:type="dxa"/>
            <w:gridSpan w:val="2"/>
            <w:tcBorders>
              <w:bottom w:val="single" w:color="auto" w:sz="4" w:space="0"/>
            </w:tcBorders>
            <w:vAlign w:val="center"/>
          </w:tcPr>
          <w:p>
            <w:pPr>
              <w:jc w:val="center"/>
              <w:rPr>
                <w:rFonts w:ascii="宋体" w:hAnsi="宋体"/>
              </w:rPr>
            </w:pPr>
            <w:r>
              <w:rPr>
                <w:rFonts w:ascii="宋体" w:hAnsi="宋体"/>
              </w:rPr>
              <w:t>股东名称</w:t>
            </w:r>
          </w:p>
        </w:tc>
        <w:tc>
          <w:tcPr>
            <w:tcW w:w="7245" w:type="dxa"/>
            <w:gridSpan w:val="5"/>
            <w:tcBorders>
              <w:bottom w:val="single" w:color="auto" w:sz="4" w:space="0"/>
            </w:tcBorders>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415" w:type="dxa"/>
            <w:gridSpan w:val="2"/>
            <w:tcBorders>
              <w:bottom w:val="single" w:color="auto" w:sz="4" w:space="0"/>
            </w:tcBorders>
            <w:vAlign w:val="center"/>
          </w:tcPr>
          <w:p>
            <w:pPr>
              <w:jc w:val="center"/>
              <w:rPr>
                <w:rFonts w:ascii="宋体" w:hAnsi="宋体"/>
              </w:rPr>
            </w:pPr>
            <w:r>
              <w:rPr>
                <w:rFonts w:ascii="宋体" w:hAnsi="宋体"/>
              </w:rPr>
              <w:t>股东帐号</w:t>
            </w:r>
          </w:p>
        </w:tc>
        <w:tc>
          <w:tcPr>
            <w:tcW w:w="2415" w:type="dxa"/>
            <w:gridSpan w:val="2"/>
            <w:tcBorders>
              <w:bottom w:val="single" w:color="auto" w:sz="4" w:space="0"/>
            </w:tcBorders>
            <w:vAlign w:val="center"/>
          </w:tcPr>
          <w:p>
            <w:pPr>
              <w:jc w:val="center"/>
              <w:rPr>
                <w:rFonts w:ascii="宋体" w:hAnsi="宋体"/>
              </w:rPr>
            </w:pPr>
          </w:p>
        </w:tc>
        <w:tc>
          <w:tcPr>
            <w:tcW w:w="2415" w:type="dxa"/>
            <w:tcBorders>
              <w:bottom w:val="single" w:color="auto" w:sz="4" w:space="0"/>
            </w:tcBorders>
            <w:vAlign w:val="center"/>
          </w:tcPr>
          <w:p>
            <w:pPr>
              <w:jc w:val="center"/>
              <w:rPr>
                <w:rFonts w:ascii="宋体" w:hAnsi="宋体"/>
              </w:rPr>
            </w:pPr>
            <w:r>
              <w:rPr>
                <w:rFonts w:ascii="宋体" w:hAnsi="宋体"/>
              </w:rPr>
              <w:t>认购股数</w:t>
            </w:r>
          </w:p>
        </w:tc>
        <w:tc>
          <w:tcPr>
            <w:tcW w:w="2415" w:type="dxa"/>
            <w:gridSpan w:val="2"/>
            <w:tcBorders>
              <w:bottom w:val="single" w:color="auto" w:sz="4" w:space="0"/>
            </w:tcBorders>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78" w:type="dxa"/>
            <w:tcBorders>
              <w:top w:val="single" w:color="auto" w:sz="6" w:space="0"/>
              <w:left w:val="single" w:color="auto" w:sz="2" w:space="0"/>
              <w:bottom w:val="single" w:color="auto" w:sz="2" w:space="0"/>
              <w:right w:val="single" w:color="auto" w:sz="6" w:space="0"/>
            </w:tcBorders>
            <w:vAlign w:val="center"/>
          </w:tcPr>
          <w:p>
            <w:pPr>
              <w:jc w:val="center"/>
              <w:rPr>
                <w:rFonts w:ascii="宋体" w:hAnsi="宋体"/>
              </w:rPr>
            </w:pPr>
            <w:r>
              <w:rPr>
                <w:rFonts w:ascii="宋体" w:hAnsi="宋体"/>
              </w:rPr>
              <w:t>本次发行方案中</w:t>
            </w:r>
          </w:p>
          <w:p>
            <w:pPr>
              <w:jc w:val="center"/>
              <w:rPr>
                <w:rFonts w:ascii="宋体" w:hAnsi="宋体"/>
              </w:rPr>
            </w:pPr>
            <w:r>
              <w:rPr>
                <w:rFonts w:ascii="宋体" w:hAnsi="宋体"/>
              </w:rPr>
              <w:t>创新内容简述</w:t>
            </w:r>
          </w:p>
        </w:tc>
        <w:tc>
          <w:tcPr>
            <w:tcW w:w="7282" w:type="dxa"/>
            <w:gridSpan w:val="6"/>
            <w:tcBorders>
              <w:top w:val="single" w:color="auto" w:sz="6" w:space="0"/>
              <w:left w:val="single" w:color="auto" w:sz="6" w:space="0"/>
              <w:bottom w:val="single" w:color="auto" w:sz="2" w:space="0"/>
              <w:right w:val="single" w:color="auto" w:sz="2" w:space="0"/>
            </w:tcBorders>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9660" w:type="dxa"/>
            <w:gridSpan w:val="7"/>
            <w:shd w:val="clear" w:color="auto" w:fill="C0C0C0"/>
            <w:vAlign w:val="center"/>
          </w:tcPr>
          <w:p>
            <w:pPr>
              <w:jc w:val="center"/>
              <w:rPr>
                <w:rFonts w:ascii="宋体" w:hAnsi="宋体"/>
                <w:b/>
                <w:color w:val="000000"/>
                <w:sz w:val="24"/>
              </w:rPr>
            </w:pPr>
            <w:r>
              <w:rPr>
                <w:rFonts w:ascii="宋体" w:hAnsi="宋体"/>
                <w:b/>
              </w:rPr>
              <w:t>主承销商授权经办人确认以上内容无误并签字（加盖单位公章）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9660" w:type="dxa"/>
            <w:gridSpan w:val="7"/>
            <w:tcBorders>
              <w:top w:val="single" w:color="auto" w:sz="6" w:space="0"/>
              <w:left w:val="single" w:color="auto" w:sz="2" w:space="0"/>
              <w:bottom w:val="single" w:color="auto" w:sz="2" w:space="0"/>
              <w:right w:val="single" w:color="auto" w:sz="2" w:space="0"/>
            </w:tcBorders>
            <w:vAlign w:val="center"/>
          </w:tcPr>
          <w:p>
            <w:pPr>
              <w:ind w:firstLine="1200" w:firstLineChars="500"/>
              <w:jc w:val="center"/>
              <w:rPr>
                <w:rFonts w:ascii="宋体" w:hAnsi="宋体"/>
                <w:color w:val="000000"/>
                <w:sz w:val="24"/>
              </w:rPr>
            </w:pPr>
          </w:p>
        </w:tc>
      </w:tr>
    </w:tbl>
    <w:p>
      <w:pPr>
        <w:spacing w:line="560" w:lineRule="exact"/>
        <w:ind w:firstLine="420" w:firstLineChars="200"/>
        <w:rPr>
          <w:rFonts w:ascii="Times New Roman" w:hAnsi="Times New Roman"/>
          <w:color w:val="000000"/>
        </w:rPr>
        <w:sectPr>
          <w:footerReference r:id="rId9" w:type="default"/>
          <w:footerReference r:id="rId10" w:type="even"/>
          <w:pgSz w:w="11906" w:h="16838"/>
          <w:pgMar w:top="1440" w:right="1800" w:bottom="1440" w:left="1800" w:header="851" w:footer="992" w:gutter="0"/>
          <w:cols w:space="720" w:num="1"/>
          <w:docGrid w:type="lines" w:linePitch="312" w:charSpace="0"/>
        </w:sectPr>
      </w:pPr>
    </w:p>
    <w:p>
      <w:pPr>
        <w:pStyle w:val="162"/>
        <w:ind w:firstLine="0" w:firstLineChars="0"/>
        <w:outlineLvl w:val="1"/>
        <w:rPr>
          <w:rFonts w:hAnsi="黑体"/>
          <w:sz w:val="32"/>
          <w:szCs w:val="32"/>
        </w:rPr>
      </w:pPr>
      <w:bookmarkStart w:id="79" w:name="_Toc129272534"/>
      <w:bookmarkStart w:id="80" w:name="_Toc2216"/>
      <w:bookmarkStart w:id="81" w:name="_Toc126689886"/>
      <w:bookmarkStart w:id="82" w:name="_Toc141954540"/>
      <w:bookmarkStart w:id="83" w:name="_Toc91771793"/>
      <w:bookmarkStart w:id="84" w:name="_Toc91771946"/>
      <w:bookmarkStart w:id="85" w:name="_Toc91773295"/>
      <w:bookmarkStart w:id="86" w:name="_Toc91769340"/>
      <w:bookmarkStart w:id="87" w:name="_Toc91778687"/>
      <w:bookmarkStart w:id="88" w:name="_Toc91683184"/>
      <w:bookmarkStart w:id="89" w:name="_Toc91075743"/>
      <w:bookmarkStart w:id="90" w:name="_Toc91778356"/>
      <w:r>
        <w:rPr>
          <w:rFonts w:hint="eastAsia" w:ascii="Calibri" w:hAnsi="Calibri"/>
          <w:sz w:val="32"/>
          <w:szCs w:val="32"/>
        </w:rPr>
        <w:t xml:space="preserve">第六节 </w:t>
      </w:r>
      <w:r>
        <w:rPr>
          <w:rFonts w:hint="eastAsia" w:hAnsi="黑体"/>
          <w:sz w:val="32"/>
          <w:szCs w:val="32"/>
        </w:rPr>
        <w:t>向特定对象发行优先股转让业务</w:t>
      </w:r>
      <w:bookmarkEnd w:id="79"/>
      <w:bookmarkEnd w:id="80"/>
      <w:bookmarkEnd w:id="81"/>
      <w:bookmarkEnd w:id="82"/>
    </w:p>
    <w:p>
      <w:pPr>
        <w:spacing w:line="560" w:lineRule="exact"/>
        <w:ind w:firstLine="640" w:firstLineChars="200"/>
        <w:rPr>
          <w:rFonts w:ascii="仿宋" w:hAnsi="仿宋" w:eastAsia="仿宋"/>
          <w:sz w:val="32"/>
          <w:szCs w:val="20"/>
        </w:rPr>
      </w:pPr>
      <w:r>
        <w:rPr>
          <w:rFonts w:hint="eastAsia" w:ascii="仿宋" w:hAnsi="仿宋" w:eastAsia="仿宋"/>
          <w:sz w:val="32"/>
          <w:szCs w:val="20"/>
        </w:rPr>
        <w:t>为规范本所创业板上市公司办理向特定对象发行优先股转让相关业务，根据《证券法》《国务院关于开展优先股试点的指导意见》（以下简称《优先股指导意见》）、《上市公司证券发行注册管理办法》《优先股试点管理办法》（以下简称《优先股管理办法》）和《深圳证券交易所优先股试点业务实施细则》（以下简称《优先股实施细则》）等有关规定，制定本指南。</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一、向特定对象发行优先股转让业务有关要点</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（一）上市公司向特定对象发行优先股转让业务流程及时间安排</w:t>
      </w:r>
      <w:r>
        <w:rPr>
          <w:rFonts w:hint="eastAsia" w:ascii="仿宋" w:hAnsi="仿宋" w:eastAsia="仿宋"/>
          <w:sz w:val="32"/>
          <w:szCs w:val="32"/>
        </w:rPr>
        <w:t>请参见</w:t>
      </w:r>
      <w:r>
        <w:rPr>
          <w:rFonts w:hint="eastAsia" w:ascii="仿宋" w:hAnsi="仿宋" w:eastAsia="仿宋"/>
          <w:sz w:val="32"/>
          <w:szCs w:val="20"/>
        </w:rPr>
        <w:t>《上市公司向特定对象发行优先股转让参考流程》（附件1）。</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二）上市公司在优先股发行结束后，应当向创业板公司管理部提交优先股证券代码和证券简称申请（附件2）。优先股的代码范围为“140000～140999”，上市公司发行的优先股代码应当按顺序编制。优先股证券简称中“优”之前的汉字应当取自于该优先股对应的基础证券简称，“优”之后的字符根据其发行期次分别为“01”“02”等。</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二、优先股发行期间的工作</w:t>
      </w:r>
    </w:p>
    <w:p>
      <w:pPr>
        <w:spacing w:line="560" w:lineRule="exact"/>
        <w:ind w:firstLine="640" w:firstLineChars="200"/>
        <w:rPr>
          <w:rFonts w:ascii="楷体" w:hAnsi="楷体" w:eastAsia="楷体"/>
          <w:sz w:val="32"/>
          <w:szCs w:val="20"/>
        </w:rPr>
      </w:pPr>
      <w:r>
        <w:rPr>
          <w:rFonts w:hint="eastAsia" w:ascii="楷体" w:hAnsi="楷体" w:eastAsia="楷体"/>
          <w:sz w:val="32"/>
          <w:szCs w:val="20"/>
        </w:rPr>
        <w:t>（一）审核注册阶段信息披露要求</w:t>
      </w:r>
    </w:p>
    <w:p>
      <w:pPr>
        <w:spacing w:line="560" w:lineRule="exact"/>
        <w:ind w:firstLine="640" w:firstLineChars="200"/>
        <w:rPr>
          <w:rFonts w:ascii="仿宋" w:hAnsi="仿宋" w:eastAsia="仿宋"/>
          <w:sz w:val="32"/>
          <w:szCs w:val="32"/>
        </w:rPr>
      </w:pPr>
      <w:r>
        <w:rPr>
          <w:rFonts w:ascii="仿宋" w:hAnsi="仿宋" w:eastAsia="仿宋"/>
          <w:sz w:val="32"/>
          <w:szCs w:val="32"/>
        </w:rPr>
        <w:t>1．上市公司提出向特定对象发行</w:t>
      </w:r>
      <w:r>
        <w:rPr>
          <w:rFonts w:hint="eastAsia" w:ascii="仿宋" w:hAnsi="仿宋" w:eastAsia="仿宋"/>
          <w:sz w:val="32"/>
          <w:szCs w:val="32"/>
        </w:rPr>
        <w:t>优先股</w:t>
      </w:r>
      <w:r>
        <w:rPr>
          <w:rFonts w:ascii="仿宋" w:hAnsi="仿宋" w:eastAsia="仿宋"/>
          <w:sz w:val="32"/>
          <w:szCs w:val="32"/>
        </w:rPr>
        <w:t>发行申请后，出现下列情形之一的，应当在次一个交易日予以公告：</w:t>
      </w:r>
    </w:p>
    <w:p>
      <w:pPr>
        <w:spacing w:line="560" w:lineRule="exact"/>
        <w:ind w:firstLine="640" w:firstLineChars="200"/>
        <w:rPr>
          <w:rFonts w:ascii="仿宋" w:hAnsi="仿宋" w:eastAsia="仿宋"/>
          <w:sz w:val="32"/>
          <w:szCs w:val="32"/>
        </w:rPr>
      </w:pPr>
      <w:r>
        <w:rPr>
          <w:rFonts w:ascii="仿宋" w:hAnsi="仿宋" w:eastAsia="仿宋"/>
          <w:sz w:val="32"/>
          <w:szCs w:val="32"/>
        </w:rPr>
        <w:t>（1）收到交易所不予受理或者终止发行上市审核决定；</w:t>
      </w:r>
    </w:p>
    <w:p>
      <w:pPr>
        <w:spacing w:line="560" w:lineRule="exact"/>
        <w:ind w:firstLine="640" w:firstLineChars="200"/>
        <w:rPr>
          <w:rFonts w:ascii="仿宋" w:hAnsi="仿宋" w:eastAsia="仿宋"/>
          <w:sz w:val="32"/>
          <w:szCs w:val="32"/>
        </w:rPr>
      </w:pPr>
      <w:r>
        <w:rPr>
          <w:rFonts w:ascii="仿宋" w:hAnsi="仿宋" w:eastAsia="仿宋"/>
          <w:sz w:val="32"/>
          <w:szCs w:val="32"/>
        </w:rPr>
        <w:t>（2）收到中国证监会终止发行注册决定；</w:t>
      </w:r>
    </w:p>
    <w:p>
      <w:pPr>
        <w:spacing w:line="560" w:lineRule="exact"/>
        <w:ind w:firstLine="640" w:firstLineChars="200"/>
        <w:rPr>
          <w:rFonts w:ascii="仿宋" w:hAnsi="仿宋" w:eastAsia="仿宋"/>
          <w:sz w:val="32"/>
          <w:szCs w:val="32"/>
        </w:rPr>
      </w:pPr>
      <w:r>
        <w:rPr>
          <w:rFonts w:ascii="仿宋" w:hAnsi="仿宋" w:eastAsia="仿宋"/>
          <w:sz w:val="32"/>
          <w:szCs w:val="32"/>
        </w:rPr>
        <w:t>（3）收到中国证监会注册或者不予注册决定；</w:t>
      </w:r>
    </w:p>
    <w:p>
      <w:pPr>
        <w:spacing w:line="560" w:lineRule="exact"/>
        <w:ind w:firstLine="640" w:firstLineChars="200"/>
        <w:rPr>
          <w:rFonts w:ascii="仿宋" w:hAnsi="仿宋" w:eastAsia="仿宋"/>
          <w:sz w:val="32"/>
          <w:szCs w:val="32"/>
        </w:rPr>
      </w:pPr>
      <w:r>
        <w:rPr>
          <w:rFonts w:ascii="仿宋" w:hAnsi="仿宋" w:eastAsia="仿宋"/>
          <w:sz w:val="32"/>
          <w:szCs w:val="32"/>
        </w:rPr>
        <w:t>（4）上市公司撤回证券发行申请。</w:t>
      </w:r>
    </w:p>
    <w:p>
      <w:pPr>
        <w:spacing w:line="560" w:lineRule="exact"/>
        <w:ind w:firstLine="640" w:firstLineChars="200"/>
        <w:rPr>
          <w:rFonts w:ascii="仿宋" w:hAnsi="仿宋" w:eastAsia="仿宋"/>
          <w:sz w:val="32"/>
          <w:szCs w:val="32"/>
        </w:rPr>
      </w:pPr>
      <w:r>
        <w:rPr>
          <w:rFonts w:ascii="仿宋" w:hAnsi="仿宋" w:eastAsia="仿宋"/>
          <w:sz w:val="32"/>
          <w:szCs w:val="32"/>
        </w:rPr>
        <w:t>2．本所受理证券发行上市申请文件当日，公司应当披露受理公告，并同时披露募集说明书、发行保荐书、上市保荐书、审计报告、法律意见书。</w:t>
      </w:r>
    </w:p>
    <w:p>
      <w:pPr>
        <w:spacing w:line="560" w:lineRule="exact"/>
        <w:ind w:firstLine="640" w:firstLineChars="200"/>
        <w:rPr>
          <w:rFonts w:ascii="仿宋" w:hAnsi="仿宋" w:eastAsia="仿宋"/>
          <w:sz w:val="32"/>
          <w:szCs w:val="32"/>
        </w:rPr>
      </w:pPr>
      <w:r>
        <w:rPr>
          <w:rFonts w:ascii="仿宋" w:hAnsi="仿宋" w:eastAsia="仿宋"/>
          <w:sz w:val="32"/>
          <w:szCs w:val="32"/>
        </w:rPr>
        <w:t>3．上市公司应当以临时公告的形式及时披露对本所审核问询的回复。</w:t>
      </w:r>
    </w:p>
    <w:p>
      <w:pPr>
        <w:spacing w:line="560" w:lineRule="exact"/>
        <w:ind w:firstLine="640" w:firstLineChars="200"/>
        <w:rPr>
          <w:rFonts w:ascii="仿宋" w:hAnsi="仿宋" w:eastAsia="仿宋"/>
          <w:sz w:val="32"/>
          <w:szCs w:val="32"/>
        </w:rPr>
      </w:pPr>
      <w:r>
        <w:rPr>
          <w:rFonts w:ascii="仿宋" w:hAnsi="仿宋" w:eastAsia="仿宋"/>
          <w:sz w:val="32"/>
          <w:szCs w:val="32"/>
        </w:rPr>
        <w:t>4．上市公司收到本所具有明确审核意见的函件或</w:t>
      </w:r>
      <w:r>
        <w:rPr>
          <w:rFonts w:hint="eastAsia" w:ascii="仿宋" w:hAnsi="仿宋" w:eastAsia="仿宋"/>
          <w:sz w:val="32"/>
          <w:szCs w:val="32"/>
        </w:rPr>
        <w:t>者</w:t>
      </w:r>
      <w:r>
        <w:rPr>
          <w:rFonts w:ascii="仿宋" w:hAnsi="仿宋" w:eastAsia="仿宋"/>
          <w:sz w:val="32"/>
          <w:szCs w:val="32"/>
        </w:rPr>
        <w:t>决定后，应当以临时公告的形式及时对外披露。如为符合发行条件、上市条件和信息披露要求的审核意见，公司应</w:t>
      </w:r>
      <w:r>
        <w:rPr>
          <w:rFonts w:hint="eastAsia" w:ascii="仿宋" w:hAnsi="仿宋" w:eastAsia="仿宋"/>
          <w:sz w:val="32"/>
          <w:szCs w:val="32"/>
        </w:rPr>
        <w:t>当</w:t>
      </w:r>
      <w:r>
        <w:rPr>
          <w:rFonts w:ascii="仿宋" w:hAnsi="仿宋" w:eastAsia="仿宋"/>
          <w:sz w:val="32"/>
          <w:szCs w:val="32"/>
        </w:rPr>
        <w:t>在公告中声明“公司本次向特定对象发行股票尚需中国证监会注册，敬请广大投资者注意投资风险”。</w:t>
      </w:r>
    </w:p>
    <w:p>
      <w:pPr>
        <w:spacing w:line="560" w:lineRule="exact"/>
        <w:ind w:firstLine="640" w:firstLineChars="200"/>
        <w:rPr>
          <w:rFonts w:ascii="仿宋" w:hAnsi="仿宋" w:eastAsia="仿宋"/>
          <w:sz w:val="32"/>
          <w:szCs w:val="32"/>
        </w:rPr>
      </w:pPr>
      <w:r>
        <w:rPr>
          <w:rFonts w:ascii="仿宋" w:hAnsi="仿宋" w:eastAsia="仿宋"/>
          <w:sz w:val="32"/>
          <w:szCs w:val="32"/>
        </w:rPr>
        <w:t>5．上市公司披露收到中国证监会予以注册决定的公告时，应当说明取得注册</w:t>
      </w:r>
      <w:r>
        <w:rPr>
          <w:rFonts w:hint="eastAsia" w:ascii="仿宋" w:hAnsi="仿宋" w:eastAsia="仿宋"/>
          <w:sz w:val="32"/>
          <w:szCs w:val="32"/>
        </w:rPr>
        <w:t>文件</w:t>
      </w:r>
      <w:r>
        <w:rPr>
          <w:rFonts w:ascii="仿宋" w:hAnsi="仿宋" w:eastAsia="仿宋"/>
          <w:sz w:val="32"/>
          <w:szCs w:val="32"/>
        </w:rPr>
        <w:t>的日期、注册发行的股份数量，并公告本次发行的保荐人</w:t>
      </w:r>
      <w:r>
        <w:rPr>
          <w:rFonts w:hint="eastAsia" w:ascii="仿宋" w:hAnsi="仿宋" w:eastAsia="仿宋"/>
          <w:sz w:val="32"/>
          <w:szCs w:val="32"/>
        </w:rPr>
        <w:t>、主承销商</w:t>
      </w:r>
      <w:r>
        <w:rPr>
          <w:rFonts w:ascii="仿宋" w:hAnsi="仿宋" w:eastAsia="仿宋"/>
          <w:sz w:val="32"/>
          <w:szCs w:val="32"/>
        </w:rPr>
        <w:t>，公开上市公司和保荐人</w:t>
      </w:r>
      <w:r>
        <w:rPr>
          <w:rFonts w:hint="eastAsia" w:ascii="仿宋" w:hAnsi="仿宋" w:eastAsia="仿宋"/>
          <w:sz w:val="32"/>
          <w:szCs w:val="32"/>
        </w:rPr>
        <w:t>、主承销商</w:t>
      </w:r>
      <w:r>
        <w:rPr>
          <w:rFonts w:ascii="仿宋" w:hAnsi="仿宋" w:eastAsia="仿宋"/>
          <w:sz w:val="32"/>
          <w:szCs w:val="32"/>
        </w:rPr>
        <w:t>指定办理本次发行的负责人及其有效联系方式。</w:t>
      </w:r>
    </w:p>
    <w:p>
      <w:pPr>
        <w:spacing w:line="560" w:lineRule="exact"/>
        <w:ind w:firstLine="640" w:firstLineChars="200"/>
        <w:rPr>
          <w:rFonts w:ascii="仿宋" w:hAnsi="仿宋" w:eastAsia="仿宋"/>
          <w:sz w:val="32"/>
          <w:szCs w:val="20"/>
        </w:rPr>
      </w:pPr>
      <w:r>
        <w:rPr>
          <w:rFonts w:ascii="仿宋" w:hAnsi="仿宋" w:eastAsia="仿宋"/>
          <w:sz w:val="32"/>
          <w:szCs w:val="32"/>
        </w:rPr>
        <w:t>6．上市公司应当在收到中国证监会予以注册决定后的两个交易日内，以临时公告的形式披露经证监会予以注册的募集说明书。</w:t>
      </w:r>
    </w:p>
    <w:p>
      <w:pPr>
        <w:spacing w:line="560" w:lineRule="exact"/>
        <w:ind w:firstLine="640" w:firstLineChars="200"/>
        <w:rPr>
          <w:rFonts w:ascii="楷体" w:hAnsi="楷体" w:eastAsia="楷体"/>
          <w:sz w:val="32"/>
          <w:szCs w:val="20"/>
        </w:rPr>
      </w:pPr>
      <w:r>
        <w:rPr>
          <w:rFonts w:hint="eastAsia" w:ascii="楷体" w:hAnsi="楷体" w:eastAsia="楷体"/>
          <w:sz w:val="32"/>
          <w:szCs w:val="20"/>
        </w:rPr>
        <w:t>（二）组织实施发行方案</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1．上市公司取得证监会予以注册的决定后，应当及时按照《证券发行与承销管理办法》和《优先股实施细则》等有关规定组织发行。</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2．上市公司向特定投资者发行优先股的，特定投资者应当履行优先股认购协议，支付优先股认购款。</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3．上市公司应当聘请会计师事务所验资并出具验资报告，验资报告中应当说明发行认购资金到账情况，资产、负债转移完成情况并提供证明文件（如适用）。</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4．上市公司应当聘请律师出具法律意见书，法律意见书中应当对发行过程和发行结果的合法合规性发表明确意见，说明资产、负债转移完成情况及其证明文件（如适用）。</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5．在验资完成后，上市公司和保荐人应当向本所提交《发行情况报告书》《保荐人关于本次发行过程和认购对象合规性的报告》。</w:t>
      </w:r>
    </w:p>
    <w:p>
      <w:pPr>
        <w:spacing w:line="560" w:lineRule="exact"/>
        <w:ind w:firstLine="640" w:firstLineChars="200"/>
        <w:rPr>
          <w:rFonts w:ascii="楷体" w:hAnsi="楷体" w:eastAsia="楷体"/>
          <w:sz w:val="32"/>
          <w:szCs w:val="20"/>
        </w:rPr>
      </w:pPr>
      <w:r>
        <w:rPr>
          <w:rFonts w:hint="eastAsia" w:ascii="楷体" w:hAnsi="楷体" w:eastAsia="楷体"/>
          <w:sz w:val="32"/>
          <w:szCs w:val="20"/>
        </w:rPr>
        <w:t>（三）申请证券代码和证券简称</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向特定对象发行优先股发行结束后，上市公司应当向创业板公司管理部提交优先股认购人名单（附件3），并提交优先股证券代码和证券简称申请及以下材料：</w:t>
      </w:r>
    </w:p>
    <w:p>
      <w:pPr>
        <w:spacing w:line="560" w:lineRule="exact"/>
        <w:ind w:firstLine="640" w:firstLineChars="200"/>
        <w:rPr>
          <w:rFonts w:ascii="仿宋" w:hAnsi="仿宋" w:eastAsia="仿宋"/>
          <w:sz w:val="32"/>
          <w:szCs w:val="20"/>
        </w:rPr>
      </w:pPr>
      <w:r>
        <w:rPr>
          <w:rFonts w:ascii="仿宋" w:hAnsi="仿宋" w:eastAsia="仿宋"/>
          <w:sz w:val="32"/>
          <w:szCs w:val="20"/>
        </w:rPr>
        <w:t>1</w:t>
      </w:r>
      <w:r>
        <w:rPr>
          <w:rFonts w:hint="eastAsia" w:ascii="仿宋" w:hAnsi="仿宋" w:eastAsia="仿宋"/>
          <w:sz w:val="32"/>
          <w:szCs w:val="20"/>
        </w:rPr>
        <w:t>．中国证监会予以注册决定；</w:t>
      </w:r>
    </w:p>
    <w:p>
      <w:pPr>
        <w:spacing w:line="560" w:lineRule="exact"/>
        <w:ind w:firstLine="640" w:firstLineChars="200"/>
        <w:rPr>
          <w:rFonts w:ascii="仿宋" w:hAnsi="仿宋" w:eastAsia="仿宋"/>
          <w:sz w:val="32"/>
          <w:szCs w:val="20"/>
        </w:rPr>
      </w:pPr>
      <w:r>
        <w:rPr>
          <w:rFonts w:ascii="仿宋" w:hAnsi="仿宋" w:eastAsia="仿宋"/>
          <w:sz w:val="32"/>
          <w:szCs w:val="20"/>
        </w:rPr>
        <w:t>2</w:t>
      </w:r>
      <w:r>
        <w:rPr>
          <w:rFonts w:hint="eastAsia" w:ascii="仿宋" w:hAnsi="仿宋" w:eastAsia="仿宋"/>
          <w:sz w:val="32"/>
          <w:szCs w:val="20"/>
        </w:rPr>
        <w:t>．根据《优先股指导意见》和《优先股管理办法》，明确规定优先股相关事项的公司章程；</w:t>
      </w:r>
    </w:p>
    <w:p>
      <w:pPr>
        <w:spacing w:line="560" w:lineRule="exact"/>
        <w:ind w:firstLine="640" w:firstLineChars="200"/>
        <w:rPr>
          <w:rFonts w:ascii="仿宋" w:hAnsi="仿宋" w:eastAsia="仿宋"/>
          <w:sz w:val="32"/>
          <w:szCs w:val="20"/>
        </w:rPr>
      </w:pPr>
      <w:r>
        <w:rPr>
          <w:rFonts w:ascii="仿宋" w:hAnsi="仿宋" w:eastAsia="仿宋"/>
          <w:sz w:val="32"/>
          <w:szCs w:val="20"/>
        </w:rPr>
        <w:t>3</w:t>
      </w:r>
      <w:r>
        <w:rPr>
          <w:rFonts w:hint="eastAsia" w:ascii="仿宋" w:hAnsi="仿宋" w:eastAsia="仿宋"/>
          <w:sz w:val="32"/>
          <w:szCs w:val="20"/>
        </w:rPr>
        <w:t>．保荐人出具的《承销保荐协议》《转让保荐书》，保荐代表人分别签署的《保荐代表人声明和承诺书》（如适用）；</w:t>
      </w:r>
    </w:p>
    <w:p>
      <w:pPr>
        <w:spacing w:line="560" w:lineRule="exact"/>
        <w:ind w:firstLine="640" w:firstLineChars="200"/>
        <w:rPr>
          <w:rFonts w:ascii="仿宋" w:hAnsi="仿宋" w:eastAsia="仿宋"/>
          <w:sz w:val="32"/>
          <w:szCs w:val="20"/>
        </w:rPr>
      </w:pPr>
      <w:r>
        <w:rPr>
          <w:rFonts w:ascii="仿宋" w:hAnsi="仿宋" w:eastAsia="仿宋"/>
          <w:sz w:val="32"/>
          <w:szCs w:val="20"/>
        </w:rPr>
        <w:t>4</w:t>
      </w:r>
      <w:r>
        <w:rPr>
          <w:rFonts w:hint="eastAsia" w:ascii="仿宋" w:hAnsi="仿宋" w:eastAsia="仿宋"/>
          <w:sz w:val="32"/>
          <w:szCs w:val="20"/>
        </w:rPr>
        <w:t>．财务顾问出具的《财务顾问报告》（如适用）；</w:t>
      </w:r>
    </w:p>
    <w:p>
      <w:pPr>
        <w:spacing w:line="560" w:lineRule="exact"/>
        <w:ind w:firstLine="640" w:firstLineChars="200"/>
        <w:rPr>
          <w:rFonts w:ascii="仿宋" w:hAnsi="仿宋" w:eastAsia="仿宋"/>
          <w:sz w:val="32"/>
          <w:szCs w:val="20"/>
        </w:rPr>
      </w:pPr>
      <w:r>
        <w:rPr>
          <w:rFonts w:ascii="仿宋" w:hAnsi="仿宋" w:eastAsia="仿宋"/>
          <w:sz w:val="32"/>
          <w:szCs w:val="20"/>
        </w:rPr>
        <w:t>5</w:t>
      </w:r>
      <w:r>
        <w:rPr>
          <w:rFonts w:hint="eastAsia" w:ascii="仿宋" w:hAnsi="仿宋" w:eastAsia="仿宋"/>
          <w:sz w:val="32"/>
          <w:szCs w:val="20"/>
        </w:rPr>
        <w:t>．会计师事务所出具的《验资报告》；</w:t>
      </w:r>
    </w:p>
    <w:p>
      <w:pPr>
        <w:spacing w:line="560" w:lineRule="exact"/>
        <w:ind w:firstLine="640" w:firstLineChars="200"/>
        <w:rPr>
          <w:rFonts w:ascii="仿宋" w:hAnsi="仿宋" w:eastAsia="仿宋"/>
          <w:sz w:val="32"/>
          <w:szCs w:val="20"/>
        </w:rPr>
      </w:pPr>
      <w:r>
        <w:rPr>
          <w:rFonts w:ascii="仿宋" w:hAnsi="仿宋" w:eastAsia="仿宋"/>
          <w:sz w:val="32"/>
          <w:szCs w:val="20"/>
        </w:rPr>
        <w:t>6</w:t>
      </w:r>
      <w:r>
        <w:rPr>
          <w:rFonts w:hint="eastAsia" w:ascii="仿宋" w:hAnsi="仿宋" w:eastAsia="仿宋"/>
          <w:sz w:val="32"/>
          <w:szCs w:val="20"/>
        </w:rPr>
        <w:t>．资产、负债转移手续完成情况及其证明文件（如适用）；</w:t>
      </w:r>
    </w:p>
    <w:p>
      <w:pPr>
        <w:spacing w:line="560" w:lineRule="exact"/>
        <w:ind w:firstLine="640" w:firstLineChars="200"/>
        <w:rPr>
          <w:rFonts w:ascii="仿宋" w:hAnsi="仿宋" w:eastAsia="仿宋"/>
          <w:sz w:val="32"/>
          <w:szCs w:val="20"/>
        </w:rPr>
      </w:pPr>
      <w:r>
        <w:rPr>
          <w:rFonts w:ascii="仿宋" w:hAnsi="仿宋" w:eastAsia="仿宋"/>
          <w:sz w:val="32"/>
          <w:szCs w:val="20"/>
        </w:rPr>
        <w:t>7</w:t>
      </w:r>
      <w:r>
        <w:rPr>
          <w:rFonts w:hint="eastAsia" w:ascii="仿宋" w:hAnsi="仿宋" w:eastAsia="仿宋"/>
          <w:sz w:val="32"/>
          <w:szCs w:val="20"/>
        </w:rPr>
        <w:t>．律师事务所出具的《法律意见书》；</w:t>
      </w:r>
    </w:p>
    <w:p>
      <w:pPr>
        <w:spacing w:line="560" w:lineRule="exact"/>
        <w:ind w:firstLine="640" w:firstLineChars="200"/>
        <w:rPr>
          <w:rFonts w:ascii="仿宋" w:hAnsi="仿宋" w:eastAsia="仿宋"/>
          <w:sz w:val="32"/>
          <w:szCs w:val="20"/>
        </w:rPr>
      </w:pPr>
      <w:r>
        <w:rPr>
          <w:rFonts w:ascii="仿宋" w:hAnsi="仿宋" w:eastAsia="仿宋"/>
          <w:sz w:val="32"/>
          <w:szCs w:val="20"/>
        </w:rPr>
        <w:t>8</w:t>
      </w:r>
      <w:r>
        <w:rPr>
          <w:rFonts w:hint="eastAsia" w:ascii="仿宋" w:hAnsi="仿宋" w:eastAsia="仿宋"/>
          <w:sz w:val="32"/>
          <w:szCs w:val="20"/>
        </w:rPr>
        <w:t>．董事、监事和高级管理人员持股情况变动的报告（如适用）；</w:t>
      </w:r>
    </w:p>
    <w:p>
      <w:pPr>
        <w:spacing w:line="560" w:lineRule="exact"/>
        <w:ind w:firstLine="640" w:firstLineChars="200"/>
        <w:rPr>
          <w:rFonts w:ascii="仿宋" w:hAnsi="仿宋" w:eastAsia="仿宋"/>
          <w:sz w:val="32"/>
          <w:szCs w:val="20"/>
        </w:rPr>
      </w:pPr>
      <w:r>
        <w:rPr>
          <w:rFonts w:ascii="仿宋" w:hAnsi="仿宋" w:eastAsia="仿宋"/>
          <w:sz w:val="32"/>
          <w:szCs w:val="20"/>
        </w:rPr>
        <w:t>9</w:t>
      </w:r>
      <w:r>
        <w:rPr>
          <w:rFonts w:hint="eastAsia" w:ascii="仿宋" w:hAnsi="仿宋" w:eastAsia="仿宋"/>
          <w:sz w:val="32"/>
          <w:szCs w:val="20"/>
        </w:rPr>
        <w:t>．发行对象、上市公司等在本次优先股发行中所有承诺及其履行情况的《承诺公告》；</w:t>
      </w:r>
    </w:p>
    <w:p>
      <w:pPr>
        <w:spacing w:line="560" w:lineRule="exact"/>
        <w:ind w:firstLine="640" w:firstLineChars="200"/>
        <w:rPr>
          <w:rFonts w:ascii="仿宋" w:hAnsi="仿宋" w:eastAsia="仿宋"/>
          <w:sz w:val="32"/>
          <w:szCs w:val="20"/>
        </w:rPr>
      </w:pPr>
      <w:r>
        <w:rPr>
          <w:rFonts w:ascii="仿宋" w:hAnsi="仿宋" w:eastAsia="仿宋"/>
          <w:sz w:val="32"/>
          <w:szCs w:val="20"/>
        </w:rPr>
        <w:t>10</w:t>
      </w:r>
      <w:r>
        <w:rPr>
          <w:rFonts w:hint="eastAsia" w:ascii="仿宋" w:hAnsi="仿宋" w:eastAsia="仿宋"/>
          <w:sz w:val="32"/>
          <w:szCs w:val="20"/>
        </w:rPr>
        <w:t>．本所要求的其他文件。</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创业板公司管理部对申请材料进行完备性核对，符合相关规定的，联系上市公司确定该期优先股代码和简称，向发行人业务部发送《向特定对象发行优先股发行结果通知表》并在业务系统中维护优先股基本信息。</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三、办理股份预登记及转让前的相关工作</w:t>
      </w:r>
    </w:p>
    <w:p>
      <w:pPr>
        <w:spacing w:line="560" w:lineRule="exact"/>
        <w:ind w:firstLine="640" w:firstLineChars="200"/>
        <w:rPr>
          <w:rFonts w:ascii="楷体" w:hAnsi="楷体" w:eastAsia="楷体"/>
          <w:sz w:val="32"/>
          <w:szCs w:val="20"/>
        </w:rPr>
      </w:pPr>
      <w:r>
        <w:rPr>
          <w:rFonts w:hint="eastAsia" w:ascii="楷体" w:hAnsi="楷体" w:eastAsia="楷体"/>
          <w:sz w:val="32"/>
          <w:szCs w:val="20"/>
        </w:rPr>
        <w:t>（一）办理股份登记手续</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上市公司向结算公司提交优先股相关登记材料，申请办理优先股登记手续，由结算公司向上市公司出具优先股登记证明文件、优先股前十大股东名册。</w:t>
      </w:r>
    </w:p>
    <w:p>
      <w:pPr>
        <w:spacing w:line="560" w:lineRule="exact"/>
        <w:ind w:firstLine="640" w:firstLineChars="200"/>
        <w:rPr>
          <w:rFonts w:ascii="楷体" w:hAnsi="楷体" w:eastAsia="楷体"/>
          <w:sz w:val="32"/>
          <w:szCs w:val="20"/>
        </w:rPr>
      </w:pPr>
      <w:r>
        <w:rPr>
          <w:rFonts w:hint="eastAsia" w:ascii="楷体" w:hAnsi="楷体" w:eastAsia="楷体"/>
          <w:sz w:val="32"/>
          <w:szCs w:val="20"/>
        </w:rPr>
        <w:t>（二）披露转让公告书</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上市公司在结算公司办理完毕相关手续后，应当及时披露以下文件：</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1．向特定对象发行优先股发行情况报告书；</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2．向特定对象发行优先股募集说明书及摘要；</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3．会计师事务所出具的《验资报告》；</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4．律师事务所出具的关于本次发行过程和认购对象合规性的《法律意见书》；</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5．保荐人出具的《保荐人关于本次发行过程和认购对象合规性的报告》。</w:t>
      </w:r>
    </w:p>
    <w:p>
      <w:pPr>
        <w:spacing w:line="560" w:lineRule="exact"/>
        <w:ind w:firstLine="640" w:firstLineChars="200"/>
        <w:rPr>
          <w:rFonts w:ascii="楷体" w:hAnsi="楷体" w:eastAsia="楷体"/>
          <w:sz w:val="32"/>
          <w:szCs w:val="20"/>
        </w:rPr>
      </w:pPr>
      <w:r>
        <w:rPr>
          <w:rFonts w:hint="eastAsia" w:ascii="楷体" w:hAnsi="楷体" w:eastAsia="楷体"/>
          <w:sz w:val="32"/>
          <w:szCs w:val="20"/>
        </w:rPr>
        <w:t>（三）提交优先股转让申请</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本所为向特定对象发行的优先股提供转让服务。上市公司可以向创业板公司管理部提交优先股转让申请书，并提交转让公告、保荐人出具的《转让保荐书》等材料。</w:t>
      </w:r>
    </w:p>
    <w:p>
      <w:pPr>
        <w:spacing w:line="560" w:lineRule="exact"/>
        <w:ind w:firstLine="640" w:firstLineChars="200"/>
        <w:rPr>
          <w:rFonts w:ascii="楷体" w:hAnsi="楷体" w:eastAsia="楷体"/>
          <w:sz w:val="32"/>
          <w:szCs w:val="20"/>
        </w:rPr>
      </w:pPr>
      <w:r>
        <w:rPr>
          <w:rFonts w:hint="eastAsia" w:ascii="楷体" w:hAnsi="楷体" w:eastAsia="楷体"/>
          <w:sz w:val="32"/>
          <w:szCs w:val="20"/>
        </w:rPr>
        <w:t>（四）缴纳优先股转让服务费</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上市公司从创业板公司管理部领取《优先股转让服务费收款通知》，及时缴纳转让服务费。</w:t>
      </w:r>
    </w:p>
    <w:p>
      <w:pPr>
        <w:spacing w:line="560" w:lineRule="exact"/>
        <w:ind w:firstLine="643" w:firstLineChars="200"/>
        <w:rPr>
          <w:rFonts w:ascii="黑体" w:hAnsi="黑体" w:eastAsia="黑体"/>
          <w:b/>
          <w:sz w:val="32"/>
          <w:szCs w:val="32"/>
        </w:rPr>
      </w:pPr>
      <w:r>
        <w:rPr>
          <w:rFonts w:hint="eastAsia" w:ascii="黑体" w:hAnsi="黑体" w:eastAsia="黑体"/>
          <w:b/>
          <w:sz w:val="32"/>
          <w:szCs w:val="32"/>
        </w:rPr>
        <w:t>四、披露《优先股转让公告书》</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上市公司应当在优先股转让日前五个交易日内披露《优先股转让公告书》，该公告至少应当包括以下内容：</w:t>
      </w:r>
    </w:p>
    <w:p>
      <w:pPr>
        <w:spacing w:line="560" w:lineRule="exact"/>
        <w:ind w:firstLine="640" w:firstLineChars="200"/>
        <w:rPr>
          <w:rFonts w:ascii="仿宋" w:hAnsi="仿宋" w:eastAsia="仿宋"/>
          <w:sz w:val="32"/>
          <w:szCs w:val="20"/>
        </w:rPr>
      </w:pPr>
      <w:r>
        <w:rPr>
          <w:rFonts w:ascii="仿宋" w:hAnsi="仿宋" w:eastAsia="仿宋"/>
          <w:sz w:val="32"/>
          <w:szCs w:val="20"/>
        </w:rPr>
        <w:t>1</w:t>
      </w:r>
      <w:r>
        <w:rPr>
          <w:rFonts w:hint="eastAsia" w:ascii="仿宋" w:hAnsi="仿宋" w:eastAsia="仿宋"/>
          <w:sz w:val="32"/>
          <w:szCs w:val="20"/>
        </w:rPr>
        <w:t>．重要内容提示；</w:t>
      </w:r>
    </w:p>
    <w:p>
      <w:pPr>
        <w:spacing w:line="560" w:lineRule="exact"/>
        <w:ind w:firstLine="640" w:firstLineChars="200"/>
        <w:rPr>
          <w:rFonts w:ascii="仿宋" w:hAnsi="仿宋" w:eastAsia="仿宋"/>
          <w:sz w:val="32"/>
          <w:szCs w:val="20"/>
        </w:rPr>
      </w:pPr>
      <w:r>
        <w:rPr>
          <w:rFonts w:ascii="仿宋" w:hAnsi="仿宋" w:eastAsia="仿宋"/>
          <w:sz w:val="32"/>
          <w:szCs w:val="20"/>
        </w:rPr>
        <w:t>2</w:t>
      </w:r>
      <w:r>
        <w:rPr>
          <w:rFonts w:hint="eastAsia" w:ascii="仿宋" w:hAnsi="仿宋" w:eastAsia="仿宋"/>
          <w:sz w:val="32"/>
          <w:szCs w:val="20"/>
        </w:rPr>
        <w:t>．本次发行方案的主要内容及发行基本情况，包括本次发行履行的相关程序，本次发行方案，本次发行结果，募集资金情况，发行的数量、转让时间、期限、转股或恢复表决权安排、付息日等；</w:t>
      </w:r>
    </w:p>
    <w:p>
      <w:pPr>
        <w:spacing w:line="560" w:lineRule="exact"/>
        <w:ind w:firstLine="640" w:firstLineChars="200"/>
        <w:rPr>
          <w:rFonts w:ascii="仿宋" w:hAnsi="仿宋" w:eastAsia="仿宋"/>
          <w:sz w:val="32"/>
          <w:szCs w:val="20"/>
        </w:rPr>
      </w:pPr>
      <w:r>
        <w:rPr>
          <w:rFonts w:ascii="仿宋" w:hAnsi="仿宋" w:eastAsia="仿宋"/>
          <w:sz w:val="32"/>
          <w:szCs w:val="20"/>
        </w:rPr>
        <w:t>3</w:t>
      </w:r>
      <w:r>
        <w:rPr>
          <w:rFonts w:hint="eastAsia" w:ascii="仿宋" w:hAnsi="仿宋" w:eastAsia="仿宋"/>
          <w:sz w:val="32"/>
          <w:szCs w:val="20"/>
        </w:rPr>
        <w:t>．验资及优先股登记情况；</w:t>
      </w:r>
    </w:p>
    <w:p>
      <w:pPr>
        <w:spacing w:line="560" w:lineRule="exact"/>
        <w:ind w:firstLine="640" w:firstLineChars="200"/>
        <w:rPr>
          <w:rFonts w:ascii="仿宋" w:hAnsi="仿宋" w:eastAsia="仿宋"/>
          <w:sz w:val="32"/>
          <w:szCs w:val="20"/>
        </w:rPr>
      </w:pPr>
      <w:r>
        <w:rPr>
          <w:rFonts w:ascii="仿宋" w:hAnsi="仿宋" w:eastAsia="仿宋"/>
          <w:sz w:val="32"/>
          <w:szCs w:val="20"/>
        </w:rPr>
        <w:t>4</w:t>
      </w:r>
      <w:r>
        <w:rPr>
          <w:rFonts w:hint="eastAsia" w:ascii="仿宋" w:hAnsi="仿宋" w:eastAsia="仿宋"/>
          <w:sz w:val="32"/>
          <w:szCs w:val="20"/>
        </w:rPr>
        <w:t>．优先股转让安排；</w:t>
      </w:r>
    </w:p>
    <w:p>
      <w:pPr>
        <w:spacing w:line="560" w:lineRule="exact"/>
        <w:ind w:firstLine="640" w:firstLineChars="200"/>
        <w:rPr>
          <w:rFonts w:ascii="仿宋" w:hAnsi="仿宋" w:eastAsia="仿宋"/>
          <w:sz w:val="32"/>
          <w:szCs w:val="20"/>
        </w:rPr>
      </w:pPr>
      <w:r>
        <w:rPr>
          <w:rFonts w:ascii="仿宋" w:hAnsi="仿宋" w:eastAsia="仿宋"/>
          <w:sz w:val="32"/>
          <w:szCs w:val="20"/>
        </w:rPr>
        <w:t>5</w:t>
      </w:r>
      <w:r>
        <w:rPr>
          <w:rFonts w:hint="eastAsia" w:ascii="仿宋" w:hAnsi="仿宋" w:eastAsia="仿宋"/>
          <w:sz w:val="32"/>
          <w:szCs w:val="20"/>
        </w:rPr>
        <w:t>．保荐人出具的《转让保荐书》；</w:t>
      </w:r>
    </w:p>
    <w:p>
      <w:pPr>
        <w:spacing w:line="560" w:lineRule="exact"/>
        <w:ind w:firstLine="640" w:firstLineChars="200"/>
        <w:rPr>
          <w:rFonts w:ascii="仿宋" w:hAnsi="仿宋" w:eastAsia="仿宋"/>
          <w:sz w:val="32"/>
          <w:szCs w:val="20"/>
        </w:rPr>
      </w:pPr>
      <w:r>
        <w:rPr>
          <w:rFonts w:ascii="仿宋" w:hAnsi="仿宋" w:eastAsia="仿宋"/>
          <w:sz w:val="32"/>
          <w:szCs w:val="20"/>
        </w:rPr>
        <w:t>6</w:t>
      </w:r>
      <w:r>
        <w:rPr>
          <w:rFonts w:hint="eastAsia" w:ascii="仿宋" w:hAnsi="仿宋" w:eastAsia="仿宋"/>
          <w:sz w:val="32"/>
          <w:szCs w:val="20"/>
        </w:rPr>
        <w:t>．法律意见书；</w:t>
      </w:r>
    </w:p>
    <w:p>
      <w:pPr>
        <w:spacing w:line="560" w:lineRule="exact"/>
        <w:ind w:firstLine="640" w:firstLineChars="200"/>
        <w:rPr>
          <w:rFonts w:ascii="仿宋" w:hAnsi="仿宋" w:eastAsia="仿宋"/>
          <w:sz w:val="32"/>
          <w:szCs w:val="20"/>
        </w:rPr>
      </w:pPr>
      <w:r>
        <w:rPr>
          <w:rFonts w:hint="eastAsia" w:ascii="仿宋" w:hAnsi="仿宋" w:eastAsia="仿宋"/>
          <w:sz w:val="32"/>
          <w:szCs w:val="20"/>
        </w:rPr>
        <w:t>7.</w:t>
      </w:r>
      <w:r>
        <w:rPr>
          <w:rFonts w:hint="eastAsia" w:ascii="Times New Roman" w:hAnsi="Times New Roman" w:eastAsia="仿宋"/>
          <w:sz w:val="32"/>
          <w:szCs w:val="20"/>
        </w:rPr>
        <w:t xml:space="preserve"> </w:t>
      </w:r>
      <w:r>
        <w:rPr>
          <w:rFonts w:hint="eastAsia" w:ascii="仿宋" w:hAnsi="仿宋" w:eastAsia="仿宋"/>
          <w:sz w:val="32"/>
          <w:szCs w:val="20"/>
        </w:rPr>
        <w:t>本所要求的其他内容。</w:t>
      </w:r>
    </w:p>
    <w:p>
      <w:pPr>
        <w:spacing w:line="560" w:lineRule="exact"/>
        <w:ind w:firstLine="640" w:firstLineChars="200"/>
        <w:rPr>
          <w:rFonts w:ascii="仿宋" w:hAnsi="仿宋" w:eastAsia="仿宋"/>
          <w:sz w:val="32"/>
          <w:szCs w:val="20"/>
        </w:rPr>
      </w:pPr>
    </w:p>
    <w:p>
      <w:pPr>
        <w:spacing w:line="560" w:lineRule="exact"/>
        <w:ind w:firstLine="640" w:firstLineChars="200"/>
        <w:rPr>
          <w:rFonts w:ascii="仿宋" w:hAnsi="仿宋" w:eastAsia="仿宋"/>
          <w:sz w:val="32"/>
          <w:szCs w:val="20"/>
        </w:rPr>
      </w:pPr>
    </w:p>
    <w:p>
      <w:pPr>
        <w:tabs>
          <w:tab w:val="left" w:pos="540"/>
        </w:tabs>
        <w:spacing w:line="560" w:lineRule="exact"/>
        <w:ind w:firstLine="640" w:firstLineChars="200"/>
        <w:rPr>
          <w:rFonts w:ascii="仿宋" w:hAnsi="仿宋" w:eastAsia="仿宋"/>
          <w:sz w:val="32"/>
          <w:szCs w:val="32"/>
        </w:rPr>
      </w:pPr>
      <w:r>
        <w:rPr>
          <w:rFonts w:hint="eastAsia" w:ascii="仿宋" w:hAnsi="仿宋" w:eastAsia="仿宋"/>
          <w:sz w:val="32"/>
          <w:szCs w:val="32"/>
        </w:rPr>
        <w:t>附件：1．上市公司向特定对象发行优先股转让参考</w:t>
      </w:r>
    </w:p>
    <w:p>
      <w:pPr>
        <w:tabs>
          <w:tab w:val="left" w:pos="540"/>
        </w:tabs>
        <w:spacing w:line="560" w:lineRule="exact"/>
        <w:ind w:firstLine="2179" w:firstLineChars="681"/>
        <w:rPr>
          <w:rFonts w:ascii="仿宋" w:hAnsi="仿宋" w:eastAsia="仿宋"/>
          <w:sz w:val="32"/>
          <w:szCs w:val="32"/>
        </w:rPr>
      </w:pPr>
      <w:r>
        <w:rPr>
          <w:rFonts w:hint="eastAsia" w:ascii="仿宋" w:hAnsi="仿宋" w:eastAsia="仿宋"/>
          <w:sz w:val="32"/>
          <w:szCs w:val="32"/>
        </w:rPr>
        <w:t>流程</w:t>
      </w:r>
    </w:p>
    <w:p>
      <w:pPr>
        <w:tabs>
          <w:tab w:val="left" w:pos="540"/>
        </w:tabs>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      2．关于XX公司优先股证券简称及证券代码的</w:t>
      </w:r>
    </w:p>
    <w:p>
      <w:pPr>
        <w:tabs>
          <w:tab w:val="left" w:pos="540"/>
        </w:tabs>
        <w:spacing w:line="560" w:lineRule="exact"/>
        <w:ind w:firstLine="2179" w:firstLineChars="681"/>
        <w:rPr>
          <w:rFonts w:ascii="仿宋" w:hAnsi="仿宋" w:eastAsia="仿宋"/>
          <w:sz w:val="32"/>
          <w:szCs w:val="32"/>
        </w:rPr>
      </w:pPr>
      <w:r>
        <w:rPr>
          <w:rFonts w:hint="eastAsia" w:ascii="仿宋" w:hAnsi="仿宋" w:eastAsia="仿宋"/>
          <w:sz w:val="32"/>
          <w:szCs w:val="32"/>
        </w:rPr>
        <w:t>申请</w:t>
      </w:r>
    </w:p>
    <w:p>
      <w:pPr>
        <w:tabs>
          <w:tab w:val="left" w:pos="540"/>
        </w:tabs>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      3．XX公司向特定对象发行优先股认购人名单</w:t>
      </w:r>
    </w:p>
    <w:p>
      <w:pPr>
        <w:tabs>
          <w:tab w:val="left" w:pos="540"/>
        </w:tabs>
        <w:spacing w:line="560" w:lineRule="exact"/>
        <w:rPr>
          <w:rFonts w:ascii="仿宋" w:hAnsi="仿宋" w:eastAsia="仿宋"/>
          <w:sz w:val="32"/>
          <w:szCs w:val="32"/>
        </w:rPr>
      </w:pPr>
      <w:r>
        <w:rPr>
          <w:rFonts w:ascii="仿宋" w:hAnsi="仿宋" w:eastAsia="仿宋"/>
          <w:sz w:val="32"/>
          <w:szCs w:val="32"/>
        </w:rPr>
        <w:br w:type="page"/>
      </w:r>
      <w:r>
        <w:rPr>
          <w:rFonts w:hint="eastAsia" w:ascii="黑体" w:hAnsi="黑体" w:eastAsia="黑体"/>
          <w:sz w:val="32"/>
          <w:szCs w:val="20"/>
        </w:rPr>
        <w:t>附件</w:t>
      </w:r>
      <w:r>
        <w:rPr>
          <w:rFonts w:ascii="黑体" w:hAnsi="黑体" w:eastAsia="黑体"/>
          <w:sz w:val="32"/>
          <w:szCs w:val="20"/>
        </w:rPr>
        <w:t>1</w:t>
      </w:r>
    </w:p>
    <w:p>
      <w:pPr>
        <w:spacing w:line="560" w:lineRule="exact"/>
        <w:ind w:firstLine="640" w:firstLineChars="200"/>
        <w:rPr>
          <w:rFonts w:ascii="黑体" w:hAnsi="黑体" w:eastAsia="黑体"/>
          <w:sz w:val="32"/>
          <w:szCs w:val="20"/>
        </w:rPr>
      </w:pPr>
    </w:p>
    <w:p>
      <w:pPr>
        <w:widowControl/>
        <w:spacing w:line="560" w:lineRule="exact"/>
        <w:ind w:firstLine="640"/>
        <w:jc w:val="center"/>
        <w:rPr>
          <w:rFonts w:ascii="方正小标宋简体" w:hAnsi="仿宋" w:eastAsia="方正小标宋简体"/>
          <w:kern w:val="44"/>
          <w:sz w:val="44"/>
          <w:szCs w:val="20"/>
        </w:rPr>
      </w:pPr>
      <w:r>
        <w:rPr>
          <w:rFonts w:hint="eastAsia" w:ascii="方正小标宋简体" w:hAnsi="仿宋" w:eastAsia="方正小标宋简体"/>
          <w:kern w:val="44"/>
          <w:sz w:val="44"/>
          <w:szCs w:val="20"/>
        </w:rPr>
        <w:t>上市公司向特定对象发行优先股转让</w:t>
      </w:r>
    </w:p>
    <w:p>
      <w:pPr>
        <w:widowControl/>
        <w:spacing w:line="560" w:lineRule="exact"/>
        <w:ind w:firstLine="640"/>
        <w:jc w:val="center"/>
        <w:rPr>
          <w:rFonts w:ascii="方正小标宋简体" w:hAnsi="仿宋" w:eastAsia="方正小标宋简体"/>
          <w:kern w:val="44"/>
          <w:sz w:val="44"/>
          <w:szCs w:val="20"/>
        </w:rPr>
      </w:pPr>
      <w:r>
        <w:rPr>
          <w:rFonts w:hint="eastAsia" w:ascii="方正小标宋简体" w:hAnsi="仿宋" w:eastAsia="方正小标宋简体"/>
          <w:kern w:val="44"/>
          <w:sz w:val="44"/>
          <w:szCs w:val="20"/>
        </w:rPr>
        <w:t>参考流程</w:t>
      </w:r>
    </w:p>
    <w:p>
      <w:pPr>
        <w:widowControl/>
        <w:spacing w:line="560" w:lineRule="exact"/>
        <w:ind w:firstLine="640"/>
        <w:jc w:val="center"/>
        <w:rPr>
          <w:rFonts w:ascii="黑体" w:hAnsi="黑体" w:eastAsia="黑体"/>
          <w:b/>
          <w:sz w:val="36"/>
          <w:szCs w:val="32"/>
        </w:rPr>
      </w:pP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5621"/>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tcBorders>
              <w:top w:val="single" w:color="auto" w:sz="4" w:space="0"/>
              <w:left w:val="single" w:color="auto" w:sz="4" w:space="0"/>
              <w:bottom w:val="single" w:color="auto" w:sz="4" w:space="0"/>
              <w:right w:val="single" w:color="auto" w:sz="4" w:space="0"/>
            </w:tcBorders>
          </w:tcPr>
          <w:p>
            <w:pPr>
              <w:widowControl/>
              <w:jc w:val="center"/>
              <w:rPr>
                <w:rFonts w:ascii="仿宋" w:hAnsi="仿宋" w:eastAsia="仿宋"/>
                <w:b/>
                <w:sz w:val="24"/>
                <w:szCs w:val="24"/>
              </w:rPr>
            </w:pPr>
            <w:r>
              <w:rPr>
                <w:rFonts w:hint="eastAsia" w:ascii="仿宋" w:hAnsi="仿宋" w:eastAsia="仿宋"/>
                <w:b/>
                <w:sz w:val="24"/>
                <w:szCs w:val="24"/>
              </w:rPr>
              <w:t>时间</w:t>
            </w:r>
          </w:p>
        </w:tc>
        <w:tc>
          <w:tcPr>
            <w:tcW w:w="3298" w:type="pct"/>
            <w:tcBorders>
              <w:top w:val="single" w:color="auto" w:sz="4" w:space="0"/>
              <w:left w:val="single" w:color="auto" w:sz="4" w:space="0"/>
              <w:bottom w:val="single" w:color="auto" w:sz="4" w:space="0"/>
              <w:right w:val="single" w:color="auto" w:sz="4" w:space="0"/>
            </w:tcBorders>
          </w:tcPr>
          <w:p>
            <w:pPr>
              <w:widowControl/>
              <w:jc w:val="center"/>
              <w:rPr>
                <w:rFonts w:ascii="仿宋" w:hAnsi="仿宋" w:eastAsia="仿宋"/>
                <w:b/>
                <w:sz w:val="24"/>
                <w:szCs w:val="24"/>
              </w:rPr>
            </w:pPr>
            <w:r>
              <w:rPr>
                <w:rFonts w:hint="eastAsia" w:ascii="仿宋" w:hAnsi="仿宋" w:eastAsia="仿宋"/>
                <w:b/>
                <w:sz w:val="24"/>
                <w:szCs w:val="24"/>
              </w:rPr>
              <w:t>业务事项</w:t>
            </w:r>
          </w:p>
        </w:tc>
        <w:tc>
          <w:tcPr>
            <w:tcW w:w="85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b/>
                <w:sz w:val="24"/>
                <w:szCs w:val="24"/>
              </w:rPr>
            </w:pPr>
            <w:r>
              <w:rPr>
                <w:rFonts w:hint="eastAsia" w:ascii="仿宋" w:hAnsi="仿宋" w:eastAsia="仿宋"/>
                <w:b/>
                <w:sz w:val="24"/>
                <w:szCs w:val="24"/>
              </w:rPr>
              <w:t>操作部门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tcBorders>
              <w:top w:val="single" w:color="auto" w:sz="4" w:space="0"/>
              <w:left w:val="single" w:color="auto" w:sz="4" w:space="0"/>
              <w:bottom w:val="single" w:color="auto" w:sz="4" w:space="0"/>
              <w:right w:val="single" w:color="auto" w:sz="4" w:space="0"/>
            </w:tcBorders>
          </w:tcPr>
          <w:p>
            <w:pPr>
              <w:widowControl/>
              <w:ind w:firstLine="480" w:firstLineChars="200"/>
              <w:jc w:val="center"/>
              <w:rPr>
                <w:rFonts w:ascii="仿宋" w:hAnsi="仿宋" w:eastAsia="仿宋"/>
                <w:sz w:val="24"/>
                <w:szCs w:val="24"/>
              </w:rPr>
            </w:pPr>
          </w:p>
        </w:tc>
        <w:tc>
          <w:tcPr>
            <w:tcW w:w="3298"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4"/>
              </w:rPr>
            </w:pPr>
            <w:r>
              <w:rPr>
                <w:rFonts w:hint="eastAsia" w:ascii="仿宋" w:hAnsi="仿宋" w:eastAsia="仿宋"/>
                <w:sz w:val="24"/>
                <w:szCs w:val="24"/>
              </w:rPr>
              <w:t>优先股向特定对象发行结束后，上市公司应当向创业板公司管理部提交《</w:t>
            </w:r>
            <w:r>
              <w:rPr>
                <w:rFonts w:ascii="仿宋" w:hAnsi="仿宋" w:eastAsia="仿宋"/>
                <w:sz w:val="24"/>
                <w:szCs w:val="24"/>
              </w:rPr>
              <w:t>XX</w:t>
            </w:r>
            <w:r>
              <w:rPr>
                <w:rFonts w:hint="eastAsia" w:ascii="仿宋" w:hAnsi="仿宋" w:eastAsia="仿宋"/>
                <w:sz w:val="24"/>
                <w:szCs w:val="24"/>
              </w:rPr>
              <w:t>公司向特定对象发行优先股认购人名单》，并向创业板公司管理部提交优先股证券代码和证券简称申请及以下材料：</w:t>
            </w:r>
          </w:p>
          <w:p>
            <w:pPr>
              <w:widowControl/>
              <w:ind w:firstLine="480" w:firstLineChars="200"/>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．中国证监会予以注册决定；</w:t>
            </w:r>
          </w:p>
          <w:p>
            <w:pPr>
              <w:widowControl/>
              <w:ind w:firstLine="480" w:firstLineChars="200"/>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．根据《优先股指导意见》和《优先股管理办法》，明确规定优先股相关事项的公司章程；</w:t>
            </w:r>
          </w:p>
          <w:p>
            <w:pPr>
              <w:widowControl/>
              <w:ind w:firstLine="480" w:firstLineChars="200"/>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．保荐人出具的《承销保荐协议》《转让保荐书》，保荐代表人分别签署的《保荐代表人声明和承诺书》（如适用）；</w:t>
            </w:r>
          </w:p>
          <w:p>
            <w:pPr>
              <w:widowControl/>
              <w:ind w:firstLine="480" w:firstLineChars="200"/>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．财务顾问出具的《财务顾问报告》（如适用）；</w:t>
            </w:r>
          </w:p>
          <w:p>
            <w:pPr>
              <w:widowControl/>
              <w:ind w:firstLine="480" w:firstLineChars="200"/>
              <w:jc w:val="left"/>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．会计师事务所出具的《验资报告》；</w:t>
            </w:r>
          </w:p>
          <w:p>
            <w:pPr>
              <w:widowControl/>
              <w:ind w:firstLine="480" w:firstLineChars="200"/>
              <w:jc w:val="left"/>
              <w:rPr>
                <w:rFonts w:ascii="仿宋" w:hAnsi="仿宋" w:eastAsia="仿宋"/>
                <w:sz w:val="24"/>
                <w:szCs w:val="24"/>
              </w:rPr>
            </w:pPr>
            <w:r>
              <w:rPr>
                <w:rFonts w:ascii="仿宋" w:hAnsi="仿宋" w:eastAsia="仿宋"/>
                <w:sz w:val="24"/>
                <w:szCs w:val="24"/>
              </w:rPr>
              <w:t>6</w:t>
            </w:r>
            <w:r>
              <w:rPr>
                <w:rFonts w:hint="eastAsia" w:ascii="仿宋" w:hAnsi="仿宋" w:eastAsia="仿宋"/>
                <w:sz w:val="24"/>
                <w:szCs w:val="24"/>
              </w:rPr>
              <w:t>．资产、负债转移手续完成情况及其证明文件（如适用）；</w:t>
            </w:r>
          </w:p>
          <w:p>
            <w:pPr>
              <w:widowControl/>
              <w:ind w:firstLine="480" w:firstLineChars="200"/>
              <w:jc w:val="left"/>
              <w:rPr>
                <w:rFonts w:ascii="仿宋" w:hAnsi="仿宋" w:eastAsia="仿宋"/>
                <w:sz w:val="24"/>
                <w:szCs w:val="24"/>
              </w:rPr>
            </w:pPr>
            <w:r>
              <w:rPr>
                <w:rFonts w:ascii="仿宋" w:hAnsi="仿宋" w:eastAsia="仿宋"/>
                <w:sz w:val="24"/>
                <w:szCs w:val="24"/>
              </w:rPr>
              <w:t>7</w:t>
            </w:r>
            <w:r>
              <w:rPr>
                <w:rFonts w:hint="eastAsia" w:ascii="仿宋" w:hAnsi="仿宋" w:eastAsia="仿宋"/>
                <w:sz w:val="24"/>
                <w:szCs w:val="24"/>
              </w:rPr>
              <w:t>．律师事务所出具的《法律意见书》；</w:t>
            </w:r>
          </w:p>
          <w:p>
            <w:pPr>
              <w:widowControl/>
              <w:ind w:firstLine="480" w:firstLineChars="200"/>
              <w:jc w:val="left"/>
              <w:rPr>
                <w:rFonts w:ascii="仿宋" w:hAnsi="仿宋" w:eastAsia="仿宋"/>
                <w:sz w:val="24"/>
                <w:szCs w:val="24"/>
              </w:rPr>
            </w:pPr>
            <w:r>
              <w:rPr>
                <w:rFonts w:ascii="仿宋" w:hAnsi="仿宋" w:eastAsia="仿宋"/>
                <w:sz w:val="24"/>
                <w:szCs w:val="24"/>
              </w:rPr>
              <w:t>8</w:t>
            </w:r>
            <w:r>
              <w:rPr>
                <w:rFonts w:hint="eastAsia" w:ascii="仿宋" w:hAnsi="仿宋" w:eastAsia="仿宋"/>
                <w:sz w:val="24"/>
                <w:szCs w:val="24"/>
              </w:rPr>
              <w:t>．董事、监事和高级管理人员持股情况变动的报告（如适用）；</w:t>
            </w:r>
          </w:p>
          <w:p>
            <w:pPr>
              <w:widowControl/>
              <w:ind w:firstLine="480" w:firstLineChars="200"/>
              <w:jc w:val="left"/>
              <w:rPr>
                <w:rFonts w:ascii="仿宋" w:hAnsi="仿宋" w:eastAsia="仿宋"/>
                <w:sz w:val="24"/>
                <w:szCs w:val="24"/>
              </w:rPr>
            </w:pPr>
            <w:r>
              <w:rPr>
                <w:rFonts w:ascii="仿宋" w:hAnsi="仿宋" w:eastAsia="仿宋"/>
                <w:sz w:val="24"/>
                <w:szCs w:val="24"/>
              </w:rPr>
              <w:t>9</w:t>
            </w:r>
            <w:r>
              <w:rPr>
                <w:rFonts w:hint="eastAsia" w:ascii="仿宋" w:hAnsi="仿宋" w:eastAsia="仿宋"/>
                <w:sz w:val="24"/>
                <w:szCs w:val="24"/>
              </w:rPr>
              <w:t>．发行对象、上市公司等在本次优先股发行中所有承诺及其履行情况的《承诺公告》；</w:t>
            </w:r>
          </w:p>
          <w:p>
            <w:pPr>
              <w:widowControl/>
              <w:ind w:firstLine="480" w:firstLineChars="200"/>
              <w:jc w:val="left"/>
              <w:rPr>
                <w:rFonts w:ascii="仿宋" w:hAnsi="仿宋" w:eastAsia="仿宋"/>
                <w:sz w:val="24"/>
                <w:szCs w:val="24"/>
              </w:rPr>
            </w:pPr>
            <w:r>
              <w:rPr>
                <w:rFonts w:ascii="仿宋" w:hAnsi="仿宋" w:eastAsia="仿宋"/>
                <w:sz w:val="24"/>
                <w:szCs w:val="24"/>
              </w:rPr>
              <w:t>10</w:t>
            </w:r>
            <w:r>
              <w:rPr>
                <w:rFonts w:hint="eastAsia" w:ascii="仿宋" w:hAnsi="仿宋" w:eastAsia="仿宋"/>
                <w:sz w:val="24"/>
                <w:szCs w:val="24"/>
              </w:rPr>
              <w:t>．本所要求的其他文件。</w:t>
            </w:r>
          </w:p>
        </w:tc>
        <w:tc>
          <w:tcPr>
            <w:tcW w:w="85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hint="eastAsia" w:ascii="仿宋" w:hAnsi="仿宋" w:eastAsia="仿宋"/>
                <w:sz w:val="24"/>
                <w:szCs w:val="24"/>
              </w:rPr>
              <w:t>上市公司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tcBorders>
              <w:top w:val="single" w:color="auto" w:sz="4" w:space="0"/>
              <w:left w:val="single" w:color="auto" w:sz="4" w:space="0"/>
              <w:bottom w:val="single" w:color="auto" w:sz="4" w:space="0"/>
              <w:right w:val="single" w:color="auto" w:sz="4" w:space="0"/>
            </w:tcBorders>
          </w:tcPr>
          <w:p>
            <w:pPr>
              <w:widowControl/>
              <w:ind w:firstLine="480" w:firstLineChars="200"/>
              <w:jc w:val="center"/>
              <w:rPr>
                <w:rFonts w:ascii="仿宋" w:hAnsi="仿宋" w:eastAsia="仿宋"/>
                <w:sz w:val="24"/>
                <w:szCs w:val="24"/>
              </w:rPr>
            </w:pPr>
          </w:p>
        </w:tc>
        <w:tc>
          <w:tcPr>
            <w:tcW w:w="3298"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b/>
                <w:sz w:val="24"/>
                <w:szCs w:val="24"/>
              </w:rPr>
            </w:pPr>
            <w:r>
              <w:rPr>
                <w:rFonts w:hint="eastAsia" w:ascii="仿宋" w:hAnsi="仿宋" w:eastAsia="仿宋"/>
                <w:sz w:val="24"/>
                <w:szCs w:val="24"/>
              </w:rPr>
              <w:t>创业板公司管理部对上市公司提交的申请材料进行完备性核对，符合相关规定的，联系上市公司确定该期优先股代码和简称，向发行人业务部发送《向特定对象发行优先股发行结果通知表》并在业务系统中维护优先股基本信息。</w:t>
            </w:r>
          </w:p>
        </w:tc>
        <w:tc>
          <w:tcPr>
            <w:tcW w:w="85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hint="eastAsia" w:ascii="仿宋" w:hAnsi="仿宋" w:eastAsia="仿宋"/>
                <w:sz w:val="24"/>
                <w:szCs w:val="24"/>
              </w:rPr>
              <w:t>创业板公司管理部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4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ascii="仿宋" w:hAnsi="仿宋" w:eastAsia="仿宋"/>
                <w:sz w:val="24"/>
                <w:szCs w:val="24"/>
              </w:rPr>
              <w:t>R日</w:t>
            </w:r>
          </w:p>
        </w:tc>
        <w:tc>
          <w:tcPr>
            <w:tcW w:w="3298" w:type="pct"/>
            <w:tcBorders>
              <w:top w:val="single" w:color="auto" w:sz="4" w:space="0"/>
              <w:left w:val="single" w:color="auto" w:sz="4" w:space="0"/>
              <w:bottom w:val="single" w:color="auto" w:sz="4" w:space="0"/>
              <w:right w:val="single" w:color="auto" w:sz="4" w:space="0"/>
            </w:tcBorders>
          </w:tcPr>
          <w:p>
            <w:pPr>
              <w:widowControl/>
              <w:ind w:firstLine="480" w:firstLineChars="200"/>
              <w:jc w:val="left"/>
              <w:rPr>
                <w:rFonts w:ascii="仿宋" w:hAnsi="仿宋" w:eastAsia="仿宋"/>
                <w:sz w:val="24"/>
                <w:szCs w:val="24"/>
              </w:rPr>
            </w:pPr>
            <w:r>
              <w:rPr>
                <w:rFonts w:hint="eastAsia" w:ascii="仿宋" w:hAnsi="仿宋" w:eastAsia="仿宋"/>
                <w:sz w:val="24"/>
                <w:szCs w:val="24"/>
              </w:rPr>
              <w:t>上市公司在结算公司办理登记，发行人业务部向上市公司出具优先股登记证明、优先股前十大股东名册。</w:t>
            </w:r>
          </w:p>
        </w:tc>
        <w:tc>
          <w:tcPr>
            <w:tcW w:w="85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hint="eastAsia" w:ascii="仿宋" w:hAnsi="仿宋" w:eastAsia="仿宋"/>
                <w:sz w:val="24"/>
                <w:szCs w:val="24"/>
              </w:rPr>
              <w:t>结算公司发行人业务部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84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ascii="仿宋" w:hAnsi="仿宋" w:eastAsia="仿宋"/>
                <w:sz w:val="24"/>
                <w:szCs w:val="24"/>
              </w:rPr>
              <w:t>R+3日前</w:t>
            </w:r>
          </w:p>
        </w:tc>
        <w:tc>
          <w:tcPr>
            <w:tcW w:w="3298" w:type="pct"/>
            <w:tcBorders>
              <w:top w:val="single" w:color="auto" w:sz="4" w:space="0"/>
              <w:left w:val="single" w:color="auto" w:sz="4" w:space="0"/>
              <w:bottom w:val="single" w:color="auto" w:sz="4" w:space="0"/>
              <w:right w:val="single" w:color="auto" w:sz="4" w:space="0"/>
            </w:tcBorders>
          </w:tcPr>
          <w:p>
            <w:pPr>
              <w:widowControl/>
              <w:ind w:firstLine="480" w:firstLineChars="200"/>
              <w:jc w:val="left"/>
              <w:rPr>
                <w:rFonts w:ascii="仿宋" w:hAnsi="仿宋" w:eastAsia="仿宋"/>
                <w:sz w:val="24"/>
                <w:szCs w:val="24"/>
              </w:rPr>
            </w:pPr>
            <w:r>
              <w:rPr>
                <w:rFonts w:hint="eastAsia" w:ascii="仿宋" w:hAnsi="仿宋" w:eastAsia="仿宋"/>
                <w:sz w:val="24"/>
                <w:szCs w:val="24"/>
              </w:rPr>
              <w:t>上市公司在结算公司办理完毕相关手续后，应当及时向创业板公司管理部提交转让申请书及转让公告书并披露以下文件：</w:t>
            </w:r>
          </w:p>
          <w:p>
            <w:pPr>
              <w:widowControl/>
              <w:ind w:firstLine="480" w:firstLineChars="200"/>
              <w:jc w:val="lef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．向特定对象发行优先股发行情况报告书；</w:t>
            </w:r>
          </w:p>
          <w:p>
            <w:pPr>
              <w:widowControl/>
              <w:ind w:firstLine="480" w:firstLineChars="200"/>
              <w:jc w:val="left"/>
              <w:rPr>
                <w:rFonts w:ascii="仿宋" w:hAnsi="仿宋" w:eastAsia="仿宋"/>
                <w:sz w:val="24"/>
                <w:szCs w:val="24"/>
              </w:rPr>
            </w:pPr>
            <w:r>
              <w:rPr>
                <w:rFonts w:ascii="仿宋" w:hAnsi="仿宋" w:eastAsia="仿宋"/>
                <w:sz w:val="24"/>
                <w:szCs w:val="24"/>
              </w:rPr>
              <w:t>2</w:t>
            </w:r>
            <w:r>
              <w:rPr>
                <w:rFonts w:hint="eastAsia" w:ascii="仿宋" w:hAnsi="仿宋" w:eastAsia="仿宋"/>
                <w:sz w:val="24"/>
                <w:szCs w:val="24"/>
              </w:rPr>
              <w:t>．向特定对象发行优先股募集说明书及摘要；</w:t>
            </w:r>
          </w:p>
          <w:p>
            <w:pPr>
              <w:widowControl/>
              <w:ind w:firstLine="480" w:firstLineChars="200"/>
              <w:jc w:val="left"/>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．会计师事务所出具的《验资报告》；</w:t>
            </w:r>
          </w:p>
          <w:p>
            <w:pPr>
              <w:widowControl/>
              <w:ind w:firstLine="480" w:firstLineChars="200"/>
              <w:jc w:val="left"/>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．律师事务所出具的《法律意见书》；</w:t>
            </w:r>
          </w:p>
          <w:p>
            <w:pPr>
              <w:widowControl/>
              <w:ind w:firstLine="480" w:firstLineChars="200"/>
              <w:jc w:val="left"/>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．保荐人出具的《保荐人关于本次发行过程和认购对象合规性的报告》。</w:t>
            </w:r>
          </w:p>
        </w:tc>
        <w:tc>
          <w:tcPr>
            <w:tcW w:w="85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hint="eastAsia" w:ascii="仿宋" w:hAnsi="仿宋" w:eastAsia="仿宋"/>
                <w:sz w:val="24"/>
                <w:szCs w:val="24"/>
              </w:rPr>
              <w:t>上市公司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84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ascii="仿宋" w:hAnsi="仿宋" w:eastAsia="仿宋"/>
                <w:sz w:val="24"/>
                <w:szCs w:val="24"/>
              </w:rPr>
              <w:t>L－</w:t>
            </w:r>
            <w:r>
              <w:rPr>
                <w:rFonts w:hint="eastAsia" w:ascii="仿宋" w:hAnsi="仿宋" w:eastAsia="仿宋"/>
                <w:sz w:val="24"/>
                <w:szCs w:val="24"/>
              </w:rPr>
              <w:t>5</w:t>
            </w:r>
            <w:r>
              <w:rPr>
                <w:rFonts w:ascii="仿宋" w:hAnsi="仿宋" w:eastAsia="仿宋"/>
                <w:sz w:val="24"/>
                <w:szCs w:val="24"/>
              </w:rPr>
              <w:t>日前</w:t>
            </w:r>
          </w:p>
        </w:tc>
        <w:tc>
          <w:tcPr>
            <w:tcW w:w="3298" w:type="pct"/>
            <w:tcBorders>
              <w:top w:val="single" w:color="auto" w:sz="4" w:space="0"/>
              <w:left w:val="single" w:color="auto" w:sz="4" w:space="0"/>
              <w:bottom w:val="single" w:color="auto" w:sz="4" w:space="0"/>
              <w:right w:val="single" w:color="auto" w:sz="4" w:space="0"/>
            </w:tcBorders>
          </w:tcPr>
          <w:p>
            <w:pPr>
              <w:widowControl/>
              <w:ind w:firstLine="480" w:firstLineChars="200"/>
              <w:jc w:val="left"/>
              <w:rPr>
                <w:rFonts w:ascii="仿宋" w:hAnsi="仿宋" w:eastAsia="仿宋"/>
                <w:sz w:val="24"/>
                <w:szCs w:val="24"/>
              </w:rPr>
            </w:pPr>
            <w:r>
              <w:rPr>
                <w:rFonts w:hint="eastAsia" w:ascii="仿宋" w:hAnsi="仿宋" w:eastAsia="仿宋"/>
                <w:sz w:val="24"/>
                <w:szCs w:val="24"/>
              </w:rPr>
              <w:t>上市公司向本所提交优先股转让申请书，并提交转让公告、保荐人出具的《转让保荐书》等材料。</w:t>
            </w:r>
          </w:p>
        </w:tc>
        <w:tc>
          <w:tcPr>
            <w:tcW w:w="85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hint="eastAsia" w:ascii="仿宋" w:hAnsi="仿宋" w:eastAsia="仿宋"/>
                <w:sz w:val="24"/>
                <w:szCs w:val="24"/>
              </w:rPr>
              <w:t>上市公司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3" w:hRule="atLeast"/>
          <w:jc w:val="center"/>
        </w:trPr>
        <w:tc>
          <w:tcPr>
            <w:tcW w:w="844" w:type="pct"/>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ascii="仿宋" w:hAnsi="仿宋" w:eastAsia="仿宋"/>
                <w:sz w:val="24"/>
                <w:szCs w:val="24"/>
              </w:rPr>
              <w:t>L－</w:t>
            </w:r>
            <w:r>
              <w:rPr>
                <w:rFonts w:hint="eastAsia" w:ascii="仿宋" w:hAnsi="仿宋" w:eastAsia="仿宋"/>
                <w:sz w:val="24"/>
                <w:szCs w:val="24"/>
              </w:rPr>
              <w:t>5</w:t>
            </w:r>
            <w:r>
              <w:rPr>
                <w:rFonts w:ascii="仿宋" w:hAnsi="仿宋" w:eastAsia="仿宋"/>
                <w:sz w:val="24"/>
                <w:szCs w:val="24"/>
              </w:rPr>
              <w:t>日前（L为转让日）</w:t>
            </w:r>
          </w:p>
        </w:tc>
        <w:tc>
          <w:tcPr>
            <w:tcW w:w="3298" w:type="pct"/>
            <w:tcBorders>
              <w:top w:val="single" w:color="auto" w:sz="4" w:space="0"/>
              <w:left w:val="single" w:color="auto" w:sz="4" w:space="0"/>
              <w:bottom w:val="single" w:color="auto" w:sz="4" w:space="0"/>
              <w:right w:val="single" w:color="auto" w:sz="4" w:space="0"/>
            </w:tcBorders>
          </w:tcPr>
          <w:p>
            <w:pPr>
              <w:widowControl/>
              <w:ind w:firstLine="480" w:firstLineChars="200"/>
              <w:jc w:val="left"/>
              <w:rPr>
                <w:rFonts w:ascii="仿宋" w:hAnsi="仿宋" w:eastAsia="仿宋"/>
                <w:sz w:val="24"/>
                <w:szCs w:val="24"/>
              </w:rPr>
            </w:pPr>
            <w:r>
              <w:rPr>
                <w:rFonts w:hint="eastAsia" w:ascii="仿宋" w:hAnsi="仿宋" w:eastAsia="仿宋"/>
                <w:sz w:val="24"/>
                <w:szCs w:val="24"/>
              </w:rPr>
              <w:t>向上市公司出具</w:t>
            </w:r>
            <w:r>
              <w:rPr>
                <w:rFonts w:ascii="仿宋" w:hAnsi="仿宋" w:eastAsia="仿宋"/>
                <w:sz w:val="24"/>
                <w:szCs w:val="24"/>
              </w:rPr>
              <w:t>《优先股转让服务费收款通知》。</w:t>
            </w:r>
          </w:p>
        </w:tc>
        <w:tc>
          <w:tcPr>
            <w:tcW w:w="85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hint="eastAsia" w:ascii="仿宋" w:hAnsi="仿宋" w:eastAsia="仿宋"/>
                <w:sz w:val="24"/>
                <w:szCs w:val="24"/>
              </w:rPr>
              <w:t>创业板公司管理部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844"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center"/>
              <w:rPr>
                <w:rFonts w:ascii="仿宋" w:hAnsi="仿宋" w:eastAsia="仿宋"/>
                <w:sz w:val="24"/>
                <w:szCs w:val="24"/>
              </w:rPr>
            </w:pPr>
          </w:p>
        </w:tc>
        <w:tc>
          <w:tcPr>
            <w:tcW w:w="3298" w:type="pct"/>
            <w:tcBorders>
              <w:top w:val="single" w:color="auto" w:sz="4" w:space="0"/>
              <w:left w:val="single" w:color="auto" w:sz="4" w:space="0"/>
              <w:bottom w:val="single" w:color="auto" w:sz="4" w:space="0"/>
              <w:right w:val="single" w:color="auto" w:sz="4" w:space="0"/>
            </w:tcBorders>
          </w:tcPr>
          <w:p>
            <w:pPr>
              <w:widowControl/>
              <w:ind w:firstLine="480" w:firstLineChars="200"/>
              <w:jc w:val="left"/>
              <w:rPr>
                <w:rFonts w:ascii="仿宋" w:hAnsi="仿宋" w:eastAsia="仿宋"/>
                <w:sz w:val="24"/>
                <w:szCs w:val="24"/>
              </w:rPr>
            </w:pPr>
            <w:r>
              <w:rPr>
                <w:rFonts w:hint="eastAsia" w:ascii="仿宋" w:hAnsi="仿宋" w:eastAsia="仿宋"/>
                <w:sz w:val="24"/>
                <w:szCs w:val="24"/>
              </w:rPr>
              <w:t>上市公司缴纳转让服务费（按普通股上市费用的</w:t>
            </w:r>
            <w:r>
              <w:rPr>
                <w:rFonts w:ascii="仿宋" w:hAnsi="仿宋" w:eastAsia="仿宋"/>
                <w:sz w:val="24"/>
                <w:szCs w:val="24"/>
              </w:rPr>
              <w:t>80%</w:t>
            </w:r>
            <w:r>
              <w:rPr>
                <w:rFonts w:hint="eastAsia" w:ascii="仿宋" w:hAnsi="仿宋" w:eastAsia="仿宋"/>
                <w:sz w:val="24"/>
                <w:szCs w:val="24"/>
              </w:rPr>
              <w:t>收取）、签订《优先股转让服务协议》。</w:t>
            </w:r>
          </w:p>
        </w:tc>
        <w:tc>
          <w:tcPr>
            <w:tcW w:w="85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hint="eastAsia" w:ascii="仿宋" w:hAnsi="仿宋" w:eastAsia="仿宋"/>
                <w:sz w:val="24"/>
                <w:szCs w:val="24"/>
              </w:rPr>
              <w:t>上市公司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6" w:hRule="atLeast"/>
          <w:jc w:val="center"/>
        </w:trPr>
        <w:tc>
          <w:tcPr>
            <w:tcW w:w="84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ascii="仿宋" w:hAnsi="仿宋" w:eastAsia="仿宋"/>
                <w:sz w:val="24"/>
                <w:szCs w:val="24"/>
              </w:rPr>
              <w:t>L－</w:t>
            </w:r>
            <w:r>
              <w:rPr>
                <w:rFonts w:hint="eastAsia" w:ascii="仿宋" w:hAnsi="仿宋" w:eastAsia="仿宋"/>
                <w:sz w:val="24"/>
                <w:szCs w:val="24"/>
              </w:rPr>
              <w:t>5</w:t>
            </w:r>
            <w:r>
              <w:rPr>
                <w:rFonts w:ascii="仿宋" w:hAnsi="仿宋" w:eastAsia="仿宋"/>
                <w:sz w:val="24"/>
                <w:szCs w:val="24"/>
              </w:rPr>
              <w:t>日</w:t>
            </w:r>
          </w:p>
        </w:tc>
        <w:tc>
          <w:tcPr>
            <w:tcW w:w="3298" w:type="pct"/>
            <w:tcBorders>
              <w:top w:val="single" w:color="auto" w:sz="4" w:space="0"/>
              <w:left w:val="single" w:color="auto" w:sz="4" w:space="0"/>
              <w:bottom w:val="single" w:color="auto" w:sz="4" w:space="0"/>
              <w:right w:val="single" w:color="auto" w:sz="4" w:space="0"/>
            </w:tcBorders>
          </w:tcPr>
          <w:p>
            <w:pPr>
              <w:widowControl/>
              <w:ind w:firstLine="480" w:firstLineChars="200"/>
              <w:jc w:val="left"/>
              <w:rPr>
                <w:rFonts w:ascii="仿宋" w:hAnsi="仿宋" w:eastAsia="仿宋"/>
                <w:sz w:val="24"/>
                <w:szCs w:val="24"/>
              </w:rPr>
            </w:pPr>
            <w:r>
              <w:rPr>
                <w:rFonts w:hint="eastAsia" w:ascii="仿宋" w:hAnsi="仿宋" w:eastAsia="仿宋"/>
                <w:sz w:val="24"/>
                <w:szCs w:val="24"/>
              </w:rPr>
              <w:t>上市公司披露《</w:t>
            </w:r>
            <w:r>
              <w:rPr>
                <w:rFonts w:ascii="仿宋" w:hAnsi="仿宋" w:eastAsia="仿宋"/>
                <w:sz w:val="24"/>
                <w:szCs w:val="24"/>
              </w:rPr>
              <w:t>XX公司</w:t>
            </w:r>
            <w:r>
              <w:rPr>
                <w:rFonts w:hint="eastAsia" w:ascii="仿宋" w:hAnsi="仿宋" w:eastAsia="仿宋"/>
                <w:sz w:val="24"/>
                <w:szCs w:val="24"/>
              </w:rPr>
              <w:t>向特定对象</w:t>
            </w:r>
            <w:r>
              <w:rPr>
                <w:rFonts w:ascii="仿宋" w:hAnsi="仿宋" w:eastAsia="仿宋"/>
                <w:sz w:val="24"/>
                <w:szCs w:val="24"/>
              </w:rPr>
              <w:t>发行优先股转让公告书</w:t>
            </w:r>
            <w:r>
              <w:rPr>
                <w:rFonts w:hint="eastAsia" w:ascii="仿宋" w:hAnsi="仿宋" w:eastAsia="仿宋"/>
                <w:sz w:val="24"/>
                <w:szCs w:val="24"/>
              </w:rPr>
              <w:t>》。</w:t>
            </w:r>
          </w:p>
        </w:tc>
        <w:tc>
          <w:tcPr>
            <w:tcW w:w="85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hint="eastAsia" w:ascii="仿宋" w:hAnsi="仿宋" w:eastAsia="仿宋"/>
                <w:sz w:val="24"/>
                <w:szCs w:val="24"/>
              </w:rPr>
              <w:t>上市公司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84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4"/>
              </w:rPr>
            </w:pPr>
            <w:r>
              <w:rPr>
                <w:rFonts w:ascii="仿宋" w:hAnsi="仿宋" w:eastAsia="仿宋"/>
                <w:sz w:val="24"/>
                <w:szCs w:val="24"/>
              </w:rPr>
              <w:t>L日</w:t>
            </w:r>
          </w:p>
        </w:tc>
        <w:tc>
          <w:tcPr>
            <w:tcW w:w="4156" w:type="pct"/>
            <w:gridSpan w:val="2"/>
            <w:tcBorders>
              <w:top w:val="single" w:color="auto" w:sz="4" w:space="0"/>
              <w:left w:val="single" w:color="auto" w:sz="4" w:space="0"/>
              <w:bottom w:val="single" w:color="auto" w:sz="4" w:space="0"/>
              <w:right w:val="single" w:color="auto" w:sz="4" w:space="0"/>
            </w:tcBorders>
          </w:tcPr>
          <w:p>
            <w:pPr>
              <w:widowControl/>
              <w:ind w:firstLine="480" w:firstLineChars="200"/>
              <w:jc w:val="left"/>
              <w:rPr>
                <w:rFonts w:ascii="仿宋" w:hAnsi="仿宋" w:eastAsia="仿宋"/>
                <w:sz w:val="24"/>
                <w:szCs w:val="24"/>
              </w:rPr>
            </w:pPr>
            <w:r>
              <w:rPr>
                <w:rFonts w:hint="eastAsia" w:ascii="仿宋" w:hAnsi="仿宋" w:eastAsia="仿宋"/>
                <w:sz w:val="24"/>
                <w:szCs w:val="24"/>
              </w:rPr>
              <w:t>优先股转让日。</w:t>
            </w:r>
          </w:p>
        </w:tc>
      </w:tr>
    </w:tbl>
    <w:p>
      <w:pPr>
        <w:widowControl/>
        <w:spacing w:line="560" w:lineRule="exact"/>
        <w:ind w:firstLine="199" w:firstLineChars="62"/>
        <w:jc w:val="left"/>
        <w:rPr>
          <w:rFonts w:ascii="仿宋" w:hAnsi="仿宋" w:eastAsia="仿宋"/>
          <w:b/>
          <w:sz w:val="32"/>
          <w:szCs w:val="32"/>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cols w:space="720" w:num="1"/>
          <w:docGrid w:type="lines" w:linePitch="312" w:charSpace="0"/>
        </w:sectPr>
      </w:pPr>
    </w:p>
    <w:p>
      <w:pPr>
        <w:spacing w:line="560" w:lineRule="exact"/>
        <w:rPr>
          <w:rFonts w:ascii="黑体" w:hAnsi="黑体" w:eastAsia="黑体"/>
          <w:sz w:val="32"/>
          <w:szCs w:val="20"/>
        </w:rPr>
      </w:pPr>
      <w:r>
        <w:rPr>
          <w:rFonts w:hint="eastAsia" w:ascii="黑体" w:hAnsi="黑体" w:eastAsia="黑体"/>
          <w:sz w:val="32"/>
          <w:szCs w:val="20"/>
        </w:rPr>
        <w:t>附件</w:t>
      </w:r>
      <w:r>
        <w:rPr>
          <w:rFonts w:ascii="黑体" w:hAnsi="黑体" w:eastAsia="黑体"/>
          <w:sz w:val="32"/>
          <w:szCs w:val="20"/>
        </w:rPr>
        <w:t xml:space="preserve">2 </w:t>
      </w:r>
    </w:p>
    <w:p>
      <w:pPr>
        <w:widowControl/>
        <w:spacing w:line="560" w:lineRule="exact"/>
        <w:ind w:firstLine="640" w:firstLineChars="200"/>
        <w:jc w:val="left"/>
        <w:rPr>
          <w:rFonts w:ascii="仿宋" w:hAnsi="仿宋" w:eastAsia="仿宋"/>
          <w:bCs/>
          <w:sz w:val="32"/>
          <w:szCs w:val="32"/>
        </w:rPr>
      </w:pPr>
    </w:p>
    <w:p>
      <w:pPr>
        <w:widowControl/>
        <w:spacing w:line="560" w:lineRule="exact"/>
        <w:jc w:val="center"/>
        <w:rPr>
          <w:rFonts w:ascii="方正小标宋简体" w:hAnsi="仿宋" w:eastAsia="方正小标宋简体"/>
          <w:kern w:val="44"/>
          <w:sz w:val="44"/>
          <w:szCs w:val="20"/>
        </w:rPr>
      </w:pPr>
      <w:r>
        <w:rPr>
          <w:rFonts w:hint="eastAsia" w:ascii="方正小标宋简体" w:hAnsi="仿宋" w:eastAsia="方正小标宋简体"/>
          <w:kern w:val="44"/>
          <w:sz w:val="44"/>
          <w:szCs w:val="20"/>
        </w:rPr>
        <w:t>关于XX公司优先股证券简称</w:t>
      </w:r>
    </w:p>
    <w:p>
      <w:pPr>
        <w:widowControl/>
        <w:spacing w:line="560" w:lineRule="exact"/>
        <w:ind w:firstLine="880" w:firstLineChars="200"/>
        <w:jc w:val="center"/>
        <w:rPr>
          <w:rFonts w:ascii="方正小标宋简体" w:hAnsi="仿宋" w:eastAsia="方正小标宋简体"/>
          <w:kern w:val="44"/>
          <w:sz w:val="44"/>
          <w:szCs w:val="20"/>
        </w:rPr>
      </w:pPr>
      <w:r>
        <w:rPr>
          <w:rFonts w:hint="eastAsia" w:ascii="方正小标宋简体" w:hAnsi="仿宋" w:eastAsia="方正小标宋简体"/>
          <w:kern w:val="44"/>
          <w:sz w:val="44"/>
          <w:szCs w:val="20"/>
        </w:rPr>
        <w:t>及证券代码的申请</w:t>
      </w:r>
    </w:p>
    <w:p>
      <w:pPr>
        <w:widowControl/>
        <w:spacing w:line="560" w:lineRule="exact"/>
        <w:ind w:firstLine="640" w:firstLineChars="200"/>
        <w:jc w:val="center"/>
        <w:rPr>
          <w:rFonts w:ascii="方正小标宋简体" w:hAnsi="仿宋" w:eastAsia="方正小标宋简体"/>
          <w:bCs/>
          <w:sz w:val="32"/>
          <w:szCs w:val="32"/>
        </w:rPr>
      </w:pPr>
    </w:p>
    <w:p>
      <w:pPr>
        <w:widowControl/>
        <w:spacing w:line="560" w:lineRule="exact"/>
        <w:jc w:val="left"/>
        <w:rPr>
          <w:rFonts w:ascii="仿宋" w:hAnsi="仿宋" w:eastAsia="仿宋"/>
          <w:b/>
          <w:bCs/>
          <w:sz w:val="32"/>
          <w:szCs w:val="32"/>
        </w:rPr>
      </w:pPr>
      <w:r>
        <w:rPr>
          <w:rFonts w:hint="eastAsia" w:ascii="仿宋" w:hAnsi="仿宋" w:eastAsia="仿宋"/>
          <w:b/>
          <w:bCs/>
          <w:sz w:val="32"/>
          <w:szCs w:val="32"/>
        </w:rPr>
        <w:t>深圳证券交易所</w:t>
      </w:r>
      <w:r>
        <w:rPr>
          <w:rFonts w:ascii="仿宋" w:hAnsi="仿宋" w:eastAsia="仿宋"/>
          <w:b/>
          <w:bCs/>
          <w:sz w:val="32"/>
          <w:szCs w:val="32"/>
        </w:rPr>
        <w:t>_________</w:t>
      </w:r>
      <w:r>
        <w:rPr>
          <w:rFonts w:hint="eastAsia" w:ascii="仿宋" w:hAnsi="仿宋" w:eastAsia="仿宋"/>
          <w:b/>
          <w:bCs/>
          <w:sz w:val="32"/>
          <w:szCs w:val="32"/>
        </w:rPr>
        <w:t>部：</w:t>
      </w:r>
    </w:p>
    <w:p>
      <w:pPr>
        <w:widowControl/>
        <w:spacing w:line="560" w:lineRule="exact"/>
        <w:ind w:firstLine="640" w:firstLineChars="200"/>
        <w:rPr>
          <w:rFonts w:ascii="仿宋" w:hAnsi="仿宋" w:eastAsia="仿宋"/>
          <w:sz w:val="32"/>
          <w:szCs w:val="32"/>
        </w:rPr>
      </w:pPr>
      <w:r>
        <w:rPr>
          <w:rFonts w:hint="eastAsia" w:ascii="仿宋" w:hAnsi="仿宋" w:eastAsia="仿宋"/>
          <w:sz w:val="32"/>
          <w:szCs w:val="32"/>
        </w:rPr>
        <w:t>根据中国证监会</w:t>
      </w:r>
      <w:r>
        <w:rPr>
          <w:rFonts w:ascii="仿宋" w:hAnsi="仿宋" w:eastAsia="仿宋"/>
          <w:sz w:val="32"/>
          <w:szCs w:val="32"/>
          <w:u w:val="single"/>
        </w:rPr>
        <w:t xml:space="preserve">       </w:t>
      </w:r>
      <w:r>
        <w:rPr>
          <w:rFonts w:hint="eastAsia" w:ascii="仿宋" w:hAnsi="仿宋" w:eastAsia="仿宋"/>
          <w:sz w:val="32"/>
          <w:szCs w:val="32"/>
        </w:rPr>
        <w:t>号文予以注册文件，我公司将于</w:t>
      </w:r>
      <w:r>
        <w:rPr>
          <w:rFonts w:ascii="仿宋" w:hAnsi="仿宋" w:eastAsia="仿宋"/>
          <w:sz w:val="32"/>
          <w:szCs w:val="20"/>
        </w:rPr>
        <w:t xml:space="preserve">  </w:t>
      </w:r>
      <w:r>
        <w:rPr>
          <w:rFonts w:hint="eastAsia" w:ascii="仿宋" w:hAnsi="仿宋" w:eastAsia="仿宋"/>
          <w:sz w:val="32"/>
          <w:szCs w:val="32"/>
        </w:rPr>
        <w:t>年</w:t>
      </w:r>
      <w:r>
        <w:rPr>
          <w:rFonts w:ascii="仿宋" w:hAnsi="仿宋" w:eastAsia="仿宋"/>
          <w:sz w:val="32"/>
          <w:szCs w:val="20"/>
        </w:rPr>
        <w:t xml:space="preserve">  </w:t>
      </w:r>
      <w:r>
        <w:rPr>
          <w:rFonts w:hint="eastAsia" w:ascii="仿宋" w:hAnsi="仿宋" w:eastAsia="仿宋"/>
          <w:sz w:val="32"/>
          <w:szCs w:val="32"/>
        </w:rPr>
        <w:t>月</w:t>
      </w:r>
      <w:r>
        <w:rPr>
          <w:rFonts w:ascii="仿宋" w:hAnsi="仿宋" w:eastAsia="仿宋"/>
          <w:sz w:val="32"/>
          <w:szCs w:val="32"/>
        </w:rPr>
        <w:t xml:space="preserve">  </w:t>
      </w:r>
      <w:r>
        <w:rPr>
          <w:rFonts w:hint="eastAsia" w:ascii="仿宋" w:hAnsi="仿宋" w:eastAsia="仿宋"/>
          <w:sz w:val="32"/>
          <w:szCs w:val="32"/>
        </w:rPr>
        <w:t>日正式发行第</w:t>
      </w:r>
      <w:r>
        <w:rPr>
          <w:rFonts w:ascii="仿宋" w:hAnsi="仿宋" w:eastAsia="仿宋"/>
          <w:sz w:val="32"/>
          <w:szCs w:val="32"/>
          <w:u w:val="single"/>
        </w:rPr>
        <w:t xml:space="preserve">  </w:t>
      </w:r>
      <w:r>
        <w:rPr>
          <w:rFonts w:hint="eastAsia" w:ascii="仿宋" w:hAnsi="仿宋" w:eastAsia="仿宋"/>
          <w:sz w:val="32"/>
          <w:szCs w:val="32"/>
        </w:rPr>
        <w:t>期优先股，发行方式为</w:t>
      </w:r>
      <w:r>
        <w:rPr>
          <w:rFonts w:ascii="仿宋" w:hAnsi="仿宋" w:eastAsia="仿宋"/>
          <w:sz w:val="32"/>
          <w:szCs w:val="32"/>
          <w:u w:val="single"/>
        </w:rPr>
        <w:t xml:space="preserve">        </w:t>
      </w:r>
      <w:r>
        <w:rPr>
          <w:rFonts w:hint="eastAsia" w:ascii="仿宋" w:hAnsi="仿宋" w:eastAsia="仿宋"/>
          <w:sz w:val="32"/>
          <w:szCs w:val="32"/>
        </w:rPr>
        <w:t>。我公司第</w:t>
      </w:r>
      <w:r>
        <w:rPr>
          <w:rFonts w:ascii="仿宋" w:hAnsi="仿宋" w:eastAsia="仿宋"/>
          <w:sz w:val="32"/>
          <w:szCs w:val="32"/>
          <w:u w:val="single"/>
        </w:rPr>
        <w:t xml:space="preserve">  </w:t>
      </w:r>
      <w:r>
        <w:rPr>
          <w:rFonts w:hint="eastAsia" w:ascii="仿宋" w:hAnsi="仿宋" w:eastAsia="仿宋"/>
          <w:sz w:val="32"/>
          <w:szCs w:val="32"/>
        </w:rPr>
        <w:t>期优先股的挂牌证券简称拟定为“</w:t>
      </w:r>
      <w:r>
        <w:rPr>
          <w:rFonts w:ascii="仿宋" w:hAnsi="仿宋" w:eastAsia="仿宋"/>
          <w:sz w:val="32"/>
          <w:szCs w:val="32"/>
          <w:u w:val="single"/>
        </w:rPr>
        <w:t xml:space="preserve">              </w:t>
      </w:r>
      <w:r>
        <w:rPr>
          <w:rFonts w:hint="eastAsia" w:ascii="仿宋" w:hAnsi="仿宋" w:eastAsia="仿宋"/>
          <w:sz w:val="32"/>
          <w:szCs w:val="32"/>
        </w:rPr>
        <w:t>”，英文简称拟定为“</w:t>
      </w:r>
      <w:r>
        <w:rPr>
          <w:rFonts w:ascii="仿宋" w:hAnsi="仿宋" w:eastAsia="仿宋"/>
          <w:sz w:val="32"/>
          <w:szCs w:val="32"/>
          <w:u w:val="single"/>
        </w:rPr>
        <w:t xml:space="preserve">           </w:t>
      </w:r>
      <w:r>
        <w:rPr>
          <w:rFonts w:hint="eastAsia" w:ascii="仿宋" w:hAnsi="仿宋" w:eastAsia="仿宋"/>
          <w:sz w:val="32"/>
          <w:szCs w:val="32"/>
        </w:rPr>
        <w:t>”，优先股代码拟定为“</w:t>
      </w:r>
      <w:r>
        <w:rPr>
          <w:rFonts w:ascii="仿宋" w:hAnsi="仿宋" w:eastAsia="仿宋"/>
          <w:sz w:val="32"/>
          <w:szCs w:val="32"/>
          <w:u w:val="single"/>
        </w:rPr>
        <w:t xml:space="preserve">            </w:t>
      </w:r>
      <w:r>
        <w:rPr>
          <w:rFonts w:hint="eastAsia" w:ascii="仿宋" w:hAnsi="仿宋" w:eastAsia="仿宋"/>
          <w:sz w:val="32"/>
          <w:szCs w:val="32"/>
        </w:rPr>
        <w:t>”。特向你部申请优先股证券简称及证券代码。</w:t>
      </w:r>
    </w:p>
    <w:p>
      <w:pPr>
        <w:widowControl/>
        <w:spacing w:line="560" w:lineRule="exact"/>
        <w:ind w:firstLine="640" w:firstLineChars="200"/>
        <w:jc w:val="left"/>
        <w:rPr>
          <w:rFonts w:ascii="仿宋" w:hAnsi="仿宋" w:eastAsia="仿宋"/>
          <w:sz w:val="32"/>
          <w:szCs w:val="32"/>
        </w:rPr>
      </w:pPr>
    </w:p>
    <w:p>
      <w:pPr>
        <w:widowControl/>
        <w:spacing w:line="560" w:lineRule="exact"/>
        <w:ind w:firstLine="640" w:firstLineChars="200"/>
        <w:jc w:val="left"/>
        <w:rPr>
          <w:rFonts w:ascii="仿宋" w:hAnsi="仿宋" w:eastAsia="仿宋"/>
          <w:sz w:val="32"/>
          <w:szCs w:val="32"/>
        </w:rPr>
      </w:pPr>
      <w:r>
        <w:rPr>
          <w:rFonts w:ascii="仿宋" w:hAnsi="仿宋" w:eastAsia="仿宋"/>
          <w:sz w:val="32"/>
          <w:szCs w:val="32"/>
        </w:rPr>
        <w:t xml:space="preserve">            </w:t>
      </w:r>
      <w:r>
        <w:rPr>
          <w:rFonts w:ascii="仿宋" w:hAnsi="仿宋" w:eastAsia="仿宋"/>
          <w:sz w:val="32"/>
          <w:szCs w:val="32"/>
          <w:u w:val="single"/>
        </w:rPr>
        <w:t xml:space="preserve">                     </w:t>
      </w:r>
      <w:r>
        <w:rPr>
          <w:rFonts w:hint="eastAsia" w:ascii="仿宋" w:hAnsi="仿宋" w:eastAsia="仿宋"/>
          <w:sz w:val="32"/>
          <w:szCs w:val="32"/>
        </w:rPr>
        <w:t>公司（加盖公章）</w:t>
      </w:r>
    </w:p>
    <w:p>
      <w:pPr>
        <w:widowControl/>
        <w:spacing w:line="560" w:lineRule="exact"/>
        <w:ind w:firstLine="640" w:firstLineChars="200"/>
        <w:jc w:val="left"/>
        <w:rPr>
          <w:rFonts w:ascii="仿宋" w:hAnsi="仿宋" w:eastAsia="仿宋"/>
          <w:sz w:val="32"/>
          <w:szCs w:val="32"/>
          <w:u w:val="single"/>
        </w:rPr>
      </w:pPr>
      <w:r>
        <w:rPr>
          <w:rFonts w:ascii="仿宋" w:hAnsi="仿宋" w:eastAsia="仿宋"/>
          <w:sz w:val="32"/>
          <w:szCs w:val="32"/>
        </w:rPr>
        <w:t xml:space="preserve">                           </w:t>
      </w:r>
      <w:r>
        <w:rPr>
          <w:rFonts w:hint="eastAsia" w:ascii="仿宋" w:hAnsi="仿宋" w:eastAsia="仿宋"/>
          <w:sz w:val="32"/>
          <w:szCs w:val="32"/>
        </w:rPr>
        <w:t>经办人签名</w:t>
      </w:r>
      <w:r>
        <w:rPr>
          <w:rFonts w:ascii="仿宋" w:hAnsi="仿宋" w:eastAsia="仿宋"/>
          <w:sz w:val="32"/>
          <w:szCs w:val="32"/>
          <w:u w:val="single"/>
        </w:rPr>
        <w:t xml:space="preserve">        </w:t>
      </w:r>
    </w:p>
    <w:p>
      <w:pPr>
        <w:widowControl/>
        <w:spacing w:line="560" w:lineRule="exact"/>
        <w:ind w:firstLine="640" w:firstLineChars="200"/>
        <w:jc w:val="left"/>
        <w:rPr>
          <w:rFonts w:ascii="仿宋" w:hAnsi="仿宋" w:eastAsia="仿宋"/>
          <w:sz w:val="32"/>
          <w:szCs w:val="32"/>
        </w:rPr>
      </w:pPr>
      <w:r>
        <w:rPr>
          <w:rFonts w:ascii="仿宋" w:hAnsi="仿宋" w:eastAsia="仿宋"/>
          <w:sz w:val="32"/>
          <w:szCs w:val="32"/>
        </w:rPr>
        <w:t xml:space="preserve">                           </w:t>
      </w:r>
      <w:r>
        <w:rPr>
          <w:rFonts w:hint="eastAsia" w:ascii="仿宋" w:hAnsi="仿宋" w:eastAsia="仿宋"/>
          <w:sz w:val="32"/>
          <w:szCs w:val="32"/>
        </w:rPr>
        <w:t>年</w:t>
      </w:r>
      <w:r>
        <w:rPr>
          <w:rFonts w:ascii="仿宋" w:hAnsi="仿宋" w:eastAsia="仿宋"/>
          <w:sz w:val="32"/>
          <w:szCs w:val="32"/>
        </w:rPr>
        <w:t xml:space="preserve">     </w:t>
      </w:r>
      <w:r>
        <w:rPr>
          <w:rFonts w:hint="eastAsia" w:ascii="仿宋" w:hAnsi="仿宋" w:eastAsia="仿宋"/>
          <w:sz w:val="32"/>
          <w:szCs w:val="32"/>
        </w:rPr>
        <w:t>月</w:t>
      </w:r>
      <w:r>
        <w:rPr>
          <w:rFonts w:ascii="仿宋" w:hAnsi="仿宋" w:eastAsia="仿宋"/>
          <w:sz w:val="32"/>
          <w:szCs w:val="32"/>
        </w:rPr>
        <w:t xml:space="preserve">     </w:t>
      </w:r>
      <w:r>
        <w:rPr>
          <w:rFonts w:hint="eastAsia" w:ascii="仿宋" w:hAnsi="仿宋" w:eastAsia="仿宋"/>
          <w:sz w:val="32"/>
          <w:szCs w:val="32"/>
        </w:rPr>
        <w:t>日</w:t>
      </w:r>
    </w:p>
    <w:p>
      <w:pPr>
        <w:widowControl/>
        <w:spacing w:line="560" w:lineRule="exact"/>
        <w:ind w:firstLine="643" w:firstLineChars="200"/>
        <w:jc w:val="left"/>
        <w:rPr>
          <w:rFonts w:ascii="仿宋" w:hAnsi="仿宋" w:eastAsia="仿宋"/>
          <w:b/>
          <w:bCs/>
          <w:sz w:val="32"/>
          <w:szCs w:val="32"/>
        </w:rPr>
      </w:pPr>
    </w:p>
    <w:p>
      <w:pPr>
        <w:widowControl/>
        <w:spacing w:line="560" w:lineRule="exact"/>
        <w:jc w:val="left"/>
        <w:rPr>
          <w:rFonts w:ascii="仿宋" w:hAnsi="仿宋" w:eastAsia="仿宋"/>
          <w:b/>
          <w:bCs/>
          <w:sz w:val="32"/>
          <w:szCs w:val="32"/>
        </w:rPr>
      </w:pPr>
      <w:r>
        <w:rPr>
          <w:rFonts w:ascii="仿宋" w:hAnsi="仿宋" w:eastAsia="仿宋"/>
          <w:b/>
          <w:bCs/>
          <w:sz w:val="32"/>
          <w:szCs w:val="32"/>
        </w:rPr>
        <w:t>_________</w:t>
      </w:r>
      <w:r>
        <w:rPr>
          <w:rFonts w:hint="eastAsia" w:ascii="仿宋" w:hAnsi="仿宋" w:eastAsia="仿宋"/>
          <w:b/>
          <w:bCs/>
          <w:sz w:val="32"/>
          <w:szCs w:val="32"/>
        </w:rPr>
        <w:t>部核对结果如下：</w:t>
      </w:r>
    </w:p>
    <w:p>
      <w:pPr>
        <w:widowControl/>
        <w:spacing w:line="560" w:lineRule="exact"/>
        <w:ind w:firstLine="640" w:firstLineChars="200"/>
        <w:jc w:val="left"/>
        <w:rPr>
          <w:rFonts w:ascii="仿宋" w:hAnsi="仿宋" w:eastAsia="仿宋"/>
          <w:sz w:val="32"/>
          <w:szCs w:val="32"/>
        </w:rPr>
      </w:pPr>
      <w:r>
        <w:rPr>
          <w:rFonts w:hint="eastAsia" w:ascii="仿宋" w:hAnsi="仿宋" w:eastAsia="仿宋"/>
          <w:sz w:val="32"/>
          <w:szCs w:val="32"/>
        </w:rPr>
        <w:t>经</w:t>
      </w:r>
      <w:r>
        <w:rPr>
          <w:rFonts w:ascii="仿宋" w:hAnsi="仿宋" w:eastAsia="仿宋"/>
          <w:sz w:val="32"/>
          <w:szCs w:val="32"/>
          <w:u w:val="single"/>
        </w:rPr>
        <w:t xml:space="preserve">     </w:t>
      </w:r>
      <w:r>
        <w:rPr>
          <w:rFonts w:hint="eastAsia" w:ascii="仿宋" w:hAnsi="仿宋" w:eastAsia="仿宋"/>
          <w:sz w:val="32"/>
          <w:szCs w:val="32"/>
        </w:rPr>
        <w:t>公司申请，我部拟同意该公司第</w:t>
      </w:r>
      <w:r>
        <w:rPr>
          <w:rFonts w:ascii="仿宋" w:hAnsi="仿宋" w:eastAsia="仿宋"/>
          <w:sz w:val="32"/>
          <w:szCs w:val="32"/>
          <w:u w:val="single"/>
        </w:rPr>
        <w:t xml:space="preserve">  </w:t>
      </w:r>
      <w:r>
        <w:rPr>
          <w:rFonts w:hint="eastAsia" w:ascii="仿宋" w:hAnsi="仿宋" w:eastAsia="仿宋"/>
          <w:sz w:val="32"/>
          <w:szCs w:val="32"/>
        </w:rPr>
        <w:t>期优先股的证券简称及证券代码如下：</w:t>
      </w:r>
    </w:p>
    <w:p>
      <w:pPr>
        <w:widowControl/>
        <w:spacing w:line="560" w:lineRule="exact"/>
        <w:ind w:firstLine="640" w:firstLineChars="200"/>
        <w:jc w:val="left"/>
        <w:rPr>
          <w:rFonts w:ascii="仿宋" w:hAnsi="仿宋" w:eastAsia="仿宋"/>
          <w:sz w:val="32"/>
          <w:szCs w:val="32"/>
          <w:u w:val="single"/>
        </w:rPr>
      </w:pPr>
      <w:r>
        <w:rPr>
          <w:rFonts w:hint="eastAsia" w:ascii="仿宋" w:hAnsi="仿宋" w:eastAsia="仿宋"/>
          <w:sz w:val="32"/>
          <w:szCs w:val="32"/>
        </w:rPr>
        <w:t>证券代码：</w:t>
      </w:r>
      <w:r>
        <w:rPr>
          <w:rFonts w:ascii="仿宋" w:hAnsi="仿宋" w:eastAsia="仿宋"/>
          <w:sz w:val="32"/>
          <w:szCs w:val="32"/>
        </w:rPr>
        <w:t xml:space="preserve">                  </w:t>
      </w:r>
      <w:r>
        <w:rPr>
          <w:rFonts w:hint="eastAsia" w:ascii="仿宋" w:hAnsi="仿宋" w:eastAsia="仿宋"/>
          <w:sz w:val="32"/>
          <w:szCs w:val="32"/>
        </w:rPr>
        <w:t>证券简称：</w:t>
      </w:r>
      <w:r>
        <w:rPr>
          <w:rFonts w:ascii="仿宋" w:hAnsi="仿宋" w:eastAsia="仿宋"/>
          <w:sz w:val="32"/>
          <w:szCs w:val="32"/>
        </w:rPr>
        <w:t xml:space="preserve">              </w:t>
      </w:r>
    </w:p>
    <w:p>
      <w:pPr>
        <w:widowControl/>
        <w:spacing w:line="560" w:lineRule="exact"/>
        <w:ind w:firstLine="640" w:firstLineChars="200"/>
        <w:jc w:val="left"/>
        <w:rPr>
          <w:rFonts w:ascii="仿宋" w:hAnsi="仿宋" w:eastAsia="仿宋"/>
          <w:sz w:val="32"/>
          <w:szCs w:val="32"/>
          <w:u w:val="single"/>
        </w:rPr>
      </w:pPr>
      <w:r>
        <w:rPr>
          <w:rFonts w:hint="eastAsia" w:ascii="仿宋" w:hAnsi="仿宋" w:eastAsia="仿宋"/>
          <w:sz w:val="32"/>
          <w:szCs w:val="32"/>
        </w:rPr>
        <w:t>经办人签名</w:t>
      </w:r>
      <w:r>
        <w:rPr>
          <w:rFonts w:ascii="仿宋" w:hAnsi="仿宋" w:eastAsia="仿宋"/>
          <w:sz w:val="32"/>
          <w:szCs w:val="32"/>
          <w:u w:val="single"/>
        </w:rPr>
        <w:t xml:space="preserve">              </w:t>
      </w:r>
      <w:r>
        <w:rPr>
          <w:rFonts w:ascii="仿宋" w:hAnsi="仿宋" w:eastAsia="仿宋"/>
          <w:sz w:val="32"/>
          <w:szCs w:val="32"/>
        </w:rPr>
        <w:t xml:space="preserve"> </w:t>
      </w:r>
      <w:r>
        <w:rPr>
          <w:rFonts w:hint="eastAsia" w:ascii="仿宋" w:hAnsi="仿宋" w:eastAsia="仿宋"/>
          <w:sz w:val="32"/>
          <w:szCs w:val="32"/>
        </w:rPr>
        <w:t>年</w:t>
      </w:r>
      <w:r>
        <w:rPr>
          <w:rFonts w:ascii="仿宋" w:hAnsi="仿宋" w:eastAsia="仿宋"/>
          <w:sz w:val="32"/>
          <w:szCs w:val="32"/>
        </w:rPr>
        <w:t xml:space="preserve">    </w:t>
      </w:r>
      <w:r>
        <w:rPr>
          <w:rFonts w:hint="eastAsia" w:ascii="仿宋" w:hAnsi="仿宋" w:eastAsia="仿宋"/>
          <w:sz w:val="32"/>
          <w:szCs w:val="32"/>
        </w:rPr>
        <w:t>月</w:t>
      </w:r>
      <w:r>
        <w:rPr>
          <w:rFonts w:ascii="仿宋" w:hAnsi="仿宋" w:eastAsia="仿宋"/>
          <w:sz w:val="32"/>
          <w:szCs w:val="32"/>
        </w:rPr>
        <w:t xml:space="preserve">    </w:t>
      </w:r>
      <w:r>
        <w:rPr>
          <w:rFonts w:hint="eastAsia" w:ascii="仿宋" w:hAnsi="仿宋" w:eastAsia="仿宋"/>
          <w:sz w:val="32"/>
          <w:szCs w:val="32"/>
        </w:rPr>
        <w:t>日</w:t>
      </w:r>
    </w:p>
    <w:p>
      <w:pPr>
        <w:widowControl/>
        <w:spacing w:line="560" w:lineRule="exact"/>
        <w:ind w:firstLine="640" w:firstLineChars="200"/>
        <w:jc w:val="left"/>
        <w:rPr>
          <w:rFonts w:ascii="仿宋" w:hAnsi="仿宋" w:eastAsia="仿宋"/>
          <w:b/>
          <w:bCs/>
          <w:sz w:val="32"/>
          <w:szCs w:val="32"/>
        </w:rPr>
      </w:pPr>
      <w:r>
        <w:rPr>
          <w:rFonts w:hint="eastAsia" w:ascii="仿宋" w:hAnsi="仿宋" w:eastAsia="仿宋"/>
          <w:sz w:val="32"/>
          <w:szCs w:val="32"/>
        </w:rPr>
        <w:t>负责人签名</w:t>
      </w:r>
      <w:r>
        <w:rPr>
          <w:rFonts w:ascii="仿宋" w:hAnsi="仿宋" w:eastAsia="仿宋"/>
          <w:sz w:val="32"/>
          <w:szCs w:val="32"/>
          <w:u w:val="single"/>
        </w:rPr>
        <w:t xml:space="preserve">              </w:t>
      </w:r>
      <w:r>
        <w:rPr>
          <w:rFonts w:ascii="仿宋" w:hAnsi="仿宋" w:eastAsia="仿宋"/>
          <w:sz w:val="32"/>
          <w:szCs w:val="32"/>
        </w:rPr>
        <w:t xml:space="preserve"> </w:t>
      </w:r>
      <w:r>
        <w:rPr>
          <w:rFonts w:hint="eastAsia" w:ascii="仿宋" w:hAnsi="仿宋" w:eastAsia="仿宋"/>
          <w:sz w:val="32"/>
          <w:szCs w:val="32"/>
        </w:rPr>
        <w:t>年</w:t>
      </w:r>
      <w:r>
        <w:rPr>
          <w:rFonts w:ascii="仿宋" w:hAnsi="仿宋" w:eastAsia="仿宋"/>
          <w:sz w:val="32"/>
          <w:szCs w:val="32"/>
        </w:rPr>
        <w:t xml:space="preserve">    </w:t>
      </w:r>
      <w:r>
        <w:rPr>
          <w:rFonts w:hint="eastAsia" w:ascii="仿宋" w:hAnsi="仿宋" w:eastAsia="仿宋"/>
          <w:sz w:val="32"/>
          <w:szCs w:val="32"/>
        </w:rPr>
        <w:t>月</w:t>
      </w:r>
      <w:r>
        <w:rPr>
          <w:rFonts w:ascii="仿宋" w:hAnsi="仿宋" w:eastAsia="仿宋"/>
          <w:sz w:val="32"/>
          <w:szCs w:val="32"/>
        </w:rPr>
        <w:t xml:space="preserve">    </w:t>
      </w:r>
      <w:r>
        <w:rPr>
          <w:rFonts w:hint="eastAsia" w:ascii="仿宋" w:hAnsi="仿宋" w:eastAsia="仿宋"/>
          <w:sz w:val="32"/>
          <w:szCs w:val="32"/>
        </w:rPr>
        <w:t>日</w:t>
      </w:r>
      <w:r>
        <w:rPr>
          <w:rFonts w:ascii="仿宋" w:hAnsi="仿宋" w:eastAsia="仿宋"/>
          <w:b/>
          <w:bCs/>
          <w:sz w:val="32"/>
          <w:szCs w:val="32"/>
        </w:rPr>
        <w:br w:type="page"/>
      </w:r>
    </w:p>
    <w:p>
      <w:pPr>
        <w:spacing w:line="560" w:lineRule="exact"/>
        <w:rPr>
          <w:rFonts w:ascii="黑体" w:hAnsi="黑体" w:eastAsia="黑体"/>
          <w:sz w:val="32"/>
          <w:szCs w:val="20"/>
        </w:rPr>
      </w:pPr>
      <w:r>
        <w:rPr>
          <w:rFonts w:hint="eastAsia" w:ascii="黑体" w:hAnsi="黑体" w:eastAsia="黑体"/>
          <w:sz w:val="32"/>
          <w:szCs w:val="20"/>
        </w:rPr>
        <w:t>附件</w:t>
      </w:r>
      <w:r>
        <w:rPr>
          <w:rFonts w:ascii="黑体" w:hAnsi="黑体" w:eastAsia="黑体"/>
          <w:sz w:val="32"/>
          <w:szCs w:val="20"/>
        </w:rPr>
        <w:t>3</w:t>
      </w:r>
    </w:p>
    <w:p>
      <w:pPr>
        <w:widowControl/>
        <w:spacing w:line="560" w:lineRule="exact"/>
        <w:jc w:val="center"/>
        <w:rPr>
          <w:rFonts w:ascii="仿宋" w:hAnsi="仿宋" w:eastAsia="仿宋"/>
          <w:sz w:val="32"/>
          <w:szCs w:val="32"/>
        </w:rPr>
      </w:pPr>
    </w:p>
    <w:p>
      <w:pPr>
        <w:widowControl/>
        <w:spacing w:line="560" w:lineRule="exact"/>
        <w:jc w:val="center"/>
        <w:rPr>
          <w:rFonts w:ascii="方正小标宋简体" w:hAnsi="仿宋" w:eastAsia="方正小标宋简体"/>
          <w:kern w:val="44"/>
          <w:sz w:val="44"/>
          <w:szCs w:val="20"/>
        </w:rPr>
      </w:pPr>
      <w:r>
        <w:rPr>
          <w:rFonts w:ascii="方正小标宋简体" w:hAnsi="仿宋" w:eastAsia="方正小标宋简体"/>
          <w:kern w:val="44"/>
          <w:sz w:val="44"/>
          <w:szCs w:val="20"/>
        </w:rPr>
        <w:t>XX公司</w:t>
      </w:r>
      <w:r>
        <w:rPr>
          <w:rFonts w:hint="eastAsia" w:ascii="方正小标宋简体" w:hAnsi="仿宋" w:eastAsia="方正小标宋简体"/>
          <w:kern w:val="44"/>
          <w:sz w:val="44"/>
          <w:szCs w:val="20"/>
        </w:rPr>
        <w:t>向特定对象</w:t>
      </w:r>
      <w:r>
        <w:rPr>
          <w:rFonts w:ascii="方正小标宋简体" w:hAnsi="仿宋" w:eastAsia="方正小标宋简体"/>
          <w:kern w:val="44"/>
          <w:sz w:val="44"/>
          <w:szCs w:val="20"/>
        </w:rPr>
        <w:t>发行优先股认购人名单</w:t>
      </w:r>
    </w:p>
    <w:p>
      <w:pPr>
        <w:widowControl/>
        <w:spacing w:line="560" w:lineRule="exact"/>
        <w:ind w:firstLine="640" w:firstLineChars="200"/>
        <w:jc w:val="left"/>
        <w:rPr>
          <w:rFonts w:ascii="仿宋" w:hAnsi="仿宋" w:eastAsia="仿宋"/>
          <w:sz w:val="32"/>
          <w:szCs w:val="32"/>
        </w:rPr>
      </w:pP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1880"/>
        <w:gridCol w:w="1681"/>
        <w:gridCol w:w="1568"/>
        <w:gridCol w:w="2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b/>
                <w:sz w:val="24"/>
                <w:szCs w:val="20"/>
              </w:rPr>
            </w:pPr>
            <w:r>
              <w:rPr>
                <w:rFonts w:hint="eastAsia" w:ascii="仿宋" w:hAnsi="仿宋" w:eastAsia="仿宋"/>
                <w:b/>
                <w:sz w:val="24"/>
                <w:szCs w:val="20"/>
              </w:rPr>
              <w:t>序号</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b/>
                <w:sz w:val="24"/>
                <w:szCs w:val="20"/>
              </w:rPr>
            </w:pPr>
            <w:r>
              <w:rPr>
                <w:rFonts w:hint="eastAsia" w:ascii="仿宋" w:hAnsi="仿宋" w:eastAsia="仿宋"/>
                <w:b/>
                <w:sz w:val="24"/>
                <w:szCs w:val="20"/>
              </w:rPr>
              <w:t>认购人名称</w:t>
            </w: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b/>
                <w:sz w:val="24"/>
                <w:szCs w:val="20"/>
              </w:rPr>
            </w:pPr>
            <w:r>
              <w:rPr>
                <w:rFonts w:hint="eastAsia" w:ascii="仿宋" w:hAnsi="仿宋" w:eastAsia="仿宋"/>
                <w:b/>
                <w:sz w:val="24"/>
                <w:szCs w:val="20"/>
              </w:rPr>
              <w:t>股东代码</w:t>
            </w:r>
          </w:p>
        </w:tc>
        <w:tc>
          <w:tcPr>
            <w:tcW w:w="920"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b/>
                <w:sz w:val="24"/>
                <w:szCs w:val="20"/>
              </w:rPr>
            </w:pPr>
            <w:r>
              <w:rPr>
                <w:rFonts w:hint="eastAsia" w:ascii="仿宋" w:hAnsi="仿宋" w:eastAsia="仿宋"/>
                <w:b/>
                <w:sz w:val="24"/>
                <w:szCs w:val="20"/>
              </w:rPr>
              <w:t>认购数量</w:t>
            </w:r>
          </w:p>
        </w:tc>
        <w:tc>
          <w:tcPr>
            <w:tcW w:w="1392" w:type="pct"/>
            <w:tcBorders>
              <w:top w:val="single" w:color="auto" w:sz="4" w:space="0"/>
              <w:left w:val="single" w:color="auto" w:sz="4" w:space="0"/>
              <w:bottom w:val="single" w:color="auto" w:sz="4" w:space="0"/>
              <w:right w:val="single" w:color="auto" w:sz="4" w:space="0"/>
            </w:tcBorders>
          </w:tcPr>
          <w:p>
            <w:pPr>
              <w:widowControl/>
              <w:jc w:val="center"/>
              <w:rPr>
                <w:rFonts w:ascii="仿宋" w:hAnsi="仿宋" w:eastAsia="仿宋"/>
                <w:b/>
                <w:sz w:val="24"/>
                <w:szCs w:val="20"/>
              </w:rPr>
            </w:pPr>
            <w:r>
              <w:rPr>
                <w:rFonts w:hint="eastAsia" w:ascii="仿宋" w:hAnsi="仿宋" w:eastAsia="仿宋"/>
                <w:b/>
                <w:sz w:val="24"/>
                <w:szCs w:val="20"/>
              </w:rPr>
              <w:t>认购金额（万元）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rPr>
            </w:pPr>
            <w:r>
              <w:rPr>
                <w:rFonts w:ascii="仿宋" w:hAnsi="仿宋" w:eastAsia="仿宋"/>
                <w:sz w:val="24"/>
                <w:szCs w:val="20"/>
              </w:rPr>
              <w:t>1</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rPr>
            </w:pPr>
            <w:r>
              <w:rPr>
                <w:rFonts w:ascii="仿宋" w:hAnsi="仿宋" w:eastAsia="仿宋"/>
                <w:sz w:val="24"/>
                <w:szCs w:val="20"/>
              </w:rPr>
              <w:t>2</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rPr>
            </w:pPr>
            <w:r>
              <w:rPr>
                <w:rFonts w:ascii="仿宋" w:hAnsi="仿宋" w:eastAsia="仿宋"/>
                <w:sz w:val="24"/>
                <w:szCs w:val="20"/>
              </w:rPr>
              <w:t>3</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rPr>
            </w:pPr>
            <w:r>
              <w:rPr>
                <w:rFonts w:ascii="仿宋" w:hAnsi="仿宋" w:eastAsia="仿宋"/>
                <w:sz w:val="24"/>
                <w:szCs w:val="20"/>
              </w:rPr>
              <w:t>4</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rPr>
            </w:pPr>
            <w:r>
              <w:rPr>
                <w:rFonts w:ascii="仿宋" w:hAnsi="仿宋" w:eastAsia="仿宋"/>
                <w:sz w:val="24"/>
                <w:szCs w:val="20"/>
              </w:rPr>
              <w:t>5</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rPr>
            </w:pPr>
            <w:r>
              <w:rPr>
                <w:rFonts w:ascii="仿宋" w:hAnsi="仿宋" w:eastAsia="仿宋"/>
                <w:sz w:val="24"/>
                <w:szCs w:val="20"/>
              </w:rPr>
              <w:t>6</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9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sz w:val="24"/>
                <w:szCs w:val="20"/>
              </w:rPr>
            </w:pPr>
            <w:r>
              <w:rPr>
                <w:rFonts w:hint="eastAsia" w:ascii="仿宋" w:hAnsi="仿宋" w:eastAsia="仿宋"/>
                <w:sz w:val="24"/>
                <w:szCs w:val="20"/>
              </w:rPr>
              <w:t>合计</w:t>
            </w:r>
          </w:p>
        </w:tc>
        <w:tc>
          <w:tcPr>
            <w:tcW w:w="1103"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r>
              <w:rPr>
                <w:rFonts w:ascii="仿宋" w:hAnsi="仿宋" w:eastAsia="仿宋"/>
                <w:sz w:val="24"/>
                <w:szCs w:val="20"/>
              </w:rPr>
              <w:t>-</w:t>
            </w:r>
          </w:p>
        </w:tc>
        <w:tc>
          <w:tcPr>
            <w:tcW w:w="986" w:type="pct"/>
            <w:tcBorders>
              <w:top w:val="single" w:color="auto" w:sz="4" w:space="0"/>
              <w:left w:val="single" w:color="auto" w:sz="4" w:space="0"/>
              <w:bottom w:val="single" w:color="auto" w:sz="4" w:space="0"/>
              <w:right w:val="single" w:color="auto" w:sz="4" w:space="0"/>
            </w:tcBorders>
            <w:noWrap/>
            <w:vAlign w:val="center"/>
          </w:tcPr>
          <w:p>
            <w:pPr>
              <w:widowControl/>
              <w:ind w:firstLine="480" w:firstLineChars="200"/>
              <w:jc w:val="left"/>
              <w:rPr>
                <w:rFonts w:ascii="仿宋" w:hAnsi="仿宋" w:eastAsia="仿宋"/>
                <w:sz w:val="24"/>
                <w:szCs w:val="20"/>
              </w:rPr>
            </w:pPr>
            <w:r>
              <w:rPr>
                <w:rFonts w:ascii="仿宋" w:hAnsi="仿宋" w:eastAsia="仿宋"/>
                <w:sz w:val="24"/>
                <w:szCs w:val="20"/>
              </w:rPr>
              <w:t>-</w:t>
            </w:r>
          </w:p>
        </w:tc>
        <w:tc>
          <w:tcPr>
            <w:tcW w:w="920"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c>
          <w:tcPr>
            <w:tcW w:w="1392" w:type="pct"/>
            <w:tcBorders>
              <w:top w:val="single" w:color="auto" w:sz="4" w:space="0"/>
              <w:left w:val="single" w:color="auto" w:sz="4" w:space="0"/>
              <w:bottom w:val="single" w:color="auto" w:sz="4" w:space="0"/>
              <w:right w:val="single" w:color="auto" w:sz="4" w:space="0"/>
            </w:tcBorders>
            <w:vAlign w:val="center"/>
          </w:tcPr>
          <w:p>
            <w:pPr>
              <w:widowControl/>
              <w:ind w:firstLine="480" w:firstLineChars="200"/>
              <w:jc w:val="left"/>
              <w:rPr>
                <w:rFonts w:ascii="仿宋" w:hAnsi="仿宋" w:eastAsia="仿宋"/>
                <w:sz w:val="24"/>
                <w:szCs w:val="20"/>
              </w:rPr>
            </w:pPr>
          </w:p>
        </w:tc>
      </w:tr>
    </w:tbl>
    <w:p>
      <w:pPr>
        <w:widowControl/>
        <w:spacing w:line="560" w:lineRule="exact"/>
        <w:ind w:firstLine="640" w:firstLineChars="200"/>
        <w:jc w:val="left"/>
        <w:rPr>
          <w:rFonts w:ascii="仿宋" w:hAnsi="仿宋" w:eastAsia="仿宋"/>
          <w:sz w:val="32"/>
          <w:szCs w:val="32"/>
        </w:rPr>
        <w:sectPr>
          <w:footerReference r:id="rId17" w:type="default"/>
          <w:footerReference r:id="rId18" w:type="even"/>
          <w:pgSz w:w="11906" w:h="16838"/>
          <w:pgMar w:top="1440" w:right="1800" w:bottom="1440" w:left="1800" w:header="851" w:footer="992" w:gutter="0"/>
          <w:cols w:space="720" w:num="1"/>
          <w:docGrid w:type="lines" w:linePitch="312" w:charSpace="0"/>
        </w:sectPr>
      </w:pPr>
    </w:p>
    <w:bookmarkEnd w:id="83"/>
    <w:bookmarkEnd w:id="84"/>
    <w:bookmarkEnd w:id="85"/>
    <w:bookmarkEnd w:id="86"/>
    <w:bookmarkEnd w:id="87"/>
    <w:bookmarkEnd w:id="88"/>
    <w:bookmarkEnd w:id="89"/>
    <w:bookmarkEnd w:id="90"/>
    <w:p>
      <w:pPr>
        <w:pStyle w:val="162"/>
        <w:ind w:firstLine="0" w:firstLineChars="0"/>
        <w:outlineLvl w:val="1"/>
        <w:rPr>
          <w:rFonts w:hAnsi="黑体"/>
          <w:sz w:val="32"/>
          <w:szCs w:val="32"/>
        </w:rPr>
      </w:pPr>
      <w:bookmarkStart w:id="91" w:name="_Toc129272535"/>
      <w:bookmarkStart w:id="92" w:name="_Toc141954541"/>
      <w:bookmarkStart w:id="93" w:name="_Toc18921"/>
      <w:r>
        <w:rPr>
          <w:rFonts w:hint="eastAsia" w:hAnsi="黑体"/>
          <w:sz w:val="32"/>
          <w:szCs w:val="32"/>
        </w:rPr>
        <w:t xml:space="preserve">第七节 </w:t>
      </w:r>
      <w:r>
        <w:rPr>
          <w:rFonts w:hAnsi="黑体"/>
          <w:sz w:val="32"/>
          <w:szCs w:val="32"/>
        </w:rPr>
        <w:t>现金选择权</w:t>
      </w:r>
      <w:bookmarkEnd w:id="91"/>
      <w:bookmarkEnd w:id="92"/>
      <w:bookmarkEnd w:id="93"/>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本节所称现金选择权，是指当上市公司实施收购、合并、分立等重大事项时，相关股东按照事先约定的价格在规定期限内将其所持有的上市公司股份出售给第三方或者上市公司，以获得现金的权利。</w:t>
      </w:r>
    </w:p>
    <w:p>
      <w:pPr>
        <w:spacing w:line="560" w:lineRule="exact"/>
        <w:ind w:firstLine="643" w:firstLineChars="200"/>
        <w:rPr>
          <w:rFonts w:ascii="Times New Roman" w:hAnsi="Times New Roman" w:eastAsia="黑体"/>
          <w:b/>
          <w:sz w:val="32"/>
          <w:szCs w:val="32"/>
        </w:rPr>
      </w:pPr>
      <w:r>
        <w:rPr>
          <w:rFonts w:ascii="Times New Roman" w:hAnsi="Times New Roman" w:eastAsia="黑体"/>
          <w:b/>
          <w:sz w:val="32"/>
          <w:szCs w:val="32"/>
        </w:rPr>
        <w:t>一、现金选择权方案的披露</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（一）上市公司披露现金选择权方案的，应当至少包括：</w:t>
      </w:r>
    </w:p>
    <w:p>
      <w:pPr>
        <w:spacing w:line="560" w:lineRule="exact"/>
        <w:ind w:firstLine="640" w:firstLineChars="200"/>
        <w:rPr>
          <w:rFonts w:ascii="仿宋" w:hAnsi="仿宋" w:eastAsia="仿宋"/>
          <w:sz w:val="32"/>
          <w:szCs w:val="32"/>
        </w:rPr>
      </w:pPr>
      <w:r>
        <w:rPr>
          <w:rFonts w:ascii="仿宋" w:hAnsi="仿宋" w:eastAsia="仿宋"/>
          <w:sz w:val="32"/>
          <w:szCs w:val="32"/>
        </w:rPr>
        <w:t>1．现金选择权的定价及合理合规性；</w:t>
      </w:r>
    </w:p>
    <w:p>
      <w:pPr>
        <w:spacing w:line="560" w:lineRule="exact"/>
        <w:ind w:firstLine="640" w:firstLineChars="200"/>
        <w:rPr>
          <w:rFonts w:ascii="仿宋" w:hAnsi="仿宋" w:eastAsia="仿宋"/>
          <w:sz w:val="32"/>
          <w:szCs w:val="32"/>
        </w:rPr>
      </w:pPr>
      <w:r>
        <w:rPr>
          <w:rFonts w:ascii="仿宋" w:hAnsi="仿宋" w:eastAsia="仿宋"/>
          <w:sz w:val="32"/>
          <w:szCs w:val="32"/>
        </w:rPr>
        <w:t>2．现金选择权价格调整机制及合理合规性（如有）；</w:t>
      </w:r>
    </w:p>
    <w:p>
      <w:pPr>
        <w:spacing w:line="560" w:lineRule="exact"/>
        <w:ind w:firstLine="640" w:firstLineChars="200"/>
        <w:rPr>
          <w:rFonts w:ascii="仿宋" w:hAnsi="仿宋" w:eastAsia="仿宋"/>
          <w:sz w:val="32"/>
          <w:szCs w:val="32"/>
        </w:rPr>
      </w:pPr>
      <w:r>
        <w:rPr>
          <w:rFonts w:ascii="仿宋" w:hAnsi="仿宋" w:eastAsia="仿宋"/>
          <w:sz w:val="32"/>
          <w:szCs w:val="32"/>
        </w:rPr>
        <w:t>3．现金选择权的行使主体，例如审议资产重组、合并、分立、主动退市等重大事项的异议股东；</w:t>
      </w:r>
    </w:p>
    <w:p>
      <w:pPr>
        <w:spacing w:line="560" w:lineRule="exact"/>
        <w:ind w:firstLine="640" w:firstLineChars="200"/>
        <w:rPr>
          <w:rFonts w:ascii="仿宋" w:hAnsi="仿宋" w:eastAsia="仿宋"/>
          <w:sz w:val="32"/>
          <w:szCs w:val="32"/>
        </w:rPr>
      </w:pPr>
      <w:r>
        <w:rPr>
          <w:rFonts w:ascii="仿宋" w:hAnsi="仿宋" w:eastAsia="仿宋"/>
          <w:sz w:val="32"/>
          <w:szCs w:val="32"/>
        </w:rPr>
        <w:t>4．行使现金选择权的风险提示；</w:t>
      </w:r>
    </w:p>
    <w:p>
      <w:pPr>
        <w:spacing w:line="560" w:lineRule="exact"/>
        <w:ind w:firstLine="640" w:firstLineChars="200"/>
        <w:rPr>
          <w:rFonts w:ascii="仿宋" w:hAnsi="仿宋" w:eastAsia="仿宋"/>
          <w:sz w:val="32"/>
          <w:szCs w:val="32"/>
        </w:rPr>
      </w:pPr>
      <w:r>
        <w:rPr>
          <w:rFonts w:ascii="仿宋" w:hAnsi="仿宋" w:eastAsia="仿宋"/>
          <w:sz w:val="32"/>
          <w:szCs w:val="32"/>
        </w:rPr>
        <w:t>5．现金选择权提供方名称及其履约能力分析；</w:t>
      </w:r>
    </w:p>
    <w:p>
      <w:pPr>
        <w:spacing w:line="560" w:lineRule="exact"/>
        <w:ind w:firstLine="640" w:firstLineChars="200"/>
        <w:rPr>
          <w:rFonts w:ascii="仿宋" w:hAnsi="仿宋" w:eastAsia="仿宋"/>
          <w:sz w:val="32"/>
          <w:szCs w:val="32"/>
        </w:rPr>
      </w:pPr>
      <w:r>
        <w:rPr>
          <w:rFonts w:ascii="仿宋" w:hAnsi="仿宋" w:eastAsia="仿宋"/>
          <w:sz w:val="32"/>
          <w:szCs w:val="32"/>
        </w:rPr>
        <w:t>6．本所要求的其他内容。</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（二）现金选择权方案披露至现金选择权派发的期间，如出现现金选择权行权比例或者行权价格需调整情形的，上市公司应当及时披露调整公告。</w:t>
      </w:r>
    </w:p>
    <w:p>
      <w:pPr>
        <w:spacing w:line="560" w:lineRule="exact"/>
        <w:ind w:firstLine="643" w:firstLineChars="200"/>
        <w:rPr>
          <w:rFonts w:ascii="Times New Roman" w:hAnsi="Times New Roman" w:eastAsia="黑体"/>
          <w:b/>
          <w:sz w:val="32"/>
          <w:szCs w:val="32"/>
        </w:rPr>
      </w:pPr>
      <w:r>
        <w:rPr>
          <w:rFonts w:ascii="Times New Roman" w:hAnsi="Times New Roman" w:eastAsia="黑体"/>
          <w:b/>
          <w:sz w:val="32"/>
          <w:szCs w:val="32"/>
        </w:rPr>
        <w:t>二、实施现金选择权</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（一）上市公司应在股东大会决议、获得证监会相关实施批复（如适用）后申请办理现金选择权的实施。第三方应当授权上市公司代为向本所申请办理现金选择权有关事宜。</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（二）因上市公司实施合并、分立等重大事项或者被收购等提供现金选择权的，上市公司或者第三方应当在合并、分立或者被收购等重大事项实施完成前，实施完毕现金选择权业务。</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三</w:t>
      </w:r>
      <w:r>
        <w:rPr>
          <w:rFonts w:ascii="Times New Roman" w:hAnsi="Times New Roman" w:eastAsia="仿宋"/>
          <w:sz w:val="32"/>
          <w:szCs w:val="32"/>
        </w:rPr>
        <w:t>）上市公司、第三方、保荐</w:t>
      </w:r>
      <w:r>
        <w:rPr>
          <w:rFonts w:hint="eastAsia" w:ascii="Times New Roman" w:hAnsi="Times New Roman" w:eastAsia="仿宋"/>
          <w:sz w:val="32"/>
          <w:szCs w:val="32"/>
        </w:rPr>
        <w:t>人</w:t>
      </w:r>
      <w:r>
        <w:rPr>
          <w:rFonts w:ascii="Times New Roman" w:hAnsi="Times New Roman" w:eastAsia="仿宋"/>
          <w:sz w:val="32"/>
          <w:szCs w:val="32"/>
        </w:rPr>
        <w:t>或者财务顾问在办理现金选择权业务前，应当与本所、</w:t>
      </w:r>
      <w:r>
        <w:rPr>
          <w:rFonts w:hint="eastAsia" w:ascii="Times New Roman" w:hAnsi="Times New Roman" w:eastAsia="仿宋"/>
          <w:sz w:val="32"/>
          <w:szCs w:val="32"/>
        </w:rPr>
        <w:t>结算公司</w:t>
      </w:r>
      <w:r>
        <w:rPr>
          <w:rFonts w:ascii="Times New Roman" w:hAnsi="Times New Roman" w:eastAsia="仿宋"/>
          <w:sz w:val="32"/>
          <w:szCs w:val="32"/>
        </w:rPr>
        <w:t>沟通、密切配合，保荐</w:t>
      </w:r>
      <w:r>
        <w:rPr>
          <w:rFonts w:hint="eastAsia" w:ascii="Times New Roman" w:hAnsi="Times New Roman" w:eastAsia="仿宋"/>
          <w:sz w:val="32"/>
          <w:szCs w:val="32"/>
        </w:rPr>
        <w:t>人</w:t>
      </w:r>
      <w:r>
        <w:rPr>
          <w:rFonts w:ascii="Times New Roman" w:hAnsi="Times New Roman" w:eastAsia="仿宋"/>
          <w:sz w:val="32"/>
          <w:szCs w:val="32"/>
        </w:rPr>
        <w:t>或者财务顾问应当勤勉尽责，及时督促上市公司和第三方推进现金选择权实施工作并履行信息披露义务。</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四</w:t>
      </w:r>
      <w:r>
        <w:rPr>
          <w:rFonts w:ascii="Times New Roman" w:hAnsi="Times New Roman" w:eastAsia="仿宋"/>
          <w:sz w:val="32"/>
          <w:szCs w:val="32"/>
        </w:rPr>
        <w:t>）综合考虑标的股票参考股价与现金选择权约定价格的溢价比和现金选择权所含权利的Delta值情况，上市公司或者第三方可以申请通过以下方式之一向股东提供现金选择权申报服务：</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1．通过手工方式提供现金选择权申报服务；</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2．通过本所交易系统提供现金选择权申报服务。</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上市公司或者第三方应当选择合适的申报方式，每一次现金选择权业务应当仅选择其中一种方式，并应在相关公告中说明，提示投资者关注现金选择权申报方式及具体申报要求等。</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五</w:t>
      </w:r>
      <w:r>
        <w:rPr>
          <w:rFonts w:ascii="Times New Roman" w:hAnsi="Times New Roman" w:eastAsia="仿宋"/>
          <w:sz w:val="32"/>
          <w:szCs w:val="32"/>
        </w:rPr>
        <w:t>）保荐</w:t>
      </w:r>
      <w:r>
        <w:rPr>
          <w:rFonts w:hint="eastAsia" w:ascii="Times New Roman" w:hAnsi="Times New Roman" w:eastAsia="仿宋"/>
          <w:sz w:val="32"/>
          <w:szCs w:val="32"/>
        </w:rPr>
        <w:t>人</w:t>
      </w:r>
      <w:r>
        <w:rPr>
          <w:rFonts w:ascii="Times New Roman" w:hAnsi="Times New Roman" w:eastAsia="仿宋"/>
          <w:sz w:val="32"/>
          <w:szCs w:val="32"/>
        </w:rPr>
        <w:t>或者财务顾问应当协助上市公司或者第三方计算标的股票参考股价与现金选择权约定价格的溢价比和现金选择权所含权利的价值及其Delta值，作为选择现金选择权申报方式的说明，并由上市公司在首次披露实施现金选择权提示性公告前报本所同意。标的股票参考股价取首次披露实施现金选择权提示性公告前一交易日收盘价。</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标的股票参考股价与现金选择权约定价格溢价比=（标的股票参考股价-现金选择权约定价格）/现金选择权约定价格×100%</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现金选择权所含权利的价值及其Delta值的计算办法应当符合Black &amp; Scholes定价模型的要求，并遵照如下规定：</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1．无风险收益率按照当前的一年期人民币银行存款基准利率（税前）与一年期人民币银行贷款基准利率（税前）的平均值计算；</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2．标的股票波动率以首次披露实施现金选择权提示性公告前一交易日为起点倒推一年的标的股票历史波动率计算；</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3．本所规定的其他要求。</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计算办法如需调整，上市公司和第三方应当提供充足理由并报本所同意。</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六</w:t>
      </w:r>
      <w:r>
        <w:rPr>
          <w:rFonts w:ascii="Times New Roman" w:hAnsi="Times New Roman" w:eastAsia="仿宋"/>
          <w:sz w:val="32"/>
          <w:szCs w:val="32"/>
        </w:rPr>
        <w:t>）出现以下情形之一的，上市公司或者第三方可以申请通过手工方式向股东提供现金选择权申报服务：</w:t>
      </w:r>
    </w:p>
    <w:p>
      <w:pPr>
        <w:spacing w:line="560" w:lineRule="exact"/>
        <w:ind w:firstLine="640" w:firstLineChars="200"/>
        <w:rPr>
          <w:rFonts w:ascii="仿宋" w:hAnsi="仿宋" w:eastAsia="仿宋"/>
          <w:sz w:val="32"/>
          <w:szCs w:val="32"/>
        </w:rPr>
      </w:pPr>
      <w:r>
        <w:rPr>
          <w:rFonts w:ascii="仿宋" w:hAnsi="仿宋" w:eastAsia="仿宋"/>
          <w:sz w:val="32"/>
          <w:szCs w:val="32"/>
        </w:rPr>
        <w:t>1．标的股票参考股价与现金选择权约定价格溢价比达到或者超过50%的；</w:t>
      </w:r>
    </w:p>
    <w:p>
      <w:pPr>
        <w:spacing w:line="560" w:lineRule="exact"/>
        <w:ind w:firstLine="640" w:firstLineChars="200"/>
        <w:rPr>
          <w:rFonts w:ascii="仿宋" w:hAnsi="仿宋" w:eastAsia="仿宋"/>
          <w:sz w:val="32"/>
          <w:szCs w:val="32"/>
        </w:rPr>
      </w:pPr>
      <w:r>
        <w:rPr>
          <w:rFonts w:ascii="仿宋" w:hAnsi="仿宋" w:eastAsia="仿宋"/>
          <w:sz w:val="32"/>
          <w:szCs w:val="32"/>
        </w:rPr>
        <w:t>2．现金选择权所含权利的Delta值的绝对值低于5%的；</w:t>
      </w:r>
    </w:p>
    <w:p>
      <w:pPr>
        <w:spacing w:line="560" w:lineRule="exact"/>
        <w:ind w:firstLine="640" w:firstLineChars="200"/>
        <w:rPr>
          <w:rFonts w:ascii="仿宋" w:hAnsi="仿宋" w:eastAsia="仿宋"/>
          <w:sz w:val="32"/>
          <w:szCs w:val="32"/>
        </w:rPr>
      </w:pPr>
      <w:r>
        <w:rPr>
          <w:rFonts w:ascii="仿宋" w:hAnsi="仿宋" w:eastAsia="仿宋"/>
          <w:sz w:val="32"/>
          <w:szCs w:val="32"/>
        </w:rPr>
        <w:t>3．本所认定的其他情形。</w:t>
      </w:r>
    </w:p>
    <w:p>
      <w:pPr>
        <w:spacing w:line="560" w:lineRule="exact"/>
        <w:ind w:firstLine="640" w:firstLineChars="200"/>
        <w:rPr>
          <w:rFonts w:ascii="Times New Roman" w:hAnsi="Times New Roman" w:eastAsia="仿宋"/>
          <w:sz w:val="32"/>
          <w:szCs w:val="32"/>
        </w:rPr>
      </w:pPr>
      <w:r>
        <w:rPr>
          <w:rFonts w:ascii="仿宋" w:hAnsi="仿宋" w:eastAsia="仿宋"/>
          <w:sz w:val="32"/>
          <w:szCs w:val="32"/>
        </w:rPr>
        <w:t>不符合前述规定的可以申请手工</w:t>
      </w:r>
      <w:r>
        <w:rPr>
          <w:rFonts w:ascii="Times New Roman" w:hAnsi="Times New Roman" w:eastAsia="仿宋"/>
          <w:sz w:val="32"/>
          <w:szCs w:val="32"/>
        </w:rPr>
        <w:t>申报方式条件的，上市公司或者第三方应当申请通过本所交易系统向股东提供现金选择权申报服务。</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七</w:t>
      </w:r>
      <w:r>
        <w:rPr>
          <w:rFonts w:ascii="Times New Roman" w:hAnsi="Times New Roman" w:eastAsia="仿宋"/>
          <w:sz w:val="32"/>
          <w:szCs w:val="32"/>
        </w:rPr>
        <w:t>）上市公司通过手工方式提供现金选择权申报服务的，应设定现金选择权的股权登记日，在该股权登记日持有上市公司股份</w:t>
      </w:r>
      <w:r>
        <w:rPr>
          <w:rFonts w:hint="eastAsia" w:ascii="Times New Roman" w:hAnsi="Times New Roman" w:eastAsia="仿宋"/>
          <w:sz w:val="32"/>
          <w:szCs w:val="32"/>
        </w:rPr>
        <w:t>且符合公司现金选择权方案要求</w:t>
      </w:r>
      <w:r>
        <w:rPr>
          <w:rFonts w:ascii="Times New Roman" w:hAnsi="Times New Roman" w:eastAsia="仿宋"/>
          <w:sz w:val="32"/>
          <w:szCs w:val="32"/>
        </w:rPr>
        <w:t>的投资者可以申报现金选择权。上市公司通过本所交易系统提供现金选择权申报服务</w:t>
      </w:r>
      <w:r>
        <w:rPr>
          <w:rFonts w:hint="eastAsia" w:ascii="Times New Roman" w:hAnsi="Times New Roman" w:eastAsia="仿宋"/>
          <w:sz w:val="32"/>
          <w:szCs w:val="32"/>
        </w:rPr>
        <w:t>且</w:t>
      </w:r>
      <w:r>
        <w:rPr>
          <w:rFonts w:ascii="Times New Roman" w:hAnsi="Times New Roman" w:eastAsia="仿宋"/>
          <w:sz w:val="32"/>
          <w:szCs w:val="32"/>
        </w:rPr>
        <w:t>不设股权登记日</w:t>
      </w:r>
      <w:r>
        <w:rPr>
          <w:rFonts w:hint="eastAsia" w:ascii="Times New Roman" w:hAnsi="Times New Roman" w:eastAsia="仿宋"/>
          <w:sz w:val="32"/>
          <w:szCs w:val="32"/>
        </w:rPr>
        <w:t>的</w:t>
      </w:r>
      <w:r>
        <w:rPr>
          <w:rFonts w:ascii="Times New Roman" w:hAnsi="Times New Roman" w:eastAsia="仿宋"/>
          <w:sz w:val="32"/>
          <w:szCs w:val="32"/>
        </w:rPr>
        <w:t>，在现金选择权申报期间持有该上市公司股份</w:t>
      </w:r>
      <w:r>
        <w:rPr>
          <w:rFonts w:hint="eastAsia" w:ascii="Times New Roman" w:hAnsi="Times New Roman" w:eastAsia="仿宋"/>
          <w:sz w:val="32"/>
          <w:szCs w:val="32"/>
        </w:rPr>
        <w:t>且符合公司现金选择权方案要求</w:t>
      </w:r>
      <w:r>
        <w:rPr>
          <w:rFonts w:ascii="Times New Roman" w:hAnsi="Times New Roman" w:eastAsia="仿宋"/>
          <w:sz w:val="32"/>
          <w:szCs w:val="32"/>
        </w:rPr>
        <w:t>的投资者可以在申报期内申报预受现金选择权。</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八</w:t>
      </w:r>
      <w:r>
        <w:rPr>
          <w:rFonts w:ascii="Times New Roman" w:hAnsi="Times New Roman" w:eastAsia="仿宋"/>
          <w:sz w:val="32"/>
          <w:szCs w:val="32"/>
        </w:rPr>
        <w:t>）上市公司应当在现金选择权的股权登记日前五个交易日内，不设股权登记日的现金选择权业务则为申报期首日前五个交易日内，连续发布实施现金选择权的提示性公告，公告至少应当包括：</w:t>
      </w:r>
    </w:p>
    <w:p>
      <w:pPr>
        <w:spacing w:line="560" w:lineRule="exact"/>
        <w:ind w:firstLine="640" w:firstLineChars="200"/>
        <w:rPr>
          <w:rFonts w:ascii="仿宋" w:hAnsi="仿宋" w:eastAsia="仿宋"/>
          <w:sz w:val="32"/>
          <w:szCs w:val="32"/>
        </w:rPr>
      </w:pPr>
      <w:r>
        <w:rPr>
          <w:rFonts w:ascii="仿宋" w:hAnsi="仿宋" w:eastAsia="仿宋"/>
          <w:sz w:val="32"/>
          <w:szCs w:val="32"/>
        </w:rPr>
        <w:t>1．现金选择权的股权登记日</w:t>
      </w:r>
      <w:r>
        <w:rPr>
          <w:rFonts w:hint="eastAsia" w:ascii="仿宋" w:hAnsi="仿宋" w:eastAsia="仿宋"/>
          <w:sz w:val="32"/>
          <w:szCs w:val="32"/>
        </w:rPr>
        <w:t>（如有）；</w:t>
      </w:r>
    </w:p>
    <w:p>
      <w:pPr>
        <w:spacing w:line="560" w:lineRule="exact"/>
        <w:ind w:firstLine="640" w:firstLineChars="200"/>
        <w:rPr>
          <w:rFonts w:ascii="仿宋" w:hAnsi="仿宋" w:eastAsia="仿宋"/>
          <w:sz w:val="32"/>
          <w:szCs w:val="32"/>
        </w:rPr>
      </w:pPr>
      <w:r>
        <w:rPr>
          <w:rFonts w:ascii="仿宋" w:hAnsi="仿宋" w:eastAsia="仿宋"/>
          <w:sz w:val="32"/>
          <w:szCs w:val="32"/>
        </w:rPr>
        <w:t>2．股权登记日次一交易日起股票将停牌的提示（如适用）</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ascii="仿宋" w:hAnsi="仿宋" w:eastAsia="仿宋"/>
          <w:sz w:val="32"/>
          <w:szCs w:val="32"/>
        </w:rPr>
        <w:t>3．行使现金选择权的风险提示</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ascii="仿宋" w:hAnsi="仿宋" w:eastAsia="仿宋"/>
          <w:sz w:val="32"/>
          <w:szCs w:val="32"/>
        </w:rPr>
        <w:t>4．现金选择权的行使主体</w:t>
      </w:r>
      <w:r>
        <w:rPr>
          <w:rFonts w:hint="eastAsia" w:ascii="仿宋" w:hAnsi="仿宋" w:eastAsia="仿宋"/>
          <w:sz w:val="32"/>
          <w:szCs w:val="32"/>
        </w:rPr>
        <w:t>；</w:t>
      </w:r>
    </w:p>
    <w:p>
      <w:pPr>
        <w:spacing w:line="560" w:lineRule="exact"/>
        <w:ind w:firstLine="640" w:firstLineChars="200"/>
        <w:rPr>
          <w:rFonts w:ascii="仿宋" w:hAnsi="仿宋" w:eastAsia="仿宋"/>
          <w:sz w:val="32"/>
          <w:szCs w:val="32"/>
        </w:rPr>
      </w:pPr>
      <w:r>
        <w:rPr>
          <w:rFonts w:ascii="仿宋" w:hAnsi="仿宋" w:eastAsia="仿宋"/>
          <w:sz w:val="32"/>
          <w:szCs w:val="32"/>
        </w:rPr>
        <w:t>5．现金选择权提供方名称及其履约能力分析</w:t>
      </w:r>
      <w:r>
        <w:rPr>
          <w:rFonts w:hint="eastAsia" w:ascii="仿宋" w:hAnsi="仿宋" w:eastAsia="仿宋"/>
          <w:sz w:val="32"/>
          <w:szCs w:val="32"/>
        </w:rPr>
        <w:t>；</w:t>
      </w:r>
    </w:p>
    <w:p>
      <w:pPr>
        <w:spacing w:line="560" w:lineRule="exact"/>
        <w:ind w:firstLine="640" w:firstLineChars="200"/>
        <w:rPr>
          <w:rFonts w:ascii="Times New Roman" w:hAnsi="Times New Roman" w:eastAsia="仿宋"/>
          <w:sz w:val="32"/>
          <w:szCs w:val="32"/>
        </w:rPr>
      </w:pPr>
      <w:r>
        <w:rPr>
          <w:rFonts w:ascii="仿宋" w:hAnsi="仿宋" w:eastAsia="仿宋"/>
          <w:sz w:val="32"/>
          <w:szCs w:val="32"/>
        </w:rPr>
        <w:t>6．仅向部分股东派发现金选择权的，通过融资融券信</w:t>
      </w:r>
      <w:r>
        <w:rPr>
          <w:rFonts w:ascii="Times New Roman" w:hAnsi="Times New Roman" w:eastAsia="仿宋"/>
          <w:sz w:val="32"/>
          <w:szCs w:val="32"/>
        </w:rPr>
        <w:t>用证券账户标的股票且需要进行现金选择权申报的投资者，应不晚于现金选择权股权登记日将相应股票从信用证券账户划转至其对应的普通证券账户（划转后方能获得现金选择权派发），在现金选择权派发日，该部分股票对应的现金选择权将被派发至该投资者的普通证券账户，投资者在申报日仅能通过普通证券账户进行现金选择权行权申报</w:t>
      </w:r>
      <w:r>
        <w:rPr>
          <w:rFonts w:hint="eastAsia"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向全体股东派发现金选择权的，融资融券信用证券账户标的股票可以不从信用证券账户划转至其对应的普通证券账户</w:t>
      </w:r>
      <w:r>
        <w:rPr>
          <w:rFonts w:hint="eastAsia"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7．</w:t>
      </w:r>
      <w:r>
        <w:rPr>
          <w:rFonts w:ascii="Times New Roman" w:hAnsi="Times New Roman" w:eastAsia="仿宋"/>
          <w:sz w:val="32"/>
          <w:szCs w:val="32"/>
        </w:rPr>
        <w:t>已开展约定购回式证券交易且需要进行现金选择权申报的投资者，应不晚于现金选择权股权登记日的前一交易日办理提前购回手续；</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8．</w:t>
      </w:r>
      <w:r>
        <w:rPr>
          <w:rFonts w:ascii="Times New Roman" w:hAnsi="Times New Roman" w:eastAsia="仿宋"/>
          <w:sz w:val="32"/>
          <w:szCs w:val="32"/>
        </w:rPr>
        <w:t>参与股票质押式回购交易且需要进行现金选择权申报的投资者，应不晚于现金选择权股权登记日办理提前购回手续；</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9．</w:t>
      </w:r>
      <w:r>
        <w:rPr>
          <w:rFonts w:ascii="Times New Roman" w:hAnsi="Times New Roman" w:eastAsia="仿宋"/>
          <w:sz w:val="32"/>
          <w:szCs w:val="32"/>
        </w:rPr>
        <w:t>本所要求的其他内容。</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九）上市公司可以因实施现金选择权业务向本所申请其股票停牌，最早自现金选择权股权登记日的次一交易日开市起停牌，不设股权登记日的现金选择权业务可以最早自申报期首日开市起停牌，并在披露现金选择权行使结果公告后复牌。</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上市公司应当审慎确定停牌时间，合理安排现金选择权各环节的实施进度，尽可能缩短停牌时长。</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现金选择权行使结果出具后，上市公司因实施换股、合并、分立、退市等事项需继续停牌的，按照本所相关规定执行。</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十</w:t>
      </w:r>
      <w:r>
        <w:rPr>
          <w:rFonts w:ascii="Times New Roman" w:hAnsi="Times New Roman" w:eastAsia="仿宋"/>
          <w:sz w:val="32"/>
          <w:szCs w:val="32"/>
        </w:rPr>
        <w:t xml:space="preserve">）上市公司应在披露 </w:t>
      </w:r>
      <w:r>
        <w:rPr>
          <w:rFonts w:hint="eastAsia" w:ascii="Times New Roman" w:hAnsi="Times New Roman" w:eastAsia="仿宋"/>
          <w:sz w:val="32"/>
          <w:szCs w:val="32"/>
        </w:rPr>
        <w:t>“</w:t>
      </w:r>
      <w:r>
        <w:rPr>
          <w:rFonts w:ascii="Times New Roman" w:hAnsi="Times New Roman" w:eastAsia="仿宋"/>
          <w:sz w:val="32"/>
          <w:szCs w:val="32"/>
        </w:rPr>
        <w:t>现金选择权派发公告</w:t>
      </w:r>
      <w:r>
        <w:rPr>
          <w:rFonts w:hint="eastAsia" w:ascii="Times New Roman" w:hAnsi="Times New Roman" w:eastAsia="仿宋"/>
          <w:sz w:val="32"/>
          <w:szCs w:val="32"/>
        </w:rPr>
        <w:t>”</w:t>
      </w:r>
      <w:r>
        <w:rPr>
          <w:rFonts w:ascii="Times New Roman" w:hAnsi="Times New Roman" w:eastAsia="仿宋"/>
          <w:sz w:val="32"/>
          <w:szCs w:val="32"/>
        </w:rPr>
        <w:t>的五个交易日前，在业务专区选择该公告类别并向本所提交以下材料：</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1．</w:t>
      </w:r>
      <w:r>
        <w:rPr>
          <w:rFonts w:ascii="Times New Roman" w:hAnsi="Times New Roman" w:eastAsia="仿宋"/>
          <w:sz w:val="32"/>
          <w:szCs w:val="32"/>
        </w:rPr>
        <w:t>《上市公司现金选择权派发登记申请表》（见附件1）；</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2．</w:t>
      </w:r>
      <w:r>
        <w:rPr>
          <w:rFonts w:ascii="Times New Roman" w:hAnsi="Times New Roman" w:eastAsia="仿宋"/>
          <w:sz w:val="32"/>
          <w:szCs w:val="32"/>
        </w:rPr>
        <w:t>中国证监会</w:t>
      </w:r>
      <w:r>
        <w:rPr>
          <w:rFonts w:hint="eastAsia" w:ascii="Times New Roman" w:hAnsi="Times New Roman" w:eastAsia="仿宋"/>
          <w:sz w:val="32"/>
          <w:szCs w:val="32"/>
        </w:rPr>
        <w:t>相关批复</w:t>
      </w:r>
      <w:r>
        <w:rPr>
          <w:rFonts w:ascii="Times New Roman" w:hAnsi="Times New Roman" w:eastAsia="仿宋"/>
          <w:sz w:val="32"/>
          <w:szCs w:val="32"/>
        </w:rPr>
        <w:t>文件（如适用）；</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3</w:t>
      </w:r>
      <w:r>
        <w:rPr>
          <w:rFonts w:ascii="Times New Roman" w:hAnsi="Times New Roman" w:eastAsia="仿宋"/>
          <w:kern w:val="0"/>
          <w:sz w:val="32"/>
          <w:szCs w:val="32"/>
        </w:rPr>
        <w:t>．</w:t>
      </w:r>
      <w:r>
        <w:rPr>
          <w:rFonts w:ascii="Times New Roman" w:hAnsi="Times New Roman" w:eastAsia="仿宋"/>
          <w:sz w:val="32"/>
          <w:szCs w:val="32"/>
        </w:rPr>
        <w:t>第三方授权上市公司办理现金选择权业务的授权委托书及第三方的营业执照复印件（如适用）；</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4．</w:t>
      </w:r>
      <w:r>
        <w:rPr>
          <w:rFonts w:ascii="Times New Roman" w:hAnsi="Times New Roman" w:eastAsia="仿宋"/>
          <w:sz w:val="32"/>
          <w:szCs w:val="32"/>
        </w:rPr>
        <w:t>现金选择权派发公告文稿；</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5．</w:t>
      </w:r>
      <w:r>
        <w:rPr>
          <w:rFonts w:ascii="Times New Roman" w:hAnsi="Times New Roman" w:eastAsia="仿宋"/>
          <w:sz w:val="32"/>
          <w:szCs w:val="32"/>
        </w:rPr>
        <w:t>关于现金选择权方案的公告及股东大会决议；</w:t>
      </w:r>
    </w:p>
    <w:p>
      <w:pPr>
        <w:spacing w:line="560" w:lineRule="exact"/>
        <w:ind w:firstLine="630"/>
        <w:rPr>
          <w:rFonts w:ascii="Times New Roman" w:hAnsi="Times New Roman" w:eastAsia="仿宋"/>
          <w:sz w:val="32"/>
          <w:szCs w:val="32"/>
        </w:rPr>
      </w:pPr>
      <w:r>
        <w:rPr>
          <w:rFonts w:ascii="Times New Roman" w:hAnsi="Times New Roman" w:eastAsia="仿宋"/>
          <w:kern w:val="0"/>
          <w:sz w:val="32"/>
          <w:szCs w:val="32"/>
        </w:rPr>
        <w:t>6．</w:t>
      </w:r>
      <w:r>
        <w:rPr>
          <w:rFonts w:ascii="Times New Roman" w:hAnsi="Times New Roman" w:eastAsia="仿宋"/>
          <w:sz w:val="32"/>
          <w:szCs w:val="32"/>
        </w:rPr>
        <w:t>本所要求的其他材料。</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十一</w:t>
      </w:r>
      <w:r>
        <w:rPr>
          <w:rFonts w:ascii="Times New Roman" w:hAnsi="Times New Roman" w:eastAsia="仿宋"/>
          <w:sz w:val="32"/>
          <w:szCs w:val="32"/>
        </w:rPr>
        <w:t>）上述材料经本所审核无异议后，按照</w:t>
      </w:r>
      <w:r>
        <w:rPr>
          <w:rFonts w:hint="eastAsia" w:ascii="Times New Roman" w:hAnsi="Times New Roman" w:eastAsia="仿宋"/>
          <w:sz w:val="32"/>
          <w:szCs w:val="32"/>
        </w:rPr>
        <w:t>本所</w:t>
      </w:r>
      <w:r>
        <w:rPr>
          <w:rFonts w:ascii="Times New Roman" w:hAnsi="Times New Roman" w:eastAsia="仿宋"/>
          <w:sz w:val="32"/>
          <w:szCs w:val="32"/>
        </w:rPr>
        <w:t>《证券代码、证券简称编制管理办法》确定现金选择权简称与代码，创业板股票认沽权证代码区间为338001至339999，权证简称</w:t>
      </w:r>
      <w:r>
        <w:rPr>
          <w:rFonts w:hint="eastAsia" w:ascii="Times New Roman" w:hAnsi="Times New Roman" w:eastAsia="仿宋"/>
          <w:sz w:val="32"/>
          <w:szCs w:val="32"/>
        </w:rPr>
        <w:t>汉字</w:t>
      </w:r>
      <w:r>
        <w:rPr>
          <w:rFonts w:ascii="Times New Roman" w:hAnsi="Times New Roman" w:eastAsia="仿宋"/>
          <w:sz w:val="32"/>
          <w:szCs w:val="32"/>
        </w:rPr>
        <w:t>字符取自其标的证券简称，</w:t>
      </w:r>
      <w:r>
        <w:rPr>
          <w:rFonts w:hint="eastAsia" w:ascii="Times New Roman" w:hAnsi="Times New Roman" w:eastAsia="仿宋"/>
          <w:sz w:val="32"/>
          <w:szCs w:val="32"/>
        </w:rPr>
        <w:t>汉字后</w:t>
      </w:r>
      <w:r>
        <w:rPr>
          <w:rFonts w:ascii="Times New Roman" w:hAnsi="Times New Roman" w:eastAsia="仿宋"/>
          <w:sz w:val="32"/>
          <w:szCs w:val="32"/>
        </w:rPr>
        <w:t>第</w:t>
      </w:r>
      <w:r>
        <w:rPr>
          <w:rFonts w:hint="eastAsia" w:ascii="Times New Roman" w:hAnsi="Times New Roman" w:eastAsia="仿宋"/>
          <w:sz w:val="32"/>
          <w:szCs w:val="32"/>
        </w:rPr>
        <w:t>一</w:t>
      </w:r>
      <w:r>
        <w:rPr>
          <w:rFonts w:ascii="Times New Roman" w:hAnsi="Times New Roman" w:eastAsia="仿宋"/>
          <w:sz w:val="32"/>
          <w:szCs w:val="32"/>
        </w:rPr>
        <w:t>至</w:t>
      </w:r>
      <w:r>
        <w:rPr>
          <w:rFonts w:hint="eastAsia" w:ascii="Times New Roman" w:hAnsi="Times New Roman" w:eastAsia="仿宋"/>
          <w:sz w:val="32"/>
          <w:szCs w:val="32"/>
        </w:rPr>
        <w:t>二</w:t>
      </w:r>
      <w:r>
        <w:rPr>
          <w:rFonts w:ascii="Times New Roman" w:hAnsi="Times New Roman" w:eastAsia="仿宋"/>
          <w:sz w:val="32"/>
          <w:szCs w:val="32"/>
        </w:rPr>
        <w:t>位字符为发行人编码，第</w:t>
      </w:r>
      <w:r>
        <w:rPr>
          <w:rFonts w:hint="eastAsia" w:ascii="Times New Roman" w:hAnsi="Times New Roman" w:eastAsia="仿宋"/>
          <w:sz w:val="32"/>
          <w:szCs w:val="32"/>
        </w:rPr>
        <w:t>三</w:t>
      </w:r>
      <w:r>
        <w:rPr>
          <w:rFonts w:ascii="Times New Roman" w:hAnsi="Times New Roman" w:eastAsia="仿宋"/>
          <w:sz w:val="32"/>
          <w:szCs w:val="32"/>
        </w:rPr>
        <w:t>位字符为权证类别(P—认沽权证)，最后一位字符为同一发行人对同一标的证券发行权证的发行批次，取值为[0,9]，[A,Z]，[a,z]。</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（十</w:t>
      </w:r>
      <w:r>
        <w:rPr>
          <w:rFonts w:hint="eastAsia" w:ascii="Times New Roman" w:hAnsi="Times New Roman" w:eastAsia="仿宋"/>
          <w:sz w:val="32"/>
          <w:szCs w:val="32"/>
        </w:rPr>
        <w:t>二</w:t>
      </w:r>
      <w:r>
        <w:rPr>
          <w:rFonts w:ascii="Times New Roman" w:hAnsi="Times New Roman" w:eastAsia="仿宋"/>
          <w:sz w:val="32"/>
          <w:szCs w:val="32"/>
        </w:rPr>
        <w:t>）</w:t>
      </w:r>
      <w:r>
        <w:rPr>
          <w:rFonts w:hint="eastAsia" w:ascii="Times New Roman" w:hAnsi="Times New Roman" w:eastAsia="仿宋"/>
          <w:sz w:val="32"/>
          <w:szCs w:val="32"/>
        </w:rPr>
        <w:t>上市公司应当最迟在披露“现金选择权行权公告”的同时披露“现金选择权派发公告”</w:t>
      </w:r>
      <w:r>
        <w:rPr>
          <w:rFonts w:ascii="Times New Roman" w:hAnsi="Times New Roman" w:eastAsia="仿宋"/>
          <w:sz w:val="32"/>
          <w:szCs w:val="32"/>
        </w:rPr>
        <w:t>，现金选择权派发公告内容至少包括：</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1．</w:t>
      </w:r>
      <w:r>
        <w:rPr>
          <w:rFonts w:hint="eastAsia" w:ascii="Times New Roman" w:hAnsi="Times New Roman" w:eastAsia="仿宋"/>
          <w:kern w:val="0"/>
          <w:sz w:val="32"/>
          <w:szCs w:val="32"/>
        </w:rPr>
        <w:t>行使</w:t>
      </w:r>
      <w:r>
        <w:rPr>
          <w:rFonts w:ascii="Times New Roman" w:hAnsi="Times New Roman" w:eastAsia="仿宋"/>
          <w:kern w:val="0"/>
          <w:sz w:val="32"/>
          <w:szCs w:val="32"/>
        </w:rPr>
        <w:t>现金选择权的A股股权登记日</w:t>
      </w:r>
      <w:r>
        <w:rPr>
          <w:rFonts w:hint="eastAsia" w:ascii="Times New Roman" w:hAnsi="Times New Roman" w:eastAsia="仿宋"/>
          <w:kern w:val="0"/>
          <w:sz w:val="32"/>
          <w:szCs w:val="32"/>
        </w:rPr>
        <w:t>（如有）</w:t>
      </w:r>
      <w:r>
        <w:rPr>
          <w:rFonts w:ascii="Times New Roman" w:hAnsi="Times New Roman" w:eastAsia="仿宋"/>
          <w:kern w:val="0"/>
          <w:sz w:val="32"/>
          <w:szCs w:val="32"/>
        </w:rPr>
        <w:t>；</w:t>
      </w:r>
    </w:p>
    <w:p>
      <w:pPr>
        <w:spacing w:line="560" w:lineRule="exact"/>
        <w:ind w:firstLine="640" w:firstLineChars="200"/>
        <w:rPr>
          <w:rFonts w:ascii="Times New Roman" w:hAnsi="Times New Roman" w:eastAsia="仿宋"/>
          <w:kern w:val="0"/>
          <w:sz w:val="32"/>
          <w:szCs w:val="32"/>
        </w:rPr>
      </w:pPr>
      <w:r>
        <w:rPr>
          <w:rFonts w:ascii="Times New Roman" w:hAnsi="Times New Roman" w:eastAsia="仿宋"/>
          <w:kern w:val="0"/>
          <w:sz w:val="32"/>
          <w:szCs w:val="32"/>
        </w:rPr>
        <w:t>2．现金选择权提供方名称及履约能力；</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3．</w:t>
      </w:r>
      <w:r>
        <w:rPr>
          <w:rFonts w:ascii="Times New Roman" w:hAnsi="Times New Roman" w:eastAsia="仿宋"/>
          <w:sz w:val="32"/>
          <w:szCs w:val="32"/>
        </w:rPr>
        <w:t>行使现金选择权需满足的条件；</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4．</w:t>
      </w:r>
      <w:r>
        <w:rPr>
          <w:rFonts w:ascii="Times New Roman" w:hAnsi="Times New Roman" w:eastAsia="仿宋"/>
          <w:sz w:val="32"/>
          <w:szCs w:val="32"/>
        </w:rPr>
        <w:t>现金选择权简称和代码；</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5．</w:t>
      </w:r>
      <w:r>
        <w:rPr>
          <w:rFonts w:ascii="Times New Roman" w:hAnsi="Times New Roman" w:eastAsia="仿宋"/>
          <w:sz w:val="32"/>
          <w:szCs w:val="32"/>
        </w:rPr>
        <w:t>现金选择权的派发方式；</w:t>
      </w:r>
    </w:p>
    <w:p>
      <w:pPr>
        <w:spacing w:line="560" w:lineRule="exact"/>
        <w:ind w:firstLine="640" w:firstLineChars="200"/>
        <w:rPr>
          <w:rFonts w:ascii="Times New Roman" w:hAnsi="Times New Roman" w:eastAsia="仿宋"/>
          <w:kern w:val="0"/>
          <w:sz w:val="32"/>
          <w:szCs w:val="32"/>
        </w:rPr>
      </w:pPr>
      <w:r>
        <w:rPr>
          <w:rFonts w:ascii="Times New Roman" w:hAnsi="Times New Roman" w:eastAsia="仿宋"/>
          <w:kern w:val="0"/>
          <w:sz w:val="32"/>
          <w:szCs w:val="32"/>
        </w:rPr>
        <w:t>6．现金选择权的上市安排、</w:t>
      </w:r>
      <w:r>
        <w:rPr>
          <w:rFonts w:ascii="Times New Roman" w:hAnsi="Times New Roman" w:eastAsia="仿宋"/>
          <w:sz w:val="32"/>
          <w:szCs w:val="32"/>
        </w:rPr>
        <w:t>行权比例、行权价格</w:t>
      </w:r>
      <w:r>
        <w:rPr>
          <w:rFonts w:ascii="Times New Roman" w:hAnsi="Times New Roman" w:eastAsia="仿宋"/>
          <w:kern w:val="0"/>
          <w:sz w:val="32"/>
          <w:szCs w:val="32"/>
        </w:rPr>
        <w:t>；</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7．</w:t>
      </w:r>
      <w:r>
        <w:rPr>
          <w:rFonts w:ascii="Times New Roman" w:hAnsi="Times New Roman" w:eastAsia="仿宋"/>
          <w:sz w:val="32"/>
          <w:szCs w:val="32"/>
        </w:rPr>
        <w:t>本所要求的其他内容。</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（十</w:t>
      </w:r>
      <w:r>
        <w:rPr>
          <w:rFonts w:hint="eastAsia" w:ascii="Times New Roman" w:hAnsi="Times New Roman" w:eastAsia="仿宋"/>
          <w:sz w:val="32"/>
          <w:szCs w:val="32"/>
        </w:rPr>
        <w:t>三</w:t>
      </w:r>
      <w:r>
        <w:rPr>
          <w:rFonts w:ascii="Times New Roman" w:hAnsi="Times New Roman" w:eastAsia="仿宋"/>
          <w:sz w:val="32"/>
          <w:szCs w:val="32"/>
        </w:rPr>
        <w:t>）上市公司应当及时向结算公司提交派发申请材料，并向本所及时报备结算公司出具的《现金选择权登记确认书》。</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（十</w:t>
      </w:r>
      <w:r>
        <w:rPr>
          <w:rFonts w:hint="eastAsia" w:ascii="Times New Roman" w:hAnsi="Times New Roman" w:eastAsia="仿宋"/>
          <w:sz w:val="32"/>
          <w:szCs w:val="32"/>
        </w:rPr>
        <w:t>四</w:t>
      </w:r>
      <w:r>
        <w:rPr>
          <w:rFonts w:ascii="Times New Roman" w:hAnsi="Times New Roman" w:eastAsia="仿宋"/>
          <w:sz w:val="32"/>
          <w:szCs w:val="32"/>
        </w:rPr>
        <w:t>）现金选择权派发登记完毕至现金选择权实施完成的期间，如遇上市公司权益分派等导致现金选择权行权比例或者行权价格需要调整的，上市公司应向本所申请办理相关事宜。为保证上市公司现金选择权的顺利实施，上市公司应尽量避免在前述期间实施权益分派等事项。</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（十五）上市公司向股东提供的现金选择权申报期限不得少于五个交易日，并不得超过十个交易日。</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（十</w:t>
      </w:r>
      <w:r>
        <w:rPr>
          <w:rFonts w:hint="eastAsia" w:ascii="Times New Roman" w:hAnsi="Times New Roman" w:eastAsia="仿宋"/>
          <w:sz w:val="32"/>
          <w:szCs w:val="32"/>
        </w:rPr>
        <w:t>六</w:t>
      </w:r>
      <w:r>
        <w:rPr>
          <w:rFonts w:ascii="Times New Roman" w:hAnsi="Times New Roman" w:eastAsia="仿宋"/>
          <w:sz w:val="32"/>
          <w:szCs w:val="32"/>
        </w:rPr>
        <w:t>）在进入现金选择权申报期前，上市公司应在</w:t>
      </w:r>
      <w:r>
        <w:rPr>
          <w:rFonts w:hint="eastAsia" w:ascii="Times New Roman" w:hAnsi="Times New Roman" w:eastAsia="仿宋"/>
          <w:sz w:val="32"/>
          <w:szCs w:val="32"/>
        </w:rPr>
        <w:t>披露“现金选择权行权公告”前五个交易日办理现金选择权行权准备事宜</w:t>
      </w:r>
      <w:r>
        <w:rPr>
          <w:rFonts w:ascii="Times New Roman" w:hAnsi="Times New Roman" w:eastAsia="仿宋"/>
          <w:sz w:val="32"/>
          <w:szCs w:val="32"/>
        </w:rPr>
        <w:t>，并向本所提交以下材料：</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1．</w:t>
      </w:r>
      <w:r>
        <w:rPr>
          <w:rFonts w:ascii="Times New Roman" w:hAnsi="Times New Roman" w:eastAsia="仿宋"/>
          <w:sz w:val="32"/>
          <w:szCs w:val="32"/>
        </w:rPr>
        <w:t>上市公司现金选择权行权申请表（见附件2）；</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kern w:val="0"/>
          <w:sz w:val="32"/>
          <w:szCs w:val="32"/>
        </w:rPr>
        <w:t>2</w:t>
      </w:r>
      <w:r>
        <w:rPr>
          <w:rFonts w:ascii="Times New Roman" w:hAnsi="Times New Roman" w:eastAsia="仿宋"/>
          <w:kern w:val="0"/>
          <w:sz w:val="32"/>
          <w:szCs w:val="32"/>
        </w:rPr>
        <w:t>．</w:t>
      </w:r>
      <w:r>
        <w:rPr>
          <w:rFonts w:ascii="Times New Roman" w:hAnsi="Times New Roman" w:eastAsia="仿宋"/>
          <w:sz w:val="32"/>
          <w:szCs w:val="32"/>
        </w:rPr>
        <w:t>现金选择权行权公告文稿；</w:t>
      </w:r>
    </w:p>
    <w:p>
      <w:pPr>
        <w:spacing w:line="560" w:lineRule="exact"/>
        <w:ind w:firstLine="640" w:firstLineChars="200"/>
        <w:rPr>
          <w:rFonts w:ascii="Times New Roman" w:hAnsi="Times New Roman" w:eastAsia="仿宋"/>
          <w:sz w:val="32"/>
          <w:szCs w:val="32"/>
        </w:rPr>
      </w:pPr>
      <w:r>
        <w:rPr>
          <w:rFonts w:hint="eastAsia" w:ascii="Times New Roman" w:hAnsi="Times New Roman" w:eastAsia="仿宋"/>
          <w:kern w:val="0"/>
          <w:sz w:val="32"/>
          <w:szCs w:val="32"/>
        </w:rPr>
        <w:t>3</w:t>
      </w:r>
      <w:r>
        <w:rPr>
          <w:rFonts w:ascii="Times New Roman" w:hAnsi="Times New Roman" w:eastAsia="仿宋"/>
          <w:kern w:val="0"/>
          <w:sz w:val="32"/>
          <w:szCs w:val="32"/>
        </w:rPr>
        <w:t>．</w:t>
      </w:r>
      <w:r>
        <w:rPr>
          <w:rFonts w:ascii="Times New Roman" w:hAnsi="Times New Roman" w:eastAsia="仿宋"/>
          <w:sz w:val="32"/>
          <w:szCs w:val="32"/>
        </w:rPr>
        <w:t>本所要求的其他材料。</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上市公司采用交易系统申报方式的，</w:t>
      </w:r>
      <w:r>
        <w:rPr>
          <w:rFonts w:hint="eastAsia" w:ascii="Times New Roman" w:hAnsi="Times New Roman" w:eastAsia="仿宋"/>
          <w:sz w:val="32"/>
          <w:szCs w:val="32"/>
        </w:rPr>
        <w:t>还应当提供结算公司出具的现金选择权登记证明文件，并</w:t>
      </w:r>
      <w:r>
        <w:rPr>
          <w:rFonts w:ascii="Times New Roman" w:hAnsi="Times New Roman" w:eastAsia="仿宋"/>
          <w:sz w:val="32"/>
          <w:szCs w:val="32"/>
        </w:rPr>
        <w:t>在</w:t>
      </w:r>
      <w:r>
        <w:rPr>
          <w:rFonts w:hint="eastAsia" w:ascii="Times New Roman" w:hAnsi="Times New Roman" w:eastAsia="仿宋"/>
          <w:sz w:val="32"/>
          <w:szCs w:val="32"/>
        </w:rPr>
        <w:t>披露</w:t>
      </w:r>
      <w:r>
        <w:rPr>
          <w:rFonts w:ascii="Times New Roman" w:hAnsi="Times New Roman" w:eastAsia="仿宋"/>
          <w:sz w:val="32"/>
          <w:szCs w:val="32"/>
        </w:rPr>
        <w:t>公告前向结算公司申请办理初始行权履约保证金等行权准备事宜。</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（十</w:t>
      </w:r>
      <w:r>
        <w:rPr>
          <w:rFonts w:hint="eastAsia" w:ascii="Times New Roman" w:hAnsi="Times New Roman" w:eastAsia="仿宋"/>
          <w:sz w:val="32"/>
          <w:szCs w:val="32"/>
        </w:rPr>
        <w:t>七</w:t>
      </w:r>
      <w:r>
        <w:rPr>
          <w:rFonts w:ascii="Times New Roman" w:hAnsi="Times New Roman" w:eastAsia="仿宋"/>
          <w:sz w:val="32"/>
          <w:szCs w:val="32"/>
        </w:rPr>
        <w:t>）前述材料经本所审核无异议后，上市公司应当在现金选择权申报首日的</w:t>
      </w:r>
      <w:r>
        <w:rPr>
          <w:rFonts w:hint="eastAsia" w:ascii="Times New Roman" w:hAnsi="Times New Roman" w:eastAsia="仿宋"/>
          <w:sz w:val="32"/>
          <w:szCs w:val="32"/>
        </w:rPr>
        <w:t>两</w:t>
      </w:r>
      <w:r>
        <w:rPr>
          <w:rFonts w:ascii="Times New Roman" w:hAnsi="Times New Roman" w:eastAsia="仿宋"/>
          <w:sz w:val="32"/>
          <w:szCs w:val="32"/>
        </w:rPr>
        <w:t>个交易日前</w:t>
      </w:r>
      <w:r>
        <w:rPr>
          <w:rFonts w:hint="eastAsia" w:ascii="Times New Roman" w:hAnsi="Times New Roman" w:eastAsia="仿宋"/>
          <w:sz w:val="32"/>
          <w:szCs w:val="32"/>
        </w:rPr>
        <w:t>披露</w:t>
      </w:r>
      <w:r>
        <w:rPr>
          <w:rFonts w:ascii="Times New Roman" w:hAnsi="Times New Roman" w:eastAsia="仿宋"/>
          <w:sz w:val="32"/>
          <w:szCs w:val="32"/>
        </w:rPr>
        <w:t>现金选择权行权公告。上市公司采用手工申报方式的，选择“现金选择权行权公告（通过手工方式申报）”公告类别并</w:t>
      </w:r>
      <w:r>
        <w:rPr>
          <w:rFonts w:hint="eastAsia" w:ascii="Times New Roman" w:hAnsi="Times New Roman" w:eastAsia="仿宋"/>
          <w:sz w:val="32"/>
          <w:szCs w:val="32"/>
        </w:rPr>
        <w:t>披露</w:t>
      </w:r>
      <w:r>
        <w:rPr>
          <w:rFonts w:ascii="Times New Roman" w:hAnsi="Times New Roman" w:eastAsia="仿宋"/>
          <w:sz w:val="32"/>
          <w:szCs w:val="32"/>
        </w:rPr>
        <w:t>；上市公司采用交易系统申报方式的，选择“现金选择权行权公告（通过交易系统申报）”公告类别并</w:t>
      </w:r>
      <w:r>
        <w:rPr>
          <w:rFonts w:hint="eastAsia" w:ascii="Times New Roman" w:hAnsi="Times New Roman" w:eastAsia="仿宋"/>
          <w:sz w:val="32"/>
          <w:szCs w:val="32"/>
        </w:rPr>
        <w:t>披露</w:t>
      </w:r>
      <w:r>
        <w:rPr>
          <w:rFonts w:ascii="Times New Roman" w:hAnsi="Times New Roman" w:eastAsia="仿宋"/>
          <w:sz w:val="32"/>
          <w:szCs w:val="32"/>
        </w:rPr>
        <w:t xml:space="preserve">。 </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上市公司现金选择权行权公告应当至少包括以下内容：</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1．</w:t>
      </w:r>
      <w:r>
        <w:rPr>
          <w:rFonts w:ascii="Times New Roman" w:hAnsi="Times New Roman" w:eastAsia="仿宋"/>
          <w:sz w:val="32"/>
          <w:szCs w:val="32"/>
        </w:rPr>
        <w:t>现金选择权相关方案简介，包括有权行使现金选择权的股东要求、现金选择权约定价格、提供现金选择权的第三方等情况说明；</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2．</w:t>
      </w:r>
      <w:r>
        <w:rPr>
          <w:rFonts w:ascii="Times New Roman" w:hAnsi="Times New Roman" w:eastAsia="仿宋"/>
          <w:sz w:val="32"/>
          <w:szCs w:val="32"/>
        </w:rPr>
        <w:t>现金选择权申报期间；</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3．</w:t>
      </w:r>
      <w:r>
        <w:rPr>
          <w:rFonts w:ascii="Times New Roman" w:hAnsi="Times New Roman" w:eastAsia="仿宋"/>
          <w:sz w:val="32"/>
          <w:szCs w:val="32"/>
        </w:rPr>
        <w:t>现金选择权申报方式及具体申报要求；</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4．</w:t>
      </w:r>
      <w:r>
        <w:rPr>
          <w:rFonts w:ascii="Times New Roman" w:hAnsi="Times New Roman" w:eastAsia="仿宋"/>
          <w:sz w:val="32"/>
          <w:szCs w:val="32"/>
        </w:rPr>
        <w:t>到期后未行权权利的处置；</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5．</w:t>
      </w:r>
      <w:r>
        <w:rPr>
          <w:rFonts w:ascii="Times New Roman" w:hAnsi="Times New Roman" w:eastAsia="仿宋"/>
          <w:sz w:val="32"/>
          <w:szCs w:val="32"/>
        </w:rPr>
        <w:t>本所要求的其他内容。</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（十</w:t>
      </w:r>
      <w:r>
        <w:rPr>
          <w:rFonts w:hint="eastAsia" w:ascii="Times New Roman" w:hAnsi="Times New Roman" w:eastAsia="仿宋"/>
          <w:sz w:val="32"/>
          <w:szCs w:val="32"/>
        </w:rPr>
        <w:t>八</w:t>
      </w:r>
      <w:r>
        <w:rPr>
          <w:rFonts w:ascii="Times New Roman" w:hAnsi="Times New Roman" w:eastAsia="仿宋"/>
          <w:sz w:val="32"/>
          <w:szCs w:val="32"/>
        </w:rPr>
        <w:t>）手工方式申报期间相关事项</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1．</w:t>
      </w:r>
      <w:r>
        <w:rPr>
          <w:rFonts w:ascii="Times New Roman" w:hAnsi="Times New Roman" w:eastAsia="仿宋"/>
          <w:sz w:val="32"/>
          <w:szCs w:val="32"/>
        </w:rPr>
        <w:t>现金选择权手工申报期间，有权行使现金选择权的股东可以通过传真、邮寄等方式向上市公司提交行使现金选择权的申请及相关资料。</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现金选择权行权申请应当包括证券账户号码、证券代码、托管单元编码、行使现金选择权份数等内容。</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现金选择权行权申请在现金选择权手工申报期间均可以撤销。</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2</w:t>
      </w:r>
      <w:r>
        <w:rPr>
          <w:rFonts w:ascii="Times New Roman" w:hAnsi="Times New Roman" w:eastAsia="仿宋"/>
          <w:kern w:val="0"/>
          <w:sz w:val="32"/>
          <w:szCs w:val="32"/>
        </w:rPr>
        <w:t>．</w:t>
      </w:r>
      <w:r>
        <w:rPr>
          <w:rFonts w:ascii="Times New Roman" w:hAnsi="Times New Roman" w:eastAsia="仿宋"/>
          <w:sz w:val="32"/>
          <w:szCs w:val="32"/>
        </w:rPr>
        <w:t>上市公司应当在现金选择权申报首日和截止日</w:t>
      </w:r>
      <w:r>
        <w:rPr>
          <w:rFonts w:hint="eastAsia" w:ascii="Times New Roman" w:hAnsi="Times New Roman" w:eastAsia="仿宋"/>
          <w:sz w:val="32"/>
          <w:szCs w:val="32"/>
        </w:rPr>
        <w:t>披露</w:t>
      </w:r>
      <w:r>
        <w:rPr>
          <w:rFonts w:ascii="Times New Roman" w:hAnsi="Times New Roman" w:eastAsia="仿宋"/>
          <w:sz w:val="32"/>
          <w:szCs w:val="32"/>
        </w:rPr>
        <w:t>手工方式行使现金选择权行权的提示性公告，申报期限超过五个交易日的，上市公司还应当在每周的首个交易日</w:t>
      </w:r>
      <w:r>
        <w:rPr>
          <w:rFonts w:hint="eastAsia" w:ascii="Times New Roman" w:hAnsi="Times New Roman" w:eastAsia="仿宋"/>
          <w:sz w:val="32"/>
          <w:szCs w:val="32"/>
        </w:rPr>
        <w:t>披露</w:t>
      </w:r>
      <w:r>
        <w:rPr>
          <w:rFonts w:ascii="Times New Roman" w:hAnsi="Times New Roman" w:eastAsia="仿宋"/>
          <w:sz w:val="32"/>
          <w:szCs w:val="32"/>
        </w:rPr>
        <w:t>提示性公告。提示性公告应当包括以下内容：</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（1）经保荐</w:t>
      </w:r>
      <w:r>
        <w:rPr>
          <w:rFonts w:hint="eastAsia" w:ascii="Times New Roman" w:hAnsi="Times New Roman" w:eastAsia="仿宋"/>
          <w:sz w:val="32"/>
          <w:szCs w:val="32"/>
        </w:rPr>
        <w:t>人</w:t>
      </w:r>
      <w:r>
        <w:rPr>
          <w:rFonts w:ascii="Times New Roman" w:hAnsi="Times New Roman" w:eastAsia="仿宋"/>
          <w:sz w:val="32"/>
          <w:szCs w:val="32"/>
        </w:rPr>
        <w:t>或者财务顾问确认的按照前一交易日标的股票收盘价计算的现金选择权参考价值；</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（2）现金选择权申报期限；</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（3）现金选择权申报方式及具体申报要求；</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（4）本所要求的其他内容。</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（十</w:t>
      </w:r>
      <w:r>
        <w:rPr>
          <w:rFonts w:hint="eastAsia" w:ascii="Times New Roman" w:hAnsi="Times New Roman" w:eastAsia="仿宋"/>
          <w:sz w:val="32"/>
          <w:szCs w:val="32"/>
        </w:rPr>
        <w:t>九</w:t>
      </w:r>
      <w:r>
        <w:rPr>
          <w:rFonts w:ascii="Times New Roman" w:hAnsi="Times New Roman" w:eastAsia="仿宋"/>
          <w:sz w:val="32"/>
          <w:szCs w:val="32"/>
        </w:rPr>
        <w:t>）交易系统方式申报期间相关事项</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1．</w:t>
      </w:r>
      <w:r>
        <w:rPr>
          <w:rFonts w:ascii="Times New Roman" w:hAnsi="Times New Roman" w:eastAsia="仿宋"/>
          <w:sz w:val="32"/>
          <w:szCs w:val="32"/>
        </w:rPr>
        <w:t>自现金选择权交易系统方式申报首日至截止日，上市公司应当向本所申请通过即时行情揭示按照前一交易日标的股票收盘价计算的现金选择权参考价值，并</w:t>
      </w:r>
      <w:r>
        <w:rPr>
          <w:rFonts w:hint="eastAsia" w:ascii="Times New Roman" w:hAnsi="Times New Roman" w:eastAsia="仿宋"/>
          <w:sz w:val="32"/>
          <w:szCs w:val="32"/>
        </w:rPr>
        <w:t>披露</w:t>
      </w:r>
      <w:r>
        <w:rPr>
          <w:rFonts w:ascii="Times New Roman" w:hAnsi="Times New Roman" w:eastAsia="仿宋"/>
          <w:sz w:val="32"/>
          <w:szCs w:val="32"/>
        </w:rPr>
        <w:t>现金选择权行权提示性公告，提示性公告应当至少包括以下内容：</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（1）经保荐</w:t>
      </w:r>
      <w:r>
        <w:rPr>
          <w:rFonts w:hint="eastAsia" w:ascii="Times New Roman" w:hAnsi="Times New Roman" w:eastAsia="仿宋"/>
          <w:sz w:val="32"/>
          <w:szCs w:val="32"/>
        </w:rPr>
        <w:t>人</w:t>
      </w:r>
      <w:r>
        <w:rPr>
          <w:rFonts w:ascii="Times New Roman" w:hAnsi="Times New Roman" w:eastAsia="仿宋"/>
          <w:sz w:val="32"/>
          <w:szCs w:val="32"/>
        </w:rPr>
        <w:t>或者财务顾问确认的按照前一交易日标的股票收盘价计算的现金选择权参考价值及其估值情况；</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（2）现金选择权申报期限；</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（3）现金选择权申报方式及具体申报要求；</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（4）本所要求的其他内容。</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2．</w:t>
      </w:r>
      <w:r>
        <w:rPr>
          <w:rFonts w:ascii="Times New Roman" w:hAnsi="Times New Roman" w:eastAsia="仿宋"/>
          <w:sz w:val="32"/>
          <w:szCs w:val="32"/>
        </w:rPr>
        <w:t>按照前一交易日标的股票收盘价计算的现金选择权参考价值低于0</w:t>
      </w:r>
      <w:r>
        <w:rPr>
          <w:rFonts w:hint="eastAsia" w:ascii="Times New Roman" w:hAnsi="Times New Roman" w:eastAsia="仿宋"/>
          <w:sz w:val="32"/>
          <w:szCs w:val="32"/>
        </w:rPr>
        <w:t>.</w:t>
      </w:r>
      <w:r>
        <w:rPr>
          <w:rFonts w:ascii="Times New Roman" w:hAnsi="Times New Roman" w:eastAsia="仿宋"/>
          <w:sz w:val="32"/>
          <w:szCs w:val="32"/>
        </w:rPr>
        <w:t>001元的，即时行情统一按照0</w:t>
      </w:r>
      <w:r>
        <w:rPr>
          <w:rFonts w:hint="eastAsia" w:ascii="Times New Roman" w:hAnsi="Times New Roman" w:eastAsia="仿宋"/>
          <w:sz w:val="32"/>
          <w:szCs w:val="32"/>
        </w:rPr>
        <w:t>.</w:t>
      </w:r>
      <w:r>
        <w:rPr>
          <w:rFonts w:ascii="Times New Roman" w:hAnsi="Times New Roman" w:eastAsia="仿宋"/>
          <w:sz w:val="32"/>
          <w:szCs w:val="32"/>
        </w:rPr>
        <w:t>001元揭示。</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3．</w:t>
      </w:r>
      <w:r>
        <w:rPr>
          <w:rFonts w:ascii="Times New Roman" w:hAnsi="Times New Roman" w:eastAsia="仿宋"/>
          <w:sz w:val="32"/>
          <w:szCs w:val="32"/>
        </w:rPr>
        <w:t>在现金选择权交易系统申报期间，有权行使现金选择权的股东应当通过其股份托管的会员单位提交行权申报指令。</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行权申报指令在当日竞价交易时间内可以撤销。</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行权申报指令应当包括证券账户号码、现金选择权代码、交易单元代码、营业部识别码、行使现金选择权份数等内容，对于业务类别、现金选择权编码错误的现金选择权指令，本所将不予确认。主要交易要素申报要求如下：</w:t>
      </w:r>
    </w:p>
    <w:p>
      <w:pPr>
        <w:numPr>
          <w:ilvl w:val="0"/>
          <w:numId w:val="7"/>
        </w:numPr>
        <w:spacing w:line="560" w:lineRule="exact"/>
        <w:rPr>
          <w:rFonts w:ascii="Times New Roman" w:hAnsi="Times New Roman" w:eastAsia="仿宋"/>
          <w:sz w:val="32"/>
          <w:szCs w:val="32"/>
        </w:rPr>
      </w:pPr>
      <w:r>
        <w:rPr>
          <w:rFonts w:ascii="Times New Roman" w:hAnsi="Times New Roman" w:eastAsia="仿宋"/>
          <w:sz w:val="32"/>
          <w:szCs w:val="32"/>
        </w:rPr>
        <w:t>预受现金选择权时</w:t>
      </w:r>
    </w:p>
    <w:tbl>
      <w:tblPr>
        <w:tblStyle w:val="56"/>
        <w:tblpPr w:leftFromText="180" w:rightFromText="180" w:vertAnchor="text" w:tblpX="828"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3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2" w:type="dxa"/>
          </w:tcPr>
          <w:p>
            <w:pPr>
              <w:spacing w:line="560" w:lineRule="exact"/>
              <w:rPr>
                <w:rFonts w:ascii="宋体" w:hAnsi="宋体"/>
                <w:bCs/>
                <w:kern w:val="0"/>
                <w:szCs w:val="21"/>
              </w:rPr>
            </w:pPr>
            <w:r>
              <w:rPr>
                <w:rFonts w:ascii="宋体" w:hAnsi="宋体"/>
                <w:bCs/>
                <w:kern w:val="0"/>
                <w:szCs w:val="21"/>
              </w:rPr>
              <w:t>证券代码</w:t>
            </w:r>
          </w:p>
        </w:tc>
        <w:tc>
          <w:tcPr>
            <w:tcW w:w="3928" w:type="dxa"/>
          </w:tcPr>
          <w:p>
            <w:pPr>
              <w:spacing w:line="560" w:lineRule="exact"/>
              <w:rPr>
                <w:rFonts w:ascii="宋体" w:hAnsi="宋体"/>
                <w:bCs/>
                <w:kern w:val="0"/>
                <w:szCs w:val="21"/>
              </w:rPr>
            </w:pPr>
            <w:r>
              <w:rPr>
                <w:rFonts w:ascii="宋体" w:hAnsi="宋体"/>
                <w:bCs/>
                <w:kern w:val="0"/>
                <w:szCs w:val="21"/>
              </w:rPr>
              <w:t>提供现金选择权的证券代码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2" w:type="dxa"/>
          </w:tcPr>
          <w:p>
            <w:pPr>
              <w:spacing w:line="560" w:lineRule="exact"/>
              <w:rPr>
                <w:rFonts w:ascii="宋体" w:hAnsi="宋体"/>
                <w:bCs/>
                <w:kern w:val="0"/>
                <w:szCs w:val="21"/>
              </w:rPr>
            </w:pPr>
            <w:r>
              <w:rPr>
                <w:rFonts w:ascii="宋体" w:hAnsi="宋体"/>
                <w:bCs/>
                <w:kern w:val="0"/>
                <w:szCs w:val="21"/>
              </w:rPr>
              <w:t>业务类别</w:t>
            </w:r>
          </w:p>
        </w:tc>
        <w:tc>
          <w:tcPr>
            <w:tcW w:w="3928" w:type="dxa"/>
          </w:tcPr>
          <w:p>
            <w:pPr>
              <w:spacing w:line="560" w:lineRule="exact"/>
              <w:rPr>
                <w:rFonts w:ascii="宋体" w:hAnsi="宋体"/>
                <w:bCs/>
                <w:kern w:val="0"/>
                <w:szCs w:val="21"/>
              </w:rPr>
            </w:pPr>
            <w:r>
              <w:rPr>
                <w:rFonts w:ascii="宋体" w:hAnsi="宋体"/>
                <w:bCs/>
                <w:kern w:val="0"/>
                <w:szCs w:val="21"/>
              </w:rPr>
              <w:t>预受要约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2" w:type="dxa"/>
          </w:tcPr>
          <w:p>
            <w:pPr>
              <w:spacing w:line="560" w:lineRule="exact"/>
              <w:rPr>
                <w:rFonts w:ascii="宋体" w:hAnsi="宋体"/>
                <w:bCs/>
                <w:kern w:val="0"/>
                <w:szCs w:val="21"/>
              </w:rPr>
            </w:pPr>
            <w:r>
              <w:rPr>
                <w:rFonts w:ascii="宋体" w:hAnsi="宋体"/>
                <w:bCs/>
                <w:kern w:val="0"/>
                <w:szCs w:val="21"/>
              </w:rPr>
              <w:t>委托数量</w:t>
            </w:r>
          </w:p>
        </w:tc>
        <w:tc>
          <w:tcPr>
            <w:tcW w:w="3928" w:type="dxa"/>
          </w:tcPr>
          <w:p>
            <w:pPr>
              <w:spacing w:line="560" w:lineRule="exact"/>
              <w:rPr>
                <w:rFonts w:ascii="宋体" w:hAnsi="宋体"/>
                <w:bCs/>
                <w:kern w:val="0"/>
                <w:szCs w:val="21"/>
              </w:rPr>
            </w:pPr>
            <w:r>
              <w:rPr>
                <w:rFonts w:ascii="宋体" w:hAnsi="宋体"/>
                <w:bCs/>
                <w:kern w:val="0"/>
                <w:szCs w:val="21"/>
              </w:rPr>
              <w:t>预受现金选择权的股份数量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2" w:type="dxa"/>
          </w:tcPr>
          <w:p>
            <w:pPr>
              <w:spacing w:line="560" w:lineRule="exact"/>
              <w:rPr>
                <w:rFonts w:ascii="宋体" w:hAnsi="宋体"/>
                <w:bCs/>
                <w:kern w:val="0"/>
                <w:szCs w:val="21"/>
              </w:rPr>
            </w:pPr>
            <w:r>
              <w:rPr>
                <w:rFonts w:ascii="宋体" w:hAnsi="宋体"/>
                <w:bCs/>
                <w:kern w:val="0"/>
                <w:szCs w:val="21"/>
              </w:rPr>
              <w:t>委托价格</w:t>
            </w:r>
          </w:p>
        </w:tc>
        <w:tc>
          <w:tcPr>
            <w:tcW w:w="3928" w:type="dxa"/>
          </w:tcPr>
          <w:p>
            <w:pPr>
              <w:spacing w:line="560" w:lineRule="exact"/>
              <w:rPr>
                <w:rFonts w:ascii="宋体" w:hAnsi="宋体"/>
                <w:bCs/>
                <w:kern w:val="0"/>
                <w:szCs w:val="21"/>
              </w:rPr>
            </w:pPr>
            <w:r>
              <w:rPr>
                <w:rFonts w:ascii="宋体" w:hAnsi="宋体"/>
                <w:bCs/>
                <w:kern w:val="0"/>
                <w:szCs w:val="21"/>
              </w:rPr>
              <w:t>现金选择权编码</w:t>
            </w:r>
          </w:p>
        </w:tc>
      </w:tr>
    </w:tbl>
    <w:p>
      <w:pPr>
        <w:spacing w:line="560" w:lineRule="exact"/>
        <w:ind w:left="538"/>
        <w:rPr>
          <w:rFonts w:ascii="Times New Roman" w:hAnsi="Times New Roman" w:eastAsia="仿宋"/>
          <w:bCs/>
          <w:kern w:val="0"/>
          <w:sz w:val="24"/>
          <w:szCs w:val="24"/>
        </w:rPr>
      </w:pPr>
    </w:p>
    <w:p>
      <w:pPr>
        <w:numPr>
          <w:ilvl w:val="0"/>
          <w:numId w:val="7"/>
        </w:numPr>
        <w:spacing w:line="560" w:lineRule="exact"/>
        <w:rPr>
          <w:rFonts w:ascii="Times New Roman" w:hAnsi="Times New Roman" w:eastAsia="仿宋"/>
          <w:bCs/>
          <w:kern w:val="0"/>
          <w:sz w:val="24"/>
          <w:szCs w:val="24"/>
        </w:rPr>
      </w:pPr>
    </w:p>
    <w:p>
      <w:pPr>
        <w:numPr>
          <w:ilvl w:val="0"/>
          <w:numId w:val="7"/>
        </w:numPr>
        <w:spacing w:line="560" w:lineRule="exact"/>
        <w:rPr>
          <w:rFonts w:ascii="Times New Roman" w:hAnsi="Times New Roman" w:eastAsia="仿宋"/>
          <w:bCs/>
          <w:kern w:val="0"/>
          <w:sz w:val="24"/>
          <w:szCs w:val="24"/>
        </w:rPr>
      </w:pPr>
    </w:p>
    <w:p>
      <w:pPr>
        <w:numPr>
          <w:ilvl w:val="0"/>
          <w:numId w:val="7"/>
        </w:numPr>
        <w:spacing w:line="560" w:lineRule="exact"/>
        <w:rPr>
          <w:rFonts w:ascii="Times New Roman" w:hAnsi="Times New Roman" w:eastAsia="仿宋"/>
          <w:bCs/>
          <w:kern w:val="0"/>
          <w:sz w:val="24"/>
          <w:szCs w:val="24"/>
        </w:rPr>
      </w:pPr>
    </w:p>
    <w:p>
      <w:pPr>
        <w:numPr>
          <w:ilvl w:val="0"/>
          <w:numId w:val="7"/>
        </w:numPr>
        <w:spacing w:line="560" w:lineRule="exact"/>
        <w:rPr>
          <w:rFonts w:ascii="Times New Roman" w:hAnsi="Times New Roman" w:eastAsia="仿宋"/>
          <w:bCs/>
          <w:kern w:val="0"/>
          <w:sz w:val="24"/>
          <w:szCs w:val="24"/>
        </w:rPr>
      </w:pPr>
    </w:p>
    <w:p>
      <w:pPr>
        <w:numPr>
          <w:ilvl w:val="0"/>
          <w:numId w:val="7"/>
        </w:numPr>
        <w:spacing w:line="560" w:lineRule="exact"/>
        <w:rPr>
          <w:rFonts w:ascii="Times New Roman" w:hAnsi="Times New Roman" w:eastAsia="仿宋"/>
          <w:sz w:val="32"/>
          <w:szCs w:val="32"/>
        </w:rPr>
      </w:pPr>
      <w:r>
        <w:rPr>
          <w:rFonts w:ascii="Times New Roman" w:hAnsi="Times New Roman" w:eastAsia="仿宋"/>
          <w:sz w:val="32"/>
          <w:szCs w:val="32"/>
        </w:rPr>
        <w:t>解除预受现金选择权时</w:t>
      </w:r>
    </w:p>
    <w:tbl>
      <w:tblPr>
        <w:tblStyle w:val="56"/>
        <w:tblpPr w:leftFromText="180" w:rightFromText="180" w:vertAnchor="text" w:tblpX="828"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3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dxa"/>
          </w:tcPr>
          <w:p>
            <w:pPr>
              <w:spacing w:line="560" w:lineRule="exact"/>
              <w:rPr>
                <w:rFonts w:ascii="宋体" w:hAnsi="宋体"/>
                <w:bCs/>
                <w:kern w:val="0"/>
                <w:szCs w:val="21"/>
              </w:rPr>
            </w:pPr>
            <w:r>
              <w:rPr>
                <w:rFonts w:ascii="宋体" w:hAnsi="宋体"/>
                <w:bCs/>
                <w:kern w:val="0"/>
                <w:szCs w:val="21"/>
              </w:rPr>
              <w:t>证券代码</w:t>
            </w:r>
          </w:p>
        </w:tc>
        <w:tc>
          <w:tcPr>
            <w:tcW w:w="3928" w:type="dxa"/>
          </w:tcPr>
          <w:p>
            <w:pPr>
              <w:spacing w:line="560" w:lineRule="exact"/>
              <w:rPr>
                <w:rFonts w:ascii="宋体" w:hAnsi="宋体"/>
                <w:bCs/>
                <w:kern w:val="0"/>
                <w:szCs w:val="21"/>
              </w:rPr>
            </w:pPr>
            <w:r>
              <w:rPr>
                <w:rFonts w:ascii="宋体" w:hAnsi="宋体"/>
                <w:bCs/>
                <w:kern w:val="0"/>
                <w:szCs w:val="21"/>
              </w:rPr>
              <w:t>提供现金选择权的证券代码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dxa"/>
          </w:tcPr>
          <w:p>
            <w:pPr>
              <w:spacing w:line="560" w:lineRule="exact"/>
              <w:rPr>
                <w:rFonts w:ascii="宋体" w:hAnsi="宋体"/>
                <w:bCs/>
                <w:kern w:val="0"/>
                <w:szCs w:val="21"/>
              </w:rPr>
            </w:pPr>
            <w:r>
              <w:rPr>
                <w:rFonts w:ascii="宋体" w:hAnsi="宋体"/>
                <w:bCs/>
                <w:kern w:val="0"/>
                <w:szCs w:val="21"/>
              </w:rPr>
              <w:t>业务类别</w:t>
            </w:r>
          </w:p>
        </w:tc>
        <w:tc>
          <w:tcPr>
            <w:tcW w:w="3928" w:type="dxa"/>
          </w:tcPr>
          <w:p>
            <w:pPr>
              <w:spacing w:line="560" w:lineRule="exact"/>
              <w:rPr>
                <w:rFonts w:ascii="宋体" w:hAnsi="宋体"/>
                <w:bCs/>
                <w:kern w:val="0"/>
                <w:szCs w:val="21"/>
              </w:rPr>
            </w:pPr>
            <w:r>
              <w:rPr>
                <w:rFonts w:ascii="宋体" w:hAnsi="宋体"/>
                <w:bCs/>
                <w:kern w:val="0"/>
                <w:szCs w:val="21"/>
              </w:rPr>
              <w:t>解除预受要约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2" w:type="dxa"/>
          </w:tcPr>
          <w:p>
            <w:pPr>
              <w:spacing w:line="560" w:lineRule="exact"/>
              <w:rPr>
                <w:rFonts w:ascii="宋体" w:hAnsi="宋体"/>
                <w:bCs/>
                <w:kern w:val="0"/>
                <w:szCs w:val="21"/>
              </w:rPr>
            </w:pPr>
            <w:r>
              <w:rPr>
                <w:rFonts w:ascii="宋体" w:hAnsi="宋体"/>
                <w:bCs/>
                <w:kern w:val="0"/>
                <w:szCs w:val="21"/>
              </w:rPr>
              <w:t>委托数量</w:t>
            </w:r>
          </w:p>
        </w:tc>
        <w:tc>
          <w:tcPr>
            <w:tcW w:w="3928" w:type="dxa"/>
          </w:tcPr>
          <w:p>
            <w:pPr>
              <w:spacing w:line="560" w:lineRule="exact"/>
              <w:rPr>
                <w:rFonts w:ascii="宋体" w:hAnsi="宋体"/>
                <w:bCs/>
                <w:kern w:val="0"/>
                <w:szCs w:val="21"/>
              </w:rPr>
            </w:pPr>
            <w:r>
              <w:rPr>
                <w:rFonts w:ascii="宋体" w:hAnsi="宋体"/>
                <w:bCs/>
                <w:kern w:val="0"/>
                <w:szCs w:val="21"/>
              </w:rPr>
              <w:t>解除预受现金选择权的股份数量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12" w:type="dxa"/>
          </w:tcPr>
          <w:p>
            <w:pPr>
              <w:spacing w:line="560" w:lineRule="exact"/>
              <w:rPr>
                <w:rFonts w:ascii="宋体" w:hAnsi="宋体"/>
                <w:bCs/>
                <w:kern w:val="0"/>
                <w:szCs w:val="21"/>
              </w:rPr>
            </w:pPr>
            <w:r>
              <w:rPr>
                <w:rFonts w:ascii="宋体" w:hAnsi="宋体"/>
                <w:bCs/>
                <w:kern w:val="0"/>
                <w:szCs w:val="21"/>
              </w:rPr>
              <w:t>委托价格</w:t>
            </w:r>
          </w:p>
        </w:tc>
        <w:tc>
          <w:tcPr>
            <w:tcW w:w="3928" w:type="dxa"/>
          </w:tcPr>
          <w:p>
            <w:pPr>
              <w:spacing w:line="560" w:lineRule="exact"/>
              <w:rPr>
                <w:rFonts w:ascii="宋体" w:hAnsi="宋体"/>
                <w:bCs/>
                <w:kern w:val="0"/>
                <w:szCs w:val="21"/>
              </w:rPr>
            </w:pPr>
            <w:r>
              <w:rPr>
                <w:rFonts w:ascii="宋体" w:hAnsi="宋体"/>
                <w:bCs/>
                <w:kern w:val="0"/>
                <w:szCs w:val="21"/>
              </w:rPr>
              <w:t>现金选择权编码</w:t>
            </w:r>
          </w:p>
        </w:tc>
      </w:tr>
    </w:tbl>
    <w:p>
      <w:pPr>
        <w:spacing w:line="520" w:lineRule="exact"/>
        <w:ind w:firstLine="640" w:firstLineChars="200"/>
        <w:rPr>
          <w:rFonts w:ascii="Times New Roman" w:hAnsi="Times New Roman" w:eastAsia="仿宋"/>
          <w:sz w:val="32"/>
          <w:szCs w:val="32"/>
        </w:rPr>
      </w:pPr>
    </w:p>
    <w:p>
      <w:pPr>
        <w:spacing w:line="520" w:lineRule="exact"/>
        <w:ind w:firstLine="640" w:firstLineChars="200"/>
        <w:rPr>
          <w:rFonts w:ascii="Times New Roman" w:hAnsi="Times New Roman" w:eastAsia="仿宋"/>
          <w:sz w:val="32"/>
          <w:szCs w:val="32"/>
        </w:rPr>
      </w:pPr>
    </w:p>
    <w:p>
      <w:pPr>
        <w:spacing w:line="520" w:lineRule="exact"/>
        <w:ind w:firstLine="640" w:firstLineChars="200"/>
        <w:rPr>
          <w:rFonts w:ascii="Times New Roman" w:hAnsi="Times New Roman" w:eastAsia="仿宋"/>
          <w:sz w:val="32"/>
          <w:szCs w:val="32"/>
        </w:rPr>
      </w:pPr>
    </w:p>
    <w:p>
      <w:pPr>
        <w:spacing w:line="520" w:lineRule="exact"/>
        <w:ind w:firstLine="640" w:firstLineChars="200"/>
        <w:rPr>
          <w:rFonts w:ascii="Times New Roman" w:hAnsi="Times New Roman" w:eastAsia="仿宋"/>
          <w:sz w:val="32"/>
          <w:szCs w:val="32"/>
        </w:rPr>
      </w:pPr>
    </w:p>
    <w:p>
      <w:pPr>
        <w:spacing w:line="520" w:lineRule="exact"/>
        <w:ind w:firstLine="640" w:firstLineChars="200"/>
        <w:rPr>
          <w:rFonts w:ascii="Times New Roman" w:hAnsi="Times New Roman" w:eastAsia="仿宋"/>
          <w:sz w:val="32"/>
          <w:szCs w:val="32"/>
        </w:rPr>
      </w:pP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其中委托价格存放现金选择权编码时，格式为0xxxx．xx0 ，填‘x’的位置即为6位现金选择权编码。</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4．</w:t>
      </w:r>
      <w:r>
        <w:rPr>
          <w:rFonts w:ascii="Times New Roman" w:hAnsi="Times New Roman" w:eastAsia="仿宋"/>
          <w:sz w:val="32"/>
          <w:szCs w:val="32"/>
        </w:rPr>
        <w:t>现金选择权行权指令申报后，行权股份当日可以申报卖出；行权申报一经清算确认，行权股份不得卖出。</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5．</w:t>
      </w:r>
      <w:r>
        <w:rPr>
          <w:rFonts w:ascii="Times New Roman" w:hAnsi="Times New Roman" w:eastAsia="仿宋"/>
          <w:sz w:val="32"/>
          <w:szCs w:val="32"/>
        </w:rPr>
        <w:t>根据本所交易系统T日接收的现金选择权行权申报，结算公司在T日日终进行清算，并在T+1日交收时点按照逐笔全额非担保的原则进行交收。</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二十</w:t>
      </w:r>
      <w:r>
        <w:rPr>
          <w:rFonts w:ascii="Times New Roman" w:hAnsi="Times New Roman" w:eastAsia="仿宋"/>
          <w:sz w:val="32"/>
          <w:szCs w:val="32"/>
        </w:rPr>
        <w:t>）存在权利限制的股份，如已设定了质押、其他第三方权利或被司法冻结等法律法规限制转让的股份，在解除前述权利限制前不得申报现金选择权。</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w:t>
      </w:r>
      <w:r>
        <w:rPr>
          <w:rFonts w:hint="eastAsia" w:ascii="Times New Roman" w:hAnsi="Times New Roman" w:eastAsia="仿宋"/>
          <w:sz w:val="32"/>
          <w:szCs w:val="32"/>
        </w:rPr>
        <w:t>二十一</w:t>
      </w:r>
      <w:r>
        <w:rPr>
          <w:rFonts w:ascii="Times New Roman" w:hAnsi="Times New Roman" w:eastAsia="仿宋"/>
          <w:sz w:val="32"/>
          <w:szCs w:val="32"/>
        </w:rPr>
        <w:t>）在现金选择权申报至行权股份划转期间，投资者股份进行转托管、转让、质押、</w:t>
      </w:r>
      <w:r>
        <w:rPr>
          <w:rFonts w:hint="eastAsia" w:ascii="Times New Roman" w:hAnsi="Times New Roman" w:eastAsia="仿宋"/>
          <w:sz w:val="32"/>
          <w:szCs w:val="32"/>
        </w:rPr>
        <w:t>设定</w:t>
      </w:r>
      <w:r>
        <w:rPr>
          <w:rFonts w:ascii="Times New Roman" w:hAnsi="Times New Roman" w:eastAsia="仿宋"/>
          <w:sz w:val="32"/>
          <w:szCs w:val="32"/>
        </w:rPr>
        <w:t>其他第三方权利、被司法冻结或划扣，导致在实际申报股份划转时点行权股份数量不足的，不足部分对应的现金选择权将行使失败。</w:t>
      </w:r>
    </w:p>
    <w:p>
      <w:pPr>
        <w:spacing w:line="560" w:lineRule="exact"/>
        <w:ind w:firstLine="643" w:firstLineChars="200"/>
        <w:rPr>
          <w:rFonts w:ascii="Times New Roman" w:hAnsi="Times New Roman" w:eastAsia="黑体"/>
          <w:b/>
          <w:sz w:val="32"/>
          <w:szCs w:val="32"/>
        </w:rPr>
      </w:pPr>
      <w:r>
        <w:rPr>
          <w:rFonts w:ascii="Times New Roman" w:hAnsi="Times New Roman" w:eastAsia="黑体"/>
          <w:b/>
          <w:sz w:val="32"/>
          <w:szCs w:val="32"/>
        </w:rPr>
        <w:t>三、有效申报股份划转及结果公告</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一）上市公司现金选择权采用手工申报方式的，原则上在现金选择权申报期限截止后立即向本所提交申请办理股份划拨手续。上市公司需选择“现金选择权股份转让公告（手工申报）”公告类别并提交以下材料：</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1．</w:t>
      </w:r>
      <w:r>
        <w:rPr>
          <w:rFonts w:ascii="Times New Roman" w:hAnsi="Times New Roman" w:eastAsia="仿宋"/>
          <w:sz w:val="32"/>
          <w:szCs w:val="32"/>
        </w:rPr>
        <w:t>现金选择权股份转让申请表（见附件3）；</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2．</w:t>
      </w:r>
      <w:r>
        <w:rPr>
          <w:rFonts w:ascii="Times New Roman" w:hAnsi="Times New Roman" w:eastAsia="仿宋"/>
          <w:sz w:val="32"/>
          <w:szCs w:val="32"/>
        </w:rPr>
        <w:t>手工申报行使现金选择权明细表；</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3．</w:t>
      </w:r>
      <w:r>
        <w:rPr>
          <w:rFonts w:ascii="Times New Roman" w:hAnsi="Times New Roman" w:eastAsia="仿宋"/>
          <w:sz w:val="32"/>
          <w:szCs w:val="32"/>
        </w:rPr>
        <w:t>办理股份转让确认申请，包括本次股份转让确认的说明；</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4．</w:t>
      </w:r>
      <w:r>
        <w:rPr>
          <w:rFonts w:ascii="Times New Roman" w:hAnsi="Times New Roman" w:eastAsia="仿宋"/>
          <w:sz w:val="32"/>
          <w:szCs w:val="32"/>
        </w:rPr>
        <w:t>相关法律意见书；</w:t>
      </w:r>
    </w:p>
    <w:p>
      <w:pPr>
        <w:spacing w:line="560" w:lineRule="exact"/>
        <w:ind w:firstLine="640" w:firstLineChars="200"/>
        <w:rPr>
          <w:rFonts w:ascii="Times New Roman" w:hAnsi="Times New Roman" w:eastAsia="仿宋"/>
          <w:sz w:val="32"/>
          <w:szCs w:val="32"/>
        </w:rPr>
      </w:pPr>
      <w:r>
        <w:rPr>
          <w:rFonts w:ascii="Times New Roman" w:hAnsi="Times New Roman" w:eastAsia="仿宋"/>
          <w:kern w:val="0"/>
          <w:sz w:val="32"/>
          <w:szCs w:val="32"/>
        </w:rPr>
        <w:t>5．本所要求的其他材料。</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（二）本所对上述材料审核无异议后，上市公司应及时向结算公司申请办理股份过户登记等手续，并及时</w:t>
      </w:r>
      <w:r>
        <w:rPr>
          <w:rFonts w:hint="eastAsia" w:ascii="Times New Roman" w:hAnsi="Times New Roman" w:eastAsia="仿宋"/>
          <w:sz w:val="32"/>
          <w:szCs w:val="32"/>
        </w:rPr>
        <w:t>披露</w:t>
      </w:r>
      <w:r>
        <w:rPr>
          <w:rFonts w:ascii="Times New Roman" w:hAnsi="Times New Roman" w:eastAsia="仿宋"/>
          <w:sz w:val="32"/>
          <w:szCs w:val="32"/>
        </w:rPr>
        <w:t>公告。</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（三）现金选择权提供方应当关注受让股份后，是否触发要约义务，上市公司应当关注是否涉及股权分布不符合上市条件等，并按有关规定办理。</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（四）上市公司应当在现金选择权申报期限截止后，根据结算公司的有关规定办理现金选择权行权股份划拨申请手续，原则上在申报期限截止后五个交易日内</w:t>
      </w:r>
      <w:r>
        <w:rPr>
          <w:rFonts w:hint="eastAsia" w:ascii="Times New Roman" w:hAnsi="Times New Roman" w:eastAsia="仿宋"/>
          <w:sz w:val="32"/>
          <w:szCs w:val="32"/>
        </w:rPr>
        <w:t>披露</w:t>
      </w:r>
      <w:r>
        <w:rPr>
          <w:rFonts w:ascii="Times New Roman" w:hAnsi="Times New Roman" w:eastAsia="仿宋"/>
          <w:sz w:val="32"/>
          <w:szCs w:val="32"/>
        </w:rPr>
        <w:t>行使现金选择权结果公告。</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（五）上市公司采用交易系统申报方式的，可以在现金选择权申报期限截止次</w:t>
      </w:r>
      <w:r>
        <w:rPr>
          <w:rFonts w:hint="eastAsia" w:ascii="Times New Roman" w:hAnsi="Times New Roman" w:eastAsia="仿宋"/>
          <w:sz w:val="32"/>
          <w:szCs w:val="32"/>
        </w:rPr>
        <w:t>两</w:t>
      </w:r>
      <w:r>
        <w:rPr>
          <w:rFonts w:ascii="Times New Roman" w:hAnsi="Times New Roman" w:eastAsia="仿宋"/>
          <w:sz w:val="32"/>
          <w:szCs w:val="32"/>
        </w:rPr>
        <w:t>个交易日起，向结算公司办理履约保证金返还等手续。</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现金选择权行权股份划拨相关清算交收业务，按照结算公司的有关规定办理。</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（六）上市公司应在现金选择权申报期限截止后的</w:t>
      </w:r>
      <w:r>
        <w:rPr>
          <w:rFonts w:hint="eastAsia" w:ascii="Times New Roman" w:hAnsi="Times New Roman" w:eastAsia="仿宋"/>
          <w:sz w:val="32"/>
          <w:szCs w:val="32"/>
        </w:rPr>
        <w:t>十</w:t>
      </w:r>
      <w:r>
        <w:rPr>
          <w:rFonts w:ascii="Times New Roman" w:hAnsi="Times New Roman" w:eastAsia="仿宋"/>
          <w:sz w:val="32"/>
          <w:szCs w:val="32"/>
        </w:rPr>
        <w:t>个交易日内向结算公司办理未申报现金选择权的注销事宜。</w:t>
      </w:r>
    </w:p>
    <w:p>
      <w:pPr>
        <w:spacing w:line="520" w:lineRule="exact"/>
        <w:ind w:firstLine="640" w:firstLineChars="200"/>
        <w:rPr>
          <w:rFonts w:ascii="Times New Roman" w:hAnsi="Times New Roman" w:eastAsia="仿宋"/>
          <w:sz w:val="32"/>
          <w:szCs w:val="32"/>
        </w:rPr>
      </w:pPr>
    </w:p>
    <w:p>
      <w:pPr>
        <w:spacing w:line="520" w:lineRule="exact"/>
        <w:rPr>
          <w:rFonts w:ascii="黑体" w:hAnsi="黑体" w:eastAsia="黑体"/>
          <w:sz w:val="32"/>
          <w:szCs w:val="32"/>
        </w:rPr>
      </w:pPr>
      <w:r>
        <w:rPr>
          <w:rFonts w:ascii="Times New Roman" w:hAnsi="Times New Roman" w:eastAsia="方正仿宋简体"/>
          <w:sz w:val="30"/>
          <w:szCs w:val="30"/>
        </w:rPr>
        <w:br w:type="page"/>
      </w:r>
      <w:r>
        <w:rPr>
          <w:rFonts w:ascii="黑体" w:hAnsi="黑体" w:eastAsia="黑体"/>
          <w:sz w:val="32"/>
          <w:szCs w:val="32"/>
        </w:rPr>
        <w:t>附件1</w:t>
      </w:r>
    </w:p>
    <w:p>
      <w:pPr>
        <w:spacing w:line="560" w:lineRule="exact"/>
        <w:rPr>
          <w:rFonts w:ascii="黑体" w:hAnsi="黑体" w:eastAsia="黑体"/>
          <w:sz w:val="32"/>
          <w:szCs w:val="32"/>
        </w:rPr>
      </w:pPr>
    </w:p>
    <w:p>
      <w:pPr>
        <w:spacing w:line="56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上市公司现金选择权派发登记申请表</w:t>
      </w:r>
    </w:p>
    <w:tbl>
      <w:tblPr>
        <w:tblStyle w:val="56"/>
        <w:tblW w:w="0" w:type="auto"/>
        <w:tblInd w:w="0" w:type="dxa"/>
        <w:tblLayout w:type="fixed"/>
        <w:tblCellMar>
          <w:top w:w="0" w:type="dxa"/>
          <w:left w:w="108" w:type="dxa"/>
          <w:bottom w:w="0" w:type="dxa"/>
          <w:right w:w="108" w:type="dxa"/>
        </w:tblCellMar>
      </w:tblPr>
      <w:tblGrid>
        <w:gridCol w:w="2183"/>
        <w:gridCol w:w="2012"/>
        <w:gridCol w:w="54"/>
        <w:gridCol w:w="1957"/>
        <w:gridCol w:w="723"/>
        <w:gridCol w:w="1288"/>
      </w:tblGrid>
      <w:tr>
        <w:tblPrEx>
          <w:tblCellMar>
            <w:top w:w="0" w:type="dxa"/>
            <w:left w:w="108" w:type="dxa"/>
            <w:bottom w:w="0" w:type="dxa"/>
            <w:right w:w="108" w:type="dxa"/>
          </w:tblCellMar>
        </w:tblPrEx>
        <w:trPr>
          <w:trHeight w:val="465" w:hRule="atLeast"/>
        </w:trPr>
        <w:tc>
          <w:tcPr>
            <w:tcW w:w="8217" w:type="dxa"/>
            <w:gridSpan w:val="6"/>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b/>
                <w:bCs/>
                <w:kern w:val="0"/>
                <w:szCs w:val="21"/>
              </w:rPr>
            </w:pPr>
            <w:r>
              <w:rPr>
                <w:rFonts w:ascii="宋体" w:hAnsi="宋体"/>
                <w:b/>
                <w:bCs/>
                <w:kern w:val="0"/>
                <w:szCs w:val="21"/>
              </w:rPr>
              <w:t>基本情况</w:t>
            </w:r>
          </w:p>
        </w:tc>
      </w:tr>
      <w:tr>
        <w:tblPrEx>
          <w:tblCellMar>
            <w:top w:w="0" w:type="dxa"/>
            <w:left w:w="108" w:type="dxa"/>
            <w:bottom w:w="0" w:type="dxa"/>
            <w:right w:w="108" w:type="dxa"/>
          </w:tblCellMar>
        </w:tblPrEx>
        <w:trPr>
          <w:trHeight w:val="465" w:hRule="atLeast"/>
        </w:trPr>
        <w:tc>
          <w:tcPr>
            <w:tcW w:w="2183" w:type="dxa"/>
            <w:tcBorders>
              <w:top w:val="nil"/>
              <w:left w:val="single" w:color="auto" w:sz="4" w:space="0"/>
              <w:bottom w:val="single" w:color="auto" w:sz="4" w:space="0"/>
              <w:right w:val="single" w:color="auto" w:sz="4" w:space="0"/>
            </w:tcBorders>
            <w:vAlign w:val="center"/>
          </w:tcPr>
          <w:p>
            <w:pPr>
              <w:widowControl/>
              <w:jc w:val="center"/>
              <w:rPr>
                <w:rFonts w:ascii="宋体" w:hAnsi="宋体"/>
                <w:bCs/>
                <w:kern w:val="0"/>
                <w:szCs w:val="21"/>
              </w:rPr>
            </w:pPr>
            <w:r>
              <w:rPr>
                <w:rFonts w:ascii="宋体" w:hAnsi="宋体"/>
                <w:bCs/>
                <w:kern w:val="0"/>
                <w:szCs w:val="21"/>
              </w:rPr>
              <w:t>上市公司名称</w:t>
            </w:r>
          </w:p>
        </w:tc>
        <w:tc>
          <w:tcPr>
            <w:tcW w:w="206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　</w:t>
            </w:r>
          </w:p>
        </w:tc>
        <w:tc>
          <w:tcPr>
            <w:tcW w:w="1957" w:type="dxa"/>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rPr>
            </w:pPr>
            <w:r>
              <w:rPr>
                <w:rFonts w:ascii="宋体" w:hAnsi="宋体"/>
                <w:bCs/>
                <w:kern w:val="0"/>
                <w:szCs w:val="21"/>
              </w:rPr>
              <w:t>第三方名称</w:t>
            </w:r>
          </w:p>
        </w:tc>
        <w:tc>
          <w:tcPr>
            <w:tcW w:w="2011"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rPr>
            </w:pPr>
          </w:p>
        </w:tc>
      </w:tr>
      <w:tr>
        <w:tblPrEx>
          <w:tblCellMar>
            <w:top w:w="0" w:type="dxa"/>
            <w:left w:w="108" w:type="dxa"/>
            <w:bottom w:w="0" w:type="dxa"/>
            <w:right w:w="108" w:type="dxa"/>
          </w:tblCellMar>
        </w:tblPrEx>
        <w:trPr>
          <w:trHeight w:val="465" w:hRule="atLeast"/>
        </w:trPr>
        <w:tc>
          <w:tcPr>
            <w:tcW w:w="2183" w:type="dxa"/>
            <w:tcBorders>
              <w:top w:val="nil"/>
              <w:left w:val="single" w:color="auto" w:sz="4" w:space="0"/>
              <w:bottom w:val="single" w:color="auto" w:sz="4" w:space="0"/>
              <w:right w:val="single" w:color="auto" w:sz="4" w:space="0"/>
            </w:tcBorders>
            <w:vAlign w:val="center"/>
          </w:tcPr>
          <w:p>
            <w:pPr>
              <w:widowControl/>
              <w:jc w:val="center"/>
              <w:rPr>
                <w:rFonts w:ascii="宋体" w:hAnsi="宋体"/>
                <w:bCs/>
                <w:kern w:val="0"/>
                <w:szCs w:val="21"/>
              </w:rPr>
            </w:pPr>
            <w:r>
              <w:rPr>
                <w:rFonts w:ascii="宋体" w:hAnsi="宋体"/>
                <w:bCs/>
                <w:kern w:val="0"/>
                <w:szCs w:val="21"/>
              </w:rPr>
              <w:t>标的证券简称</w:t>
            </w:r>
          </w:p>
        </w:tc>
        <w:tc>
          <w:tcPr>
            <w:tcW w:w="206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　</w:t>
            </w:r>
          </w:p>
        </w:tc>
        <w:tc>
          <w:tcPr>
            <w:tcW w:w="1957" w:type="dxa"/>
            <w:tcBorders>
              <w:top w:val="nil"/>
              <w:left w:val="nil"/>
              <w:bottom w:val="single" w:color="auto" w:sz="4" w:space="0"/>
              <w:right w:val="single" w:color="auto" w:sz="4" w:space="0"/>
            </w:tcBorders>
            <w:vAlign w:val="center"/>
          </w:tcPr>
          <w:p>
            <w:pPr>
              <w:widowControl/>
              <w:jc w:val="center"/>
              <w:rPr>
                <w:rFonts w:ascii="宋体" w:hAnsi="宋体"/>
                <w:bCs/>
                <w:kern w:val="0"/>
                <w:szCs w:val="21"/>
              </w:rPr>
            </w:pPr>
            <w:r>
              <w:rPr>
                <w:rFonts w:ascii="宋体" w:hAnsi="宋体"/>
                <w:bCs/>
                <w:kern w:val="0"/>
                <w:szCs w:val="21"/>
              </w:rPr>
              <w:t>标的证券代码</w:t>
            </w:r>
          </w:p>
        </w:tc>
        <w:tc>
          <w:tcPr>
            <w:tcW w:w="2011"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　</w:t>
            </w:r>
          </w:p>
        </w:tc>
      </w:tr>
      <w:tr>
        <w:tblPrEx>
          <w:tblCellMar>
            <w:top w:w="0" w:type="dxa"/>
            <w:left w:w="108" w:type="dxa"/>
            <w:bottom w:w="0" w:type="dxa"/>
            <w:right w:w="108" w:type="dxa"/>
          </w:tblCellMar>
        </w:tblPrEx>
        <w:trPr>
          <w:trHeight w:val="465" w:hRule="atLeast"/>
        </w:trPr>
        <w:tc>
          <w:tcPr>
            <w:tcW w:w="2183" w:type="dxa"/>
            <w:tcBorders>
              <w:top w:val="nil"/>
              <w:left w:val="single" w:color="auto" w:sz="4" w:space="0"/>
              <w:bottom w:val="single" w:color="auto" w:sz="4" w:space="0"/>
              <w:right w:val="single" w:color="auto" w:sz="4" w:space="0"/>
            </w:tcBorders>
            <w:vAlign w:val="center"/>
          </w:tcPr>
          <w:p>
            <w:pPr>
              <w:widowControl/>
              <w:jc w:val="center"/>
              <w:rPr>
                <w:rFonts w:ascii="宋体" w:hAnsi="宋体"/>
                <w:bCs/>
                <w:kern w:val="0"/>
                <w:szCs w:val="21"/>
              </w:rPr>
            </w:pPr>
            <w:r>
              <w:rPr>
                <w:rFonts w:ascii="宋体" w:hAnsi="宋体"/>
                <w:bCs/>
                <w:kern w:val="0"/>
                <w:szCs w:val="21"/>
              </w:rPr>
              <w:t>现金选择权简称</w:t>
            </w:r>
          </w:p>
        </w:tc>
        <w:tc>
          <w:tcPr>
            <w:tcW w:w="206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rPr>
            </w:pPr>
          </w:p>
        </w:tc>
        <w:tc>
          <w:tcPr>
            <w:tcW w:w="1957" w:type="dxa"/>
            <w:tcBorders>
              <w:top w:val="nil"/>
              <w:left w:val="nil"/>
              <w:bottom w:val="single" w:color="auto" w:sz="4" w:space="0"/>
              <w:right w:val="single" w:color="auto" w:sz="4" w:space="0"/>
            </w:tcBorders>
            <w:vAlign w:val="center"/>
          </w:tcPr>
          <w:p>
            <w:pPr>
              <w:widowControl/>
              <w:jc w:val="center"/>
              <w:rPr>
                <w:rFonts w:ascii="宋体" w:hAnsi="宋体"/>
                <w:bCs/>
                <w:kern w:val="0"/>
                <w:szCs w:val="21"/>
              </w:rPr>
            </w:pPr>
            <w:r>
              <w:rPr>
                <w:rFonts w:ascii="宋体" w:hAnsi="宋体"/>
                <w:bCs/>
                <w:kern w:val="0"/>
                <w:szCs w:val="21"/>
              </w:rPr>
              <w:t>现金选择权代码</w:t>
            </w:r>
          </w:p>
        </w:tc>
        <w:tc>
          <w:tcPr>
            <w:tcW w:w="2011"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rPr>
            </w:pPr>
          </w:p>
        </w:tc>
      </w:tr>
      <w:tr>
        <w:tblPrEx>
          <w:tblCellMar>
            <w:top w:w="0" w:type="dxa"/>
            <w:left w:w="108" w:type="dxa"/>
            <w:bottom w:w="0" w:type="dxa"/>
            <w:right w:w="108" w:type="dxa"/>
          </w:tblCellMar>
        </w:tblPrEx>
        <w:trPr>
          <w:trHeight w:val="465" w:hRule="atLeast"/>
        </w:trPr>
        <w:tc>
          <w:tcPr>
            <w:tcW w:w="2183" w:type="dxa"/>
            <w:tcBorders>
              <w:top w:val="nil"/>
              <w:left w:val="single" w:color="auto" w:sz="4" w:space="0"/>
              <w:bottom w:val="single" w:color="auto" w:sz="4" w:space="0"/>
              <w:right w:val="single" w:color="auto" w:sz="4" w:space="0"/>
            </w:tcBorders>
            <w:vAlign w:val="center"/>
          </w:tcPr>
          <w:p>
            <w:pPr>
              <w:widowControl/>
              <w:jc w:val="center"/>
              <w:rPr>
                <w:rFonts w:ascii="宋体" w:hAnsi="宋体"/>
                <w:bCs/>
                <w:kern w:val="0"/>
                <w:szCs w:val="21"/>
              </w:rPr>
            </w:pPr>
            <w:r>
              <w:rPr>
                <w:rFonts w:ascii="宋体" w:hAnsi="宋体"/>
                <w:bCs/>
                <w:kern w:val="0"/>
                <w:szCs w:val="21"/>
              </w:rPr>
              <w:t>派发方式选择</w:t>
            </w:r>
          </w:p>
        </w:tc>
        <w:tc>
          <w:tcPr>
            <w:tcW w:w="6034" w:type="dxa"/>
            <w:gridSpan w:val="5"/>
            <w:tcBorders>
              <w:top w:val="single" w:color="auto" w:sz="4" w:space="0"/>
              <w:left w:val="nil"/>
              <w:bottom w:val="single" w:color="auto" w:sz="4" w:space="0"/>
              <w:right w:val="single" w:color="auto" w:sz="4" w:space="0"/>
            </w:tcBorders>
            <w:vAlign w:val="center"/>
          </w:tcPr>
          <w:p>
            <w:pPr>
              <w:widowControl/>
              <w:jc w:val="center"/>
              <w:rPr>
                <w:rFonts w:ascii="宋体" w:hAnsi="宋体"/>
                <w:kern w:val="0"/>
                <w:szCs w:val="21"/>
              </w:rPr>
            </w:pPr>
            <w:r>
              <w:rPr>
                <w:rFonts w:ascii="宋体" w:hAnsi="宋体"/>
                <w:kern w:val="0"/>
                <w:szCs w:val="21"/>
              </w:rPr>
              <w:t>1</w:t>
            </w:r>
            <w:r>
              <w:rPr>
                <w:rFonts w:hint="eastAsia" w:ascii="宋体" w:hAnsi="宋体"/>
                <w:kern w:val="0"/>
                <w:szCs w:val="21"/>
              </w:rPr>
              <w:t>．</w:t>
            </w:r>
            <w:r>
              <w:rPr>
                <w:rFonts w:ascii="宋体" w:hAnsi="宋体"/>
                <w:kern w:val="0"/>
                <w:szCs w:val="21"/>
              </w:rPr>
              <w:t>向全体股东派发  2</w:t>
            </w:r>
            <w:r>
              <w:rPr>
                <w:rFonts w:hint="eastAsia" w:ascii="宋体" w:hAnsi="宋体"/>
                <w:kern w:val="0"/>
                <w:szCs w:val="21"/>
              </w:rPr>
              <w:t>．</w:t>
            </w:r>
            <w:r>
              <w:rPr>
                <w:rFonts w:ascii="宋体" w:hAnsi="宋体"/>
                <w:kern w:val="0"/>
                <w:szCs w:val="21"/>
              </w:rPr>
              <w:t>定向派发</w:t>
            </w:r>
          </w:p>
        </w:tc>
      </w:tr>
      <w:tr>
        <w:tblPrEx>
          <w:tblCellMar>
            <w:top w:w="0" w:type="dxa"/>
            <w:left w:w="108" w:type="dxa"/>
            <w:bottom w:w="0" w:type="dxa"/>
            <w:right w:w="108" w:type="dxa"/>
          </w:tblCellMar>
        </w:tblPrEx>
        <w:trPr>
          <w:trHeight w:val="465" w:hRule="atLeast"/>
        </w:trPr>
        <w:tc>
          <w:tcPr>
            <w:tcW w:w="2183" w:type="dxa"/>
            <w:tcBorders>
              <w:top w:val="nil"/>
              <w:left w:val="single" w:color="auto" w:sz="4" w:space="0"/>
              <w:bottom w:val="single" w:color="auto" w:sz="4" w:space="0"/>
              <w:right w:val="single" w:color="auto" w:sz="4" w:space="0"/>
            </w:tcBorders>
            <w:vAlign w:val="center"/>
          </w:tcPr>
          <w:p>
            <w:pPr>
              <w:widowControl/>
              <w:jc w:val="center"/>
              <w:rPr>
                <w:rFonts w:ascii="宋体" w:hAnsi="宋体"/>
                <w:bCs/>
                <w:kern w:val="0"/>
                <w:szCs w:val="21"/>
              </w:rPr>
            </w:pPr>
            <w:r>
              <w:rPr>
                <w:rFonts w:ascii="宋体" w:hAnsi="宋体"/>
                <w:bCs/>
                <w:kern w:val="0"/>
                <w:szCs w:val="21"/>
              </w:rPr>
              <w:t>派发总量（份）</w:t>
            </w:r>
          </w:p>
        </w:tc>
        <w:tc>
          <w:tcPr>
            <w:tcW w:w="6034" w:type="dxa"/>
            <w:gridSpan w:val="5"/>
            <w:tcBorders>
              <w:top w:val="single" w:color="auto" w:sz="4" w:space="0"/>
              <w:left w:val="nil"/>
              <w:bottom w:val="single" w:color="auto" w:sz="4" w:space="0"/>
              <w:right w:val="single" w:color="000000" w:sz="4" w:space="0"/>
            </w:tcBorders>
            <w:vAlign w:val="center"/>
          </w:tcPr>
          <w:p>
            <w:pPr>
              <w:widowControl/>
              <w:jc w:val="center"/>
              <w:rPr>
                <w:rFonts w:ascii="宋体" w:hAnsi="宋体"/>
                <w:kern w:val="0"/>
                <w:szCs w:val="21"/>
              </w:rPr>
            </w:pPr>
            <w:r>
              <w:rPr>
                <w:rFonts w:ascii="宋体" w:hAnsi="宋体"/>
                <w:kern w:val="0"/>
                <w:szCs w:val="21"/>
              </w:rPr>
              <w:t>　</w:t>
            </w:r>
          </w:p>
        </w:tc>
      </w:tr>
      <w:tr>
        <w:tblPrEx>
          <w:tblCellMar>
            <w:top w:w="0" w:type="dxa"/>
            <w:left w:w="108" w:type="dxa"/>
            <w:bottom w:w="0" w:type="dxa"/>
            <w:right w:w="108" w:type="dxa"/>
          </w:tblCellMar>
        </w:tblPrEx>
        <w:trPr>
          <w:trHeight w:val="465" w:hRule="atLeast"/>
        </w:trPr>
        <w:tc>
          <w:tcPr>
            <w:tcW w:w="2183" w:type="dxa"/>
            <w:tcBorders>
              <w:top w:val="nil"/>
              <w:left w:val="single" w:color="auto" w:sz="4" w:space="0"/>
              <w:bottom w:val="single" w:color="auto" w:sz="4" w:space="0"/>
              <w:right w:val="single" w:color="auto" w:sz="4" w:space="0"/>
            </w:tcBorders>
            <w:vAlign w:val="center"/>
          </w:tcPr>
          <w:p>
            <w:pPr>
              <w:widowControl/>
              <w:jc w:val="center"/>
              <w:rPr>
                <w:rFonts w:ascii="宋体" w:hAnsi="宋体"/>
                <w:bCs/>
                <w:kern w:val="0"/>
                <w:szCs w:val="21"/>
              </w:rPr>
            </w:pPr>
            <w:r>
              <w:rPr>
                <w:rFonts w:ascii="宋体" w:hAnsi="宋体"/>
                <w:bCs/>
                <w:kern w:val="0"/>
                <w:szCs w:val="21"/>
              </w:rPr>
              <w:t>派发比例（若适用）</w:t>
            </w:r>
          </w:p>
        </w:tc>
        <w:tc>
          <w:tcPr>
            <w:tcW w:w="2012" w:type="dxa"/>
            <w:tcBorders>
              <w:top w:val="single" w:color="auto" w:sz="4" w:space="0"/>
              <w:left w:val="nil"/>
              <w:bottom w:val="single" w:color="auto" w:sz="4" w:space="0"/>
              <w:right w:val="single" w:color="000000" w:sz="4" w:space="0"/>
            </w:tcBorders>
            <w:vAlign w:val="center"/>
          </w:tcPr>
          <w:p>
            <w:pPr>
              <w:widowControl/>
              <w:jc w:val="center"/>
              <w:rPr>
                <w:rFonts w:ascii="宋体" w:hAnsi="宋体"/>
                <w:kern w:val="0"/>
                <w:szCs w:val="21"/>
              </w:rPr>
            </w:pPr>
          </w:p>
        </w:tc>
        <w:tc>
          <w:tcPr>
            <w:tcW w:w="2011"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kern w:val="0"/>
                <w:szCs w:val="21"/>
              </w:rPr>
            </w:pPr>
            <w:r>
              <w:rPr>
                <w:rFonts w:ascii="宋体" w:hAnsi="宋体"/>
                <w:bCs/>
                <w:kern w:val="0"/>
                <w:szCs w:val="21"/>
              </w:rPr>
              <w:t>派发股权登记日（若适用）</w:t>
            </w:r>
          </w:p>
        </w:tc>
        <w:tc>
          <w:tcPr>
            <w:tcW w:w="2011"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kern w:val="0"/>
                <w:szCs w:val="21"/>
              </w:rPr>
            </w:pPr>
          </w:p>
        </w:tc>
      </w:tr>
      <w:tr>
        <w:tblPrEx>
          <w:tblCellMar>
            <w:top w:w="0" w:type="dxa"/>
            <w:left w:w="108" w:type="dxa"/>
            <w:bottom w:w="0" w:type="dxa"/>
            <w:right w:w="108" w:type="dxa"/>
          </w:tblCellMar>
        </w:tblPrEx>
        <w:trPr>
          <w:trHeight w:val="465" w:hRule="atLeast"/>
        </w:trPr>
        <w:tc>
          <w:tcPr>
            <w:tcW w:w="8217" w:type="dxa"/>
            <w:gridSpan w:val="6"/>
            <w:tcBorders>
              <w:top w:val="single" w:color="auto" w:sz="4" w:space="0"/>
              <w:left w:val="single" w:color="auto" w:sz="4" w:space="0"/>
              <w:bottom w:val="single" w:color="auto" w:sz="4" w:space="0"/>
              <w:right w:val="single" w:color="auto" w:sz="4" w:space="0"/>
            </w:tcBorders>
            <w:vAlign w:val="center"/>
          </w:tcPr>
          <w:p>
            <w:pPr>
              <w:widowControl/>
              <w:rPr>
                <w:rFonts w:ascii="宋体" w:hAnsi="宋体"/>
                <w:b/>
                <w:bCs/>
                <w:kern w:val="0"/>
                <w:szCs w:val="21"/>
              </w:rPr>
            </w:pPr>
            <w:r>
              <w:rPr>
                <w:rFonts w:ascii="宋体" w:hAnsi="宋体"/>
                <w:bCs/>
                <w:kern w:val="0"/>
                <w:szCs w:val="21"/>
              </w:rPr>
              <w:t>现金选择权方案简要说明</w:t>
            </w:r>
            <w:r>
              <w:rPr>
                <w:rFonts w:ascii="宋体" w:hAnsi="宋体"/>
                <w:b/>
                <w:bCs/>
                <w:kern w:val="0"/>
                <w:szCs w:val="21"/>
              </w:rPr>
              <w:t>：</w:t>
            </w:r>
          </w:p>
          <w:p>
            <w:pPr>
              <w:widowControl/>
              <w:jc w:val="center"/>
              <w:rPr>
                <w:rFonts w:ascii="宋体" w:hAnsi="宋体"/>
                <w:b/>
                <w:bCs/>
                <w:kern w:val="0"/>
                <w:szCs w:val="21"/>
              </w:rPr>
            </w:pPr>
          </w:p>
          <w:p>
            <w:pPr>
              <w:widowControl/>
              <w:jc w:val="center"/>
              <w:rPr>
                <w:rFonts w:ascii="宋体" w:hAnsi="宋体"/>
                <w:b/>
                <w:bCs/>
                <w:kern w:val="0"/>
                <w:szCs w:val="21"/>
              </w:rPr>
            </w:pPr>
          </w:p>
          <w:p>
            <w:pPr>
              <w:widowControl/>
              <w:jc w:val="center"/>
              <w:rPr>
                <w:rFonts w:ascii="宋体" w:hAnsi="宋体"/>
                <w:b/>
                <w:bCs/>
                <w:kern w:val="0"/>
                <w:szCs w:val="21"/>
              </w:rPr>
            </w:pPr>
          </w:p>
          <w:p>
            <w:pPr>
              <w:widowControl/>
              <w:rPr>
                <w:rFonts w:ascii="宋体" w:hAnsi="宋体"/>
                <w:b/>
                <w:bCs/>
                <w:kern w:val="0"/>
                <w:szCs w:val="21"/>
              </w:rPr>
            </w:pP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b/>
                <w:bCs/>
                <w:kern w:val="0"/>
                <w:szCs w:val="21"/>
              </w:rPr>
            </w:pPr>
            <w:r>
              <w:rPr>
                <w:rFonts w:ascii="宋体" w:hAnsi="宋体"/>
                <w:b/>
                <w:bCs/>
                <w:kern w:val="0"/>
                <w:szCs w:val="21"/>
              </w:rPr>
              <w:t>申 报 材 料</w:t>
            </w:r>
          </w:p>
        </w:tc>
        <w:tc>
          <w:tcPr>
            <w:tcW w:w="1288" w:type="dxa"/>
            <w:tcBorders>
              <w:top w:val="single" w:color="auto" w:sz="4" w:space="0"/>
              <w:left w:val="single" w:color="auto" w:sz="4" w:space="0"/>
              <w:bottom w:val="single" w:color="auto" w:sz="4" w:space="0"/>
              <w:right w:val="single" w:color="auto" w:sz="4" w:space="0"/>
            </w:tcBorders>
            <w:shd w:val="clear" w:color="auto" w:fill="C0C0C0"/>
            <w:vAlign w:val="center"/>
          </w:tcPr>
          <w:p>
            <w:pPr>
              <w:widowControl/>
              <w:jc w:val="center"/>
              <w:rPr>
                <w:rFonts w:ascii="宋体" w:hAnsi="宋体"/>
                <w:b/>
                <w:bCs/>
                <w:kern w:val="0"/>
                <w:szCs w:val="21"/>
              </w:rPr>
            </w:pPr>
            <w:r>
              <w:rPr>
                <w:rFonts w:ascii="宋体" w:hAnsi="宋体"/>
                <w:b/>
                <w:bCs/>
                <w:kern w:val="0"/>
                <w:szCs w:val="21"/>
              </w:rPr>
              <w:t>是否齐备</w:t>
            </w: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rPr>
            </w:pPr>
            <w:r>
              <w:rPr>
                <w:rFonts w:ascii="宋体" w:hAnsi="宋体"/>
                <w:kern w:val="0"/>
                <w:szCs w:val="21"/>
              </w:rPr>
              <w:t>1</w:t>
            </w:r>
            <w:r>
              <w:rPr>
                <w:rFonts w:hint="eastAsia" w:ascii="宋体" w:hAnsi="宋体"/>
                <w:kern w:val="0"/>
                <w:szCs w:val="21"/>
              </w:rPr>
              <w:t>．</w:t>
            </w:r>
            <w:r>
              <w:rPr>
                <w:rFonts w:ascii="宋体" w:hAnsi="宋体"/>
                <w:kern w:val="0"/>
                <w:szCs w:val="21"/>
              </w:rPr>
              <w:t>中国证监会相关</w:t>
            </w:r>
            <w:r>
              <w:rPr>
                <w:rFonts w:hint="eastAsia" w:ascii="宋体" w:hAnsi="宋体"/>
                <w:kern w:val="0"/>
                <w:szCs w:val="21"/>
              </w:rPr>
              <w:t>批复</w:t>
            </w:r>
            <w:r>
              <w:rPr>
                <w:rFonts w:ascii="宋体" w:hAnsi="宋体"/>
                <w:kern w:val="0"/>
                <w:szCs w:val="21"/>
              </w:rPr>
              <w:t>文件（如适用）</w:t>
            </w: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rPr>
            </w:pP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FFFFFF"/>
          </w:tcPr>
          <w:p>
            <w:pPr>
              <w:widowControl/>
              <w:rPr>
                <w:rFonts w:ascii="宋体" w:hAnsi="宋体"/>
                <w:kern w:val="0"/>
                <w:szCs w:val="21"/>
              </w:rPr>
            </w:pPr>
            <w:r>
              <w:rPr>
                <w:rFonts w:ascii="宋体" w:hAnsi="宋体"/>
                <w:kern w:val="0"/>
                <w:szCs w:val="21"/>
              </w:rPr>
              <w:t>2</w:t>
            </w:r>
            <w:r>
              <w:rPr>
                <w:rFonts w:hint="eastAsia" w:ascii="宋体" w:hAnsi="宋体"/>
                <w:kern w:val="0"/>
                <w:szCs w:val="21"/>
              </w:rPr>
              <w:t>．</w:t>
            </w:r>
            <w:r>
              <w:rPr>
                <w:rFonts w:ascii="宋体" w:hAnsi="宋体"/>
                <w:kern w:val="0"/>
                <w:szCs w:val="21"/>
              </w:rPr>
              <w:t>第三方授权上市公司办理现金选择权业务的授权委托书及第三方的营业执照复印件（如适用）</w:t>
            </w: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rPr>
            </w:pP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FFFFFF"/>
          </w:tcPr>
          <w:p>
            <w:pPr>
              <w:widowControl/>
              <w:rPr>
                <w:rFonts w:ascii="宋体" w:hAnsi="宋体"/>
                <w:kern w:val="0"/>
                <w:szCs w:val="21"/>
              </w:rPr>
            </w:pPr>
            <w:r>
              <w:rPr>
                <w:rFonts w:ascii="宋体" w:hAnsi="宋体"/>
                <w:kern w:val="0"/>
                <w:szCs w:val="21"/>
              </w:rPr>
              <w:t>3</w:t>
            </w:r>
            <w:r>
              <w:rPr>
                <w:rFonts w:hint="eastAsia" w:ascii="宋体" w:hAnsi="宋体"/>
                <w:kern w:val="0"/>
                <w:szCs w:val="21"/>
              </w:rPr>
              <w:t>．</w:t>
            </w:r>
            <w:r>
              <w:rPr>
                <w:rFonts w:ascii="宋体" w:hAnsi="宋体"/>
                <w:kern w:val="0"/>
                <w:szCs w:val="21"/>
              </w:rPr>
              <w:t>关于现金选择权方案的公告及股东大会决议</w:t>
            </w: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rPr>
            </w:pP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FFFFFF"/>
          </w:tcPr>
          <w:p>
            <w:pPr>
              <w:widowControl/>
              <w:rPr>
                <w:rFonts w:ascii="宋体" w:hAnsi="宋体"/>
                <w:kern w:val="0"/>
                <w:szCs w:val="21"/>
              </w:rPr>
            </w:pPr>
            <w:r>
              <w:rPr>
                <w:rFonts w:ascii="宋体" w:hAnsi="宋体"/>
                <w:kern w:val="0"/>
                <w:szCs w:val="21"/>
              </w:rPr>
              <w:t>4</w:t>
            </w:r>
            <w:r>
              <w:rPr>
                <w:rFonts w:hint="eastAsia" w:ascii="宋体" w:hAnsi="宋体"/>
                <w:kern w:val="0"/>
                <w:szCs w:val="21"/>
              </w:rPr>
              <w:t>．</w:t>
            </w:r>
            <w:r>
              <w:rPr>
                <w:rFonts w:ascii="宋体" w:hAnsi="宋体"/>
                <w:kern w:val="0"/>
                <w:szCs w:val="21"/>
              </w:rPr>
              <w:t>现金选择权派发公告文稿</w:t>
            </w: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rPr>
            </w:pP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FFFFFF"/>
          </w:tcPr>
          <w:p>
            <w:pPr>
              <w:widowControl/>
              <w:rPr>
                <w:rFonts w:ascii="宋体" w:hAnsi="宋体"/>
                <w:kern w:val="0"/>
                <w:szCs w:val="21"/>
              </w:rPr>
            </w:pPr>
            <w:r>
              <w:rPr>
                <w:rFonts w:ascii="宋体" w:hAnsi="宋体"/>
                <w:kern w:val="0"/>
                <w:szCs w:val="21"/>
              </w:rPr>
              <w:t>5</w:t>
            </w:r>
            <w:r>
              <w:rPr>
                <w:rFonts w:hint="eastAsia" w:ascii="宋体" w:hAnsi="宋体"/>
                <w:kern w:val="0"/>
                <w:szCs w:val="21"/>
              </w:rPr>
              <w:t>．</w:t>
            </w:r>
            <w:r>
              <w:rPr>
                <w:rFonts w:ascii="宋体" w:hAnsi="宋体"/>
                <w:kern w:val="0"/>
                <w:szCs w:val="21"/>
              </w:rPr>
              <w:t>定向派发明细表</w:t>
            </w: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rPr>
            </w:pPr>
          </w:p>
        </w:tc>
      </w:tr>
      <w:tr>
        <w:tblPrEx>
          <w:tblCellMar>
            <w:top w:w="0" w:type="dxa"/>
            <w:left w:w="108" w:type="dxa"/>
            <w:bottom w:w="0" w:type="dxa"/>
            <w:right w:w="108" w:type="dxa"/>
          </w:tblCellMar>
        </w:tblPrEx>
        <w:trPr>
          <w:trHeight w:val="465" w:hRule="atLeast"/>
        </w:trPr>
        <w:tc>
          <w:tcPr>
            <w:tcW w:w="692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rPr>
            </w:pPr>
            <w:r>
              <w:rPr>
                <w:rFonts w:ascii="宋体" w:hAnsi="宋体"/>
                <w:kern w:val="0"/>
                <w:szCs w:val="21"/>
              </w:rPr>
              <w:t>6</w:t>
            </w:r>
            <w:r>
              <w:rPr>
                <w:rFonts w:hint="eastAsia" w:ascii="宋体" w:hAnsi="宋体"/>
                <w:kern w:val="0"/>
                <w:szCs w:val="21"/>
              </w:rPr>
              <w:t>．</w:t>
            </w:r>
            <w:r>
              <w:rPr>
                <w:rFonts w:ascii="宋体" w:hAnsi="宋体"/>
                <w:kern w:val="0"/>
                <w:szCs w:val="21"/>
              </w:rPr>
              <w:t>结算公司或深交所要求的其他材料</w:t>
            </w:r>
          </w:p>
        </w:tc>
        <w:tc>
          <w:tcPr>
            <w:tcW w:w="1288"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rPr>
                <w:rFonts w:ascii="宋体" w:hAnsi="宋体"/>
                <w:kern w:val="0"/>
                <w:szCs w:val="21"/>
              </w:rPr>
            </w:pPr>
          </w:p>
        </w:tc>
      </w:tr>
      <w:tr>
        <w:tblPrEx>
          <w:tblCellMar>
            <w:top w:w="0" w:type="dxa"/>
            <w:left w:w="108" w:type="dxa"/>
            <w:bottom w:w="0" w:type="dxa"/>
            <w:right w:w="108" w:type="dxa"/>
          </w:tblCellMar>
        </w:tblPrEx>
        <w:trPr>
          <w:trHeight w:val="345" w:hRule="atLeast"/>
        </w:trPr>
        <w:tc>
          <w:tcPr>
            <w:tcW w:w="8217" w:type="dxa"/>
            <w:gridSpan w:val="6"/>
            <w:tcBorders>
              <w:top w:val="single" w:color="auto" w:sz="4" w:space="0"/>
              <w:left w:val="single" w:color="auto" w:sz="4" w:space="0"/>
              <w:bottom w:val="single" w:color="auto" w:sz="4" w:space="0"/>
              <w:right w:val="single" w:color="auto" w:sz="4" w:space="0"/>
            </w:tcBorders>
            <w:shd w:val="clear" w:color="auto" w:fill="C0C0C0"/>
          </w:tcPr>
          <w:p>
            <w:pPr>
              <w:widowControl/>
              <w:jc w:val="center"/>
              <w:rPr>
                <w:rFonts w:ascii="宋体" w:hAnsi="宋体"/>
                <w:b/>
                <w:bCs/>
                <w:kern w:val="0"/>
                <w:szCs w:val="21"/>
              </w:rPr>
            </w:pPr>
            <w:r>
              <w:rPr>
                <w:rFonts w:ascii="宋体" w:hAnsi="宋体"/>
                <w:b/>
                <w:bCs/>
                <w:kern w:val="0"/>
                <w:szCs w:val="21"/>
              </w:rPr>
              <w:t>董事会声明</w:t>
            </w:r>
          </w:p>
        </w:tc>
      </w:tr>
      <w:tr>
        <w:tblPrEx>
          <w:tblCellMar>
            <w:top w:w="0" w:type="dxa"/>
            <w:left w:w="108" w:type="dxa"/>
            <w:bottom w:w="0" w:type="dxa"/>
            <w:right w:w="108" w:type="dxa"/>
          </w:tblCellMar>
        </w:tblPrEx>
        <w:trPr>
          <w:cantSplit/>
          <w:trHeight w:val="540" w:hRule="atLeast"/>
        </w:trPr>
        <w:tc>
          <w:tcPr>
            <w:tcW w:w="8217" w:type="dxa"/>
            <w:gridSpan w:val="6"/>
            <w:tcBorders>
              <w:top w:val="single" w:color="auto" w:sz="4" w:space="0"/>
              <w:left w:val="single" w:color="auto" w:sz="4" w:space="0"/>
              <w:bottom w:val="single" w:color="auto" w:sz="4" w:space="0"/>
              <w:right w:val="single" w:color="auto" w:sz="4" w:space="0"/>
            </w:tcBorders>
          </w:tcPr>
          <w:p>
            <w:pPr>
              <w:widowControl/>
              <w:ind w:firstLine="540"/>
              <w:rPr>
                <w:rFonts w:ascii="宋体" w:hAnsi="宋体"/>
                <w:bCs/>
                <w:kern w:val="0"/>
                <w:szCs w:val="21"/>
              </w:rPr>
            </w:pPr>
            <w:r>
              <w:rPr>
                <w:rFonts w:ascii="宋体" w:hAnsi="宋体"/>
                <w:szCs w:val="21"/>
              </w:rPr>
              <w:t>本公司董事会保证上述材料的真实、准确、完整、合法，特向深圳证券交易所、中国证券登记结算有限责任公司深圳分公司申请办理现金选择权派发登记手续。</w:t>
            </w:r>
            <w:r>
              <w:rPr>
                <w:rFonts w:ascii="宋体" w:hAnsi="宋体"/>
                <w:bCs/>
                <w:kern w:val="0"/>
                <w:szCs w:val="21"/>
              </w:rPr>
              <w:t xml:space="preserve">                                                                     </w:t>
            </w:r>
          </w:p>
          <w:p>
            <w:pPr>
              <w:widowControl/>
              <w:ind w:firstLine="480"/>
              <w:jc w:val="right"/>
              <w:rPr>
                <w:rFonts w:ascii="宋体" w:hAnsi="宋体"/>
                <w:bCs/>
                <w:kern w:val="0"/>
                <w:szCs w:val="21"/>
              </w:rPr>
            </w:pPr>
          </w:p>
          <w:p>
            <w:pPr>
              <w:widowControl/>
              <w:ind w:firstLine="480"/>
              <w:jc w:val="right"/>
              <w:rPr>
                <w:rFonts w:ascii="宋体" w:hAnsi="宋体"/>
                <w:bCs/>
                <w:kern w:val="0"/>
                <w:szCs w:val="21"/>
              </w:rPr>
            </w:pPr>
          </w:p>
          <w:p>
            <w:pPr>
              <w:widowControl/>
              <w:ind w:right="484" w:firstLine="480"/>
              <w:jc w:val="right"/>
              <w:rPr>
                <w:rFonts w:ascii="宋体" w:hAnsi="宋体"/>
                <w:bCs/>
                <w:kern w:val="0"/>
                <w:szCs w:val="21"/>
              </w:rPr>
            </w:pPr>
            <w:r>
              <w:rPr>
                <w:rFonts w:ascii="宋体" w:hAnsi="宋体"/>
                <w:szCs w:val="21"/>
              </w:rPr>
              <w:t>XXX股份有限公司董事会</w:t>
            </w:r>
            <w:r>
              <w:rPr>
                <w:rFonts w:ascii="宋体" w:hAnsi="宋体"/>
                <w:bCs/>
                <w:kern w:val="0"/>
                <w:szCs w:val="21"/>
              </w:rPr>
              <w:t xml:space="preserve">（董事会章）                                                                  </w:t>
            </w:r>
          </w:p>
          <w:p>
            <w:pPr>
              <w:widowControl/>
              <w:ind w:right="964" w:firstLine="480"/>
              <w:jc w:val="center"/>
              <w:rPr>
                <w:rFonts w:ascii="宋体" w:hAnsi="宋体"/>
                <w:b/>
                <w:bCs/>
                <w:kern w:val="0"/>
                <w:szCs w:val="21"/>
              </w:rPr>
            </w:pPr>
            <w:r>
              <w:rPr>
                <w:rFonts w:ascii="宋体" w:hAnsi="宋体"/>
                <w:bCs/>
                <w:kern w:val="0"/>
                <w:szCs w:val="21"/>
              </w:rPr>
              <w:t xml:space="preserve">                                           年  月  日 </w:t>
            </w:r>
          </w:p>
        </w:tc>
      </w:tr>
    </w:tbl>
    <w:p>
      <w:pPr>
        <w:spacing w:line="520" w:lineRule="exact"/>
        <w:rPr>
          <w:rFonts w:ascii="黑体" w:hAnsi="黑体" w:eastAsia="黑体"/>
          <w:sz w:val="32"/>
          <w:szCs w:val="32"/>
        </w:rPr>
      </w:pPr>
      <w:r>
        <w:rPr>
          <w:rFonts w:ascii="Times New Roman" w:hAnsi="Times New Roman" w:eastAsia="仿宋"/>
          <w:sz w:val="32"/>
          <w:szCs w:val="32"/>
        </w:rPr>
        <w:br w:type="page"/>
      </w:r>
      <w:r>
        <w:rPr>
          <w:rFonts w:ascii="黑体" w:hAnsi="黑体" w:eastAsia="黑体"/>
          <w:sz w:val="32"/>
          <w:szCs w:val="32"/>
        </w:rPr>
        <w:t>附件2</w:t>
      </w:r>
    </w:p>
    <w:p>
      <w:pPr>
        <w:spacing w:line="520" w:lineRule="exact"/>
        <w:rPr>
          <w:rFonts w:ascii="黑体" w:hAnsi="黑体" w:eastAsia="黑体"/>
          <w:b/>
          <w:bCs/>
          <w:sz w:val="32"/>
          <w:szCs w:val="32"/>
        </w:rPr>
      </w:pPr>
    </w:p>
    <w:p>
      <w:pPr>
        <w:spacing w:line="56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上市公司现金选择权行权申请表</w:t>
      </w:r>
    </w:p>
    <w:tbl>
      <w:tblPr>
        <w:tblStyle w:val="56"/>
        <w:tblW w:w="0" w:type="auto"/>
        <w:jc w:val="center"/>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2202"/>
        <w:gridCol w:w="2131"/>
        <w:gridCol w:w="2130"/>
        <w:gridCol w:w="917"/>
        <w:gridCol w:w="1214"/>
      </w:tblGrid>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2202"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rPr>
            </w:pPr>
            <w:r>
              <w:rPr>
                <w:rFonts w:ascii="宋体" w:hAnsi="宋体"/>
                <w:szCs w:val="21"/>
              </w:rPr>
              <w:t>证券简称</w:t>
            </w:r>
          </w:p>
        </w:tc>
        <w:tc>
          <w:tcPr>
            <w:tcW w:w="2131" w:type="dxa"/>
            <w:tcBorders>
              <w:top w:val="single" w:color="000000" w:sz="6" w:space="0"/>
              <w:left w:val="single" w:color="000000" w:sz="6" w:space="0"/>
              <w:bottom w:val="single" w:color="000000" w:sz="6" w:space="0"/>
              <w:right w:val="single" w:color="000000" w:sz="6" w:space="0"/>
            </w:tcBorders>
          </w:tcPr>
          <w:p>
            <w:pPr>
              <w:rPr>
                <w:rFonts w:ascii="宋体" w:hAnsi="宋体"/>
                <w:szCs w:val="21"/>
              </w:rPr>
            </w:pPr>
          </w:p>
        </w:tc>
        <w:tc>
          <w:tcPr>
            <w:tcW w:w="2130"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rPr>
            </w:pPr>
            <w:r>
              <w:rPr>
                <w:rFonts w:ascii="宋体" w:hAnsi="宋体"/>
                <w:szCs w:val="21"/>
              </w:rPr>
              <w:t>证券代码</w:t>
            </w:r>
          </w:p>
        </w:tc>
        <w:tc>
          <w:tcPr>
            <w:tcW w:w="2131" w:type="dxa"/>
            <w:gridSpan w:val="2"/>
            <w:tcBorders>
              <w:top w:val="single" w:color="000000" w:sz="6" w:space="0"/>
              <w:left w:val="single" w:color="000000" w:sz="6" w:space="0"/>
              <w:bottom w:val="single" w:color="000000" w:sz="6" w:space="0"/>
              <w:right w:val="single" w:color="000000" w:sz="6" w:space="0"/>
            </w:tcBorders>
          </w:tcPr>
          <w:p>
            <w:pPr>
              <w:rPr>
                <w:rFonts w:ascii="宋体" w:hAnsi="宋体"/>
                <w:szCs w:val="21"/>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2202"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rPr>
            </w:pPr>
            <w:r>
              <w:rPr>
                <w:rFonts w:ascii="宋体" w:hAnsi="宋体"/>
                <w:szCs w:val="21"/>
              </w:rPr>
              <w:t>第三方名称</w:t>
            </w:r>
          </w:p>
        </w:tc>
        <w:tc>
          <w:tcPr>
            <w:tcW w:w="6392" w:type="dxa"/>
            <w:gridSpan w:val="4"/>
            <w:tcBorders>
              <w:top w:val="single" w:color="000000" w:sz="6" w:space="0"/>
              <w:left w:val="single" w:color="000000" w:sz="6" w:space="0"/>
              <w:bottom w:val="single" w:color="000000" w:sz="6" w:space="0"/>
              <w:right w:val="single" w:color="000000" w:sz="6" w:space="0"/>
            </w:tcBorders>
          </w:tcPr>
          <w:p>
            <w:pPr>
              <w:rPr>
                <w:rFonts w:ascii="宋体" w:hAnsi="宋体"/>
                <w:szCs w:val="21"/>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2202"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rPr>
            </w:pPr>
            <w:r>
              <w:rPr>
                <w:rFonts w:ascii="宋体" w:hAnsi="宋体"/>
                <w:szCs w:val="21"/>
              </w:rPr>
              <w:t>第三方证券账户</w:t>
            </w:r>
          </w:p>
        </w:tc>
        <w:tc>
          <w:tcPr>
            <w:tcW w:w="6392" w:type="dxa"/>
            <w:gridSpan w:val="4"/>
            <w:tcBorders>
              <w:top w:val="single" w:color="000000" w:sz="6" w:space="0"/>
              <w:left w:val="single" w:color="000000" w:sz="6" w:space="0"/>
              <w:bottom w:val="single" w:color="000000" w:sz="6" w:space="0"/>
              <w:right w:val="single" w:color="000000" w:sz="6" w:space="0"/>
            </w:tcBorders>
          </w:tcPr>
          <w:p>
            <w:pPr>
              <w:rPr>
                <w:rFonts w:ascii="宋体" w:hAnsi="宋体"/>
                <w:szCs w:val="21"/>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02" w:type="dxa"/>
            <w:tcBorders>
              <w:top w:val="single" w:color="000000" w:sz="6" w:space="0"/>
              <w:left w:val="single" w:color="000000" w:sz="6" w:space="0"/>
              <w:bottom w:val="single" w:color="000000" w:sz="6" w:space="0"/>
              <w:right w:val="single" w:color="000000" w:sz="6" w:space="0"/>
            </w:tcBorders>
          </w:tcPr>
          <w:p>
            <w:pPr>
              <w:jc w:val="center"/>
              <w:rPr>
                <w:rFonts w:ascii="宋体" w:hAnsi="宋体"/>
                <w:szCs w:val="21"/>
              </w:rPr>
            </w:pPr>
            <w:r>
              <w:rPr>
                <w:rFonts w:ascii="宋体" w:hAnsi="宋体"/>
                <w:szCs w:val="21"/>
              </w:rPr>
              <w:t>第三方委托的</w:t>
            </w:r>
          </w:p>
          <w:p>
            <w:pPr>
              <w:jc w:val="center"/>
              <w:rPr>
                <w:rFonts w:ascii="宋体" w:hAnsi="宋体"/>
                <w:szCs w:val="21"/>
              </w:rPr>
            </w:pPr>
            <w:r>
              <w:rPr>
                <w:rFonts w:ascii="宋体" w:hAnsi="宋体"/>
                <w:szCs w:val="21"/>
              </w:rPr>
              <w:t>证券公司名称</w:t>
            </w:r>
          </w:p>
        </w:tc>
        <w:tc>
          <w:tcPr>
            <w:tcW w:w="2131" w:type="dxa"/>
            <w:tcBorders>
              <w:top w:val="single" w:color="000000" w:sz="6" w:space="0"/>
              <w:left w:val="single" w:color="000000" w:sz="6" w:space="0"/>
              <w:bottom w:val="single" w:color="000000" w:sz="6" w:space="0"/>
              <w:right w:val="single" w:color="000000" w:sz="6" w:space="0"/>
            </w:tcBorders>
          </w:tcPr>
          <w:p>
            <w:pPr>
              <w:rPr>
                <w:rFonts w:ascii="宋体" w:hAnsi="宋体"/>
                <w:szCs w:val="21"/>
              </w:rPr>
            </w:pPr>
          </w:p>
        </w:tc>
        <w:tc>
          <w:tcPr>
            <w:tcW w:w="2130" w:type="dxa"/>
            <w:tcBorders>
              <w:top w:val="single" w:color="000000" w:sz="6" w:space="0"/>
              <w:left w:val="single" w:color="000000" w:sz="6" w:space="0"/>
              <w:bottom w:val="single" w:color="000000" w:sz="6" w:space="0"/>
              <w:right w:val="single" w:color="000000" w:sz="6" w:space="0"/>
            </w:tcBorders>
          </w:tcPr>
          <w:p>
            <w:pPr>
              <w:jc w:val="center"/>
              <w:rPr>
                <w:rFonts w:ascii="宋体" w:hAnsi="宋体"/>
                <w:szCs w:val="21"/>
              </w:rPr>
            </w:pPr>
            <w:r>
              <w:rPr>
                <w:rFonts w:ascii="宋体" w:hAnsi="宋体"/>
                <w:szCs w:val="21"/>
              </w:rPr>
              <w:t>第三方委托的证券公司席位代码</w:t>
            </w:r>
          </w:p>
        </w:tc>
        <w:tc>
          <w:tcPr>
            <w:tcW w:w="2131" w:type="dxa"/>
            <w:gridSpan w:val="2"/>
            <w:tcBorders>
              <w:top w:val="single" w:color="000000" w:sz="6" w:space="0"/>
              <w:left w:val="single" w:color="000000" w:sz="6" w:space="0"/>
              <w:bottom w:val="single" w:color="000000" w:sz="6" w:space="0"/>
              <w:right w:val="single" w:color="000000" w:sz="6" w:space="0"/>
            </w:tcBorders>
          </w:tcPr>
          <w:p>
            <w:pPr>
              <w:rPr>
                <w:rFonts w:ascii="宋体" w:hAnsi="宋体"/>
                <w:szCs w:val="21"/>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2202"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rPr>
            </w:pPr>
            <w:r>
              <w:rPr>
                <w:rFonts w:ascii="宋体" w:hAnsi="宋体"/>
                <w:szCs w:val="21"/>
              </w:rPr>
              <w:t>现金选择权约定价格</w:t>
            </w:r>
          </w:p>
        </w:tc>
        <w:tc>
          <w:tcPr>
            <w:tcW w:w="2131"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rPr>
            </w:pPr>
          </w:p>
        </w:tc>
        <w:tc>
          <w:tcPr>
            <w:tcW w:w="2130"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rPr>
            </w:pPr>
            <w:r>
              <w:rPr>
                <w:rFonts w:ascii="宋体" w:hAnsi="宋体"/>
                <w:szCs w:val="21"/>
              </w:rPr>
              <w:t>履约保证金金额</w:t>
            </w:r>
          </w:p>
        </w:tc>
        <w:tc>
          <w:tcPr>
            <w:tcW w:w="2131" w:type="dxa"/>
            <w:gridSpan w:val="2"/>
            <w:tcBorders>
              <w:top w:val="single" w:color="000000" w:sz="6" w:space="0"/>
              <w:left w:val="single" w:color="000000" w:sz="6" w:space="0"/>
              <w:bottom w:val="single" w:color="000000" w:sz="6" w:space="0"/>
              <w:right w:val="single" w:color="000000" w:sz="6" w:space="0"/>
            </w:tcBorders>
          </w:tcPr>
          <w:p>
            <w:pPr>
              <w:rPr>
                <w:rFonts w:ascii="宋体" w:hAnsi="宋体"/>
                <w:szCs w:val="21"/>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550" w:hRule="atLeast"/>
          <w:jc w:val="center"/>
        </w:trPr>
        <w:tc>
          <w:tcPr>
            <w:tcW w:w="2202"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rPr>
            </w:pPr>
            <w:r>
              <w:rPr>
                <w:rFonts w:ascii="宋体" w:hAnsi="宋体"/>
                <w:szCs w:val="21"/>
              </w:rPr>
              <w:t>现金选择权参考价值</w:t>
            </w:r>
          </w:p>
        </w:tc>
        <w:tc>
          <w:tcPr>
            <w:tcW w:w="2131"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rPr>
            </w:pPr>
          </w:p>
        </w:tc>
        <w:tc>
          <w:tcPr>
            <w:tcW w:w="2130"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rPr>
            </w:pPr>
            <w:r>
              <w:rPr>
                <w:rFonts w:ascii="宋体" w:hAnsi="宋体"/>
                <w:szCs w:val="21"/>
              </w:rPr>
              <w:t>现金选择权所含权利的Delta值</w:t>
            </w:r>
          </w:p>
        </w:tc>
        <w:tc>
          <w:tcPr>
            <w:tcW w:w="2131" w:type="dxa"/>
            <w:gridSpan w:val="2"/>
            <w:tcBorders>
              <w:top w:val="single" w:color="000000" w:sz="6" w:space="0"/>
              <w:left w:val="single" w:color="000000" w:sz="6" w:space="0"/>
              <w:bottom w:val="single" w:color="000000" w:sz="6" w:space="0"/>
              <w:right w:val="single" w:color="000000" w:sz="6" w:space="0"/>
            </w:tcBorders>
          </w:tcPr>
          <w:p>
            <w:pPr>
              <w:rPr>
                <w:rFonts w:ascii="宋体" w:hAnsi="宋体"/>
                <w:szCs w:val="21"/>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02" w:type="dxa"/>
            <w:tcBorders>
              <w:top w:val="single" w:color="000000" w:sz="6" w:space="0"/>
              <w:left w:val="single" w:color="000000" w:sz="6" w:space="0"/>
              <w:bottom w:val="single" w:color="000000" w:sz="6" w:space="0"/>
              <w:right w:val="single" w:color="000000" w:sz="6" w:space="0"/>
            </w:tcBorders>
          </w:tcPr>
          <w:p>
            <w:pPr>
              <w:jc w:val="center"/>
              <w:rPr>
                <w:rFonts w:ascii="宋体" w:hAnsi="宋体"/>
                <w:szCs w:val="21"/>
              </w:rPr>
            </w:pPr>
            <w:r>
              <w:rPr>
                <w:rFonts w:ascii="宋体" w:hAnsi="宋体"/>
                <w:szCs w:val="21"/>
              </w:rPr>
              <w:t>现金选择权</w:t>
            </w:r>
          </w:p>
          <w:p>
            <w:pPr>
              <w:jc w:val="center"/>
              <w:rPr>
                <w:rFonts w:ascii="宋体" w:hAnsi="宋体"/>
                <w:szCs w:val="21"/>
              </w:rPr>
            </w:pPr>
            <w:r>
              <w:rPr>
                <w:rFonts w:ascii="宋体" w:hAnsi="宋体"/>
                <w:szCs w:val="21"/>
              </w:rPr>
              <w:t>申报起始日期</w:t>
            </w:r>
          </w:p>
        </w:tc>
        <w:tc>
          <w:tcPr>
            <w:tcW w:w="2131" w:type="dxa"/>
            <w:tcBorders>
              <w:top w:val="single" w:color="000000" w:sz="6" w:space="0"/>
              <w:left w:val="single" w:color="000000" w:sz="6" w:space="0"/>
              <w:bottom w:val="single" w:color="000000" w:sz="6" w:space="0"/>
              <w:right w:val="single" w:color="000000" w:sz="6" w:space="0"/>
            </w:tcBorders>
          </w:tcPr>
          <w:p>
            <w:pPr>
              <w:jc w:val="center"/>
              <w:rPr>
                <w:rFonts w:ascii="宋体" w:hAnsi="宋体"/>
                <w:szCs w:val="21"/>
              </w:rPr>
            </w:pPr>
          </w:p>
        </w:tc>
        <w:tc>
          <w:tcPr>
            <w:tcW w:w="2130" w:type="dxa"/>
            <w:tcBorders>
              <w:top w:val="single" w:color="000000" w:sz="6" w:space="0"/>
              <w:left w:val="single" w:color="000000" w:sz="6" w:space="0"/>
              <w:bottom w:val="single" w:color="000000" w:sz="6" w:space="0"/>
              <w:right w:val="single" w:color="000000" w:sz="6" w:space="0"/>
            </w:tcBorders>
          </w:tcPr>
          <w:p>
            <w:pPr>
              <w:jc w:val="center"/>
              <w:rPr>
                <w:rFonts w:ascii="宋体" w:hAnsi="宋体"/>
                <w:szCs w:val="21"/>
              </w:rPr>
            </w:pPr>
            <w:r>
              <w:rPr>
                <w:rFonts w:ascii="宋体" w:hAnsi="宋体"/>
                <w:szCs w:val="21"/>
              </w:rPr>
              <w:t>现金选择权</w:t>
            </w:r>
          </w:p>
          <w:p>
            <w:pPr>
              <w:jc w:val="center"/>
              <w:rPr>
                <w:rFonts w:ascii="宋体" w:hAnsi="宋体"/>
                <w:szCs w:val="21"/>
              </w:rPr>
            </w:pPr>
            <w:r>
              <w:rPr>
                <w:rFonts w:ascii="宋体" w:hAnsi="宋体"/>
                <w:szCs w:val="21"/>
              </w:rPr>
              <w:t>申报截止日期</w:t>
            </w:r>
          </w:p>
        </w:tc>
        <w:tc>
          <w:tcPr>
            <w:tcW w:w="2131" w:type="dxa"/>
            <w:gridSpan w:val="2"/>
            <w:tcBorders>
              <w:top w:val="single" w:color="000000" w:sz="6" w:space="0"/>
              <w:left w:val="single" w:color="000000" w:sz="6" w:space="0"/>
              <w:bottom w:val="single" w:color="000000" w:sz="6" w:space="0"/>
              <w:right w:val="single" w:color="000000" w:sz="6" w:space="0"/>
            </w:tcBorders>
          </w:tcPr>
          <w:p>
            <w:pPr>
              <w:rPr>
                <w:rFonts w:ascii="宋体" w:hAnsi="宋体"/>
                <w:szCs w:val="21"/>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534" w:hRule="atLeast"/>
          <w:jc w:val="center"/>
        </w:trPr>
        <w:tc>
          <w:tcPr>
            <w:tcW w:w="2202" w:type="dxa"/>
            <w:tcBorders>
              <w:top w:val="single" w:color="000000" w:sz="6" w:space="0"/>
              <w:left w:val="single" w:color="000000" w:sz="6" w:space="0"/>
              <w:bottom w:val="single" w:color="000000" w:sz="6" w:space="0"/>
              <w:right w:val="single" w:color="000000" w:sz="6" w:space="0"/>
            </w:tcBorders>
            <w:vAlign w:val="center"/>
          </w:tcPr>
          <w:p>
            <w:pPr>
              <w:jc w:val="center"/>
              <w:rPr>
                <w:rFonts w:ascii="宋体" w:hAnsi="宋体"/>
                <w:szCs w:val="21"/>
              </w:rPr>
            </w:pPr>
            <w:r>
              <w:rPr>
                <w:rFonts w:ascii="宋体" w:hAnsi="宋体"/>
                <w:szCs w:val="21"/>
              </w:rPr>
              <w:t>现金选择权的模式</w:t>
            </w:r>
          </w:p>
        </w:tc>
        <w:tc>
          <w:tcPr>
            <w:tcW w:w="6392" w:type="dxa"/>
            <w:gridSpan w:val="4"/>
            <w:tcBorders>
              <w:top w:val="single" w:color="000000" w:sz="6" w:space="0"/>
              <w:left w:val="single" w:color="000000" w:sz="6" w:space="0"/>
              <w:bottom w:val="single" w:color="000000" w:sz="6" w:space="0"/>
              <w:right w:val="single" w:color="000000" w:sz="6" w:space="0"/>
            </w:tcBorders>
            <w:vAlign w:val="center"/>
          </w:tcPr>
          <w:p>
            <w:pPr>
              <w:rPr>
                <w:rFonts w:ascii="宋体" w:hAnsi="宋体"/>
                <w:szCs w:val="21"/>
              </w:rPr>
            </w:pPr>
            <w:r>
              <w:rPr>
                <w:rFonts w:ascii="宋体" w:hAnsi="宋体"/>
                <w:szCs w:val="21"/>
              </w:rPr>
              <w:t>1．通过交易系统申报；2．手工申报</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7380" w:type="dxa"/>
            <w:gridSpan w:val="4"/>
            <w:tcBorders>
              <w:top w:val="single" w:color="000000" w:sz="6" w:space="0"/>
              <w:left w:val="single" w:color="000000" w:sz="6" w:space="0"/>
              <w:bottom w:val="single" w:color="000000" w:sz="6" w:space="0"/>
              <w:right w:val="single" w:color="000000" w:sz="6" w:space="0"/>
            </w:tcBorders>
            <w:shd w:val="clear" w:color="auto" w:fill="CCCCCC"/>
          </w:tcPr>
          <w:p>
            <w:pPr>
              <w:jc w:val="center"/>
              <w:rPr>
                <w:rFonts w:ascii="宋体" w:hAnsi="宋体"/>
                <w:szCs w:val="21"/>
              </w:rPr>
            </w:pPr>
            <w:r>
              <w:rPr>
                <w:rFonts w:ascii="宋体" w:hAnsi="宋体"/>
                <w:szCs w:val="21"/>
              </w:rPr>
              <w:t>申报材料</w:t>
            </w:r>
          </w:p>
        </w:tc>
        <w:tc>
          <w:tcPr>
            <w:tcW w:w="1214" w:type="dxa"/>
            <w:tcBorders>
              <w:top w:val="single" w:color="000000" w:sz="6" w:space="0"/>
              <w:left w:val="single" w:color="000000" w:sz="6" w:space="0"/>
              <w:bottom w:val="single" w:color="000000" w:sz="6" w:space="0"/>
              <w:right w:val="single" w:color="000000" w:sz="6" w:space="0"/>
            </w:tcBorders>
            <w:shd w:val="clear" w:color="auto" w:fill="CCCCCC"/>
          </w:tcPr>
          <w:p>
            <w:pPr>
              <w:jc w:val="center"/>
              <w:rPr>
                <w:rFonts w:ascii="宋体" w:hAnsi="宋体"/>
                <w:szCs w:val="21"/>
              </w:rPr>
            </w:pPr>
            <w:r>
              <w:rPr>
                <w:rFonts w:ascii="宋体" w:hAnsi="宋体"/>
                <w:szCs w:val="21"/>
              </w:rPr>
              <w:t>是否齐备</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7380" w:type="dxa"/>
            <w:gridSpan w:val="4"/>
            <w:tcBorders>
              <w:top w:val="single" w:color="000000" w:sz="6" w:space="0"/>
              <w:left w:val="single" w:color="000000" w:sz="6" w:space="0"/>
              <w:bottom w:val="single" w:color="000000" w:sz="6" w:space="0"/>
              <w:right w:val="single" w:color="000000" w:sz="6" w:space="0"/>
            </w:tcBorders>
            <w:vAlign w:val="center"/>
          </w:tcPr>
          <w:p>
            <w:pPr>
              <w:rPr>
                <w:rFonts w:ascii="宋体" w:hAnsi="宋体"/>
                <w:szCs w:val="21"/>
              </w:rPr>
            </w:pPr>
            <w:r>
              <w:rPr>
                <w:rFonts w:ascii="宋体" w:hAnsi="宋体"/>
                <w:szCs w:val="21"/>
              </w:rPr>
              <w:t>1</w:t>
            </w:r>
            <w:r>
              <w:rPr>
                <w:rFonts w:hint="eastAsia" w:ascii="宋体" w:hAnsi="宋体"/>
                <w:kern w:val="0"/>
                <w:szCs w:val="21"/>
              </w:rPr>
              <w:t>．</w:t>
            </w:r>
            <w:r>
              <w:rPr>
                <w:rFonts w:ascii="宋体" w:hAnsi="宋体"/>
                <w:szCs w:val="21"/>
              </w:rPr>
              <w:t>中国证监会相关</w:t>
            </w:r>
            <w:r>
              <w:rPr>
                <w:rFonts w:hint="eastAsia" w:ascii="宋体" w:hAnsi="宋体"/>
                <w:szCs w:val="21"/>
              </w:rPr>
              <w:t>批复</w:t>
            </w:r>
            <w:r>
              <w:rPr>
                <w:rFonts w:ascii="宋体" w:hAnsi="宋体"/>
                <w:szCs w:val="21"/>
              </w:rPr>
              <w:t>文件（如适用）</w:t>
            </w:r>
          </w:p>
        </w:tc>
        <w:tc>
          <w:tcPr>
            <w:tcW w:w="1214" w:type="dxa"/>
            <w:tcBorders>
              <w:top w:val="single" w:color="000000" w:sz="6" w:space="0"/>
              <w:left w:val="single" w:color="000000" w:sz="6" w:space="0"/>
              <w:bottom w:val="single" w:color="000000" w:sz="6" w:space="0"/>
              <w:right w:val="single" w:color="000000" w:sz="6" w:space="0"/>
            </w:tcBorders>
          </w:tcPr>
          <w:p>
            <w:pPr>
              <w:rPr>
                <w:rFonts w:ascii="宋体" w:hAnsi="宋体"/>
                <w:szCs w:val="21"/>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7380" w:type="dxa"/>
            <w:gridSpan w:val="4"/>
            <w:tcBorders>
              <w:top w:val="single" w:color="000000" w:sz="6" w:space="0"/>
              <w:left w:val="single" w:color="000000" w:sz="6" w:space="0"/>
              <w:bottom w:val="single" w:color="000000" w:sz="6" w:space="0"/>
              <w:right w:val="single" w:color="000000" w:sz="6" w:space="0"/>
            </w:tcBorders>
            <w:vAlign w:val="center"/>
          </w:tcPr>
          <w:p>
            <w:pPr>
              <w:rPr>
                <w:rFonts w:ascii="宋体" w:hAnsi="宋体"/>
                <w:szCs w:val="21"/>
              </w:rPr>
            </w:pPr>
            <w:r>
              <w:rPr>
                <w:rFonts w:hint="eastAsia" w:ascii="宋体" w:hAnsi="宋体"/>
                <w:szCs w:val="21"/>
              </w:rPr>
              <w:t>2</w:t>
            </w:r>
            <w:r>
              <w:rPr>
                <w:rFonts w:hint="eastAsia" w:ascii="宋体" w:hAnsi="宋体"/>
                <w:kern w:val="0"/>
                <w:szCs w:val="21"/>
              </w:rPr>
              <w:t>．</w:t>
            </w:r>
            <w:r>
              <w:rPr>
                <w:rFonts w:ascii="宋体" w:hAnsi="宋体"/>
                <w:szCs w:val="21"/>
              </w:rPr>
              <w:t>现金选择权行权公告文稿</w:t>
            </w:r>
          </w:p>
        </w:tc>
        <w:tc>
          <w:tcPr>
            <w:tcW w:w="1214" w:type="dxa"/>
            <w:tcBorders>
              <w:top w:val="single" w:color="000000" w:sz="6" w:space="0"/>
              <w:left w:val="single" w:color="000000" w:sz="6" w:space="0"/>
              <w:bottom w:val="single" w:color="000000" w:sz="6" w:space="0"/>
              <w:right w:val="single" w:color="000000" w:sz="6" w:space="0"/>
            </w:tcBorders>
          </w:tcPr>
          <w:p>
            <w:pPr>
              <w:rPr>
                <w:rFonts w:ascii="宋体" w:hAnsi="宋体"/>
                <w:szCs w:val="21"/>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7380" w:type="dxa"/>
            <w:gridSpan w:val="4"/>
            <w:tcBorders>
              <w:top w:val="single" w:color="000000" w:sz="6" w:space="0"/>
              <w:left w:val="single" w:color="000000" w:sz="6" w:space="0"/>
              <w:bottom w:val="single" w:color="000000" w:sz="6" w:space="0"/>
              <w:right w:val="single" w:color="000000" w:sz="6" w:space="0"/>
            </w:tcBorders>
            <w:vAlign w:val="center"/>
          </w:tcPr>
          <w:p>
            <w:pPr>
              <w:rPr>
                <w:rFonts w:ascii="宋体" w:hAnsi="宋体"/>
                <w:szCs w:val="21"/>
              </w:rPr>
            </w:pPr>
            <w:r>
              <w:rPr>
                <w:rFonts w:hint="eastAsia" w:ascii="宋体" w:hAnsi="宋体"/>
                <w:szCs w:val="21"/>
              </w:rPr>
              <w:t>3</w:t>
            </w:r>
            <w:r>
              <w:rPr>
                <w:rFonts w:hint="eastAsia" w:ascii="宋体" w:hAnsi="宋体"/>
                <w:kern w:val="0"/>
                <w:szCs w:val="21"/>
              </w:rPr>
              <w:t>．</w:t>
            </w:r>
            <w:r>
              <w:rPr>
                <w:rFonts w:ascii="宋体" w:hAnsi="宋体"/>
                <w:szCs w:val="21"/>
              </w:rPr>
              <w:t>结算公司出具的现金选择权登记证明文件</w:t>
            </w:r>
          </w:p>
        </w:tc>
        <w:tc>
          <w:tcPr>
            <w:tcW w:w="1214" w:type="dxa"/>
            <w:tcBorders>
              <w:top w:val="single" w:color="000000" w:sz="6" w:space="0"/>
              <w:left w:val="single" w:color="000000" w:sz="6" w:space="0"/>
              <w:bottom w:val="single" w:color="000000" w:sz="6" w:space="0"/>
              <w:right w:val="single" w:color="000000" w:sz="6" w:space="0"/>
            </w:tcBorders>
          </w:tcPr>
          <w:p>
            <w:pPr>
              <w:rPr>
                <w:rFonts w:ascii="宋体" w:hAnsi="宋体"/>
                <w:szCs w:val="21"/>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jc w:val="center"/>
        </w:trPr>
        <w:tc>
          <w:tcPr>
            <w:tcW w:w="7380" w:type="dxa"/>
            <w:gridSpan w:val="4"/>
            <w:tcBorders>
              <w:top w:val="single" w:color="000000" w:sz="6" w:space="0"/>
              <w:left w:val="single" w:color="000000" w:sz="6" w:space="0"/>
              <w:bottom w:val="single" w:color="000000" w:sz="6" w:space="0"/>
              <w:right w:val="single" w:color="000000" w:sz="6" w:space="0"/>
            </w:tcBorders>
            <w:vAlign w:val="center"/>
          </w:tcPr>
          <w:p>
            <w:pPr>
              <w:rPr>
                <w:rFonts w:ascii="宋体" w:hAnsi="宋体"/>
                <w:szCs w:val="21"/>
              </w:rPr>
            </w:pPr>
            <w:r>
              <w:rPr>
                <w:rFonts w:hint="eastAsia" w:ascii="宋体" w:hAnsi="宋体"/>
                <w:szCs w:val="21"/>
              </w:rPr>
              <w:t>4</w:t>
            </w:r>
            <w:r>
              <w:rPr>
                <w:rFonts w:hint="eastAsia" w:ascii="宋体" w:hAnsi="宋体"/>
                <w:kern w:val="0"/>
                <w:szCs w:val="21"/>
              </w:rPr>
              <w:t>．</w:t>
            </w:r>
            <w:r>
              <w:rPr>
                <w:rFonts w:ascii="宋体" w:hAnsi="宋体"/>
                <w:szCs w:val="21"/>
              </w:rPr>
              <w:t>深交所要求的其他材料</w:t>
            </w:r>
          </w:p>
        </w:tc>
        <w:tc>
          <w:tcPr>
            <w:tcW w:w="1214" w:type="dxa"/>
            <w:tcBorders>
              <w:top w:val="single" w:color="000000" w:sz="6" w:space="0"/>
              <w:left w:val="single" w:color="000000" w:sz="6" w:space="0"/>
              <w:bottom w:val="single" w:color="000000" w:sz="6" w:space="0"/>
              <w:right w:val="single" w:color="000000" w:sz="6" w:space="0"/>
            </w:tcBorders>
          </w:tcPr>
          <w:p>
            <w:pPr>
              <w:rPr>
                <w:rFonts w:ascii="宋体" w:hAnsi="宋体"/>
                <w:szCs w:val="21"/>
              </w:rPr>
            </w:pP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trHeight w:val="1966" w:hRule="atLeast"/>
          <w:jc w:val="center"/>
        </w:trPr>
        <w:tc>
          <w:tcPr>
            <w:tcW w:w="8594" w:type="dxa"/>
            <w:gridSpan w:val="5"/>
            <w:tcBorders>
              <w:top w:val="single" w:color="000000" w:sz="6" w:space="0"/>
              <w:left w:val="single" w:color="000000" w:sz="6" w:space="0"/>
              <w:bottom w:val="single" w:color="000000" w:sz="6" w:space="0"/>
              <w:right w:val="single" w:color="000000" w:sz="6" w:space="0"/>
            </w:tcBorders>
            <w:vAlign w:val="center"/>
          </w:tcPr>
          <w:p>
            <w:pPr>
              <w:adjustRightInd w:val="0"/>
              <w:snapToGrid w:val="0"/>
              <w:rPr>
                <w:rFonts w:ascii="宋体" w:hAnsi="宋体"/>
                <w:szCs w:val="21"/>
              </w:rPr>
            </w:pPr>
            <w:r>
              <w:rPr>
                <w:rFonts w:ascii="宋体" w:hAnsi="宋体"/>
                <w:szCs w:val="21"/>
              </w:rPr>
              <w:t>现金选择权方案简述：</w:t>
            </w: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r>
              <w:rPr>
                <w:rFonts w:ascii="宋体" w:hAnsi="宋体"/>
                <w:szCs w:val="21"/>
              </w:rPr>
              <w:t xml:space="preserve">                                           XXX股份有限公司董事会（盖章）</w:t>
            </w:r>
          </w:p>
          <w:p>
            <w:pPr>
              <w:rPr>
                <w:rFonts w:ascii="宋体" w:hAnsi="宋体"/>
                <w:szCs w:val="21"/>
              </w:rPr>
            </w:pPr>
            <w:r>
              <w:rPr>
                <w:rFonts w:ascii="宋体" w:hAnsi="宋体"/>
                <w:szCs w:val="21"/>
              </w:rPr>
              <w:t xml:space="preserve">                                                     年   月   日</w:t>
            </w:r>
          </w:p>
        </w:tc>
      </w:tr>
      <w:tr>
        <w:tblPrEx>
          <w:tblBorders>
            <w:top w:val="double" w:color="000000" w:sz="4" w:space="0"/>
            <w:left w:val="double" w:color="000000" w:sz="4" w:space="0"/>
            <w:bottom w:val="double" w:color="000000" w:sz="4" w:space="0"/>
            <w:right w:val="double" w:color="000000" w:sz="4" w:space="0"/>
            <w:insideH w:val="single" w:color="000000" w:sz="6" w:space="0"/>
            <w:insideV w:val="single" w:color="000000" w:sz="6" w:space="0"/>
          </w:tblBorders>
          <w:tblCellMar>
            <w:top w:w="0" w:type="dxa"/>
            <w:left w:w="108" w:type="dxa"/>
            <w:bottom w:w="0" w:type="dxa"/>
            <w:right w:w="108" w:type="dxa"/>
          </w:tblCellMar>
        </w:tblPrEx>
        <w:trPr>
          <w:cantSplit/>
          <w:trHeight w:val="1227" w:hRule="atLeast"/>
          <w:jc w:val="center"/>
        </w:trPr>
        <w:tc>
          <w:tcPr>
            <w:tcW w:w="8594" w:type="dxa"/>
            <w:gridSpan w:val="5"/>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ascii="宋体" w:hAnsi="宋体"/>
                <w:szCs w:val="21"/>
              </w:rPr>
              <w:t>备  注：</w:t>
            </w:r>
          </w:p>
          <w:p>
            <w:pPr>
              <w:rPr>
                <w:rFonts w:ascii="宋体" w:hAnsi="宋体"/>
                <w:szCs w:val="21"/>
              </w:rPr>
            </w:pPr>
          </w:p>
          <w:p>
            <w:pPr>
              <w:rPr>
                <w:rFonts w:ascii="宋体" w:hAnsi="宋体"/>
                <w:szCs w:val="21"/>
              </w:rPr>
            </w:pPr>
          </w:p>
          <w:p>
            <w:pPr>
              <w:rPr>
                <w:rFonts w:ascii="宋体" w:hAnsi="宋体"/>
                <w:szCs w:val="21"/>
              </w:rPr>
            </w:pPr>
          </w:p>
        </w:tc>
      </w:tr>
    </w:tbl>
    <w:p>
      <w:pPr>
        <w:spacing w:line="520" w:lineRule="exact"/>
        <w:rPr>
          <w:rFonts w:ascii="Times New Roman" w:hAnsi="Times New Roman" w:eastAsia="仿宋"/>
          <w:sz w:val="30"/>
          <w:szCs w:val="30"/>
        </w:rPr>
      </w:pPr>
    </w:p>
    <w:p>
      <w:pPr>
        <w:spacing w:after="156" w:afterLines="50" w:line="360" w:lineRule="auto"/>
        <w:rPr>
          <w:rFonts w:ascii="黑体" w:hAnsi="黑体" w:eastAsia="黑体"/>
          <w:sz w:val="32"/>
          <w:szCs w:val="32"/>
        </w:rPr>
      </w:pPr>
      <w:r>
        <w:rPr>
          <w:rFonts w:ascii="Times New Roman" w:hAnsi="Times New Roman" w:eastAsia="仿宋"/>
          <w:b/>
          <w:bCs/>
          <w:sz w:val="28"/>
        </w:rPr>
        <w:br w:type="page"/>
      </w:r>
      <w:r>
        <w:rPr>
          <w:rFonts w:ascii="黑体" w:hAnsi="黑体" w:eastAsia="黑体"/>
          <w:sz w:val="32"/>
          <w:szCs w:val="32"/>
        </w:rPr>
        <w:t>附件3</w:t>
      </w:r>
    </w:p>
    <w:p>
      <w:pPr>
        <w:spacing w:before="156" w:beforeLines="50" w:after="156" w:afterLines="50" w:line="360" w:lineRule="auto"/>
        <w:jc w:val="center"/>
        <w:rPr>
          <w:rFonts w:ascii="方正小标宋简体" w:hAnsi="Times New Roman" w:eastAsia="方正小标宋简体"/>
          <w:b/>
          <w:bCs/>
          <w:sz w:val="32"/>
          <w:szCs w:val="32"/>
        </w:rPr>
      </w:pPr>
      <w:r>
        <w:rPr>
          <w:rFonts w:hint="eastAsia" w:ascii="方正小标宋简体" w:hAnsi="Times New Roman" w:eastAsia="方正小标宋简体"/>
          <w:b/>
          <w:bCs/>
          <w:sz w:val="32"/>
          <w:szCs w:val="32"/>
        </w:rPr>
        <w:t>上市公司现金选择权股份转让申请表</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602"/>
        <w:gridCol w:w="1961"/>
        <w:gridCol w:w="3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标的证券简称</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标的证券代码</w:t>
            </w:r>
          </w:p>
        </w:tc>
        <w:tc>
          <w:tcPr>
            <w:tcW w:w="3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现金选择权代码</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拟定的现金选择权实施过户日期</w:t>
            </w:r>
          </w:p>
        </w:tc>
        <w:tc>
          <w:tcPr>
            <w:tcW w:w="30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提供现金选择权的一方</w:t>
            </w:r>
          </w:p>
        </w:tc>
        <w:tc>
          <w:tcPr>
            <w:tcW w:w="1602"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ascii="宋体" w:hAnsi="宋体"/>
                <w:szCs w:val="21"/>
              </w:rPr>
              <w:t>名称/姓名</w:t>
            </w:r>
          </w:p>
        </w:tc>
        <w:tc>
          <w:tcPr>
            <w:tcW w:w="501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ascii="宋体" w:hAnsi="宋体"/>
                <w:szCs w:val="21"/>
              </w:rPr>
              <w:t>证券账户号码</w:t>
            </w:r>
          </w:p>
        </w:tc>
        <w:tc>
          <w:tcPr>
            <w:tcW w:w="501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1602"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ascii="宋体" w:hAnsi="宋体"/>
                <w:szCs w:val="21"/>
              </w:rPr>
              <w:t>实体性质</w:t>
            </w:r>
          </w:p>
        </w:tc>
        <w:tc>
          <w:tcPr>
            <w:tcW w:w="501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trPr>
        <w:tc>
          <w:tcPr>
            <w:tcW w:w="19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出让方</w:t>
            </w:r>
          </w:p>
        </w:tc>
        <w:tc>
          <w:tcPr>
            <w:tcW w:w="6614" w:type="dxa"/>
            <w:gridSpan w:val="3"/>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ascii="宋体" w:hAnsi="宋体"/>
                <w:szCs w:val="21"/>
              </w:rPr>
              <w:t>（手工方式申报请另附出让方明细表，包括出让方名称、证券账户号码、出让股份数量等信息。）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90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确认的股份</w:t>
            </w:r>
          </w:p>
          <w:p>
            <w:pPr>
              <w:jc w:val="center"/>
              <w:rPr>
                <w:rFonts w:ascii="宋体" w:hAnsi="宋体"/>
                <w:szCs w:val="21"/>
              </w:rPr>
            </w:pPr>
            <w:r>
              <w:rPr>
                <w:rFonts w:ascii="宋体" w:hAnsi="宋体"/>
                <w:szCs w:val="21"/>
              </w:rPr>
              <w:t>转让情况</w:t>
            </w:r>
          </w:p>
        </w:tc>
        <w:tc>
          <w:tcPr>
            <w:tcW w:w="1602" w:type="dxa"/>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ascii="宋体" w:hAnsi="宋体"/>
                <w:szCs w:val="21"/>
              </w:rPr>
              <w:t>现金选择权股份转让总股数</w:t>
            </w:r>
          </w:p>
          <w:p>
            <w:pPr>
              <w:ind w:firstLine="630" w:firstLineChars="300"/>
              <w:rPr>
                <w:rFonts w:ascii="宋体" w:hAnsi="宋体"/>
                <w:szCs w:val="21"/>
              </w:rPr>
            </w:pPr>
          </w:p>
        </w:tc>
        <w:tc>
          <w:tcPr>
            <w:tcW w:w="1961"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ascii="宋体" w:hAnsi="宋体"/>
                <w:szCs w:val="21"/>
              </w:rPr>
              <w:t>流通股</w:t>
            </w:r>
          </w:p>
        </w:tc>
        <w:tc>
          <w:tcPr>
            <w:tcW w:w="3051" w:type="dxa"/>
            <w:tcBorders>
              <w:top w:val="single" w:color="auto" w:sz="4" w:space="0"/>
              <w:left w:val="single" w:color="auto" w:sz="4" w:space="0"/>
              <w:bottom w:val="single" w:color="auto" w:sz="4" w:space="0"/>
              <w:right w:val="single" w:color="auto" w:sz="4" w:space="0"/>
            </w:tcBorders>
            <w:vAlign w:val="center"/>
          </w:tcPr>
          <w:p>
            <w:pPr>
              <w:ind w:firstLine="2625" w:firstLineChars="1250"/>
              <w:jc w:val="left"/>
              <w:rPr>
                <w:rFonts w:ascii="宋体" w:hAnsi="宋体"/>
                <w:szCs w:val="21"/>
              </w:rPr>
            </w:pPr>
            <w:r>
              <w:rPr>
                <w:rFonts w:ascii="宋体" w:hAnsi="宋体"/>
                <w:szCs w:val="21"/>
              </w:rPr>
              <w:t>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16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1961"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ascii="宋体" w:hAnsi="宋体"/>
                <w:szCs w:val="21"/>
              </w:rPr>
              <w:t>非流通股</w:t>
            </w:r>
          </w:p>
        </w:tc>
        <w:tc>
          <w:tcPr>
            <w:tcW w:w="3051" w:type="dxa"/>
            <w:tcBorders>
              <w:top w:val="single" w:color="auto" w:sz="4" w:space="0"/>
              <w:left w:val="single" w:color="auto" w:sz="4" w:space="0"/>
              <w:bottom w:val="single" w:color="auto" w:sz="4" w:space="0"/>
              <w:right w:val="single" w:color="auto" w:sz="4" w:space="0"/>
            </w:tcBorders>
            <w:vAlign w:val="center"/>
          </w:tcPr>
          <w:p>
            <w:pPr>
              <w:ind w:firstLine="2310" w:firstLineChars="1100"/>
              <w:jc w:val="center"/>
              <w:rPr>
                <w:rFonts w:ascii="宋体" w:hAnsi="宋体"/>
                <w:szCs w:val="21"/>
              </w:rPr>
            </w:pPr>
            <w:r>
              <w:rPr>
                <w:rFonts w:hint="eastAsia" w:ascii="宋体" w:hAnsi="宋体"/>
                <w:szCs w:val="21"/>
              </w:rPr>
              <w:t xml:space="preserve">   </w:t>
            </w:r>
            <w:r>
              <w:rPr>
                <w:rFonts w:ascii="宋体" w:hAnsi="宋体"/>
                <w:szCs w:val="21"/>
              </w:rPr>
              <w:t>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3563"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ascii="宋体" w:hAnsi="宋体"/>
                <w:szCs w:val="21"/>
              </w:rPr>
              <w:t>现金选择权价格</w:t>
            </w:r>
          </w:p>
        </w:tc>
        <w:tc>
          <w:tcPr>
            <w:tcW w:w="3051" w:type="dxa"/>
            <w:tcBorders>
              <w:top w:val="single" w:color="auto" w:sz="4" w:space="0"/>
              <w:left w:val="single" w:color="auto" w:sz="4" w:space="0"/>
              <w:bottom w:val="single" w:color="auto" w:sz="4" w:space="0"/>
              <w:right w:val="single" w:color="auto" w:sz="4" w:space="0"/>
            </w:tcBorders>
            <w:vAlign w:val="center"/>
          </w:tcPr>
          <w:p>
            <w:pPr>
              <w:ind w:firstLine="630" w:firstLineChars="3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9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Cs w:val="21"/>
              </w:rPr>
            </w:pPr>
          </w:p>
        </w:tc>
        <w:tc>
          <w:tcPr>
            <w:tcW w:w="3563" w:type="dxa"/>
            <w:gridSpan w:val="2"/>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ascii="宋体" w:hAnsi="宋体"/>
                <w:szCs w:val="21"/>
              </w:rPr>
              <w:t>现金选择权总金额（含税费）</w:t>
            </w:r>
          </w:p>
        </w:tc>
        <w:tc>
          <w:tcPr>
            <w:tcW w:w="3051" w:type="dxa"/>
            <w:tcBorders>
              <w:top w:val="single" w:color="auto" w:sz="4" w:space="0"/>
              <w:left w:val="single" w:color="auto" w:sz="4" w:space="0"/>
              <w:bottom w:val="single" w:color="auto" w:sz="4" w:space="0"/>
              <w:right w:val="single" w:color="auto" w:sz="4" w:space="0"/>
            </w:tcBorders>
            <w:vAlign w:val="center"/>
          </w:tcPr>
          <w:p>
            <w:pPr>
              <w:ind w:firstLine="630" w:firstLineChars="30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trPr>
        <w:tc>
          <w:tcPr>
            <w:tcW w:w="8522" w:type="dxa"/>
            <w:gridSpan w:val="4"/>
            <w:tcBorders>
              <w:top w:val="single" w:color="auto" w:sz="4" w:space="0"/>
              <w:left w:val="single" w:color="auto" w:sz="4" w:space="0"/>
              <w:bottom w:val="single" w:color="auto" w:sz="4" w:space="0"/>
              <w:right w:val="single" w:color="auto" w:sz="4" w:space="0"/>
            </w:tcBorders>
            <w:shd w:val="clear" w:color="auto" w:fill="B3B3B3"/>
          </w:tcPr>
          <w:p>
            <w:pPr>
              <w:widowControl/>
              <w:jc w:val="center"/>
              <w:rPr>
                <w:rFonts w:ascii="宋体" w:hAnsi="宋体"/>
                <w:b/>
                <w:bCs/>
                <w:kern w:val="0"/>
                <w:szCs w:val="21"/>
              </w:rPr>
            </w:pPr>
            <w:r>
              <w:rPr>
                <w:rFonts w:ascii="宋体" w:hAnsi="宋体"/>
                <w:b/>
                <w:bCs/>
                <w:kern w:val="0"/>
                <w:szCs w:val="21"/>
              </w:rPr>
              <w:t>董事会声明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8522" w:type="dxa"/>
            <w:gridSpan w:val="4"/>
            <w:tcBorders>
              <w:top w:val="single" w:color="auto" w:sz="4" w:space="0"/>
              <w:left w:val="single" w:color="auto" w:sz="4" w:space="0"/>
              <w:bottom w:val="single" w:color="auto" w:sz="4" w:space="0"/>
              <w:right w:val="single" w:color="auto" w:sz="4" w:space="0"/>
            </w:tcBorders>
          </w:tcPr>
          <w:p>
            <w:pPr>
              <w:widowControl/>
              <w:ind w:firstLine="540"/>
              <w:rPr>
                <w:rFonts w:ascii="宋体" w:hAnsi="宋体"/>
                <w:bCs/>
                <w:kern w:val="0"/>
                <w:szCs w:val="21"/>
              </w:rPr>
            </w:pPr>
            <w:r>
              <w:rPr>
                <w:rFonts w:ascii="宋体" w:hAnsi="宋体"/>
                <w:szCs w:val="21"/>
              </w:rPr>
              <w:t>本公司董事会保证上述材料的真实、准确、完整、合法，特向深圳证券交易所、中国证券登记结算有限责任公司深圳分公司申请办理现金选择权股份转让手续。</w:t>
            </w:r>
            <w:r>
              <w:rPr>
                <w:rFonts w:ascii="宋体" w:hAnsi="宋体"/>
                <w:bCs/>
                <w:kern w:val="0"/>
                <w:szCs w:val="21"/>
              </w:rPr>
              <w:t xml:space="preserve">                                                                     </w:t>
            </w:r>
          </w:p>
          <w:p>
            <w:pPr>
              <w:widowControl/>
              <w:ind w:firstLine="480"/>
              <w:jc w:val="right"/>
              <w:rPr>
                <w:rFonts w:ascii="宋体" w:hAnsi="宋体"/>
                <w:bCs/>
                <w:kern w:val="0"/>
                <w:szCs w:val="21"/>
              </w:rPr>
            </w:pPr>
          </w:p>
          <w:p>
            <w:pPr>
              <w:widowControl/>
              <w:ind w:firstLine="480"/>
              <w:jc w:val="right"/>
              <w:rPr>
                <w:rFonts w:ascii="宋体" w:hAnsi="宋体"/>
                <w:bCs/>
                <w:kern w:val="0"/>
                <w:szCs w:val="21"/>
              </w:rPr>
            </w:pPr>
          </w:p>
          <w:p>
            <w:pPr>
              <w:widowControl/>
              <w:ind w:right="484" w:firstLine="480"/>
              <w:jc w:val="right"/>
              <w:rPr>
                <w:rFonts w:ascii="宋体" w:hAnsi="宋体"/>
                <w:bCs/>
                <w:kern w:val="0"/>
                <w:szCs w:val="21"/>
              </w:rPr>
            </w:pPr>
            <w:r>
              <w:rPr>
                <w:rFonts w:ascii="宋体" w:hAnsi="宋体"/>
                <w:szCs w:val="21"/>
              </w:rPr>
              <w:t>XXX股份有限公司董事会</w:t>
            </w:r>
            <w:r>
              <w:rPr>
                <w:rFonts w:ascii="宋体" w:hAnsi="宋体"/>
                <w:bCs/>
                <w:kern w:val="0"/>
                <w:szCs w:val="21"/>
              </w:rPr>
              <w:t xml:space="preserve">（董事会章）                                                                  </w:t>
            </w:r>
          </w:p>
          <w:p>
            <w:pPr>
              <w:widowControl/>
              <w:ind w:right="964" w:firstLine="480"/>
              <w:jc w:val="center"/>
              <w:rPr>
                <w:rFonts w:ascii="宋体" w:hAnsi="宋体"/>
                <w:b/>
                <w:bCs/>
                <w:kern w:val="0"/>
                <w:szCs w:val="21"/>
              </w:rPr>
            </w:pPr>
            <w:r>
              <w:rPr>
                <w:rFonts w:ascii="宋体" w:hAnsi="宋体"/>
                <w:bCs/>
                <w:kern w:val="0"/>
                <w:szCs w:val="21"/>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51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Cs w:val="21"/>
              </w:rPr>
            </w:pPr>
            <w:r>
              <w:rPr>
                <w:rFonts w:ascii="宋体" w:hAnsi="宋体"/>
                <w:b/>
                <w:szCs w:val="21"/>
              </w:rPr>
              <w:t>备       注</w:t>
            </w:r>
          </w:p>
        </w:tc>
        <w:tc>
          <w:tcPr>
            <w:tcW w:w="5012" w:type="dxa"/>
            <w:gridSpan w:val="2"/>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r>
    </w:tbl>
    <w:p>
      <w:pPr>
        <w:pStyle w:val="162"/>
        <w:spacing w:before="0" w:after="0" w:line="240" w:lineRule="auto"/>
        <w:ind w:firstLine="0" w:firstLineChars="0"/>
        <w:outlineLvl w:val="9"/>
        <w:rPr>
          <w:rFonts w:ascii="Times New Roman" w:hAnsi="Times New Roman" w:eastAsia="方正仿宋简体"/>
          <w:sz w:val="30"/>
          <w:szCs w:val="30"/>
        </w:rPr>
      </w:pPr>
      <w:r>
        <w:rPr>
          <w:rFonts w:ascii="Times New Roman" w:hAnsi="Times New Roman" w:eastAsia="方正仿宋简体"/>
          <w:sz w:val="30"/>
          <w:szCs w:val="30"/>
        </w:rPr>
        <w:br w:type="page"/>
      </w:r>
    </w:p>
    <w:p>
      <w:pPr>
        <w:pStyle w:val="162"/>
        <w:ind w:firstLine="0" w:firstLineChars="0"/>
        <w:outlineLvl w:val="1"/>
        <w:rPr>
          <w:rFonts w:hAnsi="黑体"/>
          <w:sz w:val="32"/>
          <w:szCs w:val="32"/>
        </w:rPr>
      </w:pPr>
      <w:bookmarkStart w:id="94" w:name="_Toc141954542"/>
      <w:bookmarkStart w:id="95" w:name="_Toc21528"/>
      <w:bookmarkStart w:id="96" w:name="_Toc129272536"/>
      <w:r>
        <w:rPr>
          <w:rFonts w:hint="eastAsia" w:hAnsi="黑体"/>
          <w:sz w:val="32"/>
          <w:szCs w:val="32"/>
        </w:rPr>
        <w:t xml:space="preserve">第八节 </w:t>
      </w:r>
      <w:r>
        <w:rPr>
          <w:rFonts w:hAnsi="黑体"/>
          <w:sz w:val="32"/>
          <w:szCs w:val="32"/>
        </w:rPr>
        <w:t>要约收购</w:t>
      </w:r>
      <w:bookmarkEnd w:id="94"/>
      <w:bookmarkEnd w:id="95"/>
      <w:bookmarkEnd w:id="96"/>
    </w:p>
    <w:p>
      <w:pPr>
        <w:tabs>
          <w:tab w:val="left" w:pos="180"/>
          <w:tab w:val="left" w:pos="360"/>
        </w:tabs>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一、披露要约收购报告书摘要阶段</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一）收购人以要约方式收购上市公司股份的，应当在事实发生之日起的三个交易日内按照《公开发行证券的公司信息披露内容与格式准则第17号——要约收购报告书》（以下简称《17号准则》）的要求编制要约收购报告书，聘请财务顾问，通知被收购公司，并披露要约收购报告书摘要及财务顾问专业意见。</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收购人应当在要约收购报告书摘要中对本次收购是否以终止被收购公司股票上市为目的，是否已提出维持被收购公司上市地位的具体措施，是否尚需取得相关部门批准等情况作出特别提示。</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（二）收购人应当在披露要约收购报告书摘要的同时，向本所提交以下文件：</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1．收购人及其董事、监事和高级管理人员买卖被收购公司股份自查表（见附件1</w:t>
      </w:r>
      <w:r>
        <w:rPr>
          <w:rFonts w:hint="eastAsia" w:ascii="Times New Roman" w:hAnsi="Times New Roman" w:eastAsia="仿宋"/>
          <w:sz w:val="32"/>
          <w:szCs w:val="32"/>
        </w:rPr>
        <w:t>和附件2</w:t>
      </w:r>
      <w:r>
        <w:rPr>
          <w:rFonts w:ascii="Times New Roman" w:hAnsi="Times New Roman" w:eastAsia="仿宋"/>
          <w:sz w:val="32"/>
          <w:szCs w:val="32"/>
        </w:rPr>
        <w:t>）；</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2．与本次要约收购有关的合同、协议和其他安排的文件；</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3．要约收购报告书；</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4．收购人（包括股份持有人、股份控制人和一致行动人）及其关联人名单、证券账户、证券余额及在要约收购提示性公告日前6个月买卖被收购公司股票</w:t>
      </w:r>
      <w:r>
        <w:rPr>
          <w:rFonts w:hint="eastAsia" w:ascii="Times New Roman" w:hAnsi="Times New Roman" w:eastAsia="仿宋"/>
          <w:sz w:val="32"/>
          <w:szCs w:val="32"/>
        </w:rPr>
        <w:t>及其他具有股权性质的证券的情况</w:t>
      </w:r>
      <w:r>
        <w:rPr>
          <w:rFonts w:ascii="Times New Roman" w:hAnsi="Times New Roman" w:eastAsia="仿宋"/>
          <w:sz w:val="32"/>
          <w:szCs w:val="32"/>
        </w:rPr>
        <w:t>；</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5．《17号准则》要求的其他备查文件；</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6．本所要求提交的其他文件。</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（三）收购人应当在披露要约收购报告书摘要后的两个交易日内，向结算公司申请办理现金、证券、现金与证券相结合等合法方式支付收购上市公司价款的履约保证手续。</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（四）自披露要约收购报告书摘要起六十日内，未公告要约收购报告书的，收购人应当在期满后的次一个交易日通知被收购公司，并予公告。其后每三十日应当公告一次，直至公告要约收购报告书。</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五）收购人披露要约收购报告书摘要后、公告要约收购报告书前，拟自行取消收购计划或者要约收购报告书摘要披露后未能取得有关部门批准的，应当在作出取消收购计划的决定或收到不获准的相关通知后，及时通知被收购公司，并公告收购计划取消及其原因。</w:t>
      </w:r>
    </w:p>
    <w:p>
      <w:pPr>
        <w:tabs>
          <w:tab w:val="left" w:pos="180"/>
          <w:tab w:val="left" w:pos="360"/>
        </w:tabs>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二、披露要约收购报告书阶段</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（一）收购人应当在公告要约收购报告书前的三至五个交易日向本所提交要约收购报告书及以下文件：</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1．结算公司出具的相关履约保证文件；</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2．有</w:t>
      </w:r>
      <w:r>
        <w:rPr>
          <w:rFonts w:hint="eastAsia" w:ascii="Times New Roman" w:hAnsi="Times New Roman" w:eastAsia="仿宋"/>
          <w:sz w:val="32"/>
          <w:szCs w:val="32"/>
        </w:rPr>
        <w:t>关</w:t>
      </w:r>
      <w:r>
        <w:rPr>
          <w:rFonts w:ascii="Times New Roman" w:hAnsi="Times New Roman" w:eastAsia="仿宋"/>
          <w:sz w:val="32"/>
          <w:szCs w:val="32"/>
        </w:rPr>
        <w:t>部门对本次要约收购的批准文件（如适用）；</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3．收购人根据本所要求报备的内幕信息知情人档案；</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4．《17号准则》要求的其他文件；</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5．本所要求提交的其他文件。</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（二）收购人在按照《收购管理办法》及《17号准则》的要求公告要约收购报告书时，应当同时披露以下内容：</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1．可能导致要约收购期限内要约收购条件变更的情形；</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2．要约收购报告书摘要中已披露的事项是否发生重大变化（如有）；</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3．本所要求披露的其他内容。</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（三）被收购公司董事会应当在收购人披露要约收购报告书后二十日内公告被收购公司董事会报告书和独立财务顾问的专业意见。</w:t>
      </w:r>
    </w:p>
    <w:p>
      <w:pPr>
        <w:tabs>
          <w:tab w:val="left" w:pos="180"/>
          <w:tab w:val="left" w:pos="360"/>
        </w:tabs>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三、要约阶段</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（一）收购人应当安排在要约收购报告书公告后的次一交易日开始预受要约的申报。</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要约收购约定的收购期限不得少于三十日，并不得超过六十日，但出现竞争要约的除外。</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（二）要约收购期限内，收购人应当至少发布三次预受要约的提示性公告，公告内容包括要约收购的股份种类、预定收购股份数量及比例、收购方式、收购价格、收购期限等情况。</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（三）收购人在要约收购的期限内需要变更收购要约的，应当及时公告，载明具体变更事项，并通知被收购公司。公告内容包括：</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1．要约收购方案及进展情况简述；</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2．本次变更收购要约的具体情况及原因；</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3．应当履行的相应审议程序（如适用）；</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4．财务顾问关于本次收购要约变更的合规性、合理性的专门意见；</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5．本所要求的其他内容。</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收购要约期限届满前十五日内，收购人不得变更收购要约。若因要约收购变更导致收购资金数额发生变化的，收购人还应当重新办理履约保证金等相关手续。</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（四）收购人在要约收购期限内对收购要约条件做出重大变更的，被收购公司董事会应当在三个交易日内，公告董事会及独立财务顾问就要约条件的变更情况出具补充意见。</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（五）要约收购报告书所披露的基本事实发生重大变化的，收购人应当及时发布公告，并通知被收购公司。</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（六）拟发出竞争要约的收购人最迟不得晚于初始要约收购期限届满前十五日发出要约收购的提示性公告，并根据《收购管理办法》以及本指南的规定履行公告义务、办理相关手续。</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（七）同意接受收购要约的股东（以下简称预受股东）申报预受要约或撤回预受要约，应当通过其股份托管的证券公司办理。</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在要约收购期限届满前，预受股东可申报预受要约；在要约收购期限届满三个交易日前，预受股东可撤回已申报的预受要约，在要约收购期限届满前三个交易日内，预受股东可撤回当日申报的预受要约，但不得撤回已被结算公司临时保管的预受要约。</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（八）收购要约期限内，收购人变更收购要约的，原预受要约申报不再有效。被收购公司股东如接受变更后的收购要约，应当重新申报。</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（九）出现竞争要约时，接受初始要约的预受股东，拟将全部或部分预受股份售予竞争要约人的，在预受竞争要约前应当先撤回相应股份的预受初始要约。</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（十）上市公司股东用于申报预受要约的股份应当为无限售条件，但本次要约收购以终止被收购公司股票上市为目的以及中国证监会、本所认可的其他情形除外。</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（十一）在临时保管期内，除司法强制扣划以外，该部分股份不再进行任何形式的转让。</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要约收购期限内预受要约的股份被司法冻结的，证券公司应当在协助执行股份冻结前通过本所交易系统撤回相应股份的预受要约申报。</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（十二）收购人应当在要约收购期限内的每个交易日开市前，在本所网站上公告上一交易日的预受要约以及撤回预受的有关情况（公告的内容与格式见附件</w:t>
      </w:r>
      <w:r>
        <w:rPr>
          <w:rFonts w:hint="eastAsia" w:ascii="Times New Roman" w:hAnsi="Times New Roman" w:eastAsia="仿宋"/>
          <w:sz w:val="32"/>
          <w:szCs w:val="32"/>
        </w:rPr>
        <w:t>3</w:t>
      </w:r>
      <w:r>
        <w:rPr>
          <w:rFonts w:ascii="Times New Roman" w:hAnsi="Times New Roman" w:eastAsia="仿宋"/>
          <w:sz w:val="32"/>
          <w:szCs w:val="32"/>
        </w:rPr>
        <w:t>）。</w:t>
      </w:r>
    </w:p>
    <w:p>
      <w:pPr>
        <w:tabs>
          <w:tab w:val="left" w:pos="180"/>
          <w:tab w:val="left" w:pos="360"/>
        </w:tabs>
        <w:spacing w:line="560" w:lineRule="exact"/>
        <w:ind w:firstLine="640" w:firstLineChars="200"/>
        <w:rPr>
          <w:rFonts w:ascii="Times New Roman" w:hAnsi="Times New Roman" w:eastAsia="黑体"/>
          <w:sz w:val="32"/>
          <w:szCs w:val="32"/>
        </w:rPr>
      </w:pPr>
      <w:r>
        <w:rPr>
          <w:rFonts w:ascii="Times New Roman" w:hAnsi="Times New Roman" w:eastAsia="黑体"/>
          <w:sz w:val="32"/>
          <w:szCs w:val="32"/>
        </w:rPr>
        <w:t>四、要约收购结果</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（一）收购人应当在要约收购期届满后的两个交易日内向本所申请办理对预受股份的转让手续（申请表见附件</w:t>
      </w:r>
      <w:r>
        <w:rPr>
          <w:rFonts w:hint="eastAsia" w:ascii="Times New Roman" w:hAnsi="Times New Roman" w:eastAsia="仿宋"/>
          <w:sz w:val="32"/>
          <w:szCs w:val="32"/>
        </w:rPr>
        <w:t>4</w:t>
      </w:r>
      <w:r>
        <w:rPr>
          <w:rFonts w:ascii="Times New Roman" w:hAnsi="Times New Roman" w:eastAsia="仿宋"/>
          <w:sz w:val="32"/>
          <w:szCs w:val="32"/>
        </w:rPr>
        <w:t>）。</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（二）收购人应当在股份过户手续完成后，及时披露上市公司要约收购情况报告及结果公告，包括：</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1．本次要约收购情况概述，说明收购目的、收购股份种类、收购股份数量及比例、收购价格、收购的支付方式、收购期限等；</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2．本次要约收购的实施情况，说明要约收购期限内收购人、被收购公司董事会等相关方的履行情况；</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3．本次要约收购的结果，说明预受要约股份数量，是否触发要约收购报告书约定的生效条件及生效结果等情况；</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4．本所要求的其他内容。</w:t>
      </w:r>
    </w:p>
    <w:p>
      <w:pPr>
        <w:tabs>
          <w:tab w:val="left" w:pos="180"/>
          <w:tab w:val="left" w:pos="360"/>
        </w:tabs>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三）要约收购期届满至公告上市公司要约收购结果期间，被收购公司股票及其衍生品种停牌。根据收购完成后被收购公司股权分布是否具备上市条件等收购结果情况，被收购公司股票及其衍生品种将于要约收购结果公告日开市起复牌或者继续停牌。</w:t>
      </w:r>
    </w:p>
    <w:p>
      <w:pPr>
        <w:tabs>
          <w:tab w:val="left" w:pos="180"/>
          <w:tab w:val="left" w:pos="360"/>
        </w:tabs>
        <w:spacing w:line="560" w:lineRule="exact"/>
        <w:ind w:firstLine="560" w:firstLineChars="200"/>
        <w:rPr>
          <w:rFonts w:ascii="Times New Roman" w:hAnsi="Times New Roman" w:eastAsia="方正仿宋简体"/>
          <w:sz w:val="28"/>
          <w:szCs w:val="28"/>
        </w:rPr>
      </w:pPr>
    </w:p>
    <w:p>
      <w:pPr>
        <w:spacing w:line="560" w:lineRule="exact"/>
        <w:rPr>
          <w:rFonts w:ascii="Times New Roman" w:hAnsi="Times New Roman" w:eastAsia="仿宋"/>
          <w:kern w:val="0"/>
          <w:sz w:val="28"/>
          <w:szCs w:val="28"/>
        </w:rPr>
      </w:pPr>
    </w:p>
    <w:p>
      <w:pPr>
        <w:spacing w:line="560" w:lineRule="exact"/>
        <w:rPr>
          <w:rFonts w:ascii="黑体" w:hAnsi="黑体" w:eastAsia="黑体"/>
          <w:sz w:val="32"/>
          <w:szCs w:val="32"/>
        </w:rPr>
      </w:pPr>
      <w:r>
        <w:rPr>
          <w:rFonts w:ascii="Times New Roman" w:hAnsi="Times New Roman" w:eastAsia="仿宋"/>
          <w:kern w:val="0"/>
          <w:sz w:val="28"/>
          <w:szCs w:val="28"/>
        </w:rPr>
        <w:br w:type="page"/>
      </w:r>
      <w:r>
        <w:rPr>
          <w:rFonts w:ascii="黑体" w:hAnsi="黑体" w:eastAsia="黑体"/>
          <w:sz w:val="32"/>
          <w:szCs w:val="32"/>
        </w:rPr>
        <w:t>附件1</w:t>
      </w:r>
    </w:p>
    <w:p>
      <w:pPr>
        <w:widowControl/>
        <w:adjustRightInd w:val="0"/>
        <w:snapToGrid w:val="0"/>
        <w:spacing w:line="560" w:lineRule="exact"/>
        <w:rPr>
          <w:rFonts w:ascii="Times New Roman" w:hAnsi="Times New Roman" w:eastAsia="黑体"/>
          <w:sz w:val="32"/>
          <w:szCs w:val="32"/>
        </w:rPr>
      </w:pPr>
    </w:p>
    <w:p>
      <w:pPr>
        <w:spacing w:line="560" w:lineRule="exact"/>
        <w:jc w:val="center"/>
        <w:rPr>
          <w:rFonts w:ascii="方正小标宋简体" w:hAnsi="黑体" w:eastAsia="方正小标宋简体"/>
          <w:sz w:val="32"/>
          <w:szCs w:val="32"/>
        </w:rPr>
      </w:pPr>
      <w:r>
        <w:rPr>
          <w:rFonts w:hint="eastAsia" w:ascii="方正小标宋简体" w:hAnsi="黑体" w:eastAsia="方正小标宋简体"/>
          <w:sz w:val="32"/>
          <w:szCs w:val="32"/>
        </w:rPr>
        <w:t>收购人自查表</w:t>
      </w:r>
    </w:p>
    <w:p>
      <w:pPr>
        <w:spacing w:line="560" w:lineRule="exact"/>
        <w:jc w:val="center"/>
        <w:rPr>
          <w:rFonts w:ascii="方正小标宋简体" w:hAnsi="黑体" w:eastAsia="方正小标宋简体"/>
          <w:sz w:val="32"/>
          <w:szCs w:val="32"/>
        </w:rPr>
      </w:pPr>
    </w:p>
    <w:tbl>
      <w:tblPr>
        <w:tblStyle w:val="5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35"/>
        <w:gridCol w:w="2065"/>
        <w:gridCol w:w="1380"/>
        <w:gridCol w:w="1517"/>
        <w:gridCol w:w="12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收购人名称</w:t>
            </w:r>
          </w:p>
        </w:tc>
        <w:tc>
          <w:tcPr>
            <w:tcW w:w="206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深圳证券账户</w:t>
            </w:r>
          </w:p>
        </w:tc>
        <w:tc>
          <w:tcPr>
            <w:tcW w:w="138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持股</w:t>
            </w:r>
          </w:p>
          <w:p>
            <w:pPr>
              <w:jc w:val="center"/>
              <w:rPr>
                <w:rFonts w:ascii="宋体" w:hAnsi="宋体"/>
                <w:szCs w:val="21"/>
              </w:rPr>
            </w:pPr>
            <w:r>
              <w:rPr>
                <w:rFonts w:ascii="宋体" w:hAnsi="宋体"/>
                <w:szCs w:val="21"/>
              </w:rPr>
              <w:t>数量</w:t>
            </w:r>
          </w:p>
        </w:tc>
        <w:tc>
          <w:tcPr>
            <w:tcW w:w="151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股份是否有限售条件</w:t>
            </w:r>
          </w:p>
        </w:tc>
        <w:tc>
          <w:tcPr>
            <w:tcW w:w="12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买卖</w:t>
            </w:r>
          </w:p>
          <w:p>
            <w:pPr>
              <w:jc w:val="center"/>
              <w:rPr>
                <w:rFonts w:ascii="宋体" w:hAnsi="宋体"/>
                <w:szCs w:val="21"/>
              </w:rPr>
            </w:pPr>
            <w:r>
              <w:rPr>
                <w:rFonts w:ascii="宋体" w:hAnsi="宋体"/>
                <w:szCs w:val="21"/>
              </w:rPr>
              <w:t>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收购人的一致行动人名称</w:t>
            </w:r>
          </w:p>
        </w:tc>
        <w:tc>
          <w:tcPr>
            <w:tcW w:w="2065"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深圳证券账户</w:t>
            </w:r>
          </w:p>
        </w:tc>
        <w:tc>
          <w:tcPr>
            <w:tcW w:w="138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持股</w:t>
            </w:r>
          </w:p>
          <w:p>
            <w:pPr>
              <w:jc w:val="center"/>
              <w:rPr>
                <w:rFonts w:ascii="宋体" w:hAnsi="宋体"/>
                <w:szCs w:val="21"/>
              </w:rPr>
            </w:pPr>
            <w:r>
              <w:rPr>
                <w:rFonts w:ascii="宋体" w:hAnsi="宋体"/>
                <w:szCs w:val="21"/>
              </w:rPr>
              <w:t>数量</w:t>
            </w:r>
          </w:p>
        </w:tc>
        <w:tc>
          <w:tcPr>
            <w:tcW w:w="1517"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股份</w:t>
            </w:r>
          </w:p>
          <w:p>
            <w:pPr>
              <w:jc w:val="center"/>
              <w:rPr>
                <w:rFonts w:ascii="宋体" w:hAnsi="宋体"/>
                <w:szCs w:val="21"/>
              </w:rPr>
            </w:pPr>
            <w:r>
              <w:rPr>
                <w:rFonts w:ascii="宋体" w:hAnsi="宋体"/>
                <w:szCs w:val="21"/>
              </w:rPr>
              <w:t>性质</w:t>
            </w:r>
          </w:p>
        </w:tc>
        <w:tc>
          <w:tcPr>
            <w:tcW w:w="1243"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买卖</w:t>
            </w:r>
          </w:p>
          <w:p>
            <w:pPr>
              <w:jc w:val="center"/>
              <w:rPr>
                <w:rFonts w:ascii="宋体" w:hAnsi="宋体"/>
                <w:szCs w:val="21"/>
              </w:rPr>
            </w:pPr>
            <w:r>
              <w:rPr>
                <w:rFonts w:ascii="宋体" w:hAnsi="宋体"/>
                <w:szCs w:val="21"/>
              </w:rPr>
              <w:t>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435"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2065"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3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517"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243"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941" w:hRule="atLeast"/>
          <w:jc w:val="center"/>
        </w:trPr>
        <w:tc>
          <w:tcPr>
            <w:tcW w:w="8640" w:type="dxa"/>
            <w:gridSpan w:val="5"/>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r>
              <w:rPr>
                <w:rFonts w:ascii="宋体" w:hAnsi="宋体"/>
                <w:szCs w:val="21"/>
              </w:rPr>
              <w:t>收购人：</w:t>
            </w:r>
          </w:p>
          <w:p>
            <w:pPr>
              <w:rPr>
                <w:rFonts w:ascii="宋体" w:hAnsi="宋体"/>
                <w:szCs w:val="21"/>
              </w:rPr>
            </w:pPr>
          </w:p>
          <w:p>
            <w:pPr>
              <w:rPr>
                <w:rFonts w:ascii="宋体" w:hAnsi="宋体"/>
                <w:szCs w:val="21"/>
              </w:rPr>
            </w:pPr>
          </w:p>
          <w:p>
            <w:pPr>
              <w:rPr>
                <w:rFonts w:ascii="宋体" w:hAnsi="宋体"/>
                <w:szCs w:val="21"/>
              </w:rPr>
            </w:pPr>
          </w:p>
          <w:p>
            <w:pPr>
              <w:ind w:firstLine="5250" w:firstLineChars="2500"/>
              <w:rPr>
                <w:rFonts w:ascii="宋体" w:hAnsi="宋体"/>
                <w:szCs w:val="21"/>
              </w:rPr>
            </w:pPr>
            <w:r>
              <w:rPr>
                <w:rFonts w:ascii="宋体" w:hAnsi="宋体"/>
                <w:szCs w:val="21"/>
              </w:rPr>
              <w:t>单位公章</w:t>
            </w:r>
          </w:p>
          <w:p>
            <w:pPr>
              <w:rPr>
                <w:rFonts w:ascii="宋体" w:hAnsi="宋体"/>
                <w:szCs w:val="21"/>
              </w:rPr>
            </w:pPr>
            <w:r>
              <w:rPr>
                <w:rFonts w:ascii="宋体" w:hAnsi="宋体"/>
                <w:szCs w:val="21"/>
              </w:rPr>
              <w:t xml:space="preserve">                                                  年  月  日</w:t>
            </w:r>
          </w:p>
          <w:p>
            <w:pPr>
              <w:rPr>
                <w:rFonts w:ascii="宋体" w:hAnsi="宋体"/>
                <w:szCs w:val="21"/>
              </w:rPr>
            </w:pPr>
          </w:p>
          <w:p>
            <w:pPr>
              <w:rPr>
                <w:rFonts w:ascii="宋体" w:hAnsi="宋体"/>
                <w:szCs w:val="21"/>
              </w:rPr>
            </w:pPr>
          </w:p>
        </w:tc>
      </w:tr>
    </w:tbl>
    <w:p>
      <w:pPr>
        <w:ind w:left="630" w:hanging="630" w:hangingChars="300"/>
        <w:rPr>
          <w:rFonts w:ascii="宋体" w:hAnsi="宋体"/>
          <w:szCs w:val="21"/>
        </w:rPr>
      </w:pPr>
      <w:r>
        <w:rPr>
          <w:rFonts w:ascii="宋体" w:hAnsi="宋体"/>
          <w:szCs w:val="21"/>
        </w:rPr>
        <w:t>说明：1</w:t>
      </w:r>
      <w:r>
        <w:rPr>
          <w:rFonts w:hint="eastAsia" w:ascii="宋体" w:hAnsi="宋体"/>
          <w:szCs w:val="21"/>
        </w:rPr>
        <w:t>．</w:t>
      </w:r>
      <w:r>
        <w:rPr>
          <w:rFonts w:ascii="宋体" w:hAnsi="宋体"/>
          <w:kern w:val="0"/>
          <w:szCs w:val="21"/>
        </w:rPr>
        <w:t>收购人及其一致行动人，是指</w:t>
      </w:r>
      <w:r>
        <w:rPr>
          <w:rFonts w:ascii="宋体" w:hAnsi="宋体"/>
          <w:szCs w:val="21"/>
        </w:rPr>
        <w:t>股份持有人、股份控制人及一致行动人；</w:t>
      </w:r>
    </w:p>
    <w:p>
      <w:pPr>
        <w:ind w:left="630" w:leftChars="300" w:firstLine="63" w:firstLineChars="30"/>
        <w:rPr>
          <w:rFonts w:ascii="宋体" w:hAnsi="宋体"/>
          <w:szCs w:val="21"/>
        </w:rPr>
      </w:pPr>
      <w:r>
        <w:rPr>
          <w:rFonts w:ascii="宋体" w:hAnsi="宋体"/>
          <w:szCs w:val="21"/>
        </w:rPr>
        <w:t>2</w:t>
      </w:r>
      <w:r>
        <w:rPr>
          <w:rFonts w:hint="eastAsia" w:ascii="宋体" w:hAnsi="宋体"/>
          <w:szCs w:val="21"/>
        </w:rPr>
        <w:t>．</w:t>
      </w:r>
      <w:r>
        <w:rPr>
          <w:rFonts w:ascii="宋体" w:hAnsi="宋体"/>
          <w:szCs w:val="21"/>
        </w:rPr>
        <w:t>“持股数量”的截止日为要约收购报告书摘要披露前一交易日。</w:t>
      </w:r>
    </w:p>
    <w:p>
      <w:pPr>
        <w:rPr>
          <w:rFonts w:ascii="黑体" w:hAnsi="黑体" w:eastAsia="黑体"/>
          <w:sz w:val="32"/>
          <w:szCs w:val="32"/>
        </w:rPr>
      </w:pPr>
      <w:r>
        <w:rPr>
          <w:rFonts w:ascii="Times New Roman" w:hAnsi="Times New Roman" w:eastAsia="仿宋"/>
          <w:sz w:val="24"/>
          <w:szCs w:val="24"/>
        </w:rPr>
        <w:br w:type="page"/>
      </w:r>
      <w:r>
        <w:rPr>
          <w:rFonts w:ascii="黑体" w:hAnsi="黑体" w:eastAsia="黑体"/>
          <w:sz w:val="32"/>
          <w:szCs w:val="32"/>
        </w:rPr>
        <w:t>附件2</w:t>
      </w:r>
    </w:p>
    <w:p>
      <w:pPr>
        <w:widowControl/>
        <w:adjustRightInd w:val="0"/>
        <w:snapToGrid w:val="0"/>
        <w:rPr>
          <w:rFonts w:ascii="Times New Roman" w:hAnsi="Times New Roman" w:eastAsia="黑体"/>
          <w:sz w:val="32"/>
          <w:szCs w:val="32"/>
        </w:rPr>
      </w:pPr>
    </w:p>
    <w:p>
      <w:pPr>
        <w:jc w:val="center"/>
        <w:rPr>
          <w:rFonts w:ascii="方正小标宋简体" w:hAnsi="黑体" w:eastAsia="方正小标宋简体"/>
          <w:sz w:val="32"/>
          <w:szCs w:val="32"/>
        </w:rPr>
      </w:pPr>
      <w:r>
        <w:rPr>
          <w:rFonts w:hint="eastAsia" w:ascii="方正小标宋简体" w:hAnsi="黑体" w:eastAsia="方正小标宋简体"/>
          <w:sz w:val="32"/>
          <w:szCs w:val="32"/>
        </w:rPr>
        <w:t>收购人的董事、监事和高级人员自查表</w:t>
      </w:r>
    </w:p>
    <w:p>
      <w:pPr>
        <w:widowControl/>
        <w:adjustRightInd w:val="0"/>
        <w:snapToGrid w:val="0"/>
        <w:rPr>
          <w:rFonts w:ascii="Times New Roman" w:hAnsi="Times New Roman" w:eastAsia="黑体"/>
          <w:sz w:val="32"/>
          <w:szCs w:val="32"/>
        </w:rPr>
      </w:pPr>
    </w:p>
    <w:p>
      <w:pPr>
        <w:jc w:val="right"/>
        <w:rPr>
          <w:rFonts w:ascii="宋体" w:hAnsi="宋体"/>
          <w:szCs w:val="21"/>
        </w:rPr>
      </w:pPr>
      <w:r>
        <w:rPr>
          <w:rFonts w:ascii="宋体" w:hAnsi="宋体"/>
          <w:szCs w:val="21"/>
        </w:rPr>
        <w:t>单位：股</w:t>
      </w:r>
    </w:p>
    <w:tbl>
      <w:tblPr>
        <w:tblStyle w:val="5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700"/>
        <w:gridCol w:w="1980"/>
        <w:gridCol w:w="1980"/>
        <w:gridCol w:w="19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姓名</w:t>
            </w:r>
          </w:p>
        </w:tc>
        <w:tc>
          <w:tcPr>
            <w:tcW w:w="198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深圳证券账户</w:t>
            </w:r>
          </w:p>
        </w:tc>
        <w:tc>
          <w:tcPr>
            <w:tcW w:w="198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持股</w:t>
            </w:r>
          </w:p>
          <w:p>
            <w:pPr>
              <w:jc w:val="center"/>
              <w:rPr>
                <w:rFonts w:ascii="宋体" w:hAnsi="宋体"/>
                <w:szCs w:val="21"/>
              </w:rPr>
            </w:pPr>
            <w:r>
              <w:rPr>
                <w:rFonts w:ascii="宋体" w:hAnsi="宋体"/>
                <w:szCs w:val="21"/>
              </w:rPr>
              <w:t>数量</w:t>
            </w:r>
          </w:p>
        </w:tc>
        <w:tc>
          <w:tcPr>
            <w:tcW w:w="1980" w:type="dxa"/>
            <w:tcBorders>
              <w:top w:val="single" w:color="auto" w:sz="6" w:space="0"/>
              <w:left w:val="single" w:color="auto" w:sz="6" w:space="0"/>
              <w:bottom w:val="single" w:color="auto" w:sz="6" w:space="0"/>
              <w:right w:val="single" w:color="auto" w:sz="6" w:space="0"/>
            </w:tcBorders>
            <w:vAlign w:val="center"/>
          </w:tcPr>
          <w:p>
            <w:pPr>
              <w:jc w:val="center"/>
              <w:rPr>
                <w:rFonts w:ascii="宋体" w:hAnsi="宋体"/>
                <w:szCs w:val="21"/>
              </w:rPr>
            </w:pPr>
            <w:r>
              <w:rPr>
                <w:rFonts w:ascii="宋体" w:hAnsi="宋体"/>
                <w:szCs w:val="21"/>
              </w:rPr>
              <w:t>买卖</w:t>
            </w:r>
          </w:p>
          <w:p>
            <w:pPr>
              <w:jc w:val="center"/>
              <w:rPr>
                <w:rFonts w:ascii="宋体" w:hAnsi="宋体"/>
                <w:szCs w:val="21"/>
              </w:rPr>
            </w:pPr>
            <w:r>
              <w:rPr>
                <w:rFonts w:ascii="宋体" w:hAnsi="宋体"/>
                <w:szCs w:val="21"/>
              </w:rPr>
              <w:t>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700" w:type="dxa"/>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c>
          <w:tcPr>
            <w:tcW w:w="1980" w:type="dxa"/>
            <w:tcBorders>
              <w:top w:val="single" w:color="auto" w:sz="6" w:space="0"/>
              <w:left w:val="single" w:color="auto" w:sz="6" w:space="0"/>
              <w:bottom w:val="single" w:color="auto" w:sz="6" w:space="0"/>
              <w:right w:val="single" w:color="auto" w:sz="6" w:space="0"/>
            </w:tcBorders>
          </w:tcPr>
          <w:p>
            <w:pPr>
              <w:rPr>
                <w:rFonts w:ascii="宋体" w:hAnsi="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331" w:hRule="atLeast"/>
          <w:jc w:val="center"/>
        </w:trPr>
        <w:tc>
          <w:tcPr>
            <w:tcW w:w="8640" w:type="dxa"/>
            <w:gridSpan w:val="4"/>
            <w:tcBorders>
              <w:top w:val="single" w:color="auto" w:sz="6" w:space="0"/>
              <w:left w:val="single" w:color="auto" w:sz="6" w:space="0"/>
              <w:bottom w:val="single" w:color="auto" w:sz="6" w:space="0"/>
              <w:right w:val="single" w:color="auto" w:sz="6" w:space="0"/>
            </w:tcBorders>
          </w:tcPr>
          <w:p>
            <w:pPr>
              <w:rPr>
                <w:rFonts w:ascii="宋体" w:hAnsi="宋体"/>
                <w:szCs w:val="21"/>
              </w:rPr>
            </w:pPr>
          </w:p>
          <w:p>
            <w:pPr>
              <w:rPr>
                <w:rFonts w:ascii="宋体" w:hAnsi="宋体"/>
                <w:szCs w:val="21"/>
              </w:rPr>
            </w:pPr>
            <w:r>
              <w:rPr>
                <w:rFonts w:ascii="宋体" w:hAnsi="宋体"/>
                <w:szCs w:val="21"/>
              </w:rPr>
              <w:t>收购人：</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ascii="宋体" w:hAnsi="宋体"/>
                <w:szCs w:val="21"/>
              </w:rPr>
              <w:t>单位公章</w:t>
            </w:r>
          </w:p>
          <w:p>
            <w:pPr>
              <w:rPr>
                <w:rFonts w:ascii="宋体" w:hAnsi="宋体"/>
                <w:szCs w:val="21"/>
              </w:rPr>
            </w:pPr>
            <w:r>
              <w:rPr>
                <w:rFonts w:ascii="宋体" w:hAnsi="宋体"/>
                <w:szCs w:val="21"/>
              </w:rPr>
              <w:t>年  月  日</w:t>
            </w:r>
          </w:p>
        </w:tc>
      </w:tr>
    </w:tbl>
    <w:p>
      <w:pPr>
        <w:rPr>
          <w:rFonts w:ascii="宋体" w:hAnsi="宋体"/>
          <w:szCs w:val="21"/>
        </w:rPr>
      </w:pPr>
      <w:r>
        <w:rPr>
          <w:rFonts w:ascii="宋体" w:hAnsi="宋体"/>
          <w:szCs w:val="21"/>
        </w:rPr>
        <w:t>说明：1．</w:t>
      </w:r>
      <w:r>
        <w:rPr>
          <w:rFonts w:ascii="宋体" w:hAnsi="宋体"/>
          <w:kern w:val="0"/>
          <w:szCs w:val="21"/>
        </w:rPr>
        <w:t>收购人及其一致行动人，是指</w:t>
      </w:r>
      <w:r>
        <w:rPr>
          <w:rFonts w:ascii="宋体" w:hAnsi="宋体"/>
          <w:szCs w:val="21"/>
        </w:rPr>
        <w:t>股份持有人、股份控制人及一致行动人；</w:t>
      </w:r>
    </w:p>
    <w:p>
      <w:pPr>
        <w:ind w:firstLine="630" w:firstLineChars="300"/>
        <w:rPr>
          <w:rFonts w:ascii="宋体" w:hAnsi="宋体"/>
          <w:sz w:val="24"/>
          <w:szCs w:val="24"/>
        </w:rPr>
      </w:pPr>
      <w:r>
        <w:rPr>
          <w:rFonts w:ascii="宋体" w:hAnsi="宋体"/>
          <w:szCs w:val="21"/>
        </w:rPr>
        <w:t>2．“持股数量”的截止日为要约收购报告书摘要披露前一交易日。</w:t>
      </w:r>
      <w:r>
        <w:rPr>
          <w:rFonts w:ascii="宋体" w:hAnsi="宋体"/>
          <w:sz w:val="24"/>
          <w:szCs w:val="24"/>
        </w:rPr>
        <w:t> </w:t>
      </w:r>
    </w:p>
    <w:p>
      <w:pPr>
        <w:rPr>
          <w:rFonts w:ascii="Times New Roman" w:hAnsi="Times New Roman" w:eastAsia="仿宋"/>
          <w:sz w:val="24"/>
          <w:szCs w:val="24"/>
        </w:rPr>
      </w:pPr>
    </w:p>
    <w:p>
      <w:pPr>
        <w:rPr>
          <w:rFonts w:ascii="黑体" w:hAnsi="黑体" w:eastAsia="黑体"/>
          <w:sz w:val="32"/>
          <w:szCs w:val="32"/>
        </w:rPr>
      </w:pPr>
      <w:r>
        <w:rPr>
          <w:rFonts w:ascii="Times New Roman" w:hAnsi="Times New Roman" w:eastAsia="仿宋"/>
          <w:kern w:val="0"/>
          <w:sz w:val="24"/>
          <w:szCs w:val="24"/>
        </w:rPr>
        <w:br w:type="page"/>
      </w:r>
      <w:r>
        <w:rPr>
          <w:rFonts w:ascii="黑体" w:hAnsi="黑体" w:eastAsia="黑体"/>
          <w:sz w:val="32"/>
          <w:szCs w:val="32"/>
        </w:rPr>
        <w:t>附件3</w:t>
      </w:r>
    </w:p>
    <w:p>
      <w:pPr>
        <w:widowControl/>
        <w:adjustRightInd w:val="0"/>
        <w:snapToGrid w:val="0"/>
        <w:rPr>
          <w:rFonts w:ascii="Times New Roman" w:hAnsi="Times New Roman" w:eastAsia="黑体"/>
          <w:sz w:val="32"/>
          <w:szCs w:val="32"/>
        </w:rPr>
      </w:pPr>
    </w:p>
    <w:p>
      <w:pPr>
        <w:jc w:val="center"/>
        <w:rPr>
          <w:rFonts w:ascii="方正小标宋简体" w:hAnsi="黑体" w:eastAsia="方正小标宋简体"/>
          <w:sz w:val="32"/>
          <w:szCs w:val="32"/>
        </w:rPr>
      </w:pPr>
      <w:r>
        <w:rPr>
          <w:rFonts w:hint="eastAsia" w:ascii="方正小标宋简体" w:hAnsi="黑体" w:eastAsia="方正小标宋简体"/>
          <w:sz w:val="32"/>
          <w:szCs w:val="32"/>
        </w:rPr>
        <w:t>上市公司预受要约股份情况公告表</w:t>
      </w:r>
    </w:p>
    <w:p>
      <w:pPr>
        <w:widowControl/>
        <w:adjustRightInd w:val="0"/>
        <w:snapToGrid w:val="0"/>
        <w:rPr>
          <w:rFonts w:ascii="Times New Roman" w:hAnsi="Times New Roman" w:eastAsia="黑体"/>
          <w:sz w:val="32"/>
          <w:szCs w:val="32"/>
        </w:rPr>
      </w:pPr>
    </w:p>
    <w:p>
      <w:pPr>
        <w:rPr>
          <w:rFonts w:ascii="宋体" w:hAnsi="宋体"/>
          <w:szCs w:val="21"/>
        </w:rPr>
      </w:pPr>
      <w:r>
        <w:rPr>
          <w:rFonts w:ascii="宋体" w:hAnsi="宋体"/>
          <w:szCs w:val="21"/>
        </w:rPr>
        <w:t>被收购上市公司名称:</w:t>
      </w:r>
    </w:p>
    <w:p>
      <w:pPr>
        <w:rPr>
          <w:rFonts w:ascii="宋体" w:hAnsi="宋体"/>
          <w:szCs w:val="21"/>
        </w:rPr>
      </w:pPr>
      <w:r>
        <w:rPr>
          <w:rFonts w:ascii="宋体" w:hAnsi="宋体"/>
          <w:szCs w:val="21"/>
        </w:rPr>
        <w:t>收购编码：                                                 单位：股，户</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58"/>
        <w:gridCol w:w="1308"/>
        <w:gridCol w:w="851"/>
        <w:gridCol w:w="850"/>
        <w:gridCol w:w="833"/>
        <w:gridCol w:w="732"/>
        <w:gridCol w:w="732"/>
        <w:gridCol w:w="732"/>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74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预受</w:t>
            </w:r>
          </w:p>
          <w:p>
            <w:pPr>
              <w:jc w:val="center"/>
              <w:rPr>
                <w:rFonts w:ascii="宋体" w:hAnsi="宋体"/>
                <w:szCs w:val="21"/>
              </w:rPr>
            </w:pPr>
            <w:r>
              <w:rPr>
                <w:rFonts w:ascii="宋体" w:hAnsi="宋体"/>
                <w:szCs w:val="21"/>
              </w:rPr>
              <w:t>日期</w:t>
            </w:r>
          </w:p>
        </w:tc>
        <w:tc>
          <w:tcPr>
            <w:tcW w:w="758"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rPr>
            </w:pPr>
            <w:r>
              <w:rPr>
                <w:rFonts w:ascii="宋体" w:hAnsi="宋体"/>
                <w:szCs w:val="21"/>
              </w:rPr>
              <w:t>证券</w:t>
            </w:r>
          </w:p>
          <w:p>
            <w:pPr>
              <w:jc w:val="center"/>
              <w:rPr>
                <w:rFonts w:ascii="宋体" w:hAnsi="宋体"/>
                <w:szCs w:val="21"/>
              </w:rPr>
            </w:pPr>
            <w:r>
              <w:rPr>
                <w:rFonts w:ascii="宋体" w:hAnsi="宋体"/>
                <w:szCs w:val="21"/>
              </w:rPr>
              <w:t>代码</w:t>
            </w:r>
          </w:p>
        </w:tc>
        <w:tc>
          <w:tcPr>
            <w:tcW w:w="1308"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rPr>
            </w:pPr>
            <w:r>
              <w:rPr>
                <w:rFonts w:ascii="宋体" w:hAnsi="宋体"/>
                <w:szCs w:val="21"/>
              </w:rPr>
              <w:t>股份是否有限售条件</w:t>
            </w:r>
          </w:p>
        </w:tc>
        <w:tc>
          <w:tcPr>
            <w:tcW w:w="1701"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rPr>
            </w:pPr>
            <w:r>
              <w:rPr>
                <w:rFonts w:ascii="宋体" w:hAnsi="宋体"/>
                <w:szCs w:val="21"/>
              </w:rPr>
              <w:t>当天预受要约</w:t>
            </w:r>
          </w:p>
        </w:tc>
        <w:tc>
          <w:tcPr>
            <w:tcW w:w="1565"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rPr>
            </w:pPr>
            <w:r>
              <w:rPr>
                <w:rFonts w:ascii="宋体" w:hAnsi="宋体"/>
                <w:szCs w:val="21"/>
              </w:rPr>
              <w:t>当天撤回预受</w:t>
            </w:r>
          </w:p>
        </w:tc>
        <w:tc>
          <w:tcPr>
            <w:tcW w:w="1464"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rPr>
            </w:pPr>
            <w:r>
              <w:rPr>
                <w:rFonts w:ascii="宋体" w:hAnsi="宋体"/>
                <w:szCs w:val="21"/>
              </w:rPr>
              <w:t>截止当天净预受</w:t>
            </w:r>
          </w:p>
        </w:tc>
        <w:tc>
          <w:tcPr>
            <w:tcW w:w="188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净预受股份比例（净预受股份/拟收购股份）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74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75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3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户数</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股数</w:t>
            </w:r>
          </w:p>
        </w:tc>
        <w:tc>
          <w:tcPr>
            <w:tcW w:w="83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户数</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股数</w:t>
            </w: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rPr>
            </w:pPr>
            <w:r>
              <w:rPr>
                <w:rFonts w:ascii="宋体" w:hAnsi="宋体"/>
                <w:szCs w:val="21"/>
              </w:rPr>
              <w:t>户数</w:t>
            </w: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Fonts w:ascii="宋体" w:hAnsi="宋体"/>
                <w:szCs w:val="21"/>
              </w:rPr>
            </w:pPr>
            <w:r>
              <w:rPr>
                <w:rFonts w:ascii="宋体" w:hAnsi="宋体"/>
                <w:szCs w:val="21"/>
              </w:rPr>
              <w:t>股数</w:t>
            </w:r>
          </w:p>
        </w:tc>
        <w:tc>
          <w:tcPr>
            <w:tcW w:w="188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47"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58"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308"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851"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833"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3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rPr>
            </w:pPr>
          </w:p>
        </w:tc>
        <w:tc>
          <w:tcPr>
            <w:tcW w:w="188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47"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58"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308"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851"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833"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3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rPr>
            </w:pPr>
          </w:p>
        </w:tc>
        <w:tc>
          <w:tcPr>
            <w:tcW w:w="188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47"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58"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308"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851"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833"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3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rPr>
            </w:pPr>
          </w:p>
        </w:tc>
        <w:tc>
          <w:tcPr>
            <w:tcW w:w="188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47"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58"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1308"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851"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850"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833"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32"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rPr>
            </w:pPr>
          </w:p>
        </w:tc>
        <w:tc>
          <w:tcPr>
            <w:tcW w:w="73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rPr>
            </w:pPr>
          </w:p>
        </w:tc>
        <w:tc>
          <w:tcPr>
            <w:tcW w:w="188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pPr>
              <w:rPr>
                <w:rFonts w:ascii="宋体" w:hAnsi="宋体"/>
                <w:szCs w:val="21"/>
              </w:rPr>
            </w:pPr>
          </w:p>
        </w:tc>
      </w:tr>
    </w:tbl>
    <w:p>
      <w:pPr>
        <w:rPr>
          <w:rFonts w:ascii="宋体" w:hAnsi="宋体"/>
          <w:kern w:val="0"/>
          <w:szCs w:val="21"/>
        </w:rPr>
      </w:pPr>
      <w:r>
        <w:rPr>
          <w:rFonts w:ascii="宋体" w:hAnsi="宋体"/>
          <w:kern w:val="0"/>
          <w:szCs w:val="21"/>
        </w:rPr>
        <w:t>注：收购编码由</w:t>
      </w:r>
      <w:r>
        <w:rPr>
          <w:rFonts w:hint="eastAsia" w:ascii="宋体" w:hAnsi="宋体"/>
          <w:kern w:val="0"/>
          <w:szCs w:val="21"/>
        </w:rPr>
        <w:t>创业板公司管理部</w:t>
      </w:r>
      <w:r>
        <w:rPr>
          <w:rFonts w:ascii="宋体" w:hAnsi="宋体"/>
          <w:kern w:val="0"/>
          <w:szCs w:val="21"/>
        </w:rPr>
        <w:t>通知收购人载于《要约收购报告书》上。</w:t>
      </w:r>
    </w:p>
    <w:p>
      <w:pPr>
        <w:rPr>
          <w:rFonts w:ascii="宋体" w:hAnsi="宋体"/>
          <w:szCs w:val="21"/>
        </w:rPr>
      </w:pPr>
    </w:p>
    <w:p>
      <w:pPr>
        <w:wordWrap w:val="0"/>
        <w:jc w:val="right"/>
        <w:rPr>
          <w:rFonts w:ascii="宋体" w:hAnsi="宋体"/>
          <w:szCs w:val="21"/>
        </w:rPr>
      </w:pPr>
      <w:r>
        <w:rPr>
          <w:rFonts w:ascii="宋体" w:hAnsi="宋体"/>
          <w:szCs w:val="21"/>
        </w:rPr>
        <w:t xml:space="preserve">（收购人名称）：     </w:t>
      </w:r>
    </w:p>
    <w:p>
      <w:pPr>
        <w:jc w:val="right"/>
        <w:rPr>
          <w:rFonts w:ascii="宋体" w:hAnsi="宋体"/>
          <w:szCs w:val="21"/>
        </w:rPr>
      </w:pPr>
      <w:r>
        <w:rPr>
          <w:rFonts w:ascii="宋体" w:hAnsi="宋体"/>
          <w:szCs w:val="21"/>
        </w:rPr>
        <w:t>      年    月   日</w:t>
      </w:r>
    </w:p>
    <w:p>
      <w:pPr>
        <w:rPr>
          <w:rFonts w:ascii="Times New Roman" w:hAnsi="Times New Roman" w:eastAsia="仿宋"/>
          <w:szCs w:val="21"/>
        </w:rPr>
      </w:pPr>
    </w:p>
    <w:p>
      <w:pPr>
        <w:widowControl/>
        <w:jc w:val="left"/>
        <w:rPr>
          <w:rFonts w:ascii="Times New Roman" w:hAnsi="Times New Roman" w:eastAsia="仿宋"/>
          <w:sz w:val="24"/>
          <w:szCs w:val="24"/>
        </w:rPr>
      </w:pPr>
      <w:r>
        <w:rPr>
          <w:rFonts w:ascii="Times New Roman" w:hAnsi="Times New Roman" w:eastAsia="仿宋"/>
          <w:sz w:val="24"/>
          <w:szCs w:val="24"/>
        </w:rPr>
        <w:br w:type="page"/>
      </w:r>
    </w:p>
    <w:p>
      <w:pPr>
        <w:rPr>
          <w:rFonts w:ascii="Times New Roman" w:hAnsi="Times New Roman" w:eastAsia="仿宋"/>
          <w:sz w:val="24"/>
          <w:szCs w:val="24"/>
        </w:rPr>
      </w:pPr>
    </w:p>
    <w:p>
      <w:pPr>
        <w:jc w:val="center"/>
        <w:rPr>
          <w:rFonts w:ascii="方正小标宋简体" w:hAnsi="黑体" w:eastAsia="方正小标宋简体"/>
          <w:sz w:val="32"/>
          <w:szCs w:val="32"/>
        </w:rPr>
      </w:pPr>
      <w:r>
        <w:rPr>
          <w:rFonts w:hint="eastAsia" w:ascii="方正小标宋简体" w:hAnsi="黑体" w:eastAsia="方正小标宋简体"/>
          <w:sz w:val="32"/>
          <w:szCs w:val="32"/>
        </w:rPr>
        <w:t>授 权 书</w:t>
      </w:r>
    </w:p>
    <w:p>
      <w:pPr>
        <w:spacing w:line="360" w:lineRule="auto"/>
        <w:rPr>
          <w:rFonts w:ascii="Times New Roman" w:hAnsi="Times New Roman" w:eastAsia="仿宋"/>
          <w:sz w:val="32"/>
          <w:szCs w:val="32"/>
        </w:rPr>
      </w:pPr>
    </w:p>
    <w:p>
      <w:pPr>
        <w:spacing w:line="560" w:lineRule="exact"/>
        <w:rPr>
          <w:rFonts w:ascii="Times New Roman" w:hAnsi="Times New Roman" w:eastAsia="仿宋"/>
          <w:sz w:val="32"/>
          <w:szCs w:val="32"/>
        </w:rPr>
      </w:pPr>
      <w:r>
        <w:rPr>
          <w:rFonts w:ascii="Times New Roman" w:hAnsi="Times New Roman" w:eastAsia="仿宋"/>
          <w:sz w:val="32"/>
          <w:szCs w:val="32"/>
        </w:rPr>
        <w:t>深圳证券交易所：</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为履行《上市公司收购管理办法》规定的有关义务，本公司（本人）授权贵所在收购要约有效期间内直接根据中国证券登记结算有限责任公司深圳分公司提供的有关本公司（本人）的预受要约股份情况统计表在贵所网站进行公布。</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特此授权。</w:t>
      </w:r>
    </w:p>
    <w:p>
      <w:pPr>
        <w:spacing w:line="560" w:lineRule="exact"/>
        <w:rPr>
          <w:rFonts w:ascii="Times New Roman" w:hAnsi="Times New Roman" w:eastAsia="仿宋"/>
          <w:sz w:val="32"/>
          <w:szCs w:val="32"/>
        </w:rPr>
      </w:pPr>
    </w:p>
    <w:p>
      <w:pPr>
        <w:spacing w:line="560" w:lineRule="exact"/>
        <w:ind w:firstLine="4000" w:firstLineChars="1250"/>
        <w:rPr>
          <w:rFonts w:ascii="Times New Roman" w:hAnsi="Times New Roman" w:eastAsia="仿宋"/>
          <w:sz w:val="32"/>
          <w:szCs w:val="32"/>
        </w:rPr>
      </w:pPr>
      <w:r>
        <w:rPr>
          <w:rFonts w:ascii="Times New Roman" w:hAnsi="Times New Roman" w:eastAsia="仿宋"/>
          <w:sz w:val="32"/>
          <w:szCs w:val="32"/>
        </w:rPr>
        <w:t>（授权人签字或盖章）</w:t>
      </w:r>
    </w:p>
    <w:p>
      <w:pPr>
        <w:spacing w:line="560" w:lineRule="exact"/>
        <w:ind w:firstLine="4320" w:firstLineChars="1350"/>
        <w:jc w:val="left"/>
        <w:rPr>
          <w:rFonts w:ascii="Times New Roman" w:hAnsi="Times New Roman" w:eastAsia="仿宋"/>
          <w:sz w:val="32"/>
          <w:szCs w:val="32"/>
        </w:rPr>
      </w:pPr>
      <w:r>
        <w:rPr>
          <w:rFonts w:ascii="Times New Roman" w:hAnsi="Times New Roman" w:eastAsia="仿宋"/>
          <w:sz w:val="32"/>
          <w:szCs w:val="32"/>
        </w:rPr>
        <w:t>年</w:t>
      </w:r>
      <w:r>
        <w:rPr>
          <w:rFonts w:ascii="Times New Roman" w:hAnsi="Times New Roman"/>
          <w:sz w:val="32"/>
          <w:szCs w:val="32"/>
        </w:rPr>
        <w:t>  </w:t>
      </w:r>
      <w:r>
        <w:rPr>
          <w:rFonts w:ascii="Times New Roman" w:hAnsi="Times New Roman" w:eastAsia="仿宋"/>
          <w:sz w:val="32"/>
          <w:szCs w:val="32"/>
        </w:rPr>
        <w:t xml:space="preserve"> 月</w:t>
      </w:r>
      <w:r>
        <w:rPr>
          <w:rFonts w:ascii="Times New Roman" w:hAnsi="Times New Roman"/>
          <w:sz w:val="32"/>
          <w:szCs w:val="32"/>
        </w:rPr>
        <w:t>  </w:t>
      </w:r>
      <w:r>
        <w:rPr>
          <w:rFonts w:ascii="Times New Roman" w:hAnsi="Times New Roman" w:eastAsia="仿宋"/>
          <w:sz w:val="32"/>
          <w:szCs w:val="32"/>
        </w:rPr>
        <w:t xml:space="preserve"> 日</w:t>
      </w:r>
    </w:p>
    <w:p>
      <w:pPr>
        <w:widowControl/>
        <w:jc w:val="left"/>
        <w:rPr>
          <w:rFonts w:ascii="黑体" w:hAnsi="黑体" w:eastAsia="黑体"/>
          <w:sz w:val="32"/>
          <w:szCs w:val="32"/>
        </w:rPr>
      </w:pPr>
      <w:r>
        <w:rPr>
          <w:rFonts w:ascii="Times New Roman" w:hAnsi="Times New Roman" w:eastAsia="仿宋"/>
          <w:sz w:val="32"/>
          <w:szCs w:val="32"/>
        </w:rPr>
        <w:br w:type="page"/>
      </w:r>
      <w:r>
        <w:rPr>
          <w:rFonts w:ascii="黑体" w:hAnsi="黑体" w:eastAsia="黑体"/>
          <w:sz w:val="32"/>
          <w:szCs w:val="32"/>
        </w:rPr>
        <w:t>附件4</w:t>
      </w:r>
    </w:p>
    <w:p>
      <w:pPr>
        <w:widowControl/>
        <w:adjustRightInd w:val="0"/>
        <w:snapToGrid w:val="0"/>
        <w:rPr>
          <w:rFonts w:ascii="Times New Roman" w:hAnsi="Times New Roman" w:eastAsia="黑体"/>
          <w:sz w:val="32"/>
          <w:szCs w:val="32"/>
        </w:rPr>
      </w:pPr>
    </w:p>
    <w:p>
      <w:pPr>
        <w:jc w:val="center"/>
        <w:rPr>
          <w:rFonts w:ascii="方正小标宋简体" w:hAnsi="黑体" w:eastAsia="方正小标宋简体"/>
          <w:sz w:val="32"/>
          <w:szCs w:val="32"/>
        </w:rPr>
      </w:pPr>
      <w:r>
        <w:rPr>
          <w:rFonts w:hint="eastAsia" w:ascii="方正小标宋简体" w:hAnsi="黑体" w:eastAsia="方正小标宋简体"/>
          <w:sz w:val="32"/>
          <w:szCs w:val="32"/>
        </w:rPr>
        <w:t>上市公司要约收购股份转让申请表</w:t>
      </w:r>
    </w:p>
    <w:p>
      <w:pPr>
        <w:rPr>
          <w:rFonts w:ascii="宋体" w:hAnsi="宋体"/>
          <w:szCs w:val="21"/>
        </w:rPr>
      </w:pPr>
      <w:r>
        <w:rPr>
          <w:rFonts w:ascii="宋体" w:hAnsi="宋体"/>
          <w:szCs w:val="21"/>
        </w:rPr>
        <w:t xml:space="preserve">编号: </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1"/>
        <w:gridCol w:w="1128"/>
        <w:gridCol w:w="217"/>
        <w:gridCol w:w="470"/>
        <w:gridCol w:w="1448"/>
        <w:gridCol w:w="1500"/>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23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被收购公司</w:t>
            </w:r>
          </w:p>
        </w:tc>
        <w:tc>
          <w:tcPr>
            <w:tcW w:w="13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公司名称</w:t>
            </w:r>
          </w:p>
        </w:tc>
        <w:tc>
          <w:tcPr>
            <w:tcW w:w="482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3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证券简称</w:t>
            </w:r>
          </w:p>
        </w:tc>
        <w:tc>
          <w:tcPr>
            <w:tcW w:w="482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3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证券代码</w:t>
            </w:r>
          </w:p>
        </w:tc>
        <w:tc>
          <w:tcPr>
            <w:tcW w:w="482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3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收购编码</w:t>
            </w:r>
          </w:p>
        </w:tc>
        <w:tc>
          <w:tcPr>
            <w:tcW w:w="6171" w:type="dxa"/>
            <w:gridSpan w:val="6"/>
            <w:tcBorders>
              <w:top w:val="single" w:color="auto" w:sz="4" w:space="0"/>
              <w:left w:val="single" w:color="auto" w:sz="4" w:space="0"/>
              <w:bottom w:val="single" w:color="auto" w:sz="4" w:space="0"/>
              <w:right w:val="single" w:color="auto" w:sz="4" w:space="0"/>
            </w:tcBorders>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23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收购人</w:t>
            </w:r>
          </w:p>
        </w:tc>
        <w:tc>
          <w:tcPr>
            <w:tcW w:w="13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名称/姓名</w:t>
            </w:r>
          </w:p>
        </w:tc>
        <w:tc>
          <w:tcPr>
            <w:tcW w:w="4826"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3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证券账户号码</w:t>
            </w:r>
          </w:p>
        </w:tc>
        <w:tc>
          <w:tcPr>
            <w:tcW w:w="4826"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3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实体性质</w:t>
            </w:r>
          </w:p>
        </w:tc>
        <w:tc>
          <w:tcPr>
            <w:tcW w:w="4826" w:type="dxa"/>
            <w:gridSpan w:val="4"/>
            <w:tcBorders>
              <w:top w:val="single" w:color="auto" w:sz="4" w:space="0"/>
              <w:left w:val="single" w:color="auto" w:sz="4" w:space="0"/>
              <w:bottom w:val="single" w:color="auto" w:sz="4" w:space="0"/>
              <w:right w:val="single" w:color="auto" w:sz="4" w:space="0"/>
            </w:tcBorders>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2351"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股份收购情况</w:t>
            </w:r>
          </w:p>
        </w:tc>
        <w:tc>
          <w:tcPr>
            <w:tcW w:w="1815" w:type="dxa"/>
            <w:gridSpan w:val="3"/>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确认</w:t>
            </w:r>
            <w:r>
              <w:rPr>
                <w:rFonts w:ascii="宋体" w:hAnsi="宋体"/>
                <w:szCs w:val="21"/>
              </w:rPr>
              <w:t>收购</w:t>
            </w:r>
            <w:r>
              <w:rPr>
                <w:rFonts w:hint="eastAsia" w:ascii="宋体" w:hAnsi="宋体"/>
                <w:szCs w:val="21"/>
              </w:rPr>
              <w:t>股份</w:t>
            </w:r>
            <w:r>
              <w:rPr>
                <w:rFonts w:ascii="宋体" w:hAnsi="宋体"/>
                <w:szCs w:val="21"/>
              </w:rPr>
              <w:t>总数：股</w:t>
            </w:r>
          </w:p>
        </w:tc>
        <w:tc>
          <w:tcPr>
            <w:tcW w:w="144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ascii="宋体" w:hAnsi="宋体"/>
                <w:szCs w:val="21"/>
              </w:rPr>
              <w:t>收购无限售条件</w:t>
            </w:r>
          </w:p>
        </w:tc>
        <w:tc>
          <w:tcPr>
            <w:tcW w:w="29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815" w:type="dxa"/>
            <w:gridSpan w:val="3"/>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44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szCs w:val="21"/>
              </w:rPr>
            </w:pPr>
            <w:r>
              <w:rPr>
                <w:rFonts w:ascii="宋体" w:hAnsi="宋体"/>
                <w:szCs w:val="21"/>
              </w:rPr>
              <w:t>收购有限售条件</w:t>
            </w:r>
          </w:p>
        </w:tc>
        <w:tc>
          <w:tcPr>
            <w:tcW w:w="29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26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过户比例（</w:t>
            </w:r>
            <w:r>
              <w:rPr>
                <w:rFonts w:hint="eastAsia" w:ascii="宋体" w:hAnsi="宋体"/>
                <w:szCs w:val="21"/>
              </w:rPr>
              <w:t>确认</w:t>
            </w:r>
            <w:r>
              <w:rPr>
                <w:rFonts w:ascii="宋体" w:hAnsi="宋体"/>
                <w:szCs w:val="21"/>
              </w:rPr>
              <w:t>收购股</w:t>
            </w:r>
            <w:r>
              <w:rPr>
                <w:rFonts w:hint="eastAsia" w:ascii="宋体" w:hAnsi="宋体"/>
                <w:szCs w:val="21"/>
              </w:rPr>
              <w:t>数</w:t>
            </w:r>
            <w:r>
              <w:rPr>
                <w:rFonts w:ascii="宋体" w:hAnsi="宋体"/>
                <w:szCs w:val="21"/>
              </w:rPr>
              <w:t>/</w:t>
            </w:r>
            <w:r>
              <w:rPr>
                <w:rFonts w:hint="eastAsia" w:ascii="宋体" w:hAnsi="宋体"/>
                <w:szCs w:val="21"/>
              </w:rPr>
              <w:t>预受要约</w:t>
            </w:r>
            <w:r>
              <w:rPr>
                <w:rFonts w:ascii="宋体" w:hAnsi="宋体"/>
                <w:szCs w:val="21"/>
              </w:rPr>
              <w:t>股</w:t>
            </w:r>
            <w:r>
              <w:rPr>
                <w:rFonts w:hint="eastAsia" w:ascii="宋体" w:hAnsi="宋体"/>
                <w:szCs w:val="21"/>
              </w:rPr>
              <w:t>数</w:t>
            </w:r>
            <w:r>
              <w:rPr>
                <w:rFonts w:ascii="宋体" w:hAnsi="宋体"/>
                <w:szCs w:val="21"/>
              </w:rPr>
              <w:t>）</w:t>
            </w:r>
          </w:p>
        </w:tc>
        <w:tc>
          <w:tcPr>
            <w:tcW w:w="29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23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1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收购价格</w:t>
            </w:r>
          </w:p>
        </w:tc>
        <w:tc>
          <w:tcPr>
            <w:tcW w:w="2135" w:type="dxa"/>
            <w:gridSpan w:val="3"/>
            <w:tcBorders>
              <w:top w:val="single" w:color="auto" w:sz="4" w:space="0"/>
              <w:left w:val="single" w:color="auto" w:sz="4" w:space="0"/>
              <w:right w:val="single" w:color="auto" w:sz="4" w:space="0"/>
            </w:tcBorders>
            <w:vAlign w:val="center"/>
          </w:tcPr>
          <w:p>
            <w:pPr>
              <w:jc w:val="center"/>
              <w:rPr>
                <w:rFonts w:ascii="宋体" w:hAnsi="宋体"/>
                <w:szCs w:val="21"/>
              </w:rPr>
            </w:pPr>
          </w:p>
          <w:p>
            <w:pPr>
              <w:jc w:val="center"/>
              <w:rPr>
                <w:rFonts w:ascii="宋体" w:hAnsi="宋体"/>
                <w:szCs w:val="21"/>
              </w:rPr>
            </w:pPr>
            <w:r>
              <w:rPr>
                <w:rFonts w:ascii="宋体" w:hAnsi="宋体"/>
                <w:szCs w:val="21"/>
              </w:rPr>
              <w:t>元/股</w:t>
            </w:r>
          </w:p>
        </w:tc>
        <w:tc>
          <w:tcPr>
            <w:tcW w:w="15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收购总金额</w:t>
            </w:r>
          </w:p>
          <w:p>
            <w:pPr>
              <w:jc w:val="center"/>
              <w:rPr>
                <w:rFonts w:ascii="宋体" w:hAnsi="宋体"/>
                <w:szCs w:val="21"/>
              </w:rPr>
            </w:pPr>
            <w:r>
              <w:rPr>
                <w:rFonts w:ascii="宋体" w:hAnsi="宋体"/>
                <w:szCs w:val="21"/>
              </w:rPr>
              <w:t>（含税费）</w:t>
            </w:r>
          </w:p>
        </w:tc>
        <w:tc>
          <w:tcPr>
            <w:tcW w:w="1408" w:type="dxa"/>
            <w:tcBorders>
              <w:top w:val="single" w:color="auto" w:sz="4" w:space="0"/>
              <w:left w:val="single" w:color="auto" w:sz="4" w:space="0"/>
              <w:bottom w:val="single" w:color="auto" w:sz="4" w:space="0"/>
              <w:right w:val="single" w:color="auto" w:sz="4" w:space="0"/>
            </w:tcBorders>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235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ascii="宋体" w:hAnsi="宋体"/>
                <w:szCs w:val="21"/>
              </w:rPr>
              <w:t>收购后持股比例（%）</w:t>
            </w:r>
          </w:p>
        </w:tc>
        <w:tc>
          <w:tcPr>
            <w:tcW w:w="6171"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8522" w:type="dxa"/>
            <w:gridSpan w:val="7"/>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r>
              <w:rPr>
                <w:rFonts w:ascii="宋体" w:hAnsi="宋体"/>
                <w:szCs w:val="21"/>
              </w:rPr>
              <w:t>收购人：</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ind w:firstLine="5670" w:firstLineChars="2700"/>
              <w:rPr>
                <w:rFonts w:ascii="宋体" w:hAnsi="宋体"/>
                <w:szCs w:val="21"/>
              </w:rPr>
            </w:pPr>
            <w:r>
              <w:rPr>
                <w:rFonts w:ascii="宋体" w:hAnsi="宋体"/>
                <w:szCs w:val="21"/>
              </w:rPr>
              <w:t>单位公章</w:t>
            </w:r>
          </w:p>
          <w:p>
            <w:pPr>
              <w:ind w:firstLine="5670" w:firstLineChars="2700"/>
              <w:jc w:val="left"/>
              <w:rPr>
                <w:rFonts w:ascii="宋体" w:hAnsi="宋体"/>
                <w:szCs w:val="21"/>
              </w:rPr>
            </w:pPr>
            <w:r>
              <w:rPr>
                <w:rFonts w:ascii="宋体" w:hAnsi="宋体"/>
                <w:szCs w:val="21"/>
              </w:rPr>
              <w:t>年  月  日</w:t>
            </w:r>
          </w:p>
        </w:tc>
      </w:tr>
    </w:tbl>
    <w:p>
      <w:pPr>
        <w:pStyle w:val="208"/>
        <w:rPr>
          <w:lang w:eastAsia="zh-CN"/>
        </w:rPr>
      </w:pPr>
    </w:p>
    <w:sectPr>
      <w:footerReference r:id="rId19" w:type="default"/>
      <w:footerReference r:id="rId20"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方正仿宋简体">
    <w:panose1 w:val="02010601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Narrow">
    <w:altName w:val="Arial Narrow"/>
    <w:panose1 w:val="00000000000000000000"/>
    <w:charset w:val="00"/>
    <w:family w:val="swiss"/>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Mangal">
    <w:panose1 w:val="02040503050203030202"/>
    <w:charset w:val="00"/>
    <w:family w:val="roman"/>
    <w:pitch w:val="default"/>
    <w:sig w:usb0="00008003" w:usb1="00000000" w:usb2="00000000" w:usb3="00000000" w:csb0="00000001" w:csb1="00000000"/>
  </w:font>
  <w:font w:name="方正黑体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left" w:pos="6900"/>
        <w:tab w:val="clear" w:pos="4153"/>
        <w:tab w:val="clear" w:pos="8306"/>
      </w:tabs>
      <w:rPr>
        <w:rFonts w:ascii="Times New Roman" w:hAnsi="Times New Roman"/>
        <w:sz w:val="24"/>
        <w:szCs w:val="24"/>
      </w:rPr>
    </w:pPr>
    <w:r>
      <mc:AlternateContent>
        <mc:Choice Requires="wps">
          <w:drawing>
            <wp:anchor distT="0" distB="0" distL="114300" distR="114300" simplePos="0" relativeHeight="251710464" behindDoc="0" locked="0" layoutInCell="1" allowOverlap="1">
              <wp:simplePos x="0" y="0"/>
              <wp:positionH relativeFrom="margin">
                <wp:posOffset>4657725</wp:posOffset>
              </wp:positionH>
              <wp:positionV relativeFrom="paragraph">
                <wp:posOffset>0</wp:posOffset>
              </wp:positionV>
              <wp:extent cx="711835" cy="230505"/>
              <wp:effectExtent l="0" t="0" r="0" b="0"/>
              <wp:wrapNone/>
              <wp:docPr id="4" name="文本框 1"/>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wps:spPr>
                    <wps:txbx>
                      <w:txbxContent>
                        <w:p>
                          <w:pPr>
                            <w:pStyle w:val="39"/>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45</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left:366.75pt;margin-top:0pt;height:18.15pt;width:56.05pt;mso-position-horizontal-relative:margin;mso-wrap-style:none;z-index:251710464;mso-width-relative:page;mso-height-relative:page;" filled="f" stroked="f" coordsize="21600,21600" o:gfxdata="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YvTtHUAAAABwEAAA8AAAAAAAAAAQAgAAAAIgAAAGRy&#10;cy9kb3ducmV2LnhtbFBLAQIUABQAAAAIAIdO4kAxJu9QCQIAAAIEAAAOAAAAAAAAAAEAIAAAACMB&#10;AABkcnMvZTJvRG9jLnhtbFBLBQYAAAAABgAGAFkBAACeBQAAAAA=&#10;">
              <v:fill on="f" focussize="0,0"/>
              <v:stroke on="f"/>
              <v:imagedata o:title=""/>
              <o:lock v:ext="edit" aspectratio="f"/>
              <v:textbox inset="0mm,0mm,0mm,0mm" style="mso-fit-shape-to-text:t;">
                <w:txbxContent>
                  <w:p>
                    <w:pPr>
                      <w:pStyle w:val="39"/>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45</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2455" w:wrap="around" w:vAnchor="text" w:hAnchor="page" w:x="61" w:y="135"/>
      <w:ind w:left="440" w:firstLine="560"/>
      <w:rPr>
        <w:rStyle w:val="61"/>
        <w:rFonts w:ascii="宋体" w:hAnsi="宋体"/>
        <w:sz w:val="28"/>
        <w:szCs w:val="28"/>
      </w:rPr>
    </w:pPr>
    <w:r>
      <w:rPr>
        <w:rStyle w:val="61"/>
        <w:rFonts w:hint="eastAsia" w:ascii="宋体" w:hAnsi="宋体"/>
        <w:sz w:val="28"/>
        <w:szCs w:val="28"/>
      </w:rPr>
      <w:t xml:space="preserve">— </w:t>
    </w:r>
    <w:r>
      <w:rPr>
        <w:rStyle w:val="61"/>
        <w:rFonts w:ascii="宋体" w:hAnsi="宋体"/>
        <w:sz w:val="28"/>
        <w:szCs w:val="28"/>
      </w:rPr>
      <w:fldChar w:fldCharType="begin"/>
    </w:r>
    <w:r>
      <w:rPr>
        <w:rStyle w:val="61"/>
        <w:rFonts w:ascii="宋体" w:hAnsi="宋体"/>
        <w:sz w:val="28"/>
        <w:szCs w:val="28"/>
      </w:rPr>
      <w:instrText xml:space="preserve">PAGE  </w:instrText>
    </w:r>
    <w:r>
      <w:rPr>
        <w:rStyle w:val="61"/>
        <w:rFonts w:ascii="宋体" w:hAnsi="宋体"/>
        <w:sz w:val="28"/>
        <w:szCs w:val="28"/>
      </w:rPr>
      <w:fldChar w:fldCharType="separate"/>
    </w:r>
    <w:r>
      <w:rPr>
        <w:rStyle w:val="61"/>
        <w:rFonts w:ascii="宋体" w:hAnsi="宋体"/>
        <w:sz w:val="28"/>
        <w:szCs w:val="28"/>
      </w:rPr>
      <w:t>298</w:t>
    </w:r>
    <w:r>
      <w:rPr>
        <w:rStyle w:val="61"/>
        <w:rFonts w:ascii="宋体" w:hAnsi="宋体"/>
        <w:sz w:val="28"/>
        <w:szCs w:val="28"/>
      </w:rPr>
      <w:fldChar w:fldCharType="end"/>
    </w:r>
    <w:r>
      <w:rPr>
        <w:rStyle w:val="61"/>
        <w:rFonts w:hint="eastAsia" w:ascii="宋体" w:hAnsi="宋体"/>
        <w:sz w:val="28"/>
        <w:szCs w:val="28"/>
      </w:rPr>
      <w:t xml:space="preserve"> —</w:t>
    </w:r>
  </w:p>
  <w:p>
    <w:pPr>
      <w:pStyle w:val="3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page" w:x="9186" w:y="1"/>
      <w:ind w:left="440" w:hanging="440"/>
      <w:rPr>
        <w:rStyle w:val="61"/>
        <w:rFonts w:ascii="宋体" w:hAnsi="宋体"/>
        <w:sz w:val="28"/>
        <w:szCs w:val="28"/>
      </w:rPr>
    </w:pPr>
    <w:r>
      <w:rPr>
        <w:rStyle w:val="61"/>
        <w:rFonts w:hint="eastAsia" w:ascii="宋体" w:hAnsi="宋体"/>
        <w:sz w:val="28"/>
        <w:szCs w:val="28"/>
      </w:rPr>
      <w:t xml:space="preserve">— </w:t>
    </w:r>
    <w:r>
      <w:rPr>
        <w:rFonts w:ascii="宋体" w:hAnsi="宋体"/>
        <w:sz w:val="28"/>
        <w:szCs w:val="28"/>
      </w:rPr>
      <w:fldChar w:fldCharType="begin"/>
    </w:r>
    <w:r>
      <w:rPr>
        <w:rStyle w:val="61"/>
        <w:rFonts w:ascii="宋体" w:hAnsi="宋体"/>
        <w:sz w:val="28"/>
        <w:szCs w:val="28"/>
      </w:rPr>
      <w:instrText xml:space="preserve">PAGE  </w:instrText>
    </w:r>
    <w:r>
      <w:rPr>
        <w:rFonts w:ascii="宋体" w:hAnsi="宋体"/>
        <w:sz w:val="28"/>
        <w:szCs w:val="28"/>
      </w:rPr>
      <w:fldChar w:fldCharType="separate"/>
    </w:r>
    <w:r>
      <w:rPr>
        <w:rStyle w:val="61"/>
        <w:rFonts w:ascii="宋体" w:hAnsi="宋体"/>
        <w:sz w:val="28"/>
        <w:szCs w:val="28"/>
      </w:rPr>
      <w:t>299</w:t>
    </w:r>
    <w:r>
      <w:rPr>
        <w:rFonts w:ascii="宋体" w:hAnsi="宋体"/>
        <w:sz w:val="28"/>
        <w:szCs w:val="28"/>
      </w:rPr>
      <w:fldChar w:fldCharType="end"/>
    </w:r>
    <w:r>
      <w:rPr>
        <w:rStyle w:val="61"/>
        <w:rFonts w:hint="eastAsia" w:ascii="宋体" w:hAnsi="宋体"/>
        <w:sz w:val="28"/>
        <w:szCs w:val="28"/>
      </w:rPr>
      <w:t xml:space="preserve"> —</w:t>
    </w:r>
  </w:p>
  <w:p>
    <w:pPr>
      <w:pStyle w:val="3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page" w:x="1872" w:y="1"/>
      <w:ind w:left="440" w:hanging="440"/>
      <w:rPr>
        <w:rStyle w:val="61"/>
        <w:rFonts w:ascii="宋体" w:hAnsi="宋体"/>
        <w:sz w:val="28"/>
        <w:szCs w:val="28"/>
      </w:rPr>
    </w:pPr>
    <w:r>
      <w:rPr>
        <w:rStyle w:val="61"/>
        <w:rFonts w:hint="eastAsia" w:ascii="宋体" w:hAnsi="宋体"/>
        <w:sz w:val="28"/>
        <w:szCs w:val="28"/>
      </w:rPr>
      <w:t xml:space="preserve">— </w:t>
    </w:r>
    <w:r>
      <w:rPr>
        <w:rFonts w:ascii="宋体" w:hAnsi="宋体"/>
        <w:sz w:val="28"/>
        <w:szCs w:val="28"/>
      </w:rPr>
      <w:fldChar w:fldCharType="begin"/>
    </w:r>
    <w:r>
      <w:rPr>
        <w:rStyle w:val="61"/>
        <w:rFonts w:ascii="宋体" w:hAnsi="宋体"/>
        <w:sz w:val="28"/>
        <w:szCs w:val="28"/>
      </w:rPr>
      <w:instrText xml:space="preserve">PAGE  </w:instrText>
    </w:r>
    <w:r>
      <w:rPr>
        <w:rFonts w:ascii="宋体" w:hAnsi="宋体"/>
        <w:sz w:val="28"/>
        <w:szCs w:val="28"/>
      </w:rPr>
      <w:fldChar w:fldCharType="separate"/>
    </w:r>
    <w:r>
      <w:rPr>
        <w:rStyle w:val="61"/>
        <w:rFonts w:ascii="宋体" w:hAnsi="宋体"/>
        <w:sz w:val="28"/>
        <w:szCs w:val="28"/>
      </w:rPr>
      <w:t>300</w:t>
    </w:r>
    <w:r>
      <w:rPr>
        <w:rFonts w:ascii="宋体" w:hAnsi="宋体"/>
        <w:sz w:val="28"/>
        <w:szCs w:val="28"/>
      </w:rPr>
      <w:fldChar w:fldCharType="end"/>
    </w:r>
    <w:r>
      <w:rPr>
        <w:rStyle w:val="61"/>
        <w:rFonts w:hint="eastAsia" w:ascii="宋体" w:hAnsi="宋体"/>
        <w:sz w:val="28"/>
        <w:szCs w:val="28"/>
      </w:rPr>
      <w:t xml:space="preserve"> —</w:t>
    </w:r>
  </w:p>
  <w:p>
    <w:pPr>
      <w:pStyle w:val="39"/>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page" w:x="9186" w:y="1"/>
      <w:ind w:left="440" w:hanging="440"/>
      <w:rPr>
        <w:rStyle w:val="61"/>
        <w:rFonts w:ascii="宋体" w:hAnsi="宋体"/>
        <w:sz w:val="28"/>
        <w:szCs w:val="28"/>
      </w:rPr>
    </w:pPr>
    <w:r>
      <w:rPr>
        <w:rStyle w:val="61"/>
        <w:rFonts w:hint="eastAsia" w:ascii="宋体" w:hAnsi="宋体"/>
        <w:sz w:val="28"/>
        <w:szCs w:val="28"/>
      </w:rPr>
      <w:t xml:space="preserve">— </w:t>
    </w:r>
    <w:r>
      <w:rPr>
        <w:rFonts w:ascii="宋体" w:hAnsi="宋体"/>
        <w:sz w:val="28"/>
        <w:szCs w:val="28"/>
      </w:rPr>
      <w:fldChar w:fldCharType="begin"/>
    </w:r>
    <w:r>
      <w:rPr>
        <w:rStyle w:val="61"/>
        <w:rFonts w:ascii="宋体" w:hAnsi="宋体"/>
        <w:sz w:val="28"/>
        <w:szCs w:val="28"/>
      </w:rPr>
      <w:instrText xml:space="preserve">PAGE  </w:instrText>
    </w:r>
    <w:r>
      <w:rPr>
        <w:rFonts w:ascii="宋体" w:hAnsi="宋体"/>
        <w:sz w:val="28"/>
        <w:szCs w:val="28"/>
      </w:rPr>
      <w:fldChar w:fldCharType="separate"/>
    </w:r>
    <w:r>
      <w:rPr>
        <w:rStyle w:val="61"/>
        <w:rFonts w:ascii="宋体" w:hAnsi="宋体"/>
        <w:sz w:val="28"/>
        <w:szCs w:val="28"/>
      </w:rPr>
      <w:t>325</w:t>
    </w:r>
    <w:r>
      <w:rPr>
        <w:rFonts w:ascii="宋体" w:hAnsi="宋体"/>
        <w:sz w:val="28"/>
        <w:szCs w:val="28"/>
      </w:rPr>
      <w:fldChar w:fldCharType="end"/>
    </w:r>
    <w:r>
      <w:rPr>
        <w:rStyle w:val="61"/>
        <w:rFonts w:hint="eastAsia" w:ascii="宋体" w:hAnsi="宋体"/>
        <w:sz w:val="28"/>
        <w:szCs w:val="28"/>
      </w:rPr>
      <w:t xml:space="preserve"> —</w:t>
    </w:r>
  </w:p>
  <w:p>
    <w:pPr>
      <w:pStyle w:val="39"/>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page" w:x="1872" w:y="1"/>
      <w:ind w:left="440" w:hanging="440"/>
      <w:rPr>
        <w:rStyle w:val="61"/>
        <w:rFonts w:ascii="宋体" w:hAnsi="宋体"/>
        <w:sz w:val="28"/>
        <w:szCs w:val="28"/>
      </w:rPr>
    </w:pPr>
    <w:r>
      <w:rPr>
        <w:rStyle w:val="61"/>
        <w:rFonts w:hint="eastAsia" w:ascii="宋体" w:hAnsi="宋体"/>
        <w:sz w:val="28"/>
        <w:szCs w:val="28"/>
      </w:rPr>
      <w:t xml:space="preserve">— </w:t>
    </w:r>
    <w:r>
      <w:rPr>
        <w:rFonts w:ascii="宋体" w:hAnsi="宋体"/>
        <w:sz w:val="28"/>
        <w:szCs w:val="28"/>
      </w:rPr>
      <w:fldChar w:fldCharType="begin"/>
    </w:r>
    <w:r>
      <w:rPr>
        <w:rStyle w:val="61"/>
        <w:rFonts w:ascii="宋体" w:hAnsi="宋体"/>
        <w:sz w:val="28"/>
        <w:szCs w:val="28"/>
      </w:rPr>
      <w:instrText xml:space="preserve">PAGE  </w:instrText>
    </w:r>
    <w:r>
      <w:rPr>
        <w:rFonts w:ascii="宋体" w:hAnsi="宋体"/>
        <w:sz w:val="28"/>
        <w:szCs w:val="28"/>
      </w:rPr>
      <w:fldChar w:fldCharType="separate"/>
    </w:r>
    <w:r>
      <w:rPr>
        <w:rStyle w:val="61"/>
        <w:rFonts w:ascii="宋体" w:hAnsi="宋体"/>
        <w:sz w:val="28"/>
        <w:szCs w:val="28"/>
      </w:rPr>
      <w:t>324</w:t>
    </w:r>
    <w:r>
      <w:rPr>
        <w:rFonts w:ascii="宋体" w:hAnsi="宋体"/>
        <w:sz w:val="28"/>
        <w:szCs w:val="28"/>
      </w:rPr>
      <w:fldChar w:fldCharType="end"/>
    </w:r>
    <w:r>
      <w:rPr>
        <w:rStyle w:val="61"/>
        <w:rFonts w:hint="eastAsia" w:ascii="宋体" w:hAnsi="宋体"/>
        <w:sz w:val="28"/>
        <w:szCs w:val="28"/>
      </w:rPr>
      <w:t xml:space="preserve"> —</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right"/>
    </w:pPr>
    <w:r>
      <mc:AlternateContent>
        <mc:Choice Requires="wps">
          <w:drawing>
            <wp:anchor distT="0" distB="0" distL="114300" distR="114300" simplePos="0" relativeHeight="251712512" behindDoc="0" locked="0" layoutInCell="1" allowOverlap="1">
              <wp:simplePos x="0" y="0"/>
              <wp:positionH relativeFrom="margin">
                <wp:posOffset>-13335</wp:posOffset>
              </wp:positionH>
              <wp:positionV relativeFrom="paragraph">
                <wp:posOffset>-2540</wp:posOffset>
              </wp:positionV>
              <wp:extent cx="711835" cy="230505"/>
              <wp:effectExtent l="0" t="0" r="0" b="0"/>
              <wp:wrapNone/>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wps:spPr>
                    <wps:txbx>
                      <w:txbxContent>
                        <w:p>
                          <w:pPr>
                            <w:pStyle w:val="39"/>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98</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left:-1.05pt;margin-top:-0.2pt;height:18.15pt;width:56.05pt;mso-position-horizontal-relative:margin;mso-wrap-style:none;z-index:251712512;mso-width-relative:page;mso-height-relative:page;" filled="f" stroked="f" coordsize="21600,21600" o:gfxdata="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w03QNQAAAAHAQAADwAAAAAAAAABACAAAAAiAAAA&#10;ZHJzL2Rvd25yZXYueG1sUEsBAhQAFAAAAAgAh07iQGw4YygLAgAAAwQAAA4AAAAAAAAAAQAgAAAA&#10;IwEAAGRycy9lMm9Eb2MueG1sUEsFBgAAAAAGAAYAWQEAAKAFAAAAAA==&#10;">
              <v:fill on="f" focussize="0,0"/>
              <v:stroke on="f"/>
              <v:imagedata o:title=""/>
              <o:lock v:ext="edit" aspectratio="f"/>
              <v:textbox inset="0mm,0mm,0mm,0mm" style="mso-fit-shape-to-text:t;">
                <w:txbxContent>
                  <w:p>
                    <w:pPr>
                      <w:pStyle w:val="39"/>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98</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pPr>
    <w:r>
      <mc:AlternateContent>
        <mc:Choice Requires="wps">
          <w:drawing>
            <wp:anchor distT="0" distB="0" distL="114300" distR="114300" simplePos="0" relativeHeight="251706368" behindDoc="0" locked="0" layoutInCell="1" allowOverlap="1">
              <wp:simplePos x="0" y="0"/>
              <wp:positionH relativeFrom="margin">
                <wp:posOffset>4279265</wp:posOffset>
              </wp:positionH>
              <wp:positionV relativeFrom="paragraph">
                <wp:posOffset>74930</wp:posOffset>
              </wp:positionV>
              <wp:extent cx="711835" cy="230505"/>
              <wp:effectExtent l="0" t="0" r="12065" b="17145"/>
              <wp:wrapNone/>
              <wp:docPr id="7" name="Text Box 4"/>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wps:spPr>
                    <wps:txbx>
                      <w:txbxContent>
                        <w:p>
                          <w:pPr>
                            <w:pStyle w:val="39"/>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103</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left:336.95pt;margin-top:5.9pt;height:18.15pt;width:56.05pt;mso-position-horizontal-relative:margin;mso-wrap-style:none;z-index:251706368;mso-width-relative:page;mso-height-relative:page;" filled="f" stroked="f" coordsize="21600,21600" o:gfxdata="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COhrNUAAAAJAQAADwAAAAAAAAABACAAAAAiAAAAZHJzL2Rvd25yZXYueG1s&#10;UEsBAhQAFAAAAAgAh07iQPKV0dP7AQAAAQQAAA4AAAAAAAAAAQAgAAAAJAEAAGRycy9lMm9Eb2Mu&#10;eG1sUEsFBgAAAAAGAAYAWQEAAJEFAAAAAA==&#10;">
              <v:fill on="f" focussize="0,0"/>
              <v:stroke on="f"/>
              <v:imagedata o:title=""/>
              <o:lock v:ext="edit" aspectratio="f"/>
              <v:textbox inset="0mm,0mm,0mm,0mm" style="mso-fit-shape-to-text:t;">
                <w:txbxContent>
                  <w:p>
                    <w:pPr>
                      <w:pStyle w:val="39"/>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103</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p>
  <w:p>
    <w:pPr>
      <w:pStyle w:val="39"/>
      <w:adjustRightInd w:val="0"/>
      <w:jc w:val="center"/>
      <w:rPr>
        <w:rFonts w:ascii="宋体" w:hAnsi="宋体"/>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708416" behindDoc="0" locked="0" layoutInCell="1" allowOverlap="1">
              <wp:simplePos x="0" y="0"/>
              <wp:positionH relativeFrom="margin">
                <wp:posOffset>4572000</wp:posOffset>
              </wp:positionH>
              <wp:positionV relativeFrom="paragraph">
                <wp:posOffset>0</wp:posOffset>
              </wp:positionV>
              <wp:extent cx="800735" cy="230505"/>
              <wp:effectExtent l="0" t="0" r="18415" b="17145"/>
              <wp:wrapNone/>
              <wp:docPr id="5" name="文本框 1"/>
              <wp:cNvGraphicFramePr/>
              <a:graphic xmlns:a="http://schemas.openxmlformats.org/drawingml/2006/main">
                <a:graphicData uri="http://schemas.microsoft.com/office/word/2010/wordprocessingShape">
                  <wps:wsp>
                    <wps:cNvSpPr txBox="1">
                      <a:spLocks noChangeArrowheads="1"/>
                    </wps:cNvSpPr>
                    <wps:spPr bwMode="auto">
                      <a:xfrm>
                        <a:off x="0" y="0"/>
                        <a:ext cx="800735" cy="230505"/>
                      </a:xfrm>
                      <a:prstGeom prst="rect">
                        <a:avLst/>
                      </a:prstGeom>
                      <a:noFill/>
                      <a:ln>
                        <a:noFill/>
                      </a:ln>
                    </wps:spPr>
                    <wps:txbx>
                      <w:txbxContent>
                        <w:p>
                          <w:pPr>
                            <w:pStyle w:val="39"/>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263</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文本框 1" o:spid="_x0000_s1026" o:spt="202" type="#_x0000_t202" style="position:absolute;left:0pt;margin-left:360pt;margin-top:0pt;height:18.15pt;width:63.05pt;mso-position-horizontal-relative:margin;mso-wrap-style:none;z-index:251708416;mso-width-relative:page;mso-height-relative:page;" filled="f" stroked="f" coordsize="21600,21600" o:gfxdata="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3QFarSAAAABwEAAA8AAAAAAAAAAQAgAAAAIgAAAGRycy9k&#10;b3ducmV2LnhtbFBLAQIUABQAAAAIAIdO4kBcRdPuCAIAAAIEAAAOAAAAAAAAAAEAIAAAACEBAABk&#10;cnMvZTJvRG9jLnhtbFBLBQYAAAAABgAGAFkBAACbBQAAAAA=&#10;">
              <v:fill on="f" focussize="0,0"/>
              <v:stroke on="f"/>
              <v:imagedata o:title=""/>
              <o:lock v:ext="edit" aspectratio="f"/>
              <v:textbox inset="0mm,0mm,0mm,0mm" style="mso-fit-shape-to-text:t;">
                <w:txbxContent>
                  <w:p>
                    <w:pPr>
                      <w:pStyle w:val="39"/>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263</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711488" behindDoc="0" locked="0" layoutInCell="1" allowOverlap="1">
              <wp:simplePos x="0" y="0"/>
              <wp:positionH relativeFrom="margin">
                <wp:posOffset>-12065</wp:posOffset>
              </wp:positionH>
              <wp:positionV relativeFrom="paragraph">
                <wp:posOffset>31115</wp:posOffset>
              </wp:positionV>
              <wp:extent cx="800735" cy="230505"/>
              <wp:effectExtent l="0" t="0" r="18415" b="17145"/>
              <wp:wrapNone/>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0735" cy="230505"/>
                      </a:xfrm>
                      <a:prstGeom prst="rect">
                        <a:avLst/>
                      </a:prstGeom>
                      <a:noFill/>
                      <a:ln>
                        <a:noFill/>
                      </a:ln>
                    </wps:spPr>
                    <wps:txbx>
                      <w:txbxContent>
                        <w:p>
                          <w:pPr>
                            <w:pStyle w:val="39"/>
                            <w:jc w:val="both"/>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276</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left:-0.95pt;margin-top:2.45pt;height:18.15pt;width:63.05pt;mso-position-horizontal-relative:margin;mso-wrap-style:none;z-index:251711488;mso-width-relative:page;mso-height-relative:page;" filled="f" stroked="f" coordsize="21600,21600" o:gfxdata="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XyTe9IAAAAHAQAADwAAAAAAAAABACAAAAAiAAAAZHJz&#10;L2Rvd25yZXYueG1sUEsBAhQAFAAAAAgAh07iQNSaBykKAgAAAgQAAA4AAAAAAAAAAQAgAAAAIQEA&#10;AGRycy9lMm9Eb2MueG1sUEsFBgAAAAAGAAYAWQEAAJ0FAAAAAA==&#10;">
              <v:fill on="f" focussize="0,0"/>
              <v:stroke on="f"/>
              <v:imagedata o:title=""/>
              <o:lock v:ext="edit" aspectratio="f"/>
              <v:textbox inset="0mm,0mm,0mm,0mm" style="mso-fit-shape-to-text:t;">
                <w:txbxContent>
                  <w:p>
                    <w:pPr>
                      <w:pStyle w:val="39"/>
                      <w:jc w:val="both"/>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276</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pPr>
  </w:p>
  <w:p>
    <w:pPr>
      <w:pStyle w:val="39"/>
    </w:pPr>
    <w:r>
      <w:pict>
        <v:shape id="文本框 4" o:spid="_x0000_s2049" o:spt="202" type="#_x0000_t202" style="position:absolute;left:0pt;margin-left:373.3pt;margin-top:0.7pt;height:18.15pt;width:63.05pt;mso-position-horizontal-relative:margin;mso-wrap-style:none;z-index:2517135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">
          <v:path/>
          <v:fill on="f" focussize="0,0"/>
          <v:stroke on="f" joinstyle="miter"/>
          <v:imagedata o:title=""/>
          <o:lock v:ext="edit"/>
          <v:textbox inset="0mm,0mm,0mm,0mm" style="mso-fit-shape-to-text:t;">
            <w:txbxContent>
              <w:p>
                <w:pPr>
                  <w:pStyle w:val="39"/>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277</w:t>
                </w:r>
                <w:r>
                  <w:rPr>
                    <w:rFonts w:hint="eastAsia" w:ascii="宋体" w:hAnsi="宋体"/>
                    <w:sz w:val="28"/>
                    <w:szCs w:val="28"/>
                  </w:rPr>
                  <w:fldChar w:fldCharType="end"/>
                </w:r>
                <w:r>
                  <w:rPr>
                    <w:rFonts w:hint="eastAsia" w:ascii="宋体" w:hAnsi="宋体"/>
                    <w:sz w:val="28"/>
                    <w:szCs w:val="28"/>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707392" behindDoc="0" locked="0" layoutInCell="1" allowOverlap="1">
              <wp:simplePos x="0" y="0"/>
              <wp:positionH relativeFrom="margin">
                <wp:posOffset>4505325</wp:posOffset>
              </wp:positionH>
              <wp:positionV relativeFrom="paragraph">
                <wp:posOffset>59690</wp:posOffset>
              </wp:positionV>
              <wp:extent cx="800735" cy="230505"/>
              <wp:effectExtent l="0" t="0" r="18415" b="17145"/>
              <wp:wrapNone/>
              <wp:docPr id="1" name="文本框 8"/>
              <wp:cNvGraphicFramePr/>
              <a:graphic xmlns:a="http://schemas.openxmlformats.org/drawingml/2006/main">
                <a:graphicData uri="http://schemas.microsoft.com/office/word/2010/wordprocessingShape">
                  <wps:wsp>
                    <wps:cNvSpPr txBox="1">
                      <a:spLocks noChangeArrowheads="1"/>
                    </wps:cNvSpPr>
                    <wps:spPr bwMode="auto">
                      <a:xfrm>
                        <a:off x="0" y="0"/>
                        <a:ext cx="800735" cy="230505"/>
                      </a:xfrm>
                      <a:prstGeom prst="rect">
                        <a:avLst/>
                      </a:prstGeom>
                      <a:noFill/>
                      <a:ln>
                        <a:noFill/>
                      </a:ln>
                    </wps:spPr>
                    <wps:txbx>
                      <w:txbxContent>
                        <w:p>
                          <w:pPr>
                            <w:pStyle w:val="39"/>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289</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left:354.75pt;margin-top:4.7pt;height:18.15pt;width:63.05pt;mso-position-horizontal-relative:margin;mso-wrap-style:none;z-index:251707392;mso-width-relative:page;mso-height-relative:page;" filled="f" stroked="f" coordsize="21600,21600" o:gfxdata="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CCx19YAAAAIAQAADwAAAAAAAAABACAAAAAiAAAA&#10;ZHJzL2Rvd25yZXYueG1sUEsBAhQAFAAAAAgAh07iQEdiO5YJAgAAAgQAAA4AAAAAAAAAAQAgAAAA&#10;JQEAAGRycy9lMm9Eb2MueG1sUEsFBgAAAAAGAAYAWQEAAKAFAAAAAA==&#10;">
              <v:fill on="f" focussize="0,0"/>
              <v:stroke on="f"/>
              <v:imagedata o:title=""/>
              <o:lock v:ext="edit" aspectratio="f"/>
              <v:textbox inset="0mm,0mm,0mm,0mm" style="mso-fit-shape-to-text:t;">
                <w:txbxContent>
                  <w:p>
                    <w:pPr>
                      <w:pStyle w:val="39"/>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289</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mc:AlternateContent>
        <mc:Choice Requires="wps">
          <w:drawing>
            <wp:anchor distT="0" distB="0" distL="114300" distR="114300" simplePos="0" relativeHeight="251709440" behindDoc="0" locked="0" layoutInCell="1" allowOverlap="1">
              <wp:simplePos x="0" y="0"/>
              <wp:positionH relativeFrom="margin">
                <wp:align>left</wp:align>
              </wp:positionH>
              <wp:positionV relativeFrom="paragraph">
                <wp:posOffset>0</wp:posOffset>
              </wp:positionV>
              <wp:extent cx="800735" cy="230505"/>
              <wp:effectExtent l="0" t="0" r="18415" b="17145"/>
              <wp:wrapNone/>
              <wp:docPr id="2" name="文本框 9"/>
              <wp:cNvGraphicFramePr/>
              <a:graphic xmlns:a="http://schemas.openxmlformats.org/drawingml/2006/main">
                <a:graphicData uri="http://schemas.microsoft.com/office/word/2010/wordprocessingShape">
                  <wps:wsp>
                    <wps:cNvSpPr txBox="1">
                      <a:spLocks noChangeArrowheads="1"/>
                    </wps:cNvSpPr>
                    <wps:spPr bwMode="auto">
                      <a:xfrm>
                        <a:off x="0" y="0"/>
                        <a:ext cx="800735" cy="230505"/>
                      </a:xfrm>
                      <a:prstGeom prst="rect">
                        <a:avLst/>
                      </a:prstGeom>
                      <a:noFill/>
                      <a:ln>
                        <a:noFill/>
                      </a:ln>
                    </wps:spPr>
                    <wps:txbx>
                      <w:txbxContent>
                        <w:p>
                          <w:pPr>
                            <w:pStyle w:val="39"/>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290</w:t>
                          </w:r>
                          <w:r>
                            <w:rPr>
                              <w:rFonts w:hint="eastAsia" w:ascii="宋体" w:hAnsi="宋体"/>
                              <w:sz w:val="28"/>
                              <w:szCs w:val="28"/>
                            </w:rPr>
                            <w:fldChar w:fldCharType="end"/>
                          </w:r>
                          <w:r>
                            <w:rPr>
                              <w:rFonts w:hint="eastAsia" w:ascii="宋体" w:hAnsi="宋体"/>
                              <w:sz w:val="28"/>
                              <w:szCs w:val="28"/>
                            </w:rPr>
                            <w:t xml:space="preserve"> —</w:t>
                          </w:r>
                        </w:p>
                      </w:txbxContent>
                    </wps:txbx>
                    <wps:bodyPr rot="0" vert="horz" wrap="none" lIns="0" tIns="0" rIns="0" bIns="0" anchor="t" anchorCtr="0" upright="1">
                      <a:spAutoFit/>
                    </wps:bodyPr>
                  </wps:wsp>
                </a:graphicData>
              </a:graphic>
            </wp:anchor>
          </w:drawing>
        </mc:Choice>
        <mc:Fallback>
          <w:pict>
            <v:shape id="文本框 9" o:spid="_x0000_s1026" o:spt="202" type="#_x0000_t202" style="position:absolute;left:0pt;margin-top:0pt;height:18.15pt;width:63.05pt;mso-position-horizontal:left;mso-position-horizontal-relative:margin;mso-wrap-style:none;z-index:251709440;mso-width-relative:page;mso-height-relative:page;" filled="f" stroked="f" coordsize="21600,21600" o:gfxdata="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zvCR0QAAAAQBAAAPAAAAAAAAAAEAIAAAACIAAABkcnMv&#10;ZG93bnJldi54bWxQSwECFAAUAAAACACHTuJAIjej4goCAAACBAAADgAAAAAAAAABACAAAAAgAQAA&#10;ZHJzL2Uyb0RvYy54bWxQSwUGAAAAAAYABgBZAQAAnAUAAAAA&#10;">
              <v:fill on="f" focussize="0,0"/>
              <v:stroke on="f"/>
              <v:imagedata o:title=""/>
              <o:lock v:ext="edit" aspectratio="f"/>
              <v:textbox inset="0mm,0mm,0mm,0mm" style="mso-fit-shape-to-text:t;">
                <w:txbxContent>
                  <w:p>
                    <w:pPr>
                      <w:pStyle w:val="39"/>
                      <w:rPr>
                        <w:rFonts w:ascii="宋体" w:hAnsi="宋体"/>
                        <w:sz w:val="28"/>
                        <w:szCs w:val="28"/>
                      </w:rPr>
                    </w:pPr>
                    <w:r>
                      <w:rPr>
                        <w:rFonts w:hint="eastAsia" w:ascii="宋体" w:hAnsi="宋体"/>
                        <w:sz w:val="28"/>
                        <w:szCs w:val="28"/>
                      </w:rPr>
                      <w:t xml:space="preserve">— </w:t>
                    </w:r>
                    <w:r>
                      <w:rPr>
                        <w:rFonts w:hint="eastAsia" w:ascii="宋体" w:hAnsi="宋体"/>
                        <w:sz w:val="28"/>
                        <w:szCs w:val="28"/>
                      </w:rPr>
                      <w:fldChar w:fldCharType="begin"/>
                    </w:r>
                    <w:r>
                      <w:rPr>
                        <w:rFonts w:hint="eastAsia" w:ascii="宋体" w:hAnsi="宋体"/>
                        <w:sz w:val="28"/>
                        <w:szCs w:val="28"/>
                      </w:rPr>
                      <w:instrText xml:space="preserve"> PAGE  \* MERGEFORMAT </w:instrText>
                    </w:r>
                    <w:r>
                      <w:rPr>
                        <w:rFonts w:hint="eastAsia" w:ascii="宋体" w:hAnsi="宋体"/>
                        <w:sz w:val="28"/>
                        <w:szCs w:val="28"/>
                      </w:rPr>
                      <w:fldChar w:fldCharType="separate"/>
                    </w:r>
                    <w:r>
                      <w:rPr>
                        <w:rFonts w:ascii="宋体" w:hAnsi="宋体"/>
                        <w:sz w:val="28"/>
                        <w:szCs w:val="28"/>
                      </w:rPr>
                      <w:t>290</w:t>
                    </w:r>
                    <w:r>
                      <w:rPr>
                        <w:rFonts w:hint="eastAsia"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page" w:x="8836" w:y="75"/>
      <w:ind w:left="440" w:firstLine="560"/>
      <w:rPr>
        <w:rStyle w:val="61"/>
        <w:rFonts w:ascii="宋体" w:hAnsi="宋体"/>
        <w:sz w:val="28"/>
        <w:szCs w:val="28"/>
      </w:rPr>
    </w:pPr>
    <w:r>
      <w:rPr>
        <w:rStyle w:val="61"/>
        <w:rFonts w:hint="eastAsia" w:ascii="宋体" w:hAnsi="宋体"/>
        <w:sz w:val="28"/>
        <w:szCs w:val="28"/>
      </w:rPr>
      <w:t xml:space="preserve">— </w:t>
    </w:r>
    <w:r>
      <w:rPr>
        <w:rStyle w:val="61"/>
        <w:rFonts w:ascii="宋体" w:hAnsi="宋体"/>
        <w:sz w:val="28"/>
        <w:szCs w:val="28"/>
      </w:rPr>
      <w:fldChar w:fldCharType="begin"/>
    </w:r>
    <w:r>
      <w:rPr>
        <w:rStyle w:val="61"/>
        <w:rFonts w:ascii="宋体" w:hAnsi="宋体"/>
        <w:sz w:val="28"/>
        <w:szCs w:val="28"/>
      </w:rPr>
      <w:instrText xml:space="preserve">PAGE  </w:instrText>
    </w:r>
    <w:r>
      <w:rPr>
        <w:rStyle w:val="61"/>
        <w:rFonts w:ascii="宋体" w:hAnsi="宋体"/>
        <w:sz w:val="28"/>
        <w:szCs w:val="28"/>
      </w:rPr>
      <w:fldChar w:fldCharType="separate"/>
    </w:r>
    <w:r>
      <w:rPr>
        <w:rStyle w:val="61"/>
        <w:rFonts w:ascii="宋体" w:hAnsi="宋体"/>
        <w:sz w:val="28"/>
        <w:szCs w:val="28"/>
      </w:rPr>
      <w:t>297</w:t>
    </w:r>
    <w:r>
      <w:rPr>
        <w:rStyle w:val="61"/>
        <w:rFonts w:ascii="宋体" w:hAnsi="宋体"/>
        <w:sz w:val="28"/>
        <w:szCs w:val="28"/>
      </w:rPr>
      <w:fldChar w:fldCharType="end"/>
    </w:r>
    <w:r>
      <w:rPr>
        <w:rStyle w:val="61"/>
        <w:rFonts w:hint="eastAsia" w:ascii="宋体" w:hAnsi="宋体"/>
        <w:sz w:val="28"/>
        <w:szCs w:val="28"/>
      </w:rPr>
      <w:t xml:space="preserve"> —</w:t>
    </w:r>
  </w:p>
  <w:p>
    <w:pPr>
      <w:pStyle w:val="3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CA0CFE"/>
    <w:multiLevelType w:val="multilevel"/>
    <w:tmpl w:val="03CA0CFE"/>
    <w:lvl w:ilvl="0" w:tentative="0">
      <w:start w:val="2"/>
      <w:numFmt w:val="bullet"/>
      <w:lvlText w:val="□"/>
      <w:lvlJc w:val="left"/>
      <w:pPr>
        <w:tabs>
          <w:tab w:val="left" w:pos="360"/>
        </w:tabs>
        <w:ind w:left="360" w:hanging="360"/>
      </w:pPr>
      <w:rPr>
        <w:rFonts w:hint="eastAsia" w:ascii="仿宋_GB2312" w:hAnsi="Times New Roman" w:eastAsia="仿宋_GB2312"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1FB468D9"/>
    <w:multiLevelType w:val="multilevel"/>
    <w:tmpl w:val="1FB468D9"/>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463070E2"/>
    <w:multiLevelType w:val="multilevel"/>
    <w:tmpl w:val="463070E2"/>
    <w:lvl w:ilvl="0" w:tentative="0">
      <w:start w:val="1"/>
      <w:numFmt w:val="bullet"/>
      <w:lvlText w:val=""/>
      <w:lvlJc w:val="left"/>
      <w:pPr>
        <w:tabs>
          <w:tab w:val="left" w:pos="958"/>
        </w:tabs>
        <w:ind w:left="958" w:hanging="420"/>
      </w:pPr>
      <w:rPr>
        <w:rFonts w:hint="default" w:ascii="Wingdings" w:hAnsi="Wingdings"/>
      </w:rPr>
    </w:lvl>
    <w:lvl w:ilvl="1" w:tentative="0">
      <w:start w:val="1"/>
      <w:numFmt w:val="bullet"/>
      <w:lvlText w:val=""/>
      <w:lvlJc w:val="left"/>
      <w:pPr>
        <w:tabs>
          <w:tab w:val="left" w:pos="1378"/>
        </w:tabs>
        <w:ind w:left="1378" w:hanging="420"/>
      </w:pPr>
      <w:rPr>
        <w:rFonts w:hint="default" w:ascii="Wingdings" w:hAnsi="Wingdings"/>
      </w:rPr>
    </w:lvl>
    <w:lvl w:ilvl="2" w:tentative="0">
      <w:start w:val="1"/>
      <w:numFmt w:val="bullet"/>
      <w:lvlText w:val=""/>
      <w:lvlJc w:val="left"/>
      <w:pPr>
        <w:tabs>
          <w:tab w:val="left" w:pos="1798"/>
        </w:tabs>
        <w:ind w:left="1798" w:hanging="420"/>
      </w:pPr>
      <w:rPr>
        <w:rFonts w:hint="default" w:ascii="Wingdings" w:hAnsi="Wingdings"/>
      </w:rPr>
    </w:lvl>
    <w:lvl w:ilvl="3" w:tentative="0">
      <w:start w:val="1"/>
      <w:numFmt w:val="bullet"/>
      <w:lvlText w:val=""/>
      <w:lvlJc w:val="left"/>
      <w:pPr>
        <w:tabs>
          <w:tab w:val="left" w:pos="2218"/>
        </w:tabs>
        <w:ind w:left="2218" w:hanging="420"/>
      </w:pPr>
      <w:rPr>
        <w:rFonts w:hint="default" w:ascii="Wingdings" w:hAnsi="Wingdings"/>
      </w:rPr>
    </w:lvl>
    <w:lvl w:ilvl="4" w:tentative="0">
      <w:start w:val="1"/>
      <w:numFmt w:val="bullet"/>
      <w:lvlText w:val=""/>
      <w:lvlJc w:val="left"/>
      <w:pPr>
        <w:tabs>
          <w:tab w:val="left" w:pos="2638"/>
        </w:tabs>
        <w:ind w:left="2638" w:hanging="420"/>
      </w:pPr>
      <w:rPr>
        <w:rFonts w:hint="default" w:ascii="Wingdings" w:hAnsi="Wingdings"/>
      </w:rPr>
    </w:lvl>
    <w:lvl w:ilvl="5" w:tentative="0">
      <w:start w:val="1"/>
      <w:numFmt w:val="bullet"/>
      <w:lvlText w:val=""/>
      <w:lvlJc w:val="left"/>
      <w:pPr>
        <w:tabs>
          <w:tab w:val="left" w:pos="3058"/>
        </w:tabs>
        <w:ind w:left="3058" w:hanging="420"/>
      </w:pPr>
      <w:rPr>
        <w:rFonts w:hint="default" w:ascii="Wingdings" w:hAnsi="Wingdings"/>
      </w:rPr>
    </w:lvl>
    <w:lvl w:ilvl="6" w:tentative="0">
      <w:start w:val="1"/>
      <w:numFmt w:val="bullet"/>
      <w:lvlText w:val=""/>
      <w:lvlJc w:val="left"/>
      <w:pPr>
        <w:tabs>
          <w:tab w:val="left" w:pos="3478"/>
        </w:tabs>
        <w:ind w:left="3478" w:hanging="420"/>
      </w:pPr>
      <w:rPr>
        <w:rFonts w:hint="default" w:ascii="Wingdings" w:hAnsi="Wingdings"/>
      </w:rPr>
    </w:lvl>
    <w:lvl w:ilvl="7" w:tentative="0">
      <w:start w:val="1"/>
      <w:numFmt w:val="bullet"/>
      <w:lvlText w:val=""/>
      <w:lvlJc w:val="left"/>
      <w:pPr>
        <w:tabs>
          <w:tab w:val="left" w:pos="3898"/>
        </w:tabs>
        <w:ind w:left="3898" w:hanging="420"/>
      </w:pPr>
      <w:rPr>
        <w:rFonts w:hint="default" w:ascii="Wingdings" w:hAnsi="Wingdings"/>
      </w:rPr>
    </w:lvl>
    <w:lvl w:ilvl="8" w:tentative="0">
      <w:start w:val="1"/>
      <w:numFmt w:val="bullet"/>
      <w:lvlText w:val=""/>
      <w:lvlJc w:val="left"/>
      <w:pPr>
        <w:tabs>
          <w:tab w:val="left" w:pos="4318"/>
        </w:tabs>
        <w:ind w:left="4318" w:hanging="420"/>
      </w:pPr>
      <w:rPr>
        <w:rFonts w:hint="default" w:ascii="Wingdings" w:hAnsi="Wingdings"/>
      </w:rPr>
    </w:lvl>
  </w:abstractNum>
  <w:abstractNum w:abstractNumId="3">
    <w:nsid w:val="51044051"/>
    <w:multiLevelType w:val="multilevel"/>
    <w:tmpl w:val="51044051"/>
    <w:lvl w:ilvl="0" w:tentative="0">
      <w:start w:val="2"/>
      <w:numFmt w:val="bullet"/>
      <w:lvlText w:val="□"/>
      <w:lvlJc w:val="left"/>
      <w:pPr>
        <w:tabs>
          <w:tab w:val="left" w:pos="360"/>
        </w:tabs>
        <w:ind w:left="360" w:hanging="360"/>
      </w:pPr>
      <w:rPr>
        <w:rFonts w:hint="eastAsia" w:ascii="仿宋_GB2312" w:hAnsi="Times New Roman" w:eastAsia="仿宋_GB2312"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5874197B"/>
    <w:multiLevelType w:val="multilevel"/>
    <w:tmpl w:val="587419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9B36442"/>
    <w:multiLevelType w:val="multilevel"/>
    <w:tmpl w:val="59B36442"/>
    <w:lvl w:ilvl="0" w:tentative="0">
      <w:start w:val="1"/>
      <w:numFmt w:val="decimal"/>
      <w:lvlText w:val="%1．"/>
      <w:lvlJc w:val="left"/>
      <w:pPr>
        <w:ind w:left="675" w:hanging="360"/>
      </w:pPr>
      <w:rPr>
        <w:rFonts w:hint="default"/>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6">
    <w:nsid w:val="781E5658"/>
    <w:multiLevelType w:val="multilevel"/>
    <w:tmpl w:val="781E565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3"/>
  </w:num>
  <w:num w:numId="3">
    <w:abstractNumId w:val="0"/>
  </w:num>
  <w:num w:numId="4">
    <w:abstractNumId w:val="6"/>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989"/>
    <w:rsid w:val="00001754"/>
    <w:rsid w:val="00002A09"/>
    <w:rsid w:val="0000519B"/>
    <w:rsid w:val="00011416"/>
    <w:rsid w:val="00011699"/>
    <w:rsid w:val="00013499"/>
    <w:rsid w:val="0001474E"/>
    <w:rsid w:val="000224A3"/>
    <w:rsid w:val="0003046B"/>
    <w:rsid w:val="00030649"/>
    <w:rsid w:val="000314D8"/>
    <w:rsid w:val="0003163E"/>
    <w:rsid w:val="00040F54"/>
    <w:rsid w:val="0004144F"/>
    <w:rsid w:val="00043445"/>
    <w:rsid w:val="00045818"/>
    <w:rsid w:val="0004719F"/>
    <w:rsid w:val="00050536"/>
    <w:rsid w:val="000643FC"/>
    <w:rsid w:val="00067AD2"/>
    <w:rsid w:val="00067DDF"/>
    <w:rsid w:val="0007114C"/>
    <w:rsid w:val="00083C97"/>
    <w:rsid w:val="00086DAC"/>
    <w:rsid w:val="00090F40"/>
    <w:rsid w:val="000912AD"/>
    <w:rsid w:val="00092F2F"/>
    <w:rsid w:val="000942BD"/>
    <w:rsid w:val="00095264"/>
    <w:rsid w:val="0009717E"/>
    <w:rsid w:val="000A0210"/>
    <w:rsid w:val="000A4E81"/>
    <w:rsid w:val="000A78D1"/>
    <w:rsid w:val="000A7F8D"/>
    <w:rsid w:val="000B5581"/>
    <w:rsid w:val="000C024D"/>
    <w:rsid w:val="000C3003"/>
    <w:rsid w:val="000C5E3D"/>
    <w:rsid w:val="000C69F6"/>
    <w:rsid w:val="000C7DE6"/>
    <w:rsid w:val="000D01ED"/>
    <w:rsid w:val="000D374B"/>
    <w:rsid w:val="000D46E4"/>
    <w:rsid w:val="000D5DFD"/>
    <w:rsid w:val="000D7B1F"/>
    <w:rsid w:val="000E30B9"/>
    <w:rsid w:val="000E4D5F"/>
    <w:rsid w:val="000E5AA4"/>
    <w:rsid w:val="000F1376"/>
    <w:rsid w:val="000F2573"/>
    <w:rsid w:val="000F260F"/>
    <w:rsid w:val="000F3D12"/>
    <w:rsid w:val="000F41DB"/>
    <w:rsid w:val="000F4B64"/>
    <w:rsid w:val="000F6928"/>
    <w:rsid w:val="000F6DDD"/>
    <w:rsid w:val="00100B8F"/>
    <w:rsid w:val="00101150"/>
    <w:rsid w:val="00101877"/>
    <w:rsid w:val="0010778C"/>
    <w:rsid w:val="001077D8"/>
    <w:rsid w:val="00113CFA"/>
    <w:rsid w:val="00113FF6"/>
    <w:rsid w:val="0012328B"/>
    <w:rsid w:val="00126954"/>
    <w:rsid w:val="00126FD4"/>
    <w:rsid w:val="0013000C"/>
    <w:rsid w:val="0013174A"/>
    <w:rsid w:val="001365F8"/>
    <w:rsid w:val="00137B2D"/>
    <w:rsid w:val="00141C94"/>
    <w:rsid w:val="001421F1"/>
    <w:rsid w:val="00143E31"/>
    <w:rsid w:val="00143FD3"/>
    <w:rsid w:val="001454B0"/>
    <w:rsid w:val="00146B6D"/>
    <w:rsid w:val="00151620"/>
    <w:rsid w:val="00156FA1"/>
    <w:rsid w:val="00161C8B"/>
    <w:rsid w:val="00163C9B"/>
    <w:rsid w:val="00172D36"/>
    <w:rsid w:val="001743D5"/>
    <w:rsid w:val="0018286A"/>
    <w:rsid w:val="00185B0C"/>
    <w:rsid w:val="001871B5"/>
    <w:rsid w:val="001900F6"/>
    <w:rsid w:val="00191A4B"/>
    <w:rsid w:val="001A2EEA"/>
    <w:rsid w:val="001A303D"/>
    <w:rsid w:val="001A3BE5"/>
    <w:rsid w:val="001A53E4"/>
    <w:rsid w:val="001A5D37"/>
    <w:rsid w:val="001A7772"/>
    <w:rsid w:val="001A7CAA"/>
    <w:rsid w:val="001B0857"/>
    <w:rsid w:val="001B0FC3"/>
    <w:rsid w:val="001B3312"/>
    <w:rsid w:val="001B3D48"/>
    <w:rsid w:val="001C00BB"/>
    <w:rsid w:val="001C0489"/>
    <w:rsid w:val="001C04BD"/>
    <w:rsid w:val="001C0A36"/>
    <w:rsid w:val="001C0C7A"/>
    <w:rsid w:val="001C604A"/>
    <w:rsid w:val="001C76E4"/>
    <w:rsid w:val="001C7A2A"/>
    <w:rsid w:val="001D21BC"/>
    <w:rsid w:val="001D27FF"/>
    <w:rsid w:val="001D7F53"/>
    <w:rsid w:val="001E2581"/>
    <w:rsid w:val="001E2586"/>
    <w:rsid w:val="001E2E20"/>
    <w:rsid w:val="001E49F4"/>
    <w:rsid w:val="001F15F4"/>
    <w:rsid w:val="001F19B9"/>
    <w:rsid w:val="00201E16"/>
    <w:rsid w:val="0020392E"/>
    <w:rsid w:val="00207EA9"/>
    <w:rsid w:val="0021008E"/>
    <w:rsid w:val="00213B98"/>
    <w:rsid w:val="00214EAB"/>
    <w:rsid w:val="002162A7"/>
    <w:rsid w:val="00221706"/>
    <w:rsid w:val="00224F4D"/>
    <w:rsid w:val="00225714"/>
    <w:rsid w:val="00226DB1"/>
    <w:rsid w:val="00226EC3"/>
    <w:rsid w:val="002272B4"/>
    <w:rsid w:val="002308F4"/>
    <w:rsid w:val="00231984"/>
    <w:rsid w:val="00231D2E"/>
    <w:rsid w:val="00233A9D"/>
    <w:rsid w:val="00235E23"/>
    <w:rsid w:val="002377D0"/>
    <w:rsid w:val="0024083A"/>
    <w:rsid w:val="00240C2E"/>
    <w:rsid w:val="00241F11"/>
    <w:rsid w:val="0024470F"/>
    <w:rsid w:val="002500EA"/>
    <w:rsid w:val="00251172"/>
    <w:rsid w:val="00256086"/>
    <w:rsid w:val="002607CC"/>
    <w:rsid w:val="00260EAD"/>
    <w:rsid w:val="002638B2"/>
    <w:rsid w:val="00263AC0"/>
    <w:rsid w:val="00264017"/>
    <w:rsid w:val="002656FE"/>
    <w:rsid w:val="00265919"/>
    <w:rsid w:val="00270191"/>
    <w:rsid w:val="00270DA0"/>
    <w:rsid w:val="002734FA"/>
    <w:rsid w:val="00274804"/>
    <w:rsid w:val="00274A7A"/>
    <w:rsid w:val="002763A4"/>
    <w:rsid w:val="00276E7F"/>
    <w:rsid w:val="002819E6"/>
    <w:rsid w:val="00285678"/>
    <w:rsid w:val="00286630"/>
    <w:rsid w:val="00287C7C"/>
    <w:rsid w:val="00292FCB"/>
    <w:rsid w:val="00293063"/>
    <w:rsid w:val="00295B76"/>
    <w:rsid w:val="00296117"/>
    <w:rsid w:val="00297B07"/>
    <w:rsid w:val="002A34D6"/>
    <w:rsid w:val="002A354D"/>
    <w:rsid w:val="002A3F82"/>
    <w:rsid w:val="002A6D81"/>
    <w:rsid w:val="002A7185"/>
    <w:rsid w:val="002B0A80"/>
    <w:rsid w:val="002B2678"/>
    <w:rsid w:val="002B316B"/>
    <w:rsid w:val="002B3BCD"/>
    <w:rsid w:val="002B5B26"/>
    <w:rsid w:val="002B5E68"/>
    <w:rsid w:val="002B7F3F"/>
    <w:rsid w:val="002C4C1B"/>
    <w:rsid w:val="002C65EE"/>
    <w:rsid w:val="002C7B18"/>
    <w:rsid w:val="002C7BF8"/>
    <w:rsid w:val="002D0B10"/>
    <w:rsid w:val="002D3449"/>
    <w:rsid w:val="002E09D9"/>
    <w:rsid w:val="002E0D22"/>
    <w:rsid w:val="002E2F21"/>
    <w:rsid w:val="002E52C5"/>
    <w:rsid w:val="002E7034"/>
    <w:rsid w:val="00300800"/>
    <w:rsid w:val="00307187"/>
    <w:rsid w:val="0031029F"/>
    <w:rsid w:val="00310C12"/>
    <w:rsid w:val="00310D08"/>
    <w:rsid w:val="0031130D"/>
    <w:rsid w:val="00314384"/>
    <w:rsid w:val="0032179D"/>
    <w:rsid w:val="00324295"/>
    <w:rsid w:val="00324A26"/>
    <w:rsid w:val="00327824"/>
    <w:rsid w:val="00333A76"/>
    <w:rsid w:val="003344AE"/>
    <w:rsid w:val="003349EC"/>
    <w:rsid w:val="0033513A"/>
    <w:rsid w:val="003409AD"/>
    <w:rsid w:val="003423D1"/>
    <w:rsid w:val="00345BAE"/>
    <w:rsid w:val="003475A5"/>
    <w:rsid w:val="00351095"/>
    <w:rsid w:val="00352FE9"/>
    <w:rsid w:val="00353470"/>
    <w:rsid w:val="0035412F"/>
    <w:rsid w:val="00354D0B"/>
    <w:rsid w:val="00354E31"/>
    <w:rsid w:val="00362810"/>
    <w:rsid w:val="003649C6"/>
    <w:rsid w:val="00370391"/>
    <w:rsid w:val="00370973"/>
    <w:rsid w:val="0037442B"/>
    <w:rsid w:val="00380D98"/>
    <w:rsid w:val="0038379A"/>
    <w:rsid w:val="00385EF8"/>
    <w:rsid w:val="0038680D"/>
    <w:rsid w:val="003905C6"/>
    <w:rsid w:val="00391C56"/>
    <w:rsid w:val="00395AAC"/>
    <w:rsid w:val="003971CC"/>
    <w:rsid w:val="003979B5"/>
    <w:rsid w:val="003A0B12"/>
    <w:rsid w:val="003A24F2"/>
    <w:rsid w:val="003A2855"/>
    <w:rsid w:val="003A4B59"/>
    <w:rsid w:val="003A5DC4"/>
    <w:rsid w:val="003A6055"/>
    <w:rsid w:val="003A7377"/>
    <w:rsid w:val="003A79BD"/>
    <w:rsid w:val="003B16A5"/>
    <w:rsid w:val="003B197F"/>
    <w:rsid w:val="003B2816"/>
    <w:rsid w:val="003B2C4A"/>
    <w:rsid w:val="003B7716"/>
    <w:rsid w:val="003B77E2"/>
    <w:rsid w:val="003C01DE"/>
    <w:rsid w:val="003C0A29"/>
    <w:rsid w:val="003C0D47"/>
    <w:rsid w:val="003C0E9E"/>
    <w:rsid w:val="003C52FB"/>
    <w:rsid w:val="003D320C"/>
    <w:rsid w:val="003D6B71"/>
    <w:rsid w:val="003D6DE9"/>
    <w:rsid w:val="003D7485"/>
    <w:rsid w:val="003E04CC"/>
    <w:rsid w:val="003E0647"/>
    <w:rsid w:val="003E12E1"/>
    <w:rsid w:val="003E1C4E"/>
    <w:rsid w:val="003E328D"/>
    <w:rsid w:val="003E4C2C"/>
    <w:rsid w:val="003E7CBF"/>
    <w:rsid w:val="003F160C"/>
    <w:rsid w:val="003F4564"/>
    <w:rsid w:val="003F4A09"/>
    <w:rsid w:val="003F526C"/>
    <w:rsid w:val="003F6C4C"/>
    <w:rsid w:val="004009A5"/>
    <w:rsid w:val="00401101"/>
    <w:rsid w:val="00401A87"/>
    <w:rsid w:val="004024D6"/>
    <w:rsid w:val="004026FB"/>
    <w:rsid w:val="004034A8"/>
    <w:rsid w:val="004054C7"/>
    <w:rsid w:val="004054E4"/>
    <w:rsid w:val="004106CF"/>
    <w:rsid w:val="00413EA0"/>
    <w:rsid w:val="00415F4A"/>
    <w:rsid w:val="00416F6F"/>
    <w:rsid w:val="00417420"/>
    <w:rsid w:val="00421515"/>
    <w:rsid w:val="0042704D"/>
    <w:rsid w:val="00427397"/>
    <w:rsid w:val="00432F59"/>
    <w:rsid w:val="004333E5"/>
    <w:rsid w:val="00435849"/>
    <w:rsid w:val="00435903"/>
    <w:rsid w:val="00435A4D"/>
    <w:rsid w:val="00437645"/>
    <w:rsid w:val="00443115"/>
    <w:rsid w:val="00447016"/>
    <w:rsid w:val="00447205"/>
    <w:rsid w:val="00453BA9"/>
    <w:rsid w:val="004545F7"/>
    <w:rsid w:val="00455E03"/>
    <w:rsid w:val="00456F5F"/>
    <w:rsid w:val="00457F6B"/>
    <w:rsid w:val="00462C42"/>
    <w:rsid w:val="00466FA2"/>
    <w:rsid w:val="00473865"/>
    <w:rsid w:val="004812C4"/>
    <w:rsid w:val="004819EF"/>
    <w:rsid w:val="00481F99"/>
    <w:rsid w:val="00482E04"/>
    <w:rsid w:val="00485B16"/>
    <w:rsid w:val="00487A59"/>
    <w:rsid w:val="0049098B"/>
    <w:rsid w:val="0049132F"/>
    <w:rsid w:val="00493194"/>
    <w:rsid w:val="00494A64"/>
    <w:rsid w:val="004A0163"/>
    <w:rsid w:val="004A0FD6"/>
    <w:rsid w:val="004A5FC6"/>
    <w:rsid w:val="004A7A15"/>
    <w:rsid w:val="004B0A34"/>
    <w:rsid w:val="004B1EE7"/>
    <w:rsid w:val="004B22B0"/>
    <w:rsid w:val="004B58FC"/>
    <w:rsid w:val="004B7892"/>
    <w:rsid w:val="004C18E8"/>
    <w:rsid w:val="004C26DC"/>
    <w:rsid w:val="004C2A74"/>
    <w:rsid w:val="004C50BA"/>
    <w:rsid w:val="004D1599"/>
    <w:rsid w:val="004D1C09"/>
    <w:rsid w:val="004D22BA"/>
    <w:rsid w:val="004D2696"/>
    <w:rsid w:val="004D7AE6"/>
    <w:rsid w:val="004E2B05"/>
    <w:rsid w:val="004E65EC"/>
    <w:rsid w:val="004E6EC4"/>
    <w:rsid w:val="004F5223"/>
    <w:rsid w:val="004F7018"/>
    <w:rsid w:val="00501FFF"/>
    <w:rsid w:val="00503C18"/>
    <w:rsid w:val="005069F2"/>
    <w:rsid w:val="00506A66"/>
    <w:rsid w:val="005117E6"/>
    <w:rsid w:val="00512B8F"/>
    <w:rsid w:val="00514AEA"/>
    <w:rsid w:val="005153C8"/>
    <w:rsid w:val="00517650"/>
    <w:rsid w:val="00521116"/>
    <w:rsid w:val="00521F4E"/>
    <w:rsid w:val="00535D24"/>
    <w:rsid w:val="00535ECE"/>
    <w:rsid w:val="0053773F"/>
    <w:rsid w:val="00540E00"/>
    <w:rsid w:val="00541D26"/>
    <w:rsid w:val="005452F4"/>
    <w:rsid w:val="00546AE9"/>
    <w:rsid w:val="00550280"/>
    <w:rsid w:val="00552C4F"/>
    <w:rsid w:val="005553F7"/>
    <w:rsid w:val="005574FD"/>
    <w:rsid w:val="00561CB6"/>
    <w:rsid w:val="00564885"/>
    <w:rsid w:val="00570351"/>
    <w:rsid w:val="00570419"/>
    <w:rsid w:val="00570F4B"/>
    <w:rsid w:val="00571AB4"/>
    <w:rsid w:val="00577A69"/>
    <w:rsid w:val="005846D3"/>
    <w:rsid w:val="00584828"/>
    <w:rsid w:val="00584E47"/>
    <w:rsid w:val="005917B1"/>
    <w:rsid w:val="00592238"/>
    <w:rsid w:val="00594266"/>
    <w:rsid w:val="00594F05"/>
    <w:rsid w:val="005965E7"/>
    <w:rsid w:val="00597556"/>
    <w:rsid w:val="005A1A6E"/>
    <w:rsid w:val="005A5046"/>
    <w:rsid w:val="005B3896"/>
    <w:rsid w:val="005B41FC"/>
    <w:rsid w:val="005B4305"/>
    <w:rsid w:val="005B6E20"/>
    <w:rsid w:val="005C203B"/>
    <w:rsid w:val="005C308B"/>
    <w:rsid w:val="005C3B10"/>
    <w:rsid w:val="005C4932"/>
    <w:rsid w:val="005C4F87"/>
    <w:rsid w:val="005C591B"/>
    <w:rsid w:val="005D2268"/>
    <w:rsid w:val="005D2C7D"/>
    <w:rsid w:val="005D670E"/>
    <w:rsid w:val="005D7405"/>
    <w:rsid w:val="005E13EF"/>
    <w:rsid w:val="005E20CC"/>
    <w:rsid w:val="005E3DCF"/>
    <w:rsid w:val="005E6405"/>
    <w:rsid w:val="005F0F42"/>
    <w:rsid w:val="005F4E66"/>
    <w:rsid w:val="005F5B1F"/>
    <w:rsid w:val="005F63DE"/>
    <w:rsid w:val="0060629F"/>
    <w:rsid w:val="00606353"/>
    <w:rsid w:val="006065AF"/>
    <w:rsid w:val="006122C6"/>
    <w:rsid w:val="006158E2"/>
    <w:rsid w:val="006166AF"/>
    <w:rsid w:val="00617012"/>
    <w:rsid w:val="00620193"/>
    <w:rsid w:val="006217CD"/>
    <w:rsid w:val="0062354C"/>
    <w:rsid w:val="006257EF"/>
    <w:rsid w:val="0062720E"/>
    <w:rsid w:val="006345E4"/>
    <w:rsid w:val="00635724"/>
    <w:rsid w:val="0063639B"/>
    <w:rsid w:val="00640BE1"/>
    <w:rsid w:val="00642066"/>
    <w:rsid w:val="00645026"/>
    <w:rsid w:val="0064519B"/>
    <w:rsid w:val="006507ED"/>
    <w:rsid w:val="00655217"/>
    <w:rsid w:val="00655272"/>
    <w:rsid w:val="0065770D"/>
    <w:rsid w:val="006638EC"/>
    <w:rsid w:val="006658EB"/>
    <w:rsid w:val="0066771B"/>
    <w:rsid w:val="00667BE4"/>
    <w:rsid w:val="0067066C"/>
    <w:rsid w:val="00672543"/>
    <w:rsid w:val="00681C80"/>
    <w:rsid w:val="00683328"/>
    <w:rsid w:val="0068700D"/>
    <w:rsid w:val="00687280"/>
    <w:rsid w:val="00691B77"/>
    <w:rsid w:val="00694780"/>
    <w:rsid w:val="00697225"/>
    <w:rsid w:val="006A18A0"/>
    <w:rsid w:val="006A2AE1"/>
    <w:rsid w:val="006A2F3D"/>
    <w:rsid w:val="006A3369"/>
    <w:rsid w:val="006A73FC"/>
    <w:rsid w:val="006B05B5"/>
    <w:rsid w:val="006B12C6"/>
    <w:rsid w:val="006C409A"/>
    <w:rsid w:val="006C459D"/>
    <w:rsid w:val="006C72D6"/>
    <w:rsid w:val="006E36FB"/>
    <w:rsid w:val="006E3EFB"/>
    <w:rsid w:val="006E6D6E"/>
    <w:rsid w:val="006F03FE"/>
    <w:rsid w:val="006F4349"/>
    <w:rsid w:val="006F5861"/>
    <w:rsid w:val="007040DA"/>
    <w:rsid w:val="00705F96"/>
    <w:rsid w:val="0070756C"/>
    <w:rsid w:val="0070777E"/>
    <w:rsid w:val="0071160E"/>
    <w:rsid w:val="00713C37"/>
    <w:rsid w:val="0071435F"/>
    <w:rsid w:val="007164AE"/>
    <w:rsid w:val="00721BA0"/>
    <w:rsid w:val="00722321"/>
    <w:rsid w:val="00723011"/>
    <w:rsid w:val="007235C1"/>
    <w:rsid w:val="00725E15"/>
    <w:rsid w:val="00726870"/>
    <w:rsid w:val="00732D70"/>
    <w:rsid w:val="00737CEE"/>
    <w:rsid w:val="007409B2"/>
    <w:rsid w:val="007420EB"/>
    <w:rsid w:val="0074315F"/>
    <w:rsid w:val="00745BD5"/>
    <w:rsid w:val="007475A9"/>
    <w:rsid w:val="00747F49"/>
    <w:rsid w:val="0075604C"/>
    <w:rsid w:val="007627A4"/>
    <w:rsid w:val="0076389E"/>
    <w:rsid w:val="00774020"/>
    <w:rsid w:val="00775BDD"/>
    <w:rsid w:val="00776BB3"/>
    <w:rsid w:val="00787410"/>
    <w:rsid w:val="00787EC5"/>
    <w:rsid w:val="00791B8D"/>
    <w:rsid w:val="00794385"/>
    <w:rsid w:val="007A1CCB"/>
    <w:rsid w:val="007A4D6C"/>
    <w:rsid w:val="007A5BD9"/>
    <w:rsid w:val="007A6232"/>
    <w:rsid w:val="007A6430"/>
    <w:rsid w:val="007A6FD6"/>
    <w:rsid w:val="007B7F8B"/>
    <w:rsid w:val="007C273E"/>
    <w:rsid w:val="007C3B11"/>
    <w:rsid w:val="007E5F56"/>
    <w:rsid w:val="007E63E6"/>
    <w:rsid w:val="007E6678"/>
    <w:rsid w:val="007F269E"/>
    <w:rsid w:val="007F2C55"/>
    <w:rsid w:val="00800389"/>
    <w:rsid w:val="00800649"/>
    <w:rsid w:val="00804937"/>
    <w:rsid w:val="0080577A"/>
    <w:rsid w:val="008060E6"/>
    <w:rsid w:val="00807734"/>
    <w:rsid w:val="00813652"/>
    <w:rsid w:val="008155D1"/>
    <w:rsid w:val="00815615"/>
    <w:rsid w:val="00816001"/>
    <w:rsid w:val="00822485"/>
    <w:rsid w:val="00822B3E"/>
    <w:rsid w:val="00823BA2"/>
    <w:rsid w:val="00824178"/>
    <w:rsid w:val="008259C1"/>
    <w:rsid w:val="008318E3"/>
    <w:rsid w:val="00840285"/>
    <w:rsid w:val="008413D7"/>
    <w:rsid w:val="00841658"/>
    <w:rsid w:val="00841E90"/>
    <w:rsid w:val="00850405"/>
    <w:rsid w:val="00850DEF"/>
    <w:rsid w:val="00853989"/>
    <w:rsid w:val="00853A7E"/>
    <w:rsid w:val="00857A37"/>
    <w:rsid w:val="00860043"/>
    <w:rsid w:val="008606FD"/>
    <w:rsid w:val="00861BE0"/>
    <w:rsid w:val="00867DA8"/>
    <w:rsid w:val="00871B50"/>
    <w:rsid w:val="00873A71"/>
    <w:rsid w:val="00874E81"/>
    <w:rsid w:val="0087579E"/>
    <w:rsid w:val="0088376E"/>
    <w:rsid w:val="00884BD1"/>
    <w:rsid w:val="0088688B"/>
    <w:rsid w:val="0088750A"/>
    <w:rsid w:val="00892654"/>
    <w:rsid w:val="00896116"/>
    <w:rsid w:val="008A1CFD"/>
    <w:rsid w:val="008A610A"/>
    <w:rsid w:val="008A719F"/>
    <w:rsid w:val="008B541A"/>
    <w:rsid w:val="008C0019"/>
    <w:rsid w:val="008C1B8F"/>
    <w:rsid w:val="008C3F17"/>
    <w:rsid w:val="008C4040"/>
    <w:rsid w:val="008C7140"/>
    <w:rsid w:val="008C7C05"/>
    <w:rsid w:val="008D12A1"/>
    <w:rsid w:val="008D26CB"/>
    <w:rsid w:val="008D34C9"/>
    <w:rsid w:val="008D3B44"/>
    <w:rsid w:val="008D5ED9"/>
    <w:rsid w:val="008E009B"/>
    <w:rsid w:val="008E3810"/>
    <w:rsid w:val="008E5F8D"/>
    <w:rsid w:val="008E75E6"/>
    <w:rsid w:val="008F414A"/>
    <w:rsid w:val="008F41EB"/>
    <w:rsid w:val="008F4DA3"/>
    <w:rsid w:val="008F56CC"/>
    <w:rsid w:val="008F6C5A"/>
    <w:rsid w:val="0090064E"/>
    <w:rsid w:val="00904161"/>
    <w:rsid w:val="0090534C"/>
    <w:rsid w:val="0090796F"/>
    <w:rsid w:val="00907F9A"/>
    <w:rsid w:val="00910707"/>
    <w:rsid w:val="00912FB4"/>
    <w:rsid w:val="00915A10"/>
    <w:rsid w:val="009176CD"/>
    <w:rsid w:val="00920FEA"/>
    <w:rsid w:val="00924A5F"/>
    <w:rsid w:val="009256DC"/>
    <w:rsid w:val="009300A1"/>
    <w:rsid w:val="00931B0C"/>
    <w:rsid w:val="00932CDE"/>
    <w:rsid w:val="00932DF2"/>
    <w:rsid w:val="00933D85"/>
    <w:rsid w:val="009341C8"/>
    <w:rsid w:val="00940359"/>
    <w:rsid w:val="009403E8"/>
    <w:rsid w:val="00940A8E"/>
    <w:rsid w:val="00942A32"/>
    <w:rsid w:val="00944C2D"/>
    <w:rsid w:val="009534F9"/>
    <w:rsid w:val="0095710D"/>
    <w:rsid w:val="00957417"/>
    <w:rsid w:val="00962A3F"/>
    <w:rsid w:val="00964857"/>
    <w:rsid w:val="00966A0C"/>
    <w:rsid w:val="0097164B"/>
    <w:rsid w:val="00974045"/>
    <w:rsid w:val="00980C73"/>
    <w:rsid w:val="00984608"/>
    <w:rsid w:val="00984CE4"/>
    <w:rsid w:val="00985425"/>
    <w:rsid w:val="00987825"/>
    <w:rsid w:val="00990728"/>
    <w:rsid w:val="009931EF"/>
    <w:rsid w:val="009939CA"/>
    <w:rsid w:val="009958E3"/>
    <w:rsid w:val="009A119B"/>
    <w:rsid w:val="009A17BC"/>
    <w:rsid w:val="009A268B"/>
    <w:rsid w:val="009A7E00"/>
    <w:rsid w:val="009B0251"/>
    <w:rsid w:val="009B26B8"/>
    <w:rsid w:val="009B369C"/>
    <w:rsid w:val="009B538B"/>
    <w:rsid w:val="009C0FE4"/>
    <w:rsid w:val="009C1FA6"/>
    <w:rsid w:val="009C6BC4"/>
    <w:rsid w:val="009C72FF"/>
    <w:rsid w:val="009D1B38"/>
    <w:rsid w:val="009D37C9"/>
    <w:rsid w:val="009D4466"/>
    <w:rsid w:val="009D6090"/>
    <w:rsid w:val="009E04BC"/>
    <w:rsid w:val="009E2185"/>
    <w:rsid w:val="009E2BD9"/>
    <w:rsid w:val="009E2EA3"/>
    <w:rsid w:val="009E4DC9"/>
    <w:rsid w:val="009E56DC"/>
    <w:rsid w:val="009F24EA"/>
    <w:rsid w:val="009F3111"/>
    <w:rsid w:val="009F65CC"/>
    <w:rsid w:val="009F6855"/>
    <w:rsid w:val="009F6A19"/>
    <w:rsid w:val="009F79C9"/>
    <w:rsid w:val="009F7A06"/>
    <w:rsid w:val="00A041BC"/>
    <w:rsid w:val="00A04DB8"/>
    <w:rsid w:val="00A055AE"/>
    <w:rsid w:val="00A10C95"/>
    <w:rsid w:val="00A11E9D"/>
    <w:rsid w:val="00A155F3"/>
    <w:rsid w:val="00A17351"/>
    <w:rsid w:val="00A2053D"/>
    <w:rsid w:val="00A20A00"/>
    <w:rsid w:val="00A23D5C"/>
    <w:rsid w:val="00A244CE"/>
    <w:rsid w:val="00A26D75"/>
    <w:rsid w:val="00A31B14"/>
    <w:rsid w:val="00A32988"/>
    <w:rsid w:val="00A3420E"/>
    <w:rsid w:val="00A34A77"/>
    <w:rsid w:val="00A35399"/>
    <w:rsid w:val="00A44006"/>
    <w:rsid w:val="00A454E2"/>
    <w:rsid w:val="00A45FC1"/>
    <w:rsid w:val="00A504E2"/>
    <w:rsid w:val="00A53F46"/>
    <w:rsid w:val="00A54E44"/>
    <w:rsid w:val="00A5675A"/>
    <w:rsid w:val="00A61574"/>
    <w:rsid w:val="00A61B32"/>
    <w:rsid w:val="00A61B33"/>
    <w:rsid w:val="00A676D6"/>
    <w:rsid w:val="00A704E5"/>
    <w:rsid w:val="00A70D45"/>
    <w:rsid w:val="00A717CF"/>
    <w:rsid w:val="00A73FA0"/>
    <w:rsid w:val="00A740F3"/>
    <w:rsid w:val="00A76B62"/>
    <w:rsid w:val="00A77D18"/>
    <w:rsid w:val="00A80035"/>
    <w:rsid w:val="00A812FA"/>
    <w:rsid w:val="00A816A2"/>
    <w:rsid w:val="00A81DC4"/>
    <w:rsid w:val="00A83EAF"/>
    <w:rsid w:val="00A8720B"/>
    <w:rsid w:val="00A90BCB"/>
    <w:rsid w:val="00A9100C"/>
    <w:rsid w:val="00A911A7"/>
    <w:rsid w:val="00A95628"/>
    <w:rsid w:val="00A95B1A"/>
    <w:rsid w:val="00A972C4"/>
    <w:rsid w:val="00A97899"/>
    <w:rsid w:val="00A97D08"/>
    <w:rsid w:val="00AA503B"/>
    <w:rsid w:val="00AA5354"/>
    <w:rsid w:val="00AA5D01"/>
    <w:rsid w:val="00AB05A2"/>
    <w:rsid w:val="00AB1963"/>
    <w:rsid w:val="00AB251F"/>
    <w:rsid w:val="00AB323A"/>
    <w:rsid w:val="00AB5099"/>
    <w:rsid w:val="00AC0491"/>
    <w:rsid w:val="00AC289B"/>
    <w:rsid w:val="00AC37D1"/>
    <w:rsid w:val="00AC7382"/>
    <w:rsid w:val="00AD0308"/>
    <w:rsid w:val="00AD0F19"/>
    <w:rsid w:val="00AD118D"/>
    <w:rsid w:val="00AD1AC6"/>
    <w:rsid w:val="00AD1AE4"/>
    <w:rsid w:val="00AE0398"/>
    <w:rsid w:val="00AE237A"/>
    <w:rsid w:val="00AF331A"/>
    <w:rsid w:val="00AF4875"/>
    <w:rsid w:val="00AF5749"/>
    <w:rsid w:val="00B00BD4"/>
    <w:rsid w:val="00B02CD2"/>
    <w:rsid w:val="00B042EB"/>
    <w:rsid w:val="00B04B19"/>
    <w:rsid w:val="00B107F8"/>
    <w:rsid w:val="00B11C07"/>
    <w:rsid w:val="00B12E81"/>
    <w:rsid w:val="00B249CF"/>
    <w:rsid w:val="00B25446"/>
    <w:rsid w:val="00B257AC"/>
    <w:rsid w:val="00B25F8E"/>
    <w:rsid w:val="00B267FA"/>
    <w:rsid w:val="00B33B75"/>
    <w:rsid w:val="00B34A86"/>
    <w:rsid w:val="00B37677"/>
    <w:rsid w:val="00B40298"/>
    <w:rsid w:val="00B42E4F"/>
    <w:rsid w:val="00B4579B"/>
    <w:rsid w:val="00B477A0"/>
    <w:rsid w:val="00B50C20"/>
    <w:rsid w:val="00B533E5"/>
    <w:rsid w:val="00B5647D"/>
    <w:rsid w:val="00B607E5"/>
    <w:rsid w:val="00B648F5"/>
    <w:rsid w:val="00B649DE"/>
    <w:rsid w:val="00B6516B"/>
    <w:rsid w:val="00B6775C"/>
    <w:rsid w:val="00B67D03"/>
    <w:rsid w:val="00B701BE"/>
    <w:rsid w:val="00B72D5F"/>
    <w:rsid w:val="00B750D0"/>
    <w:rsid w:val="00B80973"/>
    <w:rsid w:val="00B810F3"/>
    <w:rsid w:val="00B81162"/>
    <w:rsid w:val="00B829B5"/>
    <w:rsid w:val="00B82BA9"/>
    <w:rsid w:val="00B83BF8"/>
    <w:rsid w:val="00B84422"/>
    <w:rsid w:val="00B86A32"/>
    <w:rsid w:val="00B904D2"/>
    <w:rsid w:val="00B909CC"/>
    <w:rsid w:val="00B914D2"/>
    <w:rsid w:val="00B9164D"/>
    <w:rsid w:val="00B92C2C"/>
    <w:rsid w:val="00B930D3"/>
    <w:rsid w:val="00B94088"/>
    <w:rsid w:val="00B96124"/>
    <w:rsid w:val="00B96322"/>
    <w:rsid w:val="00BA3EF2"/>
    <w:rsid w:val="00BA447C"/>
    <w:rsid w:val="00BA471E"/>
    <w:rsid w:val="00BA573A"/>
    <w:rsid w:val="00BB0A00"/>
    <w:rsid w:val="00BB0D1F"/>
    <w:rsid w:val="00BB1D7C"/>
    <w:rsid w:val="00BB2DEF"/>
    <w:rsid w:val="00BB5E65"/>
    <w:rsid w:val="00BC3693"/>
    <w:rsid w:val="00BC3E22"/>
    <w:rsid w:val="00BC4411"/>
    <w:rsid w:val="00BC5B4F"/>
    <w:rsid w:val="00BC60CE"/>
    <w:rsid w:val="00BD3008"/>
    <w:rsid w:val="00BD3017"/>
    <w:rsid w:val="00BD48ED"/>
    <w:rsid w:val="00BD7B0D"/>
    <w:rsid w:val="00BE1300"/>
    <w:rsid w:val="00BE4EE0"/>
    <w:rsid w:val="00BE7728"/>
    <w:rsid w:val="00BF520A"/>
    <w:rsid w:val="00BF7A30"/>
    <w:rsid w:val="00C00491"/>
    <w:rsid w:val="00C0294E"/>
    <w:rsid w:val="00C052BC"/>
    <w:rsid w:val="00C05B89"/>
    <w:rsid w:val="00C06FF0"/>
    <w:rsid w:val="00C12220"/>
    <w:rsid w:val="00C13134"/>
    <w:rsid w:val="00C1488B"/>
    <w:rsid w:val="00C160D2"/>
    <w:rsid w:val="00C22CDA"/>
    <w:rsid w:val="00C247B9"/>
    <w:rsid w:val="00C3185B"/>
    <w:rsid w:val="00C31A62"/>
    <w:rsid w:val="00C31EA1"/>
    <w:rsid w:val="00C435AD"/>
    <w:rsid w:val="00C43A29"/>
    <w:rsid w:val="00C44997"/>
    <w:rsid w:val="00C45501"/>
    <w:rsid w:val="00C45C7D"/>
    <w:rsid w:val="00C4627B"/>
    <w:rsid w:val="00C473FE"/>
    <w:rsid w:val="00C47F38"/>
    <w:rsid w:val="00C51849"/>
    <w:rsid w:val="00C555E3"/>
    <w:rsid w:val="00C61F08"/>
    <w:rsid w:val="00C63506"/>
    <w:rsid w:val="00C638F2"/>
    <w:rsid w:val="00C72165"/>
    <w:rsid w:val="00C76D12"/>
    <w:rsid w:val="00C7761A"/>
    <w:rsid w:val="00C80740"/>
    <w:rsid w:val="00C80D64"/>
    <w:rsid w:val="00C810DF"/>
    <w:rsid w:val="00C82995"/>
    <w:rsid w:val="00C82B2E"/>
    <w:rsid w:val="00C8341C"/>
    <w:rsid w:val="00C83935"/>
    <w:rsid w:val="00C842A4"/>
    <w:rsid w:val="00C84880"/>
    <w:rsid w:val="00C94F3E"/>
    <w:rsid w:val="00C97736"/>
    <w:rsid w:val="00C97F6B"/>
    <w:rsid w:val="00CA284F"/>
    <w:rsid w:val="00CA7C24"/>
    <w:rsid w:val="00CB0527"/>
    <w:rsid w:val="00CB16EA"/>
    <w:rsid w:val="00CB50DB"/>
    <w:rsid w:val="00CC10E5"/>
    <w:rsid w:val="00CC1C47"/>
    <w:rsid w:val="00CC1C7A"/>
    <w:rsid w:val="00CC28B0"/>
    <w:rsid w:val="00CC7B61"/>
    <w:rsid w:val="00CD2945"/>
    <w:rsid w:val="00CE138F"/>
    <w:rsid w:val="00CE39AC"/>
    <w:rsid w:val="00CE3FD0"/>
    <w:rsid w:val="00CE7853"/>
    <w:rsid w:val="00CE785E"/>
    <w:rsid w:val="00CF00BD"/>
    <w:rsid w:val="00CF020D"/>
    <w:rsid w:val="00CF235B"/>
    <w:rsid w:val="00CF24AA"/>
    <w:rsid w:val="00CF25E6"/>
    <w:rsid w:val="00CF3B81"/>
    <w:rsid w:val="00CF531E"/>
    <w:rsid w:val="00CF73E6"/>
    <w:rsid w:val="00CF76E7"/>
    <w:rsid w:val="00D02544"/>
    <w:rsid w:val="00D03F07"/>
    <w:rsid w:val="00D105CF"/>
    <w:rsid w:val="00D12FCF"/>
    <w:rsid w:val="00D15562"/>
    <w:rsid w:val="00D16554"/>
    <w:rsid w:val="00D16ADD"/>
    <w:rsid w:val="00D225F5"/>
    <w:rsid w:val="00D228B5"/>
    <w:rsid w:val="00D26C15"/>
    <w:rsid w:val="00D27FAB"/>
    <w:rsid w:val="00D32FCD"/>
    <w:rsid w:val="00D33FFA"/>
    <w:rsid w:val="00D34162"/>
    <w:rsid w:val="00D35F48"/>
    <w:rsid w:val="00D3604C"/>
    <w:rsid w:val="00D361C5"/>
    <w:rsid w:val="00D40278"/>
    <w:rsid w:val="00D40D0C"/>
    <w:rsid w:val="00D42D50"/>
    <w:rsid w:val="00D454EA"/>
    <w:rsid w:val="00D51AF1"/>
    <w:rsid w:val="00D54FB5"/>
    <w:rsid w:val="00D5500A"/>
    <w:rsid w:val="00D555B9"/>
    <w:rsid w:val="00D736CC"/>
    <w:rsid w:val="00D75BC9"/>
    <w:rsid w:val="00D80BA5"/>
    <w:rsid w:val="00D82765"/>
    <w:rsid w:val="00D8470D"/>
    <w:rsid w:val="00D90561"/>
    <w:rsid w:val="00D90B2B"/>
    <w:rsid w:val="00D910D5"/>
    <w:rsid w:val="00D9355A"/>
    <w:rsid w:val="00D94311"/>
    <w:rsid w:val="00DA77D9"/>
    <w:rsid w:val="00DA7B41"/>
    <w:rsid w:val="00DB458B"/>
    <w:rsid w:val="00DB4A79"/>
    <w:rsid w:val="00DC3F04"/>
    <w:rsid w:val="00DC6457"/>
    <w:rsid w:val="00DD052D"/>
    <w:rsid w:val="00DD4245"/>
    <w:rsid w:val="00DD784F"/>
    <w:rsid w:val="00DE0A17"/>
    <w:rsid w:val="00DE1601"/>
    <w:rsid w:val="00DE2035"/>
    <w:rsid w:val="00DE2B23"/>
    <w:rsid w:val="00DE59CE"/>
    <w:rsid w:val="00DE61BC"/>
    <w:rsid w:val="00DF14F6"/>
    <w:rsid w:val="00DF15E4"/>
    <w:rsid w:val="00DF1D31"/>
    <w:rsid w:val="00DF2596"/>
    <w:rsid w:val="00DF3826"/>
    <w:rsid w:val="00DF3989"/>
    <w:rsid w:val="00DF3F67"/>
    <w:rsid w:val="00DF4655"/>
    <w:rsid w:val="00DF7A91"/>
    <w:rsid w:val="00E0211D"/>
    <w:rsid w:val="00E03D89"/>
    <w:rsid w:val="00E0438F"/>
    <w:rsid w:val="00E0765C"/>
    <w:rsid w:val="00E076BB"/>
    <w:rsid w:val="00E07DFC"/>
    <w:rsid w:val="00E110E2"/>
    <w:rsid w:val="00E11661"/>
    <w:rsid w:val="00E127A1"/>
    <w:rsid w:val="00E148C0"/>
    <w:rsid w:val="00E1643E"/>
    <w:rsid w:val="00E17175"/>
    <w:rsid w:val="00E1721C"/>
    <w:rsid w:val="00E174D5"/>
    <w:rsid w:val="00E17635"/>
    <w:rsid w:val="00E2119C"/>
    <w:rsid w:val="00E23CEC"/>
    <w:rsid w:val="00E25EED"/>
    <w:rsid w:val="00E3230F"/>
    <w:rsid w:val="00E3314B"/>
    <w:rsid w:val="00E3437A"/>
    <w:rsid w:val="00E34FAA"/>
    <w:rsid w:val="00E35F7E"/>
    <w:rsid w:val="00E376D8"/>
    <w:rsid w:val="00E37E79"/>
    <w:rsid w:val="00E42232"/>
    <w:rsid w:val="00E43D8C"/>
    <w:rsid w:val="00E4660F"/>
    <w:rsid w:val="00E51D83"/>
    <w:rsid w:val="00E55BC9"/>
    <w:rsid w:val="00E55D3D"/>
    <w:rsid w:val="00E609F6"/>
    <w:rsid w:val="00E62A3F"/>
    <w:rsid w:val="00E632D4"/>
    <w:rsid w:val="00E63CCB"/>
    <w:rsid w:val="00E661C5"/>
    <w:rsid w:val="00E67164"/>
    <w:rsid w:val="00E6723B"/>
    <w:rsid w:val="00E76205"/>
    <w:rsid w:val="00E77A47"/>
    <w:rsid w:val="00E802D0"/>
    <w:rsid w:val="00E807F4"/>
    <w:rsid w:val="00E825F0"/>
    <w:rsid w:val="00E85194"/>
    <w:rsid w:val="00E90752"/>
    <w:rsid w:val="00E90847"/>
    <w:rsid w:val="00E918C7"/>
    <w:rsid w:val="00E93BE5"/>
    <w:rsid w:val="00E96A87"/>
    <w:rsid w:val="00E9715B"/>
    <w:rsid w:val="00EA2CEC"/>
    <w:rsid w:val="00EA39C8"/>
    <w:rsid w:val="00EA5424"/>
    <w:rsid w:val="00EB02E1"/>
    <w:rsid w:val="00EB467C"/>
    <w:rsid w:val="00EB5588"/>
    <w:rsid w:val="00EB7939"/>
    <w:rsid w:val="00EC2F44"/>
    <w:rsid w:val="00EC3312"/>
    <w:rsid w:val="00EC47C2"/>
    <w:rsid w:val="00ED0598"/>
    <w:rsid w:val="00EE4099"/>
    <w:rsid w:val="00EE4604"/>
    <w:rsid w:val="00EE7001"/>
    <w:rsid w:val="00EF5365"/>
    <w:rsid w:val="00EF684C"/>
    <w:rsid w:val="00EF79B6"/>
    <w:rsid w:val="00F0102A"/>
    <w:rsid w:val="00F03185"/>
    <w:rsid w:val="00F07C34"/>
    <w:rsid w:val="00F15374"/>
    <w:rsid w:val="00F1573B"/>
    <w:rsid w:val="00F224C7"/>
    <w:rsid w:val="00F25123"/>
    <w:rsid w:val="00F26BA2"/>
    <w:rsid w:val="00F27979"/>
    <w:rsid w:val="00F3096A"/>
    <w:rsid w:val="00F313A6"/>
    <w:rsid w:val="00F314D5"/>
    <w:rsid w:val="00F31BC3"/>
    <w:rsid w:val="00F3350A"/>
    <w:rsid w:val="00F34045"/>
    <w:rsid w:val="00F34137"/>
    <w:rsid w:val="00F3489F"/>
    <w:rsid w:val="00F404CC"/>
    <w:rsid w:val="00F44B6C"/>
    <w:rsid w:val="00F462C9"/>
    <w:rsid w:val="00F50558"/>
    <w:rsid w:val="00F50D65"/>
    <w:rsid w:val="00F518B9"/>
    <w:rsid w:val="00F527DB"/>
    <w:rsid w:val="00F52EDC"/>
    <w:rsid w:val="00F53629"/>
    <w:rsid w:val="00F5375E"/>
    <w:rsid w:val="00F566EA"/>
    <w:rsid w:val="00F64D9B"/>
    <w:rsid w:val="00F67B2E"/>
    <w:rsid w:val="00F73819"/>
    <w:rsid w:val="00F741CC"/>
    <w:rsid w:val="00F80B68"/>
    <w:rsid w:val="00F82153"/>
    <w:rsid w:val="00F8498F"/>
    <w:rsid w:val="00F8602C"/>
    <w:rsid w:val="00F96218"/>
    <w:rsid w:val="00FA1084"/>
    <w:rsid w:val="00FB016C"/>
    <w:rsid w:val="00FC209E"/>
    <w:rsid w:val="00FC7B46"/>
    <w:rsid w:val="00FC7F36"/>
    <w:rsid w:val="00FD096D"/>
    <w:rsid w:val="00FD0C6E"/>
    <w:rsid w:val="00FD4D9F"/>
    <w:rsid w:val="00FD5417"/>
    <w:rsid w:val="00FE1FD2"/>
    <w:rsid w:val="00FE3752"/>
    <w:rsid w:val="00FE4498"/>
    <w:rsid w:val="00FE4DAA"/>
    <w:rsid w:val="00FF2039"/>
    <w:rsid w:val="00FF2ABB"/>
    <w:rsid w:val="00FF3E00"/>
    <w:rsid w:val="00FF4EA2"/>
    <w:rsid w:val="00FF68E8"/>
    <w:rsid w:val="04CF2334"/>
    <w:rsid w:val="0D9E67E5"/>
    <w:rsid w:val="10400038"/>
    <w:rsid w:val="13D77899"/>
    <w:rsid w:val="14737E41"/>
    <w:rsid w:val="15BF7216"/>
    <w:rsid w:val="17765D1D"/>
    <w:rsid w:val="1A921469"/>
    <w:rsid w:val="1F816734"/>
    <w:rsid w:val="20AD5DCF"/>
    <w:rsid w:val="29496ECC"/>
    <w:rsid w:val="2AFB6893"/>
    <w:rsid w:val="313A7D8F"/>
    <w:rsid w:val="315D72E7"/>
    <w:rsid w:val="332500F7"/>
    <w:rsid w:val="38776936"/>
    <w:rsid w:val="38F90322"/>
    <w:rsid w:val="3A983AC9"/>
    <w:rsid w:val="3AE14E16"/>
    <w:rsid w:val="3BE900CE"/>
    <w:rsid w:val="3CB77CCB"/>
    <w:rsid w:val="408F75E4"/>
    <w:rsid w:val="413B3F95"/>
    <w:rsid w:val="41CB0000"/>
    <w:rsid w:val="426C0BA3"/>
    <w:rsid w:val="480851A7"/>
    <w:rsid w:val="4A175981"/>
    <w:rsid w:val="4A792BC1"/>
    <w:rsid w:val="4B946370"/>
    <w:rsid w:val="4D405AC9"/>
    <w:rsid w:val="4E7C0583"/>
    <w:rsid w:val="5AE738B1"/>
    <w:rsid w:val="5DF15D97"/>
    <w:rsid w:val="5F381946"/>
    <w:rsid w:val="6423657F"/>
    <w:rsid w:val="66C95231"/>
    <w:rsid w:val="69ED6D6F"/>
    <w:rsid w:val="6A01700D"/>
    <w:rsid w:val="6DAA5E0A"/>
    <w:rsid w:val="6DF442A2"/>
    <w:rsid w:val="6FC5111D"/>
    <w:rsid w:val="78BE2B08"/>
    <w:rsid w:val="7ECE43D1"/>
    <w:rsid w:val="7FE43061"/>
    <w:rsid w:val="FEFC51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nhideWhenUsed="0" w:uiPriority="0"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qFormat="1" w:unhideWhenUsed="0" w:uiPriority="0" w:semiHidden="0"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1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67"/>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111"/>
    <w:qFormat/>
    <w:uiPriority w:val="9"/>
    <w:pPr>
      <w:keepNext/>
      <w:keepLines/>
      <w:spacing w:line="560" w:lineRule="exact"/>
      <w:ind w:left="200" w:leftChars="200"/>
      <w:outlineLvl w:val="2"/>
    </w:pPr>
    <w:rPr>
      <w:rFonts w:ascii="Times New Roman" w:hAnsi="Times New Roman" w:eastAsia="方正仿宋简体"/>
      <w:bCs/>
      <w:sz w:val="28"/>
      <w:szCs w:val="32"/>
    </w:rPr>
  </w:style>
  <w:style w:type="paragraph" w:styleId="5">
    <w:name w:val="heading 4"/>
    <w:basedOn w:val="1"/>
    <w:next w:val="1"/>
    <w:link w:val="131"/>
    <w:qFormat/>
    <w:uiPriority w:val="0"/>
    <w:pPr>
      <w:keepNext/>
      <w:keepLines/>
      <w:spacing w:before="280" w:after="290" w:line="376" w:lineRule="auto"/>
      <w:outlineLvl w:val="3"/>
    </w:pPr>
    <w:rPr>
      <w:rFonts w:ascii="Cambria" w:hAnsi="Cambria"/>
      <w:b/>
      <w:bCs/>
      <w:sz w:val="28"/>
      <w:szCs w:val="28"/>
    </w:rPr>
  </w:style>
  <w:style w:type="paragraph" w:styleId="6">
    <w:name w:val="heading 5"/>
    <w:next w:val="1"/>
    <w:link w:val="94"/>
    <w:qFormat/>
    <w:uiPriority w:val="0"/>
    <w:pPr>
      <w:spacing w:before="240" w:after="120"/>
      <w:outlineLvl w:val="4"/>
    </w:pPr>
    <w:rPr>
      <w:rFonts w:ascii="Arial" w:hAnsi="Arial" w:eastAsia="黑体" w:cs="Times New Roman"/>
      <w:b/>
      <w:color w:val="92D400"/>
      <w:kern w:val="2"/>
      <w:sz w:val="24"/>
      <w:lang w:val="en-US" w:eastAsia="zh-CN" w:bidi="ar-SA"/>
    </w:rPr>
  </w:style>
  <w:style w:type="paragraph" w:styleId="7">
    <w:name w:val="heading 6"/>
    <w:next w:val="1"/>
    <w:link w:val="149"/>
    <w:qFormat/>
    <w:uiPriority w:val="0"/>
    <w:pPr>
      <w:spacing w:before="240" w:after="120"/>
      <w:outlineLvl w:val="5"/>
    </w:pPr>
    <w:rPr>
      <w:rFonts w:ascii="Arial" w:hAnsi="Arial" w:eastAsia="黑体" w:cs="Times New Roman"/>
      <w:b/>
      <w:color w:val="72C7E7"/>
      <w:kern w:val="2"/>
      <w:sz w:val="24"/>
      <w:lang w:val="en-US" w:eastAsia="zh-CN" w:bidi="ar-SA"/>
    </w:rPr>
  </w:style>
  <w:style w:type="paragraph" w:styleId="8">
    <w:name w:val="heading 7"/>
    <w:next w:val="1"/>
    <w:link w:val="104"/>
    <w:qFormat/>
    <w:uiPriority w:val="0"/>
    <w:pPr>
      <w:spacing w:before="240" w:after="120"/>
      <w:outlineLvl w:val="6"/>
    </w:pPr>
    <w:rPr>
      <w:rFonts w:ascii="Arial" w:hAnsi="Arial" w:eastAsia="黑体" w:cs="Times New Roman"/>
      <w:b/>
      <w:color w:val="C9DD03"/>
      <w:kern w:val="2"/>
      <w:sz w:val="24"/>
      <w:lang w:val="en-US" w:eastAsia="zh-CN" w:bidi="ar-SA"/>
    </w:rPr>
  </w:style>
  <w:style w:type="paragraph" w:styleId="9">
    <w:name w:val="heading 8"/>
    <w:next w:val="1"/>
    <w:link w:val="72"/>
    <w:qFormat/>
    <w:uiPriority w:val="0"/>
    <w:pPr>
      <w:spacing w:before="240" w:after="120"/>
      <w:outlineLvl w:val="7"/>
    </w:pPr>
    <w:rPr>
      <w:rFonts w:ascii="Arial" w:hAnsi="Arial" w:eastAsia="黑体" w:cs="Times New Roman"/>
      <w:b/>
      <w:i/>
      <w:kern w:val="2"/>
      <w:sz w:val="24"/>
      <w:lang w:val="en-US" w:eastAsia="zh-CN" w:bidi="ar-SA"/>
    </w:rPr>
  </w:style>
  <w:style w:type="paragraph" w:styleId="10">
    <w:name w:val="heading 9"/>
    <w:next w:val="1"/>
    <w:link w:val="66"/>
    <w:qFormat/>
    <w:uiPriority w:val="0"/>
    <w:pPr>
      <w:spacing w:before="240" w:after="120"/>
      <w:outlineLvl w:val="8"/>
    </w:pPr>
    <w:rPr>
      <w:rFonts w:ascii="Arial" w:hAnsi="Arial" w:eastAsia="黑体" w:cs="Times New Roman"/>
      <w:i/>
      <w:kern w:val="2"/>
      <w:sz w:val="24"/>
      <w:lang w:val="en-US" w:eastAsia="zh-CN" w:bidi="ar-SA"/>
    </w:rPr>
  </w:style>
  <w:style w:type="character" w:default="1" w:styleId="58">
    <w:name w:val="Default Paragraph Font"/>
    <w:semiHidden/>
    <w:unhideWhenUsed/>
    <w:qFormat/>
    <w:uiPriority w:val="1"/>
  </w:style>
  <w:style w:type="table" w:default="1" w:styleId="5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050"/>
      <w:jc w:val="left"/>
    </w:pPr>
    <w:rPr>
      <w:rFonts w:cs="Calibri"/>
      <w:sz w:val="20"/>
      <w:szCs w:val="20"/>
    </w:rPr>
  </w:style>
  <w:style w:type="paragraph" w:styleId="12">
    <w:name w:val="List Number 2"/>
    <w:basedOn w:val="1"/>
    <w:qFormat/>
    <w:uiPriority w:val="0"/>
    <w:pPr>
      <w:tabs>
        <w:tab w:val="left" w:pos="780"/>
        <w:tab w:val="left" w:pos="1200"/>
      </w:tabs>
      <w:ind w:left="780" w:leftChars="200" w:hanging="360" w:hangingChars="200"/>
    </w:pPr>
    <w:rPr>
      <w:rFonts w:ascii="Times New Roman" w:hAnsi="Times New Roman"/>
      <w:sz w:val="24"/>
      <w:szCs w:val="20"/>
    </w:rPr>
  </w:style>
  <w:style w:type="paragraph" w:styleId="13">
    <w:name w:val="Note Heading"/>
    <w:basedOn w:val="1"/>
    <w:next w:val="1"/>
    <w:link w:val="127"/>
    <w:qFormat/>
    <w:uiPriority w:val="0"/>
    <w:pPr>
      <w:jc w:val="center"/>
    </w:pPr>
    <w:rPr>
      <w:kern w:val="0"/>
      <w:sz w:val="20"/>
      <w:szCs w:val="20"/>
    </w:rPr>
  </w:style>
  <w:style w:type="paragraph" w:styleId="14">
    <w:name w:val="List Bullet 4"/>
    <w:basedOn w:val="1"/>
    <w:qFormat/>
    <w:uiPriority w:val="0"/>
    <w:pPr>
      <w:tabs>
        <w:tab w:val="left" w:pos="720"/>
        <w:tab w:val="left" w:pos="1620"/>
      </w:tabs>
      <w:ind w:left="1620" w:leftChars="600" w:hanging="720"/>
    </w:pPr>
    <w:rPr>
      <w:rFonts w:ascii="Times New Roman" w:hAnsi="Times New Roman"/>
      <w:sz w:val="24"/>
      <w:szCs w:val="20"/>
    </w:rPr>
  </w:style>
  <w:style w:type="paragraph" w:styleId="15">
    <w:name w:val="List Number"/>
    <w:basedOn w:val="1"/>
    <w:qFormat/>
    <w:uiPriority w:val="0"/>
    <w:pPr>
      <w:tabs>
        <w:tab w:val="left" w:pos="360"/>
      </w:tabs>
      <w:ind w:left="360" w:hanging="360"/>
    </w:pPr>
    <w:rPr>
      <w:rFonts w:ascii="Times New Roman" w:hAnsi="Times New Roman"/>
      <w:sz w:val="24"/>
      <w:szCs w:val="20"/>
    </w:rPr>
  </w:style>
  <w:style w:type="paragraph" w:styleId="16">
    <w:name w:val="Normal Indent"/>
    <w:basedOn w:val="1"/>
    <w:qFormat/>
    <w:uiPriority w:val="0"/>
    <w:pPr>
      <w:ind w:firstLine="420"/>
    </w:pPr>
    <w:rPr>
      <w:rFonts w:ascii="Times New Roman" w:hAnsi="Times New Roman"/>
      <w:szCs w:val="20"/>
    </w:rPr>
  </w:style>
  <w:style w:type="paragraph" w:styleId="17">
    <w:name w:val="caption"/>
    <w:basedOn w:val="1"/>
    <w:next w:val="1"/>
    <w:qFormat/>
    <w:uiPriority w:val="0"/>
    <w:pPr>
      <w:widowControl/>
      <w:jc w:val="left"/>
    </w:pPr>
    <w:rPr>
      <w:rFonts w:ascii="Arial" w:hAnsi="Arial"/>
      <w:b/>
      <w:kern w:val="0"/>
      <w:sz w:val="16"/>
      <w:szCs w:val="20"/>
    </w:rPr>
  </w:style>
  <w:style w:type="paragraph" w:styleId="18">
    <w:name w:val="List Bullet"/>
    <w:basedOn w:val="1"/>
    <w:qFormat/>
    <w:uiPriority w:val="0"/>
    <w:pPr>
      <w:tabs>
        <w:tab w:val="left" w:pos="360"/>
        <w:tab w:val="left" w:pos="780"/>
      </w:tabs>
      <w:ind w:left="360" w:leftChars="200" w:hanging="360" w:hangingChars="200"/>
    </w:pPr>
    <w:rPr>
      <w:rFonts w:ascii="Times New Roman" w:hAnsi="Times New Roman"/>
      <w:sz w:val="24"/>
      <w:szCs w:val="20"/>
    </w:rPr>
  </w:style>
  <w:style w:type="paragraph" w:styleId="19">
    <w:name w:val="Document Map"/>
    <w:basedOn w:val="1"/>
    <w:link w:val="85"/>
    <w:qFormat/>
    <w:uiPriority w:val="0"/>
    <w:rPr>
      <w:rFonts w:ascii="宋体"/>
      <w:kern w:val="0"/>
      <w:sz w:val="18"/>
      <w:szCs w:val="20"/>
    </w:rPr>
  </w:style>
  <w:style w:type="paragraph" w:styleId="20">
    <w:name w:val="toa heading"/>
    <w:basedOn w:val="1"/>
    <w:next w:val="1"/>
    <w:qFormat/>
    <w:uiPriority w:val="0"/>
    <w:pPr>
      <w:spacing w:before="120"/>
    </w:pPr>
    <w:rPr>
      <w:rFonts w:ascii="Arial" w:hAnsi="Arial"/>
      <w:b/>
      <w:sz w:val="24"/>
      <w:szCs w:val="20"/>
    </w:rPr>
  </w:style>
  <w:style w:type="paragraph" w:styleId="21">
    <w:name w:val="annotation text"/>
    <w:basedOn w:val="1"/>
    <w:link w:val="155"/>
    <w:unhideWhenUsed/>
    <w:qFormat/>
    <w:uiPriority w:val="99"/>
    <w:pPr>
      <w:jc w:val="left"/>
    </w:pPr>
  </w:style>
  <w:style w:type="paragraph" w:styleId="22">
    <w:name w:val="Salutation"/>
    <w:basedOn w:val="1"/>
    <w:next w:val="1"/>
    <w:link w:val="126"/>
    <w:qFormat/>
    <w:uiPriority w:val="0"/>
    <w:rPr>
      <w:kern w:val="0"/>
      <w:sz w:val="20"/>
      <w:szCs w:val="20"/>
    </w:rPr>
  </w:style>
  <w:style w:type="paragraph" w:styleId="23">
    <w:name w:val="List Bullet 3"/>
    <w:basedOn w:val="1"/>
    <w:qFormat/>
    <w:uiPriority w:val="0"/>
    <w:pPr>
      <w:tabs>
        <w:tab w:val="left" w:pos="1200"/>
        <w:tab w:val="left" w:pos="1620"/>
      </w:tabs>
      <w:ind w:left="1200" w:leftChars="400" w:hanging="360" w:hangingChars="200"/>
    </w:pPr>
    <w:rPr>
      <w:rFonts w:ascii="Times New Roman" w:hAnsi="Times New Roman"/>
      <w:sz w:val="24"/>
      <w:szCs w:val="20"/>
    </w:rPr>
  </w:style>
  <w:style w:type="paragraph" w:styleId="24">
    <w:name w:val="Body Text"/>
    <w:basedOn w:val="1"/>
    <w:link w:val="154"/>
    <w:qFormat/>
    <w:uiPriority w:val="0"/>
    <w:pPr>
      <w:spacing w:after="120"/>
    </w:pPr>
    <w:rPr>
      <w:rFonts w:ascii="Times New Roman" w:hAnsi="Times New Roman"/>
      <w:sz w:val="24"/>
      <w:szCs w:val="20"/>
    </w:rPr>
  </w:style>
  <w:style w:type="paragraph" w:styleId="25">
    <w:name w:val="Body Text Indent"/>
    <w:basedOn w:val="1"/>
    <w:link w:val="115"/>
    <w:qFormat/>
    <w:uiPriority w:val="0"/>
    <w:pPr>
      <w:spacing w:after="120"/>
      <w:ind w:left="420" w:leftChars="200"/>
    </w:pPr>
    <w:rPr>
      <w:rFonts w:ascii="Times New Roman" w:hAnsi="Times New Roman"/>
      <w:sz w:val="24"/>
      <w:szCs w:val="20"/>
    </w:rPr>
  </w:style>
  <w:style w:type="paragraph" w:styleId="26">
    <w:name w:val="List Number 3"/>
    <w:basedOn w:val="1"/>
    <w:qFormat/>
    <w:uiPriority w:val="0"/>
    <w:pPr>
      <w:tabs>
        <w:tab w:val="left" w:pos="1200"/>
        <w:tab w:val="left" w:pos="1620"/>
      </w:tabs>
      <w:ind w:left="1200" w:leftChars="400" w:hanging="360" w:hangingChars="200"/>
    </w:pPr>
    <w:rPr>
      <w:rFonts w:ascii="Times New Roman" w:hAnsi="Times New Roman"/>
      <w:sz w:val="24"/>
      <w:szCs w:val="20"/>
    </w:rPr>
  </w:style>
  <w:style w:type="paragraph" w:styleId="27">
    <w:name w:val="Block Text"/>
    <w:basedOn w:val="1"/>
    <w:qFormat/>
    <w:uiPriority w:val="0"/>
    <w:pPr>
      <w:spacing w:after="120"/>
      <w:ind w:left="1440" w:leftChars="700" w:right="700" w:rightChars="700"/>
    </w:pPr>
    <w:rPr>
      <w:rFonts w:ascii="Times New Roman" w:hAnsi="Times New Roman"/>
      <w:sz w:val="24"/>
      <w:szCs w:val="20"/>
    </w:rPr>
  </w:style>
  <w:style w:type="paragraph" w:styleId="28">
    <w:name w:val="List Bullet 2"/>
    <w:basedOn w:val="1"/>
    <w:qFormat/>
    <w:uiPriority w:val="0"/>
    <w:pPr>
      <w:tabs>
        <w:tab w:val="left" w:pos="780"/>
        <w:tab w:val="left" w:pos="1200"/>
      </w:tabs>
      <w:ind w:left="780" w:leftChars="200" w:hanging="360" w:hangingChars="200"/>
    </w:pPr>
    <w:rPr>
      <w:rFonts w:ascii="Times New Roman" w:hAnsi="Times New Roman"/>
      <w:sz w:val="24"/>
      <w:szCs w:val="20"/>
    </w:rPr>
  </w:style>
  <w:style w:type="paragraph" w:styleId="29">
    <w:name w:val="toc 5"/>
    <w:basedOn w:val="1"/>
    <w:next w:val="1"/>
    <w:qFormat/>
    <w:uiPriority w:val="39"/>
    <w:pPr>
      <w:ind w:left="630"/>
      <w:jc w:val="left"/>
    </w:pPr>
    <w:rPr>
      <w:rFonts w:cs="Calibri"/>
      <w:sz w:val="20"/>
      <w:szCs w:val="20"/>
    </w:rPr>
  </w:style>
  <w:style w:type="paragraph" w:styleId="30">
    <w:name w:val="toc 3"/>
    <w:basedOn w:val="1"/>
    <w:next w:val="1"/>
    <w:qFormat/>
    <w:uiPriority w:val="39"/>
    <w:pPr>
      <w:tabs>
        <w:tab w:val="right" w:leader="dot" w:pos="8302"/>
      </w:tabs>
      <w:spacing w:before="62" w:beforeLines="20" w:line="320" w:lineRule="exact"/>
      <w:ind w:left="210"/>
      <w:jc w:val="left"/>
    </w:pPr>
    <w:rPr>
      <w:rFonts w:ascii="宋体" w:hAnsi="宋体" w:cs="Calibri"/>
      <w:b/>
      <w:color w:val="0033CC"/>
      <w:sz w:val="20"/>
      <w:szCs w:val="20"/>
    </w:rPr>
  </w:style>
  <w:style w:type="paragraph" w:styleId="31">
    <w:name w:val="Plain Text"/>
    <w:basedOn w:val="1"/>
    <w:link w:val="142"/>
    <w:qFormat/>
    <w:uiPriority w:val="0"/>
    <w:rPr>
      <w:rFonts w:ascii="宋体" w:hAnsi="Courier New" w:cs="Courier New"/>
      <w:sz w:val="24"/>
      <w:szCs w:val="21"/>
    </w:rPr>
  </w:style>
  <w:style w:type="paragraph" w:styleId="32">
    <w:name w:val="List Bullet 5"/>
    <w:basedOn w:val="1"/>
    <w:qFormat/>
    <w:uiPriority w:val="0"/>
    <w:pPr>
      <w:tabs>
        <w:tab w:val="left" w:pos="2040"/>
      </w:tabs>
      <w:ind w:left="2040" w:leftChars="800" w:hanging="360" w:hangingChars="200"/>
    </w:pPr>
    <w:rPr>
      <w:rFonts w:ascii="Times New Roman" w:hAnsi="Times New Roman"/>
      <w:sz w:val="24"/>
      <w:szCs w:val="20"/>
    </w:rPr>
  </w:style>
  <w:style w:type="paragraph" w:styleId="33">
    <w:name w:val="List Number 4"/>
    <w:basedOn w:val="1"/>
    <w:qFormat/>
    <w:uiPriority w:val="0"/>
    <w:pPr>
      <w:tabs>
        <w:tab w:val="left" w:pos="1620"/>
        <w:tab w:val="left" w:pos="2040"/>
      </w:tabs>
      <w:ind w:left="1620" w:leftChars="600" w:hanging="360" w:hangingChars="200"/>
    </w:pPr>
    <w:rPr>
      <w:rFonts w:ascii="Times New Roman" w:hAnsi="Times New Roman"/>
      <w:sz w:val="24"/>
      <w:szCs w:val="20"/>
    </w:rPr>
  </w:style>
  <w:style w:type="paragraph" w:styleId="34">
    <w:name w:val="toc 8"/>
    <w:basedOn w:val="1"/>
    <w:next w:val="1"/>
    <w:qFormat/>
    <w:uiPriority w:val="39"/>
    <w:pPr>
      <w:ind w:left="1260"/>
      <w:jc w:val="left"/>
    </w:pPr>
    <w:rPr>
      <w:rFonts w:cs="Calibri"/>
      <w:sz w:val="20"/>
      <w:szCs w:val="20"/>
    </w:rPr>
  </w:style>
  <w:style w:type="paragraph" w:styleId="35">
    <w:name w:val="Date"/>
    <w:basedOn w:val="1"/>
    <w:next w:val="1"/>
    <w:link w:val="135"/>
    <w:qFormat/>
    <w:uiPriority w:val="0"/>
    <w:rPr>
      <w:rFonts w:ascii="Times New Roman" w:hAnsi="Times New Roman"/>
      <w:sz w:val="28"/>
      <w:szCs w:val="20"/>
    </w:rPr>
  </w:style>
  <w:style w:type="paragraph" w:styleId="36">
    <w:name w:val="Body Text Indent 2"/>
    <w:basedOn w:val="1"/>
    <w:link w:val="105"/>
    <w:qFormat/>
    <w:uiPriority w:val="0"/>
    <w:pPr>
      <w:ind w:firstLine="538" w:firstLineChars="192"/>
    </w:pPr>
    <w:rPr>
      <w:rFonts w:ascii="Times New Roman" w:hAnsi="Times New Roman"/>
      <w:sz w:val="28"/>
      <w:szCs w:val="24"/>
    </w:rPr>
  </w:style>
  <w:style w:type="paragraph" w:styleId="37">
    <w:name w:val="endnote text"/>
    <w:basedOn w:val="1"/>
    <w:link w:val="120"/>
    <w:semiHidden/>
    <w:qFormat/>
    <w:uiPriority w:val="0"/>
    <w:pPr>
      <w:snapToGrid w:val="0"/>
      <w:jc w:val="left"/>
    </w:pPr>
    <w:rPr>
      <w:rFonts w:ascii="宋体" w:hAnsi="宋体"/>
      <w:sz w:val="28"/>
      <w:szCs w:val="24"/>
    </w:rPr>
  </w:style>
  <w:style w:type="paragraph" w:styleId="38">
    <w:name w:val="Balloon Text"/>
    <w:basedOn w:val="1"/>
    <w:link w:val="79"/>
    <w:unhideWhenUsed/>
    <w:qFormat/>
    <w:uiPriority w:val="0"/>
    <w:rPr>
      <w:sz w:val="18"/>
      <w:szCs w:val="18"/>
    </w:rPr>
  </w:style>
  <w:style w:type="paragraph" w:styleId="39">
    <w:name w:val="footer"/>
    <w:basedOn w:val="1"/>
    <w:link w:val="147"/>
    <w:unhideWhenUsed/>
    <w:qFormat/>
    <w:uiPriority w:val="0"/>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sz w:val="24"/>
      <w:szCs w:val="20"/>
    </w:rPr>
  </w:style>
  <w:style w:type="paragraph" w:styleId="41">
    <w:name w:val="header"/>
    <w:basedOn w:val="1"/>
    <w:link w:val="150"/>
    <w:unhideWhenUsed/>
    <w:qFormat/>
    <w:uiPriority w:val="0"/>
    <w:pPr>
      <w:pBdr>
        <w:bottom w:val="single" w:color="auto" w:sz="6" w:space="1"/>
      </w:pBdr>
      <w:tabs>
        <w:tab w:val="center" w:pos="4153"/>
        <w:tab w:val="right" w:pos="8306"/>
      </w:tabs>
      <w:snapToGrid w:val="0"/>
      <w:jc w:val="center"/>
    </w:pPr>
    <w:rPr>
      <w:sz w:val="18"/>
      <w:szCs w:val="18"/>
    </w:rPr>
  </w:style>
  <w:style w:type="paragraph" w:styleId="42">
    <w:name w:val="toc 1"/>
    <w:basedOn w:val="1"/>
    <w:next w:val="1"/>
    <w:unhideWhenUsed/>
    <w:qFormat/>
    <w:uiPriority w:val="39"/>
    <w:pPr>
      <w:tabs>
        <w:tab w:val="right" w:leader="dot" w:pos="8296"/>
      </w:tabs>
      <w:spacing w:line="560" w:lineRule="exact"/>
    </w:pPr>
  </w:style>
  <w:style w:type="paragraph" w:styleId="43">
    <w:name w:val="toc 4"/>
    <w:basedOn w:val="1"/>
    <w:next w:val="1"/>
    <w:qFormat/>
    <w:uiPriority w:val="39"/>
    <w:pPr>
      <w:ind w:left="420"/>
      <w:jc w:val="left"/>
    </w:pPr>
    <w:rPr>
      <w:rFonts w:cs="Calibri"/>
      <w:sz w:val="20"/>
      <w:szCs w:val="20"/>
    </w:rPr>
  </w:style>
  <w:style w:type="paragraph" w:styleId="44">
    <w:name w:val="Subtitle"/>
    <w:basedOn w:val="45"/>
    <w:next w:val="1"/>
    <w:link w:val="113"/>
    <w:qFormat/>
    <w:uiPriority w:val="0"/>
    <w:pPr>
      <w:widowControl/>
      <w:spacing w:before="0" w:after="1200"/>
      <w:jc w:val="left"/>
      <w:outlineLvl w:val="9"/>
    </w:pPr>
    <w:rPr>
      <w:rFonts w:ascii="Calibri" w:hAnsi="Calibri" w:eastAsia="黑体"/>
      <w:b w:val="0"/>
      <w:color w:val="92D400"/>
      <w:sz w:val="72"/>
    </w:rPr>
  </w:style>
  <w:style w:type="paragraph" w:styleId="45">
    <w:name w:val="Title"/>
    <w:basedOn w:val="1"/>
    <w:link w:val="109"/>
    <w:qFormat/>
    <w:uiPriority w:val="0"/>
    <w:pPr>
      <w:spacing w:before="240" w:after="60"/>
      <w:jc w:val="center"/>
      <w:outlineLvl w:val="0"/>
    </w:pPr>
    <w:rPr>
      <w:rFonts w:ascii="Arial" w:hAnsi="Arial"/>
      <w:b/>
      <w:kern w:val="0"/>
      <w:sz w:val="32"/>
      <w:szCs w:val="20"/>
    </w:rPr>
  </w:style>
  <w:style w:type="paragraph" w:styleId="46">
    <w:name w:val="List Number 5"/>
    <w:basedOn w:val="1"/>
    <w:qFormat/>
    <w:uiPriority w:val="0"/>
    <w:pPr>
      <w:tabs>
        <w:tab w:val="left" w:pos="1200"/>
        <w:tab w:val="left" w:pos="2040"/>
      </w:tabs>
      <w:ind w:left="2040" w:leftChars="800" w:hanging="360" w:hangingChars="200"/>
    </w:pPr>
    <w:rPr>
      <w:rFonts w:ascii="Times New Roman" w:hAnsi="Times New Roman"/>
      <w:sz w:val="24"/>
      <w:szCs w:val="20"/>
    </w:rPr>
  </w:style>
  <w:style w:type="paragraph" w:styleId="47">
    <w:name w:val="List"/>
    <w:basedOn w:val="1"/>
    <w:qFormat/>
    <w:uiPriority w:val="0"/>
    <w:pPr>
      <w:ind w:left="200" w:hanging="200" w:hangingChars="200"/>
    </w:pPr>
    <w:rPr>
      <w:rFonts w:ascii="Times New Roman" w:hAnsi="Times New Roman"/>
      <w:sz w:val="24"/>
      <w:szCs w:val="20"/>
    </w:rPr>
  </w:style>
  <w:style w:type="paragraph" w:styleId="48">
    <w:name w:val="footnote text"/>
    <w:basedOn w:val="1"/>
    <w:link w:val="152"/>
    <w:qFormat/>
    <w:uiPriority w:val="0"/>
    <w:pPr>
      <w:snapToGrid w:val="0"/>
      <w:jc w:val="left"/>
    </w:pPr>
    <w:rPr>
      <w:rFonts w:ascii="Times New Roman" w:hAnsi="Times New Roman"/>
      <w:sz w:val="18"/>
      <w:szCs w:val="18"/>
    </w:rPr>
  </w:style>
  <w:style w:type="paragraph" w:styleId="49">
    <w:name w:val="toc 6"/>
    <w:basedOn w:val="1"/>
    <w:next w:val="1"/>
    <w:qFormat/>
    <w:uiPriority w:val="39"/>
    <w:pPr>
      <w:ind w:left="840"/>
      <w:jc w:val="left"/>
    </w:pPr>
    <w:rPr>
      <w:rFonts w:cs="Calibri"/>
      <w:sz w:val="20"/>
      <w:szCs w:val="20"/>
    </w:rPr>
  </w:style>
  <w:style w:type="paragraph" w:styleId="50">
    <w:name w:val="Body Text Indent 3"/>
    <w:basedOn w:val="1"/>
    <w:link w:val="136"/>
    <w:qFormat/>
    <w:uiPriority w:val="0"/>
    <w:pPr>
      <w:spacing w:after="120"/>
      <w:ind w:left="420" w:leftChars="200"/>
    </w:pPr>
    <w:rPr>
      <w:rFonts w:ascii="Times New Roman" w:hAnsi="Times New Roman"/>
      <w:sz w:val="16"/>
      <w:szCs w:val="16"/>
    </w:rPr>
  </w:style>
  <w:style w:type="paragraph" w:styleId="51">
    <w:name w:val="toc 2"/>
    <w:basedOn w:val="1"/>
    <w:next w:val="1"/>
    <w:unhideWhenUsed/>
    <w:qFormat/>
    <w:uiPriority w:val="39"/>
    <w:pPr>
      <w:ind w:left="420" w:leftChars="200"/>
    </w:pPr>
  </w:style>
  <w:style w:type="paragraph" w:styleId="52">
    <w:name w:val="toc 9"/>
    <w:basedOn w:val="1"/>
    <w:next w:val="1"/>
    <w:qFormat/>
    <w:uiPriority w:val="39"/>
    <w:pPr>
      <w:ind w:left="1470"/>
      <w:jc w:val="left"/>
    </w:pPr>
    <w:rPr>
      <w:rFonts w:cs="Calibri"/>
      <w:sz w:val="20"/>
      <w:szCs w:val="20"/>
    </w:rPr>
  </w:style>
  <w:style w:type="paragraph" w:styleId="53">
    <w:name w:val="HTML Preformatted"/>
    <w:basedOn w:val="1"/>
    <w:link w:val="1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54">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55">
    <w:name w:val="annotation subject"/>
    <w:basedOn w:val="21"/>
    <w:next w:val="21"/>
    <w:link w:val="123"/>
    <w:unhideWhenUsed/>
    <w:qFormat/>
    <w:uiPriority w:val="0"/>
    <w:rPr>
      <w:b/>
      <w:bCs/>
    </w:rPr>
  </w:style>
  <w:style w:type="table" w:styleId="57">
    <w:name w:val="Table Grid"/>
    <w:basedOn w:val="5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9">
    <w:name w:val="Strong"/>
    <w:qFormat/>
    <w:uiPriority w:val="22"/>
    <w:rPr>
      <w:b/>
      <w:bCs/>
    </w:rPr>
  </w:style>
  <w:style w:type="character" w:styleId="60">
    <w:name w:val="endnote reference"/>
    <w:unhideWhenUsed/>
    <w:qFormat/>
    <w:uiPriority w:val="99"/>
    <w:rPr>
      <w:vertAlign w:val="superscript"/>
    </w:rPr>
  </w:style>
  <w:style w:type="character" w:styleId="61">
    <w:name w:val="page number"/>
    <w:qFormat/>
    <w:uiPriority w:val="0"/>
  </w:style>
  <w:style w:type="character" w:styleId="62">
    <w:name w:val="FollowedHyperlink"/>
    <w:qFormat/>
    <w:uiPriority w:val="0"/>
    <w:rPr>
      <w:rFonts w:eastAsia="宋体"/>
      <w:color w:val="800080"/>
      <w:kern w:val="2"/>
      <w:sz w:val="24"/>
      <w:u w:val="single"/>
      <w:lang w:val="en-US" w:eastAsia="zh-CN"/>
    </w:rPr>
  </w:style>
  <w:style w:type="character" w:styleId="63">
    <w:name w:val="Hyperlink"/>
    <w:unhideWhenUsed/>
    <w:qFormat/>
    <w:uiPriority w:val="99"/>
    <w:rPr>
      <w:color w:val="0000FF"/>
      <w:u w:val="single"/>
    </w:rPr>
  </w:style>
  <w:style w:type="character" w:styleId="64">
    <w:name w:val="annotation reference"/>
    <w:unhideWhenUsed/>
    <w:qFormat/>
    <w:uiPriority w:val="99"/>
    <w:rPr>
      <w:sz w:val="21"/>
      <w:szCs w:val="21"/>
    </w:rPr>
  </w:style>
  <w:style w:type="character" w:styleId="65">
    <w:name w:val="footnote reference"/>
    <w:qFormat/>
    <w:uiPriority w:val="0"/>
    <w:rPr>
      <w:vertAlign w:val="superscript"/>
    </w:rPr>
  </w:style>
  <w:style w:type="character" w:customStyle="1" w:styleId="66">
    <w:name w:val="标题 9 Char"/>
    <w:link w:val="10"/>
    <w:qFormat/>
    <w:uiPriority w:val="0"/>
    <w:rPr>
      <w:rFonts w:ascii="Arial" w:hAnsi="Arial" w:eastAsia="黑体"/>
      <w:i/>
      <w:kern w:val="2"/>
      <w:sz w:val="24"/>
    </w:rPr>
  </w:style>
  <w:style w:type="character" w:customStyle="1" w:styleId="67">
    <w:name w:val="页脚 Char1"/>
    <w:qFormat/>
    <w:uiPriority w:val="0"/>
    <w:rPr>
      <w:rFonts w:hint="eastAsia" w:ascii="宋体" w:hAnsi="宋体" w:eastAsia="宋体"/>
      <w:kern w:val="2"/>
      <w:sz w:val="18"/>
      <w:lang w:val="en-US" w:eastAsia="zh-CN"/>
    </w:rPr>
  </w:style>
  <w:style w:type="character" w:customStyle="1" w:styleId="68">
    <w:name w:val="称呼 Char3"/>
    <w:semiHidden/>
    <w:qFormat/>
    <w:uiPriority w:val="99"/>
  </w:style>
  <w:style w:type="character" w:customStyle="1" w:styleId="69">
    <w:name w:val="正文的样式 Char"/>
    <w:link w:val="70"/>
    <w:qFormat/>
    <w:uiPriority w:val="0"/>
    <w:rPr>
      <w:rFonts w:ascii="Times New Roman" w:hAnsi="Times New Roman"/>
      <w:kern w:val="2"/>
    </w:rPr>
  </w:style>
  <w:style w:type="paragraph" w:customStyle="1" w:styleId="70">
    <w:name w:val="正文的样式"/>
    <w:basedOn w:val="1"/>
    <w:link w:val="69"/>
    <w:qFormat/>
    <w:uiPriority w:val="0"/>
    <w:pPr>
      <w:spacing w:before="100" w:after="100"/>
    </w:pPr>
    <w:rPr>
      <w:rFonts w:ascii="Times New Roman" w:hAnsi="Times New Roman"/>
      <w:sz w:val="20"/>
      <w:szCs w:val="20"/>
    </w:rPr>
  </w:style>
  <w:style w:type="character" w:customStyle="1" w:styleId="71">
    <w:name w:val="标题 Char3"/>
    <w:qFormat/>
    <w:uiPriority w:val="0"/>
    <w:rPr>
      <w:rFonts w:ascii="Cambria" w:hAnsi="Cambria" w:cs="Times New Roman"/>
      <w:b/>
      <w:bCs/>
      <w:kern w:val="2"/>
      <w:sz w:val="32"/>
      <w:szCs w:val="32"/>
    </w:rPr>
  </w:style>
  <w:style w:type="character" w:customStyle="1" w:styleId="72">
    <w:name w:val="标题 8 Char"/>
    <w:link w:val="9"/>
    <w:qFormat/>
    <w:uiPriority w:val="0"/>
    <w:rPr>
      <w:rFonts w:ascii="Arial" w:hAnsi="Arial" w:eastAsia="黑体"/>
      <w:b/>
      <w:i/>
      <w:kern w:val="2"/>
      <w:sz w:val="24"/>
    </w:rPr>
  </w:style>
  <w:style w:type="character" w:customStyle="1" w:styleId="73">
    <w:name w:val="style_kwd1"/>
    <w:qFormat/>
    <w:uiPriority w:val="0"/>
    <w:rPr>
      <w:shd w:val="clear" w:color="auto" w:fill="FFFFA6"/>
    </w:rPr>
  </w:style>
  <w:style w:type="character" w:customStyle="1" w:styleId="74">
    <w:name w:val="文档结构图 Char1"/>
    <w:qFormat/>
    <w:uiPriority w:val="0"/>
    <w:rPr>
      <w:rFonts w:hint="eastAsia" w:ascii="宋体" w:hAnsi="宋体" w:eastAsia="宋体"/>
      <w:kern w:val="2"/>
      <w:sz w:val="18"/>
      <w:lang w:val="en-US" w:eastAsia="zh-CN"/>
    </w:rPr>
  </w:style>
  <w:style w:type="character" w:customStyle="1" w:styleId="75">
    <w:name w:val="正文文本 Char2"/>
    <w:qFormat/>
    <w:uiPriority w:val="0"/>
    <w:rPr>
      <w:kern w:val="2"/>
      <w:sz w:val="21"/>
    </w:rPr>
  </w:style>
  <w:style w:type="character" w:customStyle="1" w:styleId="76">
    <w:name w:val="副标题 Char2"/>
    <w:qFormat/>
    <w:uiPriority w:val="0"/>
    <w:rPr>
      <w:rFonts w:ascii="Cambria" w:hAnsi="Cambria" w:cs="Times New Roman"/>
      <w:b/>
      <w:bCs/>
      <w:kern w:val="28"/>
      <w:sz w:val="32"/>
      <w:szCs w:val="32"/>
    </w:rPr>
  </w:style>
  <w:style w:type="character" w:customStyle="1" w:styleId="77">
    <w:name w:val="指南标题2 Char"/>
    <w:link w:val="78"/>
    <w:qFormat/>
    <w:uiPriority w:val="0"/>
    <w:rPr>
      <w:rFonts w:ascii="Times New Roman" w:hAnsi="Times New Roman" w:eastAsia="方正仿宋简体"/>
      <w:kern w:val="2"/>
      <w:sz w:val="28"/>
    </w:rPr>
  </w:style>
  <w:style w:type="paragraph" w:customStyle="1" w:styleId="78">
    <w:name w:val="指南标题2"/>
    <w:basedOn w:val="1"/>
    <w:link w:val="77"/>
    <w:qFormat/>
    <w:uiPriority w:val="0"/>
    <w:pPr>
      <w:autoSpaceDE w:val="0"/>
      <w:autoSpaceDN w:val="0"/>
      <w:adjustRightInd w:val="0"/>
      <w:spacing w:line="560" w:lineRule="exact"/>
      <w:ind w:firstLine="560" w:firstLineChars="200"/>
    </w:pPr>
    <w:rPr>
      <w:rFonts w:ascii="Times New Roman" w:hAnsi="Times New Roman" w:eastAsia="方正仿宋简体"/>
      <w:sz w:val="28"/>
      <w:szCs w:val="20"/>
    </w:rPr>
  </w:style>
  <w:style w:type="character" w:customStyle="1" w:styleId="79">
    <w:name w:val="批注框文本 Char"/>
    <w:link w:val="38"/>
    <w:qFormat/>
    <w:uiPriority w:val="0"/>
    <w:rPr>
      <w:sz w:val="18"/>
      <w:szCs w:val="18"/>
    </w:rPr>
  </w:style>
  <w:style w:type="character" w:customStyle="1" w:styleId="80">
    <w:name w:val="正文文本 Char1"/>
    <w:qFormat/>
    <w:uiPriority w:val="0"/>
    <w:rPr>
      <w:rFonts w:hint="eastAsia" w:ascii="宋体" w:hAnsi="宋体" w:eastAsia="宋体"/>
      <w:kern w:val="2"/>
      <w:sz w:val="21"/>
      <w:lang w:val="en-US" w:eastAsia="zh-CN"/>
    </w:rPr>
  </w:style>
  <w:style w:type="character" w:customStyle="1" w:styleId="81">
    <w:name w:val="正文文本 Char3"/>
    <w:semiHidden/>
    <w:qFormat/>
    <w:uiPriority w:val="99"/>
  </w:style>
  <w:style w:type="character" w:customStyle="1" w:styleId="82">
    <w:name w:val="称呼 Char1"/>
    <w:qFormat/>
    <w:uiPriority w:val="0"/>
    <w:rPr>
      <w:rFonts w:hint="eastAsia" w:ascii="宋体" w:hAnsi="宋体" w:eastAsia="宋体"/>
      <w:kern w:val="2"/>
      <w:sz w:val="21"/>
      <w:lang w:val="en-US" w:eastAsia="zh-CN"/>
    </w:rPr>
  </w:style>
  <w:style w:type="character" w:customStyle="1" w:styleId="83">
    <w:name w:val="页眉 Char2"/>
    <w:semiHidden/>
    <w:qFormat/>
    <w:uiPriority w:val="99"/>
    <w:rPr>
      <w:sz w:val="18"/>
      <w:szCs w:val="18"/>
    </w:rPr>
  </w:style>
  <w:style w:type="character" w:customStyle="1" w:styleId="84">
    <w:name w:val="title3"/>
    <w:qFormat/>
    <w:uiPriority w:val="0"/>
  </w:style>
  <w:style w:type="character" w:customStyle="1" w:styleId="85">
    <w:name w:val="文档结构图 Char"/>
    <w:link w:val="19"/>
    <w:qFormat/>
    <w:uiPriority w:val="0"/>
    <w:rPr>
      <w:rFonts w:ascii="宋体"/>
      <w:sz w:val="18"/>
    </w:rPr>
  </w:style>
  <w:style w:type="character" w:customStyle="1" w:styleId="86">
    <w:name w:val="批注文字 Char1"/>
    <w:qFormat/>
    <w:uiPriority w:val="0"/>
    <w:rPr>
      <w:rFonts w:eastAsia="宋体"/>
      <w:kern w:val="2"/>
      <w:sz w:val="21"/>
      <w:lang w:val="en-US" w:eastAsia="zh-CN"/>
    </w:rPr>
  </w:style>
  <w:style w:type="character" w:customStyle="1" w:styleId="87">
    <w:name w:val="title31"/>
    <w:qFormat/>
    <w:uiPriority w:val="0"/>
    <w:rPr>
      <w:b/>
      <w:bCs/>
      <w:sz w:val="21"/>
      <w:szCs w:val="21"/>
    </w:rPr>
  </w:style>
  <w:style w:type="character" w:customStyle="1" w:styleId="88">
    <w:name w:val="纯文本 Char1"/>
    <w:qFormat/>
    <w:uiPriority w:val="0"/>
    <w:rPr>
      <w:rFonts w:hint="eastAsia" w:ascii="宋体" w:hAnsi="Courier New" w:eastAsia="宋体"/>
      <w:kern w:val="2"/>
      <w:sz w:val="21"/>
      <w:lang w:val="en-US" w:eastAsia="zh-CN"/>
    </w:rPr>
  </w:style>
  <w:style w:type="character" w:customStyle="1" w:styleId="89">
    <w:name w:val="批注主题 Char1"/>
    <w:qFormat/>
    <w:uiPriority w:val="0"/>
    <w:rPr>
      <w:rFonts w:eastAsia="宋体"/>
      <w:b/>
      <w:kern w:val="2"/>
      <w:sz w:val="21"/>
      <w:lang w:val="en-US" w:eastAsia="zh-CN"/>
    </w:rPr>
  </w:style>
  <w:style w:type="character" w:customStyle="1" w:styleId="90">
    <w:name w:val="注释标题 Char3"/>
    <w:semiHidden/>
    <w:qFormat/>
    <w:uiPriority w:val="99"/>
  </w:style>
  <w:style w:type="character" w:customStyle="1" w:styleId="91">
    <w:name w:val="HTML 预设格式 Char1"/>
    <w:semiHidden/>
    <w:qFormat/>
    <w:uiPriority w:val="99"/>
    <w:rPr>
      <w:rFonts w:ascii="Courier New" w:hAnsi="Courier New" w:cs="Courier New"/>
      <w:sz w:val="20"/>
      <w:szCs w:val="20"/>
    </w:rPr>
  </w:style>
  <w:style w:type="character" w:customStyle="1" w:styleId="92">
    <w:name w:val="notnullcss1"/>
    <w:qFormat/>
    <w:uiPriority w:val="0"/>
    <w:rPr>
      <w:rFonts w:eastAsia="宋体"/>
      <w:color w:val="FF0000"/>
      <w:kern w:val="2"/>
      <w:sz w:val="24"/>
      <w:lang w:val="en-US" w:eastAsia="zh-CN"/>
    </w:rPr>
  </w:style>
  <w:style w:type="character" w:customStyle="1" w:styleId="93">
    <w:name w:val="文档结构图 Char2"/>
    <w:qFormat/>
    <w:uiPriority w:val="0"/>
    <w:rPr>
      <w:rFonts w:ascii="宋体"/>
      <w:kern w:val="2"/>
      <w:sz w:val="18"/>
      <w:szCs w:val="18"/>
    </w:rPr>
  </w:style>
  <w:style w:type="character" w:customStyle="1" w:styleId="94">
    <w:name w:val="标题 5 Char"/>
    <w:link w:val="6"/>
    <w:qFormat/>
    <w:uiPriority w:val="0"/>
    <w:rPr>
      <w:rFonts w:ascii="Arial" w:hAnsi="Arial" w:eastAsia="黑体"/>
      <w:b/>
      <w:color w:val="92D400"/>
      <w:kern w:val="2"/>
      <w:sz w:val="24"/>
    </w:rPr>
  </w:style>
  <w:style w:type="character" w:customStyle="1" w:styleId="95">
    <w:name w:val="标题 3 Char1"/>
    <w:qFormat/>
    <w:uiPriority w:val="0"/>
    <w:rPr>
      <w:rFonts w:eastAsia="宋体"/>
      <w:b/>
      <w:kern w:val="2"/>
      <w:sz w:val="32"/>
      <w:lang w:val="en-US" w:eastAsia="zh-CN"/>
    </w:rPr>
  </w:style>
  <w:style w:type="character" w:customStyle="1" w:styleId="96">
    <w:name w:val="正文文本缩进 2 Char1"/>
    <w:semiHidden/>
    <w:qFormat/>
    <w:uiPriority w:val="99"/>
  </w:style>
  <w:style w:type="character" w:customStyle="1" w:styleId="97">
    <w:name w:val="批注主题 Char2"/>
    <w:semiHidden/>
    <w:qFormat/>
    <w:uiPriority w:val="99"/>
    <w:rPr>
      <w:b/>
      <w:bCs/>
    </w:rPr>
  </w:style>
  <w:style w:type="character" w:customStyle="1" w:styleId="98">
    <w:name w:val="批注框文本 Char1"/>
    <w:qFormat/>
    <w:uiPriority w:val="0"/>
    <w:rPr>
      <w:rFonts w:hint="eastAsia" w:ascii="宋体" w:hAnsi="宋体" w:eastAsia="宋体"/>
      <w:kern w:val="2"/>
      <w:sz w:val="18"/>
      <w:lang w:val="en-US" w:eastAsia="zh-CN"/>
    </w:rPr>
  </w:style>
  <w:style w:type="character" w:customStyle="1" w:styleId="99">
    <w:name w:val="明显引用 Char"/>
    <w:link w:val="100"/>
    <w:qFormat/>
    <w:uiPriority w:val="0"/>
    <w:rPr>
      <w:rFonts w:eastAsia="黑体"/>
      <w:color w:val="3C8A2E"/>
      <w:sz w:val="32"/>
    </w:rPr>
  </w:style>
  <w:style w:type="paragraph" w:styleId="100">
    <w:name w:val="Intense Quote"/>
    <w:basedOn w:val="101"/>
    <w:link w:val="99"/>
    <w:qFormat/>
    <w:uiPriority w:val="0"/>
    <w:rPr>
      <w:color w:val="3C8A2E"/>
    </w:rPr>
  </w:style>
  <w:style w:type="paragraph" w:styleId="101">
    <w:name w:val="Quote"/>
    <w:link w:val="139"/>
    <w:qFormat/>
    <w:uiPriority w:val="0"/>
    <w:pPr>
      <w:spacing w:before="360" w:after="360"/>
    </w:pPr>
    <w:rPr>
      <w:rFonts w:ascii="Calibri" w:hAnsi="Calibri" w:eastAsia="黑体" w:cs="Times New Roman"/>
      <w:color w:val="00A1DE"/>
      <w:sz w:val="32"/>
      <w:lang w:val="en-US" w:eastAsia="zh-CN" w:bidi="ar-SA"/>
    </w:rPr>
  </w:style>
  <w:style w:type="character" w:customStyle="1" w:styleId="102">
    <w:name w:val="标题 Char1"/>
    <w:qFormat/>
    <w:uiPriority w:val="10"/>
    <w:rPr>
      <w:rFonts w:ascii="Cambria" w:hAnsi="Cambria" w:cs="Times New Roman"/>
      <w:b/>
      <w:bCs/>
      <w:kern w:val="2"/>
      <w:sz w:val="32"/>
      <w:szCs w:val="32"/>
    </w:rPr>
  </w:style>
  <w:style w:type="character" w:customStyle="1" w:styleId="103">
    <w:name w:val="注释标题 Char1"/>
    <w:qFormat/>
    <w:uiPriority w:val="0"/>
    <w:rPr>
      <w:rFonts w:hint="eastAsia" w:ascii="宋体" w:hAnsi="宋体" w:eastAsia="宋体"/>
      <w:kern w:val="2"/>
      <w:sz w:val="21"/>
      <w:lang w:val="en-US" w:eastAsia="zh-CN"/>
    </w:rPr>
  </w:style>
  <w:style w:type="character" w:customStyle="1" w:styleId="104">
    <w:name w:val="标题 7 Char"/>
    <w:link w:val="8"/>
    <w:qFormat/>
    <w:uiPriority w:val="0"/>
    <w:rPr>
      <w:rFonts w:ascii="Arial" w:hAnsi="Arial" w:eastAsia="黑体"/>
      <w:b/>
      <w:color w:val="C9DD03"/>
      <w:kern w:val="2"/>
      <w:sz w:val="24"/>
    </w:rPr>
  </w:style>
  <w:style w:type="character" w:customStyle="1" w:styleId="105">
    <w:name w:val="正文文本缩进 2 Char"/>
    <w:link w:val="36"/>
    <w:qFormat/>
    <w:uiPriority w:val="0"/>
    <w:rPr>
      <w:rFonts w:ascii="Times New Roman" w:hAnsi="Times New Roman" w:eastAsia="宋体" w:cs="Times New Roman"/>
      <w:sz w:val="28"/>
      <w:szCs w:val="24"/>
    </w:rPr>
  </w:style>
  <w:style w:type="character" w:customStyle="1" w:styleId="106">
    <w:name w:val="ng-binding"/>
    <w:qFormat/>
    <w:uiPriority w:val="0"/>
  </w:style>
  <w:style w:type="character" w:customStyle="1" w:styleId="107">
    <w:name w:val="指南标题1 Char"/>
    <w:link w:val="108"/>
    <w:qFormat/>
    <w:uiPriority w:val="0"/>
    <w:rPr>
      <w:rFonts w:ascii="Times New Roman" w:hAnsi="Times New Roman" w:eastAsia="方正仿宋简体"/>
      <w:b/>
      <w:kern w:val="2"/>
      <w:sz w:val="30"/>
      <w:szCs w:val="30"/>
    </w:rPr>
  </w:style>
  <w:style w:type="paragraph" w:customStyle="1" w:styleId="108">
    <w:name w:val="指南标题1"/>
    <w:basedOn w:val="1"/>
    <w:link w:val="107"/>
    <w:qFormat/>
    <w:uiPriority w:val="0"/>
    <w:pPr>
      <w:spacing w:line="560" w:lineRule="exact"/>
      <w:ind w:firstLine="602" w:firstLineChars="200"/>
      <w:jc w:val="left"/>
    </w:pPr>
    <w:rPr>
      <w:rFonts w:ascii="Times New Roman" w:hAnsi="Times New Roman" w:eastAsia="方正仿宋简体"/>
      <w:b/>
      <w:sz w:val="30"/>
      <w:szCs w:val="30"/>
    </w:rPr>
  </w:style>
  <w:style w:type="character" w:customStyle="1" w:styleId="109">
    <w:name w:val="标题 Char"/>
    <w:link w:val="45"/>
    <w:qFormat/>
    <w:uiPriority w:val="0"/>
    <w:rPr>
      <w:rFonts w:ascii="Arial" w:hAnsi="Arial"/>
      <w:b/>
      <w:sz w:val="32"/>
    </w:rPr>
  </w:style>
  <w:style w:type="character" w:customStyle="1" w:styleId="110">
    <w:name w:val="明显引用 Char3"/>
    <w:qFormat/>
    <w:uiPriority w:val="30"/>
    <w:rPr>
      <w:b/>
      <w:bCs/>
      <w:i/>
      <w:iCs/>
      <w:color w:val="4F81BD"/>
    </w:rPr>
  </w:style>
  <w:style w:type="character" w:customStyle="1" w:styleId="111">
    <w:name w:val="标题 3 Char"/>
    <w:link w:val="4"/>
    <w:qFormat/>
    <w:uiPriority w:val="9"/>
    <w:rPr>
      <w:rFonts w:ascii="Times New Roman" w:hAnsi="Times New Roman" w:eastAsia="方正仿宋简体"/>
      <w:bCs/>
      <w:kern w:val="2"/>
      <w:sz w:val="28"/>
      <w:szCs w:val="32"/>
    </w:rPr>
  </w:style>
  <w:style w:type="character" w:customStyle="1" w:styleId="112">
    <w:name w:val="副标题 Char3"/>
    <w:qFormat/>
    <w:uiPriority w:val="11"/>
    <w:rPr>
      <w:rFonts w:ascii="Cambria" w:hAnsi="Cambria" w:eastAsia="宋体" w:cs="Times New Roman"/>
      <w:b/>
      <w:bCs/>
      <w:kern w:val="28"/>
      <w:sz w:val="32"/>
      <w:szCs w:val="32"/>
    </w:rPr>
  </w:style>
  <w:style w:type="character" w:customStyle="1" w:styleId="113">
    <w:name w:val="副标题 Char"/>
    <w:link w:val="44"/>
    <w:qFormat/>
    <w:uiPriority w:val="0"/>
    <w:rPr>
      <w:rFonts w:eastAsia="黑体"/>
      <w:color w:val="92D400"/>
      <w:sz w:val="72"/>
    </w:rPr>
  </w:style>
  <w:style w:type="character" w:customStyle="1" w:styleId="114">
    <w:name w:val="引用 Char1"/>
    <w:qFormat/>
    <w:uiPriority w:val="0"/>
    <w:rPr>
      <w:rFonts w:hint="eastAsia" w:ascii="宋体" w:hAnsi="宋体" w:eastAsia="宋体"/>
      <w:i/>
      <w:color w:val="000000"/>
      <w:kern w:val="2"/>
      <w:sz w:val="21"/>
      <w:lang w:val="en-US" w:eastAsia="zh-CN"/>
    </w:rPr>
  </w:style>
  <w:style w:type="character" w:customStyle="1" w:styleId="115">
    <w:name w:val="正文文本缩进 Char"/>
    <w:link w:val="25"/>
    <w:qFormat/>
    <w:uiPriority w:val="0"/>
    <w:rPr>
      <w:rFonts w:ascii="Times New Roman" w:hAnsi="Times New Roman"/>
      <w:kern w:val="2"/>
      <w:sz w:val="24"/>
    </w:rPr>
  </w:style>
  <w:style w:type="character" w:customStyle="1" w:styleId="116">
    <w:name w:val="纯文本 Char2"/>
    <w:semiHidden/>
    <w:qFormat/>
    <w:uiPriority w:val="99"/>
    <w:rPr>
      <w:rFonts w:ascii="宋体" w:hAnsi="Courier New" w:eastAsia="宋体" w:cs="Courier New"/>
      <w:szCs w:val="21"/>
    </w:rPr>
  </w:style>
  <w:style w:type="character" w:customStyle="1" w:styleId="117">
    <w:name w:val="da"/>
    <w:qFormat/>
    <w:uiPriority w:val="0"/>
  </w:style>
  <w:style w:type="character" w:customStyle="1" w:styleId="118">
    <w:name w:val="标题 1 Char"/>
    <w:link w:val="2"/>
    <w:qFormat/>
    <w:uiPriority w:val="0"/>
    <w:rPr>
      <w:b/>
      <w:bCs/>
      <w:kern w:val="44"/>
      <w:sz w:val="44"/>
      <w:szCs w:val="44"/>
    </w:rPr>
  </w:style>
  <w:style w:type="character" w:customStyle="1" w:styleId="119">
    <w:name w:val="批注框文本 Char2"/>
    <w:semiHidden/>
    <w:qFormat/>
    <w:uiPriority w:val="99"/>
    <w:rPr>
      <w:sz w:val="18"/>
      <w:szCs w:val="18"/>
    </w:rPr>
  </w:style>
  <w:style w:type="character" w:customStyle="1" w:styleId="120">
    <w:name w:val="尾注文本 Char"/>
    <w:link w:val="37"/>
    <w:semiHidden/>
    <w:qFormat/>
    <w:uiPriority w:val="0"/>
    <w:rPr>
      <w:rFonts w:ascii="宋体" w:hAnsi="宋体"/>
      <w:kern w:val="2"/>
      <w:sz w:val="28"/>
      <w:szCs w:val="24"/>
    </w:rPr>
  </w:style>
  <w:style w:type="character" w:customStyle="1" w:styleId="121">
    <w:name w:val="正文文本缩进 3 Char1"/>
    <w:semiHidden/>
    <w:qFormat/>
    <w:uiPriority w:val="99"/>
    <w:rPr>
      <w:sz w:val="16"/>
      <w:szCs w:val="16"/>
    </w:rPr>
  </w:style>
  <w:style w:type="character" w:customStyle="1" w:styleId="122">
    <w:name w:val="脚注文本 Char2"/>
    <w:qFormat/>
    <w:uiPriority w:val="0"/>
    <w:rPr>
      <w:kern w:val="2"/>
      <w:sz w:val="18"/>
      <w:szCs w:val="18"/>
    </w:rPr>
  </w:style>
  <w:style w:type="character" w:customStyle="1" w:styleId="123">
    <w:name w:val="批注主题 Char"/>
    <w:link w:val="55"/>
    <w:qFormat/>
    <w:uiPriority w:val="0"/>
    <w:rPr>
      <w:b/>
      <w:bCs/>
    </w:rPr>
  </w:style>
  <w:style w:type="character" w:customStyle="1" w:styleId="124">
    <w:name w:val="正文文本缩进 Char1"/>
    <w:semiHidden/>
    <w:qFormat/>
    <w:uiPriority w:val="99"/>
  </w:style>
  <w:style w:type="character" w:customStyle="1" w:styleId="125">
    <w:name w:val="标题 Char2"/>
    <w:qFormat/>
    <w:uiPriority w:val="0"/>
    <w:rPr>
      <w:rFonts w:hint="default" w:ascii="Cambria" w:hAnsi="Cambria" w:eastAsia="宋体"/>
      <w:b/>
      <w:kern w:val="2"/>
      <w:sz w:val="32"/>
      <w:lang w:val="en-US" w:eastAsia="zh-CN"/>
    </w:rPr>
  </w:style>
  <w:style w:type="character" w:customStyle="1" w:styleId="126">
    <w:name w:val="称呼 Char"/>
    <w:link w:val="22"/>
    <w:qFormat/>
    <w:uiPriority w:val="0"/>
  </w:style>
  <w:style w:type="character" w:customStyle="1" w:styleId="127">
    <w:name w:val="注释标题 Char"/>
    <w:link w:val="13"/>
    <w:qFormat/>
    <w:uiPriority w:val="0"/>
  </w:style>
  <w:style w:type="character" w:customStyle="1" w:styleId="128">
    <w:name w:val="HTML 预设格式 Char"/>
    <w:link w:val="53"/>
    <w:qFormat/>
    <w:uiPriority w:val="0"/>
    <w:rPr>
      <w:rFonts w:ascii="宋体" w:hAnsi="宋体" w:cs="宋体"/>
      <w:sz w:val="24"/>
      <w:szCs w:val="24"/>
    </w:rPr>
  </w:style>
  <w:style w:type="character" w:customStyle="1" w:styleId="129">
    <w:name w:val="尾注文本 Char1"/>
    <w:semiHidden/>
    <w:qFormat/>
    <w:uiPriority w:val="99"/>
  </w:style>
  <w:style w:type="character" w:customStyle="1" w:styleId="130">
    <w:name w:val="副标题 Char1"/>
    <w:qFormat/>
    <w:uiPriority w:val="0"/>
    <w:rPr>
      <w:rFonts w:hint="default" w:ascii="Cambria" w:hAnsi="Cambria" w:eastAsia="宋体"/>
      <w:b/>
      <w:kern w:val="28"/>
      <w:sz w:val="32"/>
      <w:lang w:val="en-US" w:eastAsia="zh-CN"/>
    </w:rPr>
  </w:style>
  <w:style w:type="character" w:customStyle="1" w:styleId="131">
    <w:name w:val="标题 4 Char"/>
    <w:link w:val="5"/>
    <w:qFormat/>
    <w:uiPriority w:val="0"/>
    <w:rPr>
      <w:rFonts w:ascii="Cambria" w:hAnsi="Cambria"/>
      <w:b/>
      <w:bCs/>
      <w:kern w:val="2"/>
      <w:sz w:val="28"/>
      <w:szCs w:val="28"/>
    </w:rPr>
  </w:style>
  <w:style w:type="character" w:customStyle="1" w:styleId="132">
    <w:name w:val="标题 Char4"/>
    <w:qFormat/>
    <w:uiPriority w:val="10"/>
    <w:rPr>
      <w:rFonts w:ascii="Cambria" w:hAnsi="Cambria" w:eastAsia="宋体" w:cs="Times New Roman"/>
      <w:b/>
      <w:bCs/>
      <w:sz w:val="32"/>
      <w:szCs w:val="32"/>
    </w:rPr>
  </w:style>
  <w:style w:type="character" w:customStyle="1" w:styleId="133">
    <w:name w:val="日期 Char3"/>
    <w:semiHidden/>
    <w:qFormat/>
    <w:uiPriority w:val="99"/>
  </w:style>
  <w:style w:type="character" w:customStyle="1" w:styleId="134">
    <w:name w:val="da1"/>
    <w:qFormat/>
    <w:uiPriority w:val="0"/>
  </w:style>
  <w:style w:type="character" w:customStyle="1" w:styleId="135">
    <w:name w:val="日期 Char"/>
    <w:link w:val="35"/>
    <w:qFormat/>
    <w:uiPriority w:val="0"/>
    <w:rPr>
      <w:rFonts w:ascii="Times New Roman" w:hAnsi="Times New Roman"/>
      <w:kern w:val="2"/>
      <w:sz w:val="28"/>
    </w:rPr>
  </w:style>
  <w:style w:type="character" w:customStyle="1" w:styleId="136">
    <w:name w:val="正文文本缩进 3 Char"/>
    <w:link w:val="50"/>
    <w:qFormat/>
    <w:uiPriority w:val="0"/>
    <w:rPr>
      <w:rFonts w:ascii="Times New Roman" w:hAnsi="Times New Roman"/>
      <w:kern w:val="2"/>
      <w:sz w:val="16"/>
      <w:szCs w:val="16"/>
    </w:rPr>
  </w:style>
  <w:style w:type="character" w:customStyle="1" w:styleId="137">
    <w:name w:val="文档结构图 Char3"/>
    <w:semiHidden/>
    <w:qFormat/>
    <w:uiPriority w:val="99"/>
    <w:rPr>
      <w:rFonts w:ascii="宋体" w:eastAsia="宋体"/>
      <w:sz w:val="18"/>
      <w:szCs w:val="18"/>
    </w:rPr>
  </w:style>
  <w:style w:type="character" w:customStyle="1" w:styleId="138">
    <w:name w:val="日期 Char1"/>
    <w:qFormat/>
    <w:uiPriority w:val="0"/>
    <w:rPr>
      <w:rFonts w:hint="eastAsia" w:ascii="宋体" w:hAnsi="宋体" w:eastAsia="宋体"/>
      <w:kern w:val="2"/>
      <w:sz w:val="21"/>
      <w:lang w:val="en-US" w:eastAsia="zh-CN"/>
    </w:rPr>
  </w:style>
  <w:style w:type="character" w:customStyle="1" w:styleId="139">
    <w:name w:val="引用 Char"/>
    <w:link w:val="101"/>
    <w:qFormat/>
    <w:uiPriority w:val="0"/>
    <w:rPr>
      <w:rFonts w:eastAsia="黑体"/>
      <w:color w:val="00A1DE"/>
      <w:sz w:val="32"/>
    </w:rPr>
  </w:style>
  <w:style w:type="character" w:customStyle="1" w:styleId="140">
    <w:name w:val="span_"/>
    <w:qFormat/>
    <w:uiPriority w:val="0"/>
    <w:rPr>
      <w:rFonts w:eastAsia="宋体"/>
      <w:kern w:val="2"/>
      <w:sz w:val="24"/>
      <w:lang w:val="en-US" w:eastAsia="zh-CN"/>
    </w:rPr>
  </w:style>
  <w:style w:type="character" w:customStyle="1" w:styleId="141">
    <w:name w:val="称呼 Char2"/>
    <w:qFormat/>
    <w:uiPriority w:val="0"/>
    <w:rPr>
      <w:kern w:val="2"/>
      <w:sz w:val="21"/>
      <w:szCs w:val="22"/>
    </w:rPr>
  </w:style>
  <w:style w:type="character" w:customStyle="1" w:styleId="142">
    <w:name w:val="纯文本 Char"/>
    <w:link w:val="31"/>
    <w:qFormat/>
    <w:uiPriority w:val="0"/>
    <w:rPr>
      <w:rFonts w:ascii="宋体" w:hAnsi="Courier New" w:cs="Courier New"/>
      <w:kern w:val="2"/>
      <w:sz w:val="24"/>
      <w:szCs w:val="21"/>
    </w:rPr>
  </w:style>
  <w:style w:type="character" w:customStyle="1" w:styleId="143">
    <w:name w:val="style_kwd2"/>
    <w:qFormat/>
    <w:uiPriority w:val="0"/>
    <w:rPr>
      <w:shd w:val="clear" w:color="auto" w:fill="FFFFA6"/>
    </w:rPr>
  </w:style>
  <w:style w:type="character" w:customStyle="1" w:styleId="144">
    <w:name w:val="页眉 Char1"/>
    <w:qFormat/>
    <w:uiPriority w:val="0"/>
    <w:rPr>
      <w:rFonts w:hint="eastAsia" w:ascii="宋体" w:hAnsi="宋体" w:eastAsia="宋体"/>
      <w:kern w:val="2"/>
      <w:sz w:val="18"/>
      <w:lang w:val="en-US" w:eastAsia="zh-CN"/>
    </w:rPr>
  </w:style>
  <w:style w:type="character" w:customStyle="1" w:styleId="145">
    <w:name w:val="引用 Char2"/>
    <w:qFormat/>
    <w:uiPriority w:val="29"/>
    <w:rPr>
      <w:i/>
      <w:iCs/>
      <w:color w:val="000000"/>
      <w:kern w:val="2"/>
      <w:sz w:val="21"/>
      <w:szCs w:val="22"/>
    </w:rPr>
  </w:style>
  <w:style w:type="character" w:customStyle="1" w:styleId="146">
    <w:name w:val="cap"/>
    <w:qFormat/>
    <w:uiPriority w:val="0"/>
    <w:rPr>
      <w:rFonts w:eastAsia="宋体"/>
      <w:kern w:val="2"/>
      <w:sz w:val="24"/>
      <w:lang w:val="en-US" w:eastAsia="zh-CN"/>
    </w:rPr>
  </w:style>
  <w:style w:type="character" w:customStyle="1" w:styleId="147">
    <w:name w:val="页脚 Char"/>
    <w:link w:val="39"/>
    <w:qFormat/>
    <w:uiPriority w:val="99"/>
    <w:rPr>
      <w:sz w:val="18"/>
      <w:szCs w:val="18"/>
    </w:rPr>
  </w:style>
  <w:style w:type="character" w:customStyle="1" w:styleId="148">
    <w:name w:val="页脚 Char2"/>
    <w:semiHidden/>
    <w:qFormat/>
    <w:uiPriority w:val="99"/>
    <w:rPr>
      <w:sz w:val="18"/>
      <w:szCs w:val="18"/>
    </w:rPr>
  </w:style>
  <w:style w:type="character" w:customStyle="1" w:styleId="149">
    <w:name w:val="标题 6 Char"/>
    <w:link w:val="7"/>
    <w:qFormat/>
    <w:uiPriority w:val="0"/>
    <w:rPr>
      <w:rFonts w:ascii="Arial" w:hAnsi="Arial" w:eastAsia="黑体"/>
      <w:b/>
      <w:color w:val="72C7E7"/>
      <w:kern w:val="2"/>
      <w:sz w:val="24"/>
    </w:rPr>
  </w:style>
  <w:style w:type="character" w:customStyle="1" w:styleId="150">
    <w:name w:val="页眉 Char"/>
    <w:link w:val="41"/>
    <w:qFormat/>
    <w:uiPriority w:val="0"/>
    <w:rPr>
      <w:sz w:val="18"/>
      <w:szCs w:val="18"/>
    </w:rPr>
  </w:style>
  <w:style w:type="character" w:customStyle="1" w:styleId="151">
    <w:name w:val="read"/>
    <w:qFormat/>
    <w:uiPriority w:val="0"/>
  </w:style>
  <w:style w:type="character" w:customStyle="1" w:styleId="152">
    <w:name w:val="脚注文本 Char"/>
    <w:link w:val="48"/>
    <w:qFormat/>
    <w:uiPriority w:val="0"/>
    <w:rPr>
      <w:rFonts w:ascii="Times New Roman" w:hAnsi="Times New Roman"/>
      <w:kern w:val="2"/>
      <w:sz w:val="18"/>
      <w:szCs w:val="18"/>
    </w:rPr>
  </w:style>
  <w:style w:type="character" w:customStyle="1" w:styleId="153">
    <w:name w:val="脚注文本 Char1"/>
    <w:qFormat/>
    <w:uiPriority w:val="0"/>
    <w:rPr>
      <w:rFonts w:hint="eastAsia" w:ascii="宋体" w:hAnsi="宋体" w:eastAsia="宋体"/>
      <w:kern w:val="2"/>
      <w:sz w:val="18"/>
      <w:lang w:val="en-US" w:eastAsia="zh-CN"/>
    </w:rPr>
  </w:style>
  <w:style w:type="character" w:customStyle="1" w:styleId="154">
    <w:name w:val="正文文本 Char"/>
    <w:link w:val="24"/>
    <w:qFormat/>
    <w:uiPriority w:val="0"/>
    <w:rPr>
      <w:rFonts w:ascii="Times New Roman" w:hAnsi="Times New Roman"/>
      <w:kern w:val="2"/>
      <w:sz w:val="24"/>
    </w:rPr>
  </w:style>
  <w:style w:type="character" w:customStyle="1" w:styleId="155">
    <w:name w:val="批注文字 Char"/>
    <w:basedOn w:val="58"/>
    <w:link w:val="21"/>
    <w:qFormat/>
    <w:uiPriority w:val="99"/>
  </w:style>
  <w:style w:type="character" w:customStyle="1" w:styleId="156">
    <w:name w:val="脚注文本 Char3"/>
    <w:semiHidden/>
    <w:qFormat/>
    <w:uiPriority w:val="99"/>
    <w:rPr>
      <w:sz w:val="18"/>
      <w:szCs w:val="18"/>
    </w:rPr>
  </w:style>
  <w:style w:type="character" w:customStyle="1" w:styleId="157">
    <w:name w:val="批注文字 Char2"/>
    <w:semiHidden/>
    <w:qFormat/>
    <w:uiPriority w:val="99"/>
  </w:style>
  <w:style w:type="character" w:customStyle="1" w:styleId="158">
    <w:name w:val="引用 Char3"/>
    <w:qFormat/>
    <w:uiPriority w:val="29"/>
    <w:rPr>
      <w:i/>
      <w:iCs/>
      <w:color w:val="000000"/>
    </w:rPr>
  </w:style>
  <w:style w:type="character" w:customStyle="1" w:styleId="159">
    <w:name w:val="列出段落 Char"/>
    <w:link w:val="160"/>
    <w:qFormat/>
    <w:locked/>
    <w:uiPriority w:val="34"/>
    <w:rPr>
      <w:rFonts w:ascii="Times New Roman" w:hAnsi="Times New Roman"/>
      <w:kern w:val="2"/>
      <w:sz w:val="21"/>
    </w:rPr>
  </w:style>
  <w:style w:type="paragraph" w:styleId="160">
    <w:name w:val="List Paragraph"/>
    <w:basedOn w:val="1"/>
    <w:link w:val="159"/>
    <w:qFormat/>
    <w:uiPriority w:val="34"/>
    <w:pPr>
      <w:ind w:firstLine="420" w:firstLineChars="200"/>
    </w:pPr>
    <w:rPr>
      <w:rFonts w:ascii="Times New Roman" w:hAnsi="Times New Roman"/>
      <w:szCs w:val="20"/>
    </w:rPr>
  </w:style>
  <w:style w:type="character" w:customStyle="1" w:styleId="161">
    <w:name w:val="样式1 Char"/>
    <w:link w:val="162"/>
    <w:qFormat/>
    <w:uiPriority w:val="0"/>
    <w:rPr>
      <w:rFonts w:ascii="方正小标宋简体" w:hAnsi="仿宋" w:eastAsia="方正小标宋简体"/>
      <w:kern w:val="44"/>
      <w:sz w:val="44"/>
      <w:szCs w:val="44"/>
    </w:rPr>
  </w:style>
  <w:style w:type="paragraph" w:customStyle="1" w:styleId="162">
    <w:name w:val="样式1"/>
    <w:basedOn w:val="1"/>
    <w:link w:val="161"/>
    <w:qFormat/>
    <w:uiPriority w:val="0"/>
    <w:pPr>
      <w:keepNext/>
      <w:keepLines/>
      <w:spacing w:before="340" w:after="340" w:line="560" w:lineRule="exact"/>
      <w:ind w:firstLine="200" w:firstLineChars="200"/>
      <w:jc w:val="center"/>
      <w:outlineLvl w:val="2"/>
    </w:pPr>
    <w:rPr>
      <w:rFonts w:ascii="方正小标宋简体" w:hAnsi="仿宋" w:eastAsia="方正小标宋简体"/>
      <w:kern w:val="44"/>
      <w:sz w:val="44"/>
      <w:szCs w:val="44"/>
    </w:rPr>
  </w:style>
  <w:style w:type="character" w:customStyle="1" w:styleId="163">
    <w:name w:val="明显引用 Char1"/>
    <w:qFormat/>
    <w:uiPriority w:val="0"/>
    <w:rPr>
      <w:rFonts w:hint="eastAsia" w:ascii="宋体" w:hAnsi="宋体" w:eastAsia="宋体"/>
      <w:b/>
      <w:i/>
      <w:color w:val="4F81BD"/>
      <w:kern w:val="2"/>
      <w:sz w:val="21"/>
      <w:lang w:val="en-US" w:eastAsia="zh-CN"/>
    </w:rPr>
  </w:style>
  <w:style w:type="character" w:customStyle="1" w:styleId="164">
    <w:name w:val="明显引用 Char2"/>
    <w:qFormat/>
    <w:uiPriority w:val="30"/>
    <w:rPr>
      <w:b/>
      <w:bCs/>
      <w:i/>
      <w:iCs/>
      <w:color w:val="4F81BD"/>
      <w:kern w:val="2"/>
      <w:sz w:val="21"/>
      <w:szCs w:val="22"/>
    </w:rPr>
  </w:style>
  <w:style w:type="character" w:customStyle="1" w:styleId="165">
    <w:name w:val="注释标题 Char2"/>
    <w:qFormat/>
    <w:uiPriority w:val="0"/>
    <w:rPr>
      <w:kern w:val="2"/>
      <w:sz w:val="21"/>
      <w:szCs w:val="22"/>
    </w:rPr>
  </w:style>
  <w:style w:type="character" w:customStyle="1" w:styleId="166">
    <w:name w:val="Internet Link"/>
    <w:qFormat/>
    <w:uiPriority w:val="0"/>
    <w:rPr>
      <w:color w:val="000080"/>
      <w:u w:val="single"/>
    </w:rPr>
  </w:style>
  <w:style w:type="character" w:customStyle="1" w:styleId="167">
    <w:name w:val="标题 2 Char"/>
    <w:link w:val="3"/>
    <w:qFormat/>
    <w:uiPriority w:val="0"/>
    <w:rPr>
      <w:rFonts w:ascii="Cambria" w:hAnsi="Cambria" w:eastAsia="宋体" w:cs="Times New Roman"/>
      <w:b/>
      <w:bCs/>
      <w:sz w:val="32"/>
      <w:szCs w:val="32"/>
    </w:rPr>
  </w:style>
  <w:style w:type="character" w:customStyle="1" w:styleId="168">
    <w:name w:val="日期 Char2"/>
    <w:qFormat/>
    <w:uiPriority w:val="99"/>
    <w:rPr>
      <w:rFonts w:ascii="Times New Roman" w:hAnsi="Times New Roman" w:eastAsia="宋体" w:cs="Times New Roman"/>
      <w:sz w:val="24"/>
      <w:szCs w:val="20"/>
    </w:rPr>
  </w:style>
  <w:style w:type="paragraph" w:customStyle="1" w:styleId="169">
    <w:name w:val="write2"/>
    <w:basedOn w:val="1"/>
    <w:qFormat/>
    <w:uiPriority w:val="0"/>
    <w:pPr>
      <w:widowControl/>
      <w:tabs>
        <w:tab w:val="left" w:pos="709"/>
      </w:tabs>
      <w:overflowPunct w:val="0"/>
      <w:autoSpaceDE w:val="0"/>
      <w:autoSpaceDN w:val="0"/>
      <w:adjustRightInd w:val="0"/>
      <w:textAlignment w:val="baseline"/>
    </w:pPr>
    <w:rPr>
      <w:rFonts w:ascii="Helvetica-Narrow" w:hAnsi="Helvetica-Narrow"/>
      <w:kern w:val="0"/>
      <w:sz w:val="24"/>
      <w:szCs w:val="20"/>
      <w:lang w:val="en-AU"/>
    </w:rPr>
  </w:style>
  <w:style w:type="paragraph" w:customStyle="1" w:styleId="170">
    <w:name w:val="xl89"/>
    <w:basedOn w:val="1"/>
    <w:qFormat/>
    <w:uiPriority w:val="0"/>
    <w:pPr>
      <w:widowControl/>
      <w:pBdr>
        <w:left w:val="single" w:color="auto" w:sz="8" w:space="0"/>
        <w:bottom w:val="single" w:color="auto" w:sz="8" w:space="0"/>
      </w:pBdr>
      <w:spacing w:before="100" w:beforeAutospacing="1" w:after="100" w:afterAutospacing="1"/>
      <w:jc w:val="center"/>
      <w:textAlignment w:val="center"/>
    </w:pPr>
    <w:rPr>
      <w:rFonts w:cs="Calibri"/>
      <w:color w:val="000000"/>
      <w:kern w:val="0"/>
      <w:sz w:val="24"/>
      <w:szCs w:val="24"/>
    </w:rPr>
  </w:style>
  <w:style w:type="paragraph" w:customStyle="1" w:styleId="171">
    <w:name w:val="xl8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cs="Calibri"/>
      <w:color w:val="000000"/>
      <w:kern w:val="0"/>
      <w:sz w:val="24"/>
      <w:szCs w:val="24"/>
    </w:rPr>
  </w:style>
  <w:style w:type="paragraph" w:customStyle="1" w:styleId="172">
    <w:name w:val="xl75"/>
    <w:basedOn w:val="1"/>
    <w:qFormat/>
    <w:uiPriority w:val="0"/>
    <w:pPr>
      <w:widowControl/>
      <w:pBdr>
        <w:top w:val="single" w:color="auto" w:sz="4" w:space="0"/>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73">
    <w:name w:val="Char Char Char Char Char Char1 Char Char Char2"/>
    <w:basedOn w:val="1"/>
    <w:qFormat/>
    <w:uiPriority w:val="99"/>
    <w:pPr>
      <w:autoSpaceDE w:val="0"/>
      <w:autoSpaceDN w:val="0"/>
      <w:adjustRightInd w:val="0"/>
      <w:jc w:val="left"/>
      <w:textAlignment w:val="baseline"/>
    </w:pPr>
    <w:rPr>
      <w:rFonts w:ascii="Times New Roman" w:hAnsi="Times New Roman" w:eastAsia="方正仿宋简体"/>
      <w:sz w:val="32"/>
      <w:szCs w:val="20"/>
    </w:rPr>
  </w:style>
  <w:style w:type="paragraph" w:customStyle="1" w:styleId="174">
    <w:name w:val="xl8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75">
    <w:name w:val="xl69"/>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76">
    <w:name w:val="xl84"/>
    <w:basedOn w:val="1"/>
    <w:qFormat/>
    <w:uiPriority w:val="0"/>
    <w:pPr>
      <w:widowControl/>
      <w:pBdr>
        <w:left w:val="single" w:color="auto" w:sz="8"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77">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78">
    <w:name w:val="修订1"/>
    <w:qFormat/>
    <w:uiPriority w:val="99"/>
    <w:rPr>
      <w:rFonts w:ascii="Times New Roman" w:hAnsi="Times New Roman" w:eastAsia="宋体" w:cs="Times New Roman"/>
      <w:kern w:val="2"/>
      <w:sz w:val="21"/>
      <w:lang w:val="en-US" w:eastAsia="zh-CN" w:bidi="ar-SA"/>
    </w:rPr>
  </w:style>
  <w:style w:type="paragraph" w:customStyle="1" w:styleId="179">
    <w:name w:val="Char Char Char Char Char Char1 Char Char Char1"/>
    <w:basedOn w:val="1"/>
    <w:qFormat/>
    <w:uiPriority w:val="99"/>
    <w:pPr>
      <w:autoSpaceDE w:val="0"/>
      <w:autoSpaceDN w:val="0"/>
      <w:adjustRightInd w:val="0"/>
      <w:jc w:val="left"/>
      <w:textAlignment w:val="baseline"/>
    </w:pPr>
    <w:rPr>
      <w:rFonts w:ascii="Times New Roman" w:hAnsi="Times New Roman" w:eastAsia="方正仿宋简体"/>
      <w:sz w:val="32"/>
      <w:szCs w:val="20"/>
    </w:rPr>
  </w:style>
  <w:style w:type="paragraph" w:customStyle="1" w:styleId="180">
    <w:name w:val="xl79"/>
    <w:basedOn w:val="1"/>
    <w:qFormat/>
    <w:uiPriority w:val="0"/>
    <w:pPr>
      <w:widowControl/>
      <w:pBdr>
        <w:left w:val="single" w:color="auto" w:sz="8"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81">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2">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3">
    <w:name w:val="font5"/>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84">
    <w:name w:val="Char Char Char Char"/>
    <w:basedOn w:val="1"/>
    <w:qFormat/>
    <w:uiPriority w:val="0"/>
    <w:pPr>
      <w:tabs>
        <w:tab w:val="left" w:pos="360"/>
      </w:tabs>
    </w:pPr>
    <w:rPr>
      <w:rFonts w:ascii="Times New Roman" w:hAnsi="Times New Roman"/>
      <w:sz w:val="24"/>
      <w:szCs w:val="20"/>
    </w:rPr>
  </w:style>
  <w:style w:type="paragraph" w:customStyle="1" w:styleId="185">
    <w:name w:val="xl77"/>
    <w:basedOn w:val="1"/>
    <w:qFormat/>
    <w:uiPriority w:val="0"/>
    <w:pPr>
      <w:widowControl/>
      <w:pBdr>
        <w:top w:val="single" w:color="auto" w:sz="4" w:space="0"/>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86">
    <w:name w:val="xl74"/>
    <w:basedOn w:val="1"/>
    <w:qFormat/>
    <w:uiPriority w:val="0"/>
    <w:pPr>
      <w:widowControl/>
      <w:pBdr>
        <w:top w:val="single" w:color="auto" w:sz="8" w:space="0"/>
        <w:bottom w:val="single" w:color="auto" w:sz="8" w:space="0"/>
        <w:right w:val="single" w:color="auto" w:sz="8" w:space="0"/>
      </w:pBdr>
      <w:spacing w:before="100" w:beforeAutospacing="1" w:after="100" w:afterAutospacing="1"/>
      <w:textAlignment w:val="center"/>
    </w:pPr>
    <w:rPr>
      <w:rFonts w:cs="Calibri"/>
      <w:color w:val="000000"/>
      <w:kern w:val="0"/>
      <w:sz w:val="18"/>
      <w:szCs w:val="18"/>
    </w:rPr>
  </w:style>
  <w:style w:type="paragraph" w:customStyle="1" w:styleId="187">
    <w:name w:val="列出段落1"/>
    <w:basedOn w:val="1"/>
    <w:qFormat/>
    <w:uiPriority w:val="34"/>
    <w:pPr>
      <w:ind w:firstLine="420" w:firstLineChars="200"/>
    </w:pPr>
    <w:rPr>
      <w:rFonts w:cs="黑体"/>
      <w:sz w:val="24"/>
    </w:rPr>
  </w:style>
  <w:style w:type="paragraph" w:customStyle="1" w:styleId="188">
    <w:name w:val="xl78"/>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89">
    <w:name w:val="zhang"/>
    <w:basedOn w:val="1"/>
    <w:qFormat/>
    <w:uiPriority w:val="0"/>
    <w:pPr>
      <w:widowControl/>
      <w:spacing w:before="100" w:beforeAutospacing="1" w:after="100" w:afterAutospacing="1"/>
      <w:jc w:val="left"/>
    </w:pPr>
    <w:rPr>
      <w:rFonts w:ascii="ˎ̥" w:hAnsi="ˎ̥" w:cs="宋体"/>
      <w:b/>
      <w:bCs/>
      <w:smallCaps/>
      <w:color w:val="000000"/>
      <w:kern w:val="0"/>
      <w:szCs w:val="21"/>
    </w:rPr>
  </w:style>
  <w:style w:type="paragraph" w:customStyle="1" w:styleId="190">
    <w:name w:val="xl25"/>
    <w:basedOn w:val="1"/>
    <w:qFormat/>
    <w:uiPriority w:val="0"/>
    <w:pPr>
      <w:widowControl/>
      <w:spacing w:before="100" w:beforeAutospacing="1" w:after="100" w:afterAutospacing="1"/>
      <w:jc w:val="left"/>
    </w:pPr>
    <w:rPr>
      <w:rFonts w:hint="eastAsia" w:ascii="仿宋_GB2312" w:hAnsi="Arial Unicode MS" w:eastAsia="仿宋_GB2312"/>
      <w:kern w:val="0"/>
      <w:sz w:val="24"/>
      <w:szCs w:val="20"/>
    </w:rPr>
  </w:style>
  <w:style w:type="paragraph" w:customStyle="1" w:styleId="191">
    <w:name w:val="xl65"/>
    <w:basedOn w:val="1"/>
    <w:qFormat/>
    <w:uiPriority w:val="0"/>
    <w:pPr>
      <w:widowControl/>
      <w:pBdr>
        <w:left w:val="single" w:color="auto" w:sz="8" w:space="0"/>
        <w:bottom w:val="single" w:color="auto" w:sz="8" w:space="0"/>
        <w:right w:val="single" w:color="auto" w:sz="8" w:space="0"/>
      </w:pBdr>
      <w:spacing w:before="100" w:beforeAutospacing="1" w:after="100" w:afterAutospacing="1"/>
      <w:jc w:val="right"/>
      <w:textAlignment w:val="center"/>
    </w:pPr>
    <w:rPr>
      <w:rFonts w:cs="Calibri"/>
      <w:color w:val="000000"/>
      <w:kern w:val="0"/>
      <w:sz w:val="24"/>
      <w:szCs w:val="24"/>
    </w:rPr>
  </w:style>
  <w:style w:type="paragraph" w:customStyle="1" w:styleId="192">
    <w:name w:val="xl66"/>
    <w:basedOn w:val="1"/>
    <w:qFormat/>
    <w:uiPriority w:val="0"/>
    <w:pPr>
      <w:widowControl/>
      <w:pBdr>
        <w:bottom w:val="single" w:color="auto" w:sz="8" w:space="0"/>
        <w:right w:val="single" w:color="auto" w:sz="8" w:space="0"/>
      </w:pBdr>
      <w:spacing w:before="100" w:beforeAutospacing="1" w:after="100" w:afterAutospacing="1"/>
      <w:textAlignment w:val="center"/>
    </w:pPr>
    <w:rPr>
      <w:rFonts w:ascii="宋体" w:hAnsi="宋体" w:cs="宋体"/>
      <w:color w:val="000000"/>
      <w:kern w:val="0"/>
      <w:sz w:val="18"/>
      <w:szCs w:val="18"/>
    </w:rPr>
  </w:style>
  <w:style w:type="paragraph" w:customStyle="1" w:styleId="193">
    <w:name w:val="xl80"/>
    <w:basedOn w:val="1"/>
    <w:qFormat/>
    <w:uiPriority w:val="0"/>
    <w:pPr>
      <w:widowControl/>
      <w:pBdr>
        <w:top w:val="single" w:color="auto" w:sz="4" w:space="0"/>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94">
    <w:name w:val="xl24"/>
    <w:basedOn w:val="1"/>
    <w:qFormat/>
    <w:uiPriority w:val="0"/>
    <w:pPr>
      <w:widowControl/>
      <w:pBdr>
        <w:bottom w:val="single" w:color="000000" w:sz="12" w:space="0"/>
        <w:right w:val="single" w:color="000000" w:sz="8" w:space="0"/>
      </w:pBdr>
      <w:spacing w:before="100" w:beforeAutospacing="1" w:after="100" w:afterAutospacing="1"/>
      <w:ind w:firstLine="100" w:firstLineChars="100"/>
      <w:jc w:val="left"/>
    </w:pPr>
    <w:rPr>
      <w:rFonts w:ascii="仿宋_GB2312" w:hAnsi="Arial Unicode MS" w:eastAsia="仿宋_GB2312"/>
      <w:kern w:val="0"/>
      <w:sz w:val="24"/>
      <w:szCs w:val="20"/>
    </w:rPr>
  </w:style>
  <w:style w:type="paragraph" w:customStyle="1" w:styleId="195">
    <w:name w:val="xl8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96">
    <w:name w:val="xl81"/>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197">
    <w:name w:val="font6"/>
    <w:basedOn w:val="1"/>
    <w:qFormat/>
    <w:uiPriority w:val="0"/>
    <w:pPr>
      <w:widowControl/>
      <w:spacing w:before="100" w:beforeAutospacing="1" w:after="100" w:afterAutospacing="1"/>
      <w:jc w:val="left"/>
    </w:pPr>
    <w:rPr>
      <w:rFonts w:cs="Calibri"/>
      <w:color w:val="000000"/>
      <w:kern w:val="0"/>
      <w:sz w:val="18"/>
      <w:szCs w:val="18"/>
    </w:rPr>
  </w:style>
  <w:style w:type="paragraph" w:customStyle="1" w:styleId="198">
    <w:name w:val="xl8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99">
    <w:name w:val="xl85"/>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200">
    <w:name w:val="Body copy hanging"/>
    <w:basedOn w:val="1"/>
    <w:qFormat/>
    <w:uiPriority w:val="0"/>
    <w:pPr>
      <w:widowControl/>
      <w:spacing w:before="20" w:line="210" w:lineRule="exact"/>
      <w:ind w:left="510" w:hanging="510"/>
      <w:jc w:val="left"/>
    </w:pPr>
    <w:rPr>
      <w:rFonts w:ascii="Arial" w:hAnsi="Arial" w:eastAsia="PMingLiU"/>
      <w:color w:val="000000"/>
      <w:kern w:val="0"/>
      <w:sz w:val="17"/>
      <w:szCs w:val="20"/>
      <w:lang w:val="en-AU" w:eastAsia="en-US"/>
    </w:rPr>
  </w:style>
  <w:style w:type="paragraph" w:customStyle="1" w:styleId="201">
    <w:name w:val="xl67"/>
    <w:basedOn w:val="1"/>
    <w:qFormat/>
    <w:uiPriority w:val="0"/>
    <w:pPr>
      <w:widowControl/>
      <w:pBdr>
        <w:bottom w:val="single" w:color="auto" w:sz="8" w:space="0"/>
        <w:right w:val="single" w:color="auto" w:sz="8" w:space="0"/>
      </w:pBdr>
      <w:spacing w:before="100" w:beforeAutospacing="1" w:after="100" w:afterAutospacing="1"/>
      <w:textAlignment w:val="center"/>
    </w:pPr>
    <w:rPr>
      <w:rFonts w:cs="Calibri"/>
      <w:color w:val="000000"/>
      <w:kern w:val="0"/>
      <w:sz w:val="18"/>
      <w:szCs w:val="18"/>
    </w:rPr>
  </w:style>
  <w:style w:type="paragraph" w:customStyle="1" w:styleId="202">
    <w:name w:val="xl72"/>
    <w:basedOn w:val="1"/>
    <w:qFormat/>
    <w:uiPriority w:val="0"/>
    <w:pPr>
      <w:widowControl/>
      <w:pBdr>
        <w:left w:val="single" w:color="auto" w:sz="8" w:space="0"/>
        <w:bottom w:val="single" w:color="auto" w:sz="8" w:space="0"/>
      </w:pBdr>
      <w:spacing w:before="100" w:beforeAutospacing="1" w:after="100" w:afterAutospacing="1"/>
      <w:jc w:val="right"/>
      <w:textAlignment w:val="center"/>
    </w:pPr>
    <w:rPr>
      <w:rFonts w:cs="Calibri"/>
      <w:color w:val="000000"/>
      <w:kern w:val="0"/>
      <w:sz w:val="24"/>
      <w:szCs w:val="24"/>
    </w:rPr>
  </w:style>
  <w:style w:type="paragraph" w:customStyle="1" w:styleId="203">
    <w:name w:val="xl9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204">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05">
    <w:name w:val="Char Char Char Char Char Char Char Char Char"/>
    <w:basedOn w:val="1"/>
    <w:qFormat/>
    <w:uiPriority w:val="0"/>
    <w:pPr>
      <w:tabs>
        <w:tab w:val="left" w:pos="360"/>
      </w:tabs>
      <w:ind w:left="360" w:hanging="360"/>
    </w:pPr>
    <w:rPr>
      <w:rFonts w:ascii="Times New Roman" w:hAnsi="Times New Roman"/>
      <w:sz w:val="24"/>
      <w:szCs w:val="20"/>
    </w:rPr>
  </w:style>
  <w:style w:type="paragraph" w:customStyle="1" w:styleId="206">
    <w:name w:val="xl61"/>
    <w:basedOn w:val="1"/>
    <w:qFormat/>
    <w:uiPriority w:val="0"/>
    <w:pPr>
      <w:widowControl/>
      <w:spacing w:before="100" w:after="100"/>
      <w:jc w:val="right"/>
    </w:pPr>
    <w:rPr>
      <w:rFonts w:ascii="Arial Unicode MS" w:hAnsi="Times New Roman" w:eastAsia="Arial Unicode MS"/>
      <w:kern w:val="0"/>
      <w:sz w:val="18"/>
      <w:szCs w:val="20"/>
    </w:rPr>
  </w:style>
  <w:style w:type="paragraph" w:customStyle="1" w:styleId="207">
    <w:name w:val="xl68"/>
    <w:basedOn w:val="1"/>
    <w:qFormat/>
    <w:uiPriority w:val="0"/>
    <w:pPr>
      <w:widowControl/>
      <w:pBdr>
        <w:bottom w:val="single" w:color="auto" w:sz="8" w:space="0"/>
        <w:right w:val="single" w:color="auto" w:sz="8" w:space="0"/>
      </w:pBdr>
      <w:spacing w:before="100" w:beforeAutospacing="1" w:after="100" w:afterAutospacing="1"/>
      <w:textAlignment w:val="center"/>
    </w:pPr>
    <w:rPr>
      <w:rFonts w:ascii="宋体" w:hAnsi="宋体" w:cs="宋体"/>
      <w:kern w:val="0"/>
      <w:sz w:val="18"/>
      <w:szCs w:val="18"/>
    </w:rPr>
  </w:style>
  <w:style w:type="paragraph" w:customStyle="1" w:styleId="208">
    <w:name w:val="Normal_0"/>
    <w:qFormat/>
    <w:uiPriority w:val="0"/>
    <w:pPr>
      <w:spacing w:before="120" w:after="240"/>
      <w:jc w:val="both"/>
    </w:pPr>
    <w:rPr>
      <w:rFonts w:ascii="Calibri" w:hAnsi="Calibri" w:eastAsia="Calibri" w:cs="Times New Roman"/>
      <w:sz w:val="22"/>
      <w:szCs w:val="22"/>
      <w:lang w:val="ru-RU" w:eastAsia="en-US" w:bidi="ar-SA"/>
    </w:rPr>
  </w:style>
  <w:style w:type="paragraph" w:customStyle="1" w:styleId="209">
    <w:name w:val="Char Char Char Char Char Char Char"/>
    <w:basedOn w:val="1"/>
    <w:qFormat/>
    <w:uiPriority w:val="0"/>
    <w:pPr>
      <w:tabs>
        <w:tab w:val="left" w:pos="360"/>
      </w:tabs>
      <w:ind w:left="360" w:hanging="360"/>
    </w:pPr>
    <w:rPr>
      <w:rFonts w:ascii="Times New Roman" w:hAnsi="Times New Roman"/>
      <w:sz w:val="24"/>
      <w:szCs w:val="20"/>
    </w:rPr>
  </w:style>
  <w:style w:type="paragraph" w:customStyle="1" w:styleId="210">
    <w:name w:val="Section"/>
    <w:next w:val="1"/>
    <w:qFormat/>
    <w:uiPriority w:val="0"/>
    <w:pPr>
      <w:keepNext/>
      <w:keepLines/>
      <w:widowControl w:val="0"/>
      <w:spacing w:before="300" w:after="300"/>
      <w:jc w:val="both"/>
    </w:pPr>
    <w:rPr>
      <w:rFonts w:ascii="Times New Roman" w:hAnsi="Times New Roman" w:eastAsia="宋体" w:cs="Times New Roman"/>
      <w:b/>
      <w:kern w:val="28"/>
      <w:sz w:val="21"/>
      <w:lang w:val="en-US" w:eastAsia="zh-CN" w:bidi="ar-SA"/>
    </w:rPr>
  </w:style>
  <w:style w:type="paragraph" w:customStyle="1" w:styleId="211">
    <w:name w:val="Char Char Char Char Char Char1 Char Char Char"/>
    <w:basedOn w:val="1"/>
    <w:qFormat/>
    <w:uiPriority w:val="0"/>
    <w:pPr>
      <w:autoSpaceDE w:val="0"/>
      <w:autoSpaceDN w:val="0"/>
      <w:adjustRightInd w:val="0"/>
      <w:jc w:val="left"/>
      <w:textAlignment w:val="baseline"/>
    </w:pPr>
    <w:rPr>
      <w:rFonts w:ascii="Times New Roman" w:hAnsi="Times New Roman"/>
      <w:sz w:val="24"/>
      <w:szCs w:val="20"/>
    </w:rPr>
  </w:style>
  <w:style w:type="paragraph" w:customStyle="1" w:styleId="212">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213">
    <w:name w:val="xl71"/>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14">
    <w:name w:val="xl8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215">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216">
    <w:name w:val="Default"/>
    <w:qFormat/>
    <w:uiPriority w:val="0"/>
    <w:pPr>
      <w:widowControl w:val="0"/>
      <w:autoSpaceDE w:val="0"/>
      <w:autoSpaceDN w:val="0"/>
      <w:adjustRightInd w:val="0"/>
    </w:pPr>
    <w:rPr>
      <w:rFonts w:ascii="华文中宋" w:hAnsi="Times New Roman" w:eastAsia="华文中宋" w:cs="Times New Roman"/>
      <w:color w:val="000000"/>
      <w:sz w:val="24"/>
      <w:lang w:val="en-US" w:eastAsia="zh-CN" w:bidi="ar-SA"/>
    </w:rPr>
  </w:style>
  <w:style w:type="paragraph" w:customStyle="1" w:styleId="217">
    <w:name w:val="xl73"/>
    <w:basedOn w:val="1"/>
    <w:qFormat/>
    <w:uiPriority w:val="0"/>
    <w:pPr>
      <w:widowControl/>
      <w:pBdr>
        <w:top w:val="single" w:color="auto" w:sz="8" w:space="0"/>
        <w:left w:val="single" w:color="auto" w:sz="8"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218">
    <w:name w:val="xl76"/>
    <w:basedOn w:val="1"/>
    <w:qFormat/>
    <w:uiPriority w:val="0"/>
    <w:pPr>
      <w:widowControl/>
      <w:pBdr>
        <w:top w:val="single" w:color="auto" w:sz="4" w:space="0"/>
        <w:left w:val="single" w:color="auto" w:sz="8"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219">
    <w:name w:val="Style1"/>
    <w:basedOn w:val="2"/>
    <w:qFormat/>
    <w:uiPriority w:val="0"/>
    <w:pPr>
      <w:keepLines w:val="0"/>
      <w:widowControl/>
      <w:spacing w:before="240" w:after="60" w:line="240" w:lineRule="auto"/>
      <w:jc w:val="left"/>
    </w:pPr>
    <w:rPr>
      <w:rFonts w:ascii="Times New Roman" w:hAnsi="Times New Roman"/>
      <w:b w:val="0"/>
      <w:bCs w:val="0"/>
      <w:kern w:val="32"/>
      <w:sz w:val="24"/>
      <w:szCs w:val="20"/>
    </w:rPr>
  </w:style>
  <w:style w:type="paragraph" w:customStyle="1" w:styleId="220">
    <w:name w:val="默认段落字体 Para Char"/>
    <w:basedOn w:val="1"/>
    <w:qFormat/>
    <w:uiPriority w:val="0"/>
    <w:pPr>
      <w:tabs>
        <w:tab w:val="left" w:pos="360"/>
      </w:tabs>
      <w:spacing w:before="312" w:after="312" w:line="360" w:lineRule="auto"/>
    </w:pPr>
    <w:rPr>
      <w:rFonts w:ascii="Times New Roman" w:hAnsi="Times New Roman"/>
      <w:sz w:val="24"/>
      <w:szCs w:val="20"/>
    </w:rPr>
  </w:style>
  <w:style w:type="paragraph" w:customStyle="1" w:styleId="221">
    <w:name w:val="xl70"/>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18"/>
      <w:szCs w:val="18"/>
    </w:rPr>
  </w:style>
  <w:style w:type="table" w:customStyle="1" w:styleId="222">
    <w:name w:val="网格型1"/>
    <w:basedOn w:val="56"/>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3">
    <w:name w:val="TOC 标题2"/>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224">
    <w:name w:val="修订2"/>
    <w:qFormat/>
    <w:uiPriority w:val="99"/>
    <w:rPr>
      <w:rFonts w:ascii="Times New Roman" w:hAnsi="Times New Roman" w:eastAsia="宋体" w:cs="Times New Roman"/>
      <w:kern w:val="2"/>
      <w:sz w:val="21"/>
      <w:lang w:val="en-US" w:eastAsia="zh-CN" w:bidi="ar-SA"/>
    </w:rPr>
  </w:style>
  <w:style w:type="paragraph" w:customStyle="1" w:styleId="225">
    <w:name w:val="TOC 标题3"/>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26">
    <w:name w:val="TOC 标题4"/>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27">
    <w:name w:val="WPSOffice手动目录 1"/>
    <w:qFormat/>
    <w:uiPriority w:val="0"/>
    <w:rPr>
      <w:rFonts w:ascii="Calibri" w:hAnsi="Calibri" w:eastAsia="宋体" w:cs="Times New Roman"/>
      <w:lang w:val="en-US" w:eastAsia="zh-CN" w:bidi="ar-SA"/>
    </w:rPr>
  </w:style>
  <w:style w:type="paragraph" w:customStyle="1" w:styleId="228">
    <w:name w:val="WPSOffice手动目录 2"/>
    <w:qFormat/>
    <w:uiPriority w:val="0"/>
    <w:pPr>
      <w:ind w:left="200" w:leftChars="200"/>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9.png"/><Relationship Id="rId6" Type="http://schemas.openxmlformats.org/officeDocument/2006/relationships/footer" Target="footer4.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3.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er" Target="foot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header" Target="header2.xml"/><Relationship Id="rId11" Type="http://schemas.openxmlformats.org/officeDocument/2006/relationships/header" Target="header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A18E16-1237-4B99-8848-854F24A23516}">
  <ds:schemaRefs/>
</ds:datastoreItem>
</file>

<file path=docProps/app.xml><?xml version="1.0" encoding="utf-8"?>
<Properties xmlns="http://schemas.openxmlformats.org/officeDocument/2006/extended-properties" xmlns:vt="http://schemas.openxmlformats.org/officeDocument/2006/docPropsVTypes">
  <Template>Normal</Template>
  <Pages>1</Pages>
  <Words>22639</Words>
  <Characters>129048</Characters>
  <Lines>1075</Lines>
  <Paragraphs>302</Paragraphs>
  <TotalTime>34</TotalTime>
  <ScaleCrop>false</ScaleCrop>
  <LinksUpToDate>false</LinksUpToDate>
  <CharactersWithSpaces>151385</CharactersWithSpaces>
  <Application>WPS Office_11.8.2.12080_F1E327BC-269C-435d-A152-05C5408002CA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2023-11-08T02:50:00Z</dcterms:created>
  <dc:creator>周星运</dc:creator>
  <cp:lastModifiedBy>辛雅婷</cp:lastModifiedBy>
  <dcterms:modified xsi:type="dcterms:W3CDTF">2023-12-29T14:50:41Z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2052-11.8.2.12080</vt:lpwstr>
  </property>
  <property fmtid="{D5CDD505-2E9C-101B-9397-08002B2CF9AE}" pid="3" name="ICV">
    <vt:lpwstr>8FAFB0800C574BF896D1519B051EECAC</vt:lpwstr>
  </property>
</Properties>
</file>