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spacing w:line="560" w:lineRule="exact"/>
        <w:ind w:firstLine="0" w:firstLineChars="0"/>
        <w:jc w:val="left"/>
        <w:rPr>
          <w:rFonts w:ascii="黑体" w:hAnsi="黑体" w:eastAsia="黑体" w:cs="黑体"/>
          <w:sz w:val="32"/>
          <w:szCs w:val="32"/>
        </w:rPr>
      </w:pPr>
      <w:r>
        <w:rPr>
          <w:rFonts w:hint="eastAsia" w:ascii="黑体" w:hAnsi="黑体" w:eastAsia="黑体" w:cs="黑体"/>
          <w:sz w:val="32"/>
          <w:szCs w:val="32"/>
        </w:rPr>
        <w:t>附件</w:t>
      </w:r>
    </w:p>
    <w:p>
      <w:pPr>
        <w:spacing w:line="560" w:lineRule="exact"/>
        <w:jc w:val="both"/>
        <w:rPr>
          <w:rFonts w:ascii="Times New Roman" w:hAnsi="Times New Roman" w:eastAsia="方正小标宋简体"/>
          <w:bCs/>
          <w:sz w:val="40"/>
          <w:szCs w:val="40"/>
        </w:rPr>
      </w:pPr>
    </w:p>
    <w:p>
      <w:pPr>
        <w:snapToGrid w:val="0"/>
        <w:spacing w:line="240" w:lineRule="auto"/>
        <w:jc w:val="center"/>
        <w:rPr>
          <w:rFonts w:ascii="方正小标宋简体" w:hAnsi="宋体" w:eastAsia="方正小标宋简体"/>
          <w:sz w:val="44"/>
          <w:szCs w:val="44"/>
        </w:rPr>
      </w:pPr>
      <w:r>
        <w:rPr>
          <w:rFonts w:ascii="Times New Roman" w:hAnsi="Times New Roman" w:eastAsia="方正小标宋简体"/>
          <w:bCs/>
          <w:sz w:val="44"/>
          <w:szCs w:val="44"/>
        </w:rPr>
        <w:t>深圳证券交易所资产支持证券</w:t>
      </w:r>
      <w:r>
        <w:rPr>
          <w:rFonts w:hint="eastAsia" w:ascii="Times New Roman" w:hAnsi="Times New Roman" w:eastAsia="方正小标宋简体"/>
          <w:bCs/>
          <w:sz w:val="44"/>
          <w:szCs w:val="44"/>
        </w:rPr>
        <w:t>存续期监管</w:t>
      </w:r>
      <w:r>
        <w:rPr>
          <w:rFonts w:hint="eastAsia" w:ascii="方正小标宋简体" w:hAnsi="宋体" w:eastAsia="方正小标宋简体"/>
          <w:sz w:val="44"/>
          <w:szCs w:val="44"/>
        </w:rPr>
        <w:t>业务指引第1号——定期报告</w:t>
      </w:r>
    </w:p>
    <w:p>
      <w:pPr>
        <w:pStyle w:val="29"/>
        <w:tabs>
          <w:tab w:val="right" w:leader="dot" w:pos="8306"/>
        </w:tabs>
        <w:spacing w:line="560" w:lineRule="exact"/>
      </w:pPr>
    </w:p>
    <w:p>
      <w:pPr>
        <w:pStyle w:val="2"/>
        <w:spacing w:line="560" w:lineRule="exact"/>
      </w:pPr>
      <w:bookmarkStart w:id="0" w:name="_Toc30554"/>
      <w:bookmarkStart w:id="1" w:name="_Toc23244_WPSOffice_Level1"/>
      <w:bookmarkStart w:id="2" w:name="_Toc121678223"/>
      <w:bookmarkStart w:id="3" w:name="_Toc11223"/>
      <w:bookmarkStart w:id="4" w:name="_Toc10152"/>
      <w:bookmarkStart w:id="5" w:name="_Toc24540"/>
      <w:r>
        <w:t>第一章 总则</w:t>
      </w:r>
      <w:bookmarkEnd w:id="0"/>
      <w:bookmarkEnd w:id="1"/>
      <w:bookmarkEnd w:id="2"/>
      <w:bookmarkEnd w:id="3"/>
      <w:bookmarkEnd w:id="4"/>
      <w:bookmarkEnd w:id="5"/>
    </w:p>
    <w:p>
      <w:pPr>
        <w:spacing w:line="560" w:lineRule="exact"/>
        <w:ind w:firstLine="643" w:firstLineChars="200"/>
        <w:rPr>
          <w:rFonts w:ascii="仿宋" w:hAnsi="仿宋" w:eastAsia="仿宋" w:cs="仿宋"/>
          <w:sz w:val="32"/>
          <w:szCs w:val="32"/>
        </w:rPr>
      </w:pPr>
      <w:r>
        <w:rPr>
          <w:rFonts w:hint="eastAsia" w:ascii="仿宋" w:hAnsi="仿宋" w:eastAsia="仿宋" w:cs="仿宋"/>
          <w:b/>
          <w:bCs/>
          <w:sz w:val="32"/>
          <w:szCs w:val="32"/>
        </w:rPr>
        <w:t xml:space="preserve">第一条 </w:t>
      </w:r>
      <w:r>
        <w:rPr>
          <w:rFonts w:hint="eastAsia" w:ascii="仿宋" w:hAnsi="仿宋" w:eastAsia="仿宋" w:cs="仿宋"/>
          <w:sz w:val="32"/>
          <w:szCs w:val="32"/>
        </w:rPr>
        <w:t>为了规范资产支持证券定期报告编制和披露行为，保护投资者合法权益，根据《深圳证券交易所资产支持证券业务规则》等业务规则</w:t>
      </w:r>
      <w:r>
        <w:rPr>
          <w:rFonts w:hint="eastAsia" w:ascii="仿宋" w:hAnsi="仿宋" w:eastAsia="仿宋" w:cs="仿宋"/>
          <w:sz w:val="32"/>
          <w:szCs w:val="32"/>
          <w:lang w:eastAsia="zh-CN"/>
        </w:rPr>
        <w:t>的规定</w:t>
      </w:r>
      <w:r>
        <w:rPr>
          <w:rFonts w:hint="eastAsia" w:ascii="仿宋" w:hAnsi="仿宋" w:eastAsia="仿宋" w:cs="仿宋"/>
          <w:sz w:val="32"/>
          <w:szCs w:val="32"/>
        </w:rPr>
        <w:t>，制定本指引。</w:t>
      </w:r>
    </w:p>
    <w:p>
      <w:pPr>
        <w:spacing w:line="560" w:lineRule="exact"/>
        <w:ind w:firstLine="643" w:firstLineChars="200"/>
        <w:rPr>
          <w:rFonts w:hint="eastAsia" w:ascii="仿宋" w:hAnsi="仿宋" w:eastAsia="仿宋" w:cs="仿宋"/>
          <w:kern w:val="0"/>
          <w:sz w:val="32"/>
          <w:szCs w:val="32"/>
        </w:rPr>
      </w:pPr>
      <w:r>
        <w:rPr>
          <w:rFonts w:hint="eastAsia" w:ascii="仿宋" w:hAnsi="仿宋" w:eastAsia="仿宋" w:cs="仿宋"/>
          <w:b/>
          <w:kern w:val="0"/>
          <w:sz w:val="32"/>
          <w:szCs w:val="32"/>
        </w:rPr>
        <w:t>第二条</w:t>
      </w:r>
      <w:r>
        <w:rPr>
          <w:rFonts w:hint="eastAsia" w:ascii="仿宋" w:hAnsi="仿宋" w:eastAsia="仿宋" w:cs="仿宋"/>
          <w:kern w:val="0"/>
          <w:sz w:val="32"/>
          <w:szCs w:val="32"/>
        </w:rPr>
        <w:t xml:space="preserve"> 在深圳证券交易所（以下简称本所）挂牌转让的资产支持证券的定期报告披露，适用本指引。本所另有规定的，从其规定。</w:t>
      </w:r>
    </w:p>
    <w:p>
      <w:pPr>
        <w:spacing w:line="560" w:lineRule="exac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本指引所称定期报告，包括年度资产管理报告和年度托管报告。</w:t>
      </w:r>
    </w:p>
    <w:p>
      <w:pPr>
        <w:spacing w:line="560" w:lineRule="exact"/>
        <w:ind w:firstLine="643" w:firstLineChars="200"/>
        <w:rPr>
          <w:rFonts w:ascii="仿宋" w:hAnsi="仿宋" w:eastAsia="仿宋" w:cs="仿宋"/>
          <w:sz w:val="32"/>
          <w:szCs w:val="32"/>
        </w:rPr>
      </w:pPr>
      <w:r>
        <w:rPr>
          <w:rFonts w:hint="eastAsia" w:ascii="仿宋" w:hAnsi="仿宋" w:eastAsia="仿宋" w:cs="仿宋"/>
          <w:b/>
          <w:bCs/>
          <w:sz w:val="32"/>
          <w:szCs w:val="32"/>
        </w:rPr>
        <w:t xml:space="preserve">第三条 </w:t>
      </w:r>
      <w:r>
        <w:rPr>
          <w:rFonts w:hint="eastAsia" w:ascii="仿宋" w:hAnsi="仿宋" w:eastAsia="仿宋" w:cs="仿宋"/>
          <w:sz w:val="32"/>
          <w:szCs w:val="32"/>
        </w:rPr>
        <w:t>资产支持证券在本所挂牌转让的，资产支持专项计划（以下简称专项计划）管理人、托管人等信息披露义务人应当按照法律、行政法规、部门规章</w:t>
      </w:r>
      <w:r>
        <w:rPr>
          <w:rFonts w:hint="eastAsia" w:ascii="仿宋" w:hAnsi="仿宋" w:eastAsia="仿宋" w:cs="仿宋"/>
          <w:sz w:val="32"/>
          <w:szCs w:val="32"/>
          <w:lang w:eastAsia="zh-CN"/>
        </w:rPr>
        <w:t>、</w:t>
      </w:r>
      <w:r>
        <w:rPr>
          <w:rFonts w:hint="eastAsia" w:ascii="仿宋" w:hAnsi="仿宋" w:eastAsia="仿宋" w:cs="仿宋"/>
          <w:sz w:val="32"/>
          <w:szCs w:val="32"/>
        </w:rPr>
        <w:t>规范性文件（以下统称法律法规</w:t>
      </w:r>
      <w:r>
        <w:rPr>
          <w:rFonts w:hint="eastAsia" w:ascii="仿宋" w:hAnsi="仿宋" w:eastAsia="仿宋" w:cs="仿宋"/>
          <w:sz w:val="32"/>
          <w:szCs w:val="32"/>
          <w:lang w:eastAsia="zh-CN"/>
        </w:rPr>
        <w:t>）</w:t>
      </w:r>
      <w:r>
        <w:rPr>
          <w:rFonts w:hint="eastAsia" w:ascii="仿宋" w:hAnsi="仿宋" w:eastAsia="仿宋" w:cs="仿宋"/>
          <w:sz w:val="32"/>
          <w:szCs w:val="32"/>
        </w:rPr>
        <w:t>、本所规定、专项计划文件的约定和所作出的承诺，及时、公平履行定期报告信息披露义务，保证所披露的信息真实、准确、完整，不存在虚假记载、误导性陈述或者重大遗漏。</w:t>
      </w:r>
    </w:p>
    <w:p>
      <w:pPr>
        <w:spacing w:line="560" w:lineRule="exact"/>
        <w:ind w:firstLine="643" w:firstLineChars="200"/>
        <w:rPr>
          <w:rFonts w:ascii="仿宋" w:hAnsi="仿宋" w:eastAsia="仿宋" w:cs="仿宋"/>
          <w:sz w:val="32"/>
          <w:szCs w:val="32"/>
        </w:rPr>
      </w:pPr>
      <w:r>
        <w:rPr>
          <w:rFonts w:hint="eastAsia" w:ascii="仿宋" w:hAnsi="仿宋" w:eastAsia="仿宋" w:cs="仿宋"/>
          <w:b/>
          <w:bCs/>
          <w:sz w:val="32"/>
          <w:szCs w:val="32"/>
        </w:rPr>
        <w:t>第四条</w:t>
      </w:r>
      <w:r>
        <w:rPr>
          <w:rFonts w:hint="eastAsia" w:ascii="仿宋" w:hAnsi="仿宋" w:eastAsia="仿宋" w:cs="仿宋"/>
          <w:sz w:val="32"/>
          <w:szCs w:val="32"/>
        </w:rPr>
        <w:t xml:space="preserve"> 原始权益人、资产服务机构、增信机构、资信评级机构、律师事务所、会计师事务所、资产评估机构、</w:t>
      </w:r>
      <w:r>
        <w:rPr>
          <w:rFonts w:hint="eastAsia" w:ascii="仿宋" w:hAnsi="仿宋" w:eastAsia="仿宋" w:cs="仿宋"/>
          <w:kern w:val="0"/>
          <w:sz w:val="32"/>
          <w:szCs w:val="32"/>
        </w:rPr>
        <w:t>现金流预测机构、监管银行</w:t>
      </w:r>
      <w:r>
        <w:rPr>
          <w:rFonts w:hint="eastAsia" w:ascii="仿宋" w:hAnsi="仿宋" w:eastAsia="仿宋" w:cs="仿宋"/>
          <w:sz w:val="32"/>
          <w:szCs w:val="32"/>
        </w:rPr>
        <w:t>等其他资产支持证券业务参与人应当积极配合信息披露义务人编制和披露定期报告，及时向信息披露义务人提供相关信息，并保证所提供的信息真实、准确、完整。</w:t>
      </w:r>
    </w:p>
    <w:p>
      <w:pPr>
        <w:spacing w:line="560" w:lineRule="exac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管理人、托管人为履行定期报告信息披露义务，需要约定</w:t>
      </w:r>
      <w:r>
        <w:rPr>
          <w:rFonts w:hint="eastAsia" w:ascii="仿宋" w:hAnsi="仿宋" w:eastAsia="仿宋" w:cs="仿宋"/>
          <w:sz w:val="32"/>
          <w:szCs w:val="32"/>
        </w:rPr>
        <w:t>重要现金流提供方配合提供信息等</w:t>
      </w:r>
      <w:r>
        <w:rPr>
          <w:rFonts w:hint="eastAsia" w:ascii="仿宋" w:hAnsi="仿宋" w:eastAsia="仿宋" w:cs="仿宋"/>
          <w:kern w:val="0"/>
          <w:sz w:val="32"/>
          <w:szCs w:val="32"/>
        </w:rPr>
        <w:t>义务的，应当通过协议</w:t>
      </w:r>
      <w:r>
        <w:rPr>
          <w:rFonts w:hint="eastAsia" w:ascii="仿宋" w:hAnsi="仿宋" w:eastAsia="仿宋" w:cs="仿宋"/>
          <w:kern w:val="0"/>
          <w:sz w:val="32"/>
          <w:szCs w:val="32"/>
          <w:lang w:eastAsia="zh-CN"/>
        </w:rPr>
        <w:t>或者其他相关文件</w:t>
      </w:r>
      <w:r>
        <w:rPr>
          <w:rFonts w:hint="eastAsia" w:ascii="仿宋" w:hAnsi="仿宋" w:eastAsia="仿宋" w:cs="仿宋"/>
          <w:kern w:val="0"/>
          <w:sz w:val="32"/>
          <w:szCs w:val="32"/>
        </w:rPr>
        <w:t>加以约定。</w:t>
      </w:r>
    </w:p>
    <w:p>
      <w:pPr>
        <w:spacing w:line="560" w:lineRule="exact"/>
        <w:ind w:firstLine="640" w:firstLineChars="200"/>
        <w:rPr>
          <w:rFonts w:hint="eastAsia" w:ascii="仿宋" w:hAnsi="仿宋" w:eastAsia="仿宋" w:cs="仿宋"/>
          <w:kern w:val="0"/>
          <w:sz w:val="32"/>
          <w:szCs w:val="32"/>
        </w:rPr>
      </w:pPr>
      <w:r>
        <w:rPr>
          <w:rFonts w:hint="eastAsia" w:ascii="仿宋" w:hAnsi="仿宋" w:eastAsia="仿宋" w:cs="仿宋"/>
          <w:sz w:val="32"/>
          <w:szCs w:val="32"/>
        </w:rPr>
        <w:t>特定原始权益人的控股股东、实际控制人、董事、监事、高级管理人员或者履行同等职责的人员应当诚实守信，按照</w:t>
      </w:r>
      <w:r>
        <w:rPr>
          <w:rFonts w:hint="eastAsia" w:ascii="仿宋" w:hAnsi="仿宋" w:eastAsia="仿宋" w:cs="仿宋"/>
          <w:sz w:val="32"/>
          <w:szCs w:val="32"/>
          <w:lang w:eastAsia="zh-CN"/>
        </w:rPr>
        <w:t>规定和</w:t>
      </w:r>
      <w:r>
        <w:rPr>
          <w:rFonts w:hint="eastAsia" w:ascii="仿宋" w:hAnsi="仿宋" w:eastAsia="仿宋" w:cs="仿宋"/>
          <w:sz w:val="32"/>
          <w:szCs w:val="32"/>
        </w:rPr>
        <w:t>约定行使权利，严格履行所作出的各项承诺，督促特定原始权益人履行规定、约定和承诺的各项义务，切实维护投资者权益。</w:t>
      </w:r>
    </w:p>
    <w:p>
      <w:pPr>
        <w:spacing w:line="560" w:lineRule="exact"/>
        <w:ind w:firstLine="643" w:firstLineChars="200"/>
        <w:rPr>
          <w:rFonts w:ascii="仿宋" w:hAnsi="仿宋" w:eastAsia="仿宋" w:cs="仿宋"/>
          <w:sz w:val="32"/>
          <w:szCs w:val="32"/>
        </w:rPr>
      </w:pPr>
      <w:r>
        <w:rPr>
          <w:rFonts w:hint="eastAsia" w:ascii="仿宋" w:hAnsi="仿宋" w:eastAsia="仿宋" w:cs="仿宋"/>
          <w:b/>
          <w:bCs/>
          <w:sz w:val="32"/>
          <w:szCs w:val="32"/>
        </w:rPr>
        <w:t>第五条</w:t>
      </w:r>
      <w:r>
        <w:rPr>
          <w:rFonts w:hint="eastAsia" w:ascii="仿宋" w:hAnsi="仿宋" w:eastAsia="仿宋" w:cs="仿宋"/>
          <w:sz w:val="32"/>
          <w:szCs w:val="32"/>
        </w:rPr>
        <w:t xml:space="preserve"> 本指引是对资产支持证券定期报告信息披露的最低要求。不论本指引是否明确规定，对投资者作出价值判断和投资决策有重大影响的信息，信息披露义务人均应当披露。</w:t>
      </w:r>
    </w:p>
    <w:p>
      <w:pPr>
        <w:spacing w:line="560" w:lineRule="exact"/>
        <w:ind w:firstLine="600"/>
        <w:rPr>
          <w:rFonts w:ascii="方正仿宋简体" w:hAnsi="Times New Roman" w:eastAsia="方正仿宋简体"/>
          <w:bCs/>
          <w:sz w:val="30"/>
          <w:szCs w:val="30"/>
        </w:rPr>
      </w:pPr>
      <w:r>
        <w:rPr>
          <w:rFonts w:hint="eastAsia" w:ascii="仿宋" w:hAnsi="仿宋" w:eastAsia="仿宋" w:cs="仿宋"/>
          <w:b/>
          <w:bCs/>
          <w:sz w:val="32"/>
          <w:szCs w:val="32"/>
        </w:rPr>
        <w:t>第六条</w:t>
      </w:r>
      <w:r>
        <w:rPr>
          <w:rFonts w:hint="eastAsia" w:ascii="仿宋" w:hAnsi="仿宋" w:eastAsia="仿宋" w:cs="仿宋"/>
          <w:sz w:val="32"/>
          <w:szCs w:val="32"/>
        </w:rPr>
        <w:t xml:space="preserve"> 本所依照法律法规、本指引、本所相关业务规则的规定，以及转让服务协议、计划说明书等文件的约定和作出的相关承诺，对信息披露义务人以及其他资产支持证券业务参与人及其相关人员（以下统称监管对象）实施自律管理。</w:t>
      </w:r>
    </w:p>
    <w:p>
      <w:pPr>
        <w:pStyle w:val="2"/>
        <w:spacing w:line="560" w:lineRule="exact"/>
      </w:pPr>
      <w:bookmarkStart w:id="6" w:name="_Toc31140"/>
      <w:bookmarkStart w:id="7" w:name="_Toc3948"/>
      <w:bookmarkStart w:id="8" w:name="_Toc121678224"/>
      <w:bookmarkStart w:id="9" w:name="_Toc22511"/>
      <w:bookmarkStart w:id="10" w:name="_Toc20389_WPSOffice_Level1"/>
      <w:bookmarkStart w:id="11" w:name="_Toc5902"/>
      <w:r>
        <w:rPr>
          <w:rFonts w:hint="eastAsia"/>
        </w:rPr>
        <w:t>第二章 信息披露一般规定</w:t>
      </w:r>
      <w:bookmarkEnd w:id="6"/>
      <w:bookmarkEnd w:id="7"/>
      <w:bookmarkEnd w:id="8"/>
      <w:bookmarkEnd w:id="9"/>
      <w:bookmarkEnd w:id="10"/>
      <w:bookmarkEnd w:id="11"/>
    </w:p>
    <w:p>
      <w:pPr>
        <w:spacing w:line="560" w:lineRule="exact"/>
        <w:ind w:firstLine="643" w:firstLineChars="200"/>
        <w:rPr>
          <w:rFonts w:ascii="仿宋" w:hAnsi="仿宋" w:eastAsia="仿宋" w:cs="仿宋"/>
          <w:sz w:val="32"/>
          <w:szCs w:val="32"/>
        </w:rPr>
      </w:pPr>
      <w:r>
        <w:rPr>
          <w:rFonts w:hint="eastAsia" w:ascii="仿宋" w:hAnsi="仿宋" w:eastAsia="仿宋" w:cs="仿宋"/>
          <w:b/>
          <w:bCs/>
          <w:sz w:val="32"/>
          <w:szCs w:val="32"/>
        </w:rPr>
        <w:t>第七条</w:t>
      </w:r>
      <w:r>
        <w:rPr>
          <w:rFonts w:hint="eastAsia" w:ascii="仿宋" w:hAnsi="仿宋" w:eastAsia="仿宋" w:cs="仿宋"/>
          <w:b/>
          <w:bCs/>
          <w:sz w:val="32"/>
          <w:szCs w:val="32"/>
          <w:lang w:val="en-US" w:eastAsia="zh-CN"/>
        </w:rPr>
        <w:t xml:space="preserve"> </w:t>
      </w:r>
      <w:r>
        <w:rPr>
          <w:rFonts w:hint="eastAsia" w:ascii="仿宋" w:hAnsi="仿宋" w:eastAsia="仿宋" w:cs="仿宋"/>
          <w:sz w:val="32"/>
          <w:szCs w:val="32"/>
        </w:rPr>
        <w:t>信息披露义务人披露信息，应当符合下列要求：</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（一）以客观事实或者具有事实基础的判断和意见为依据，如实反映实际情况，不得有虚假记载；</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（二）合理、谨慎、客观，不得夸大其辞，不得有误导性陈述；</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（三）内容完整、文件齐备，格式符合规定要求，不得有重大遗漏；</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（四）使用事实描述性的语言，做到简明清晰、通俗易懂，不得含有祝贺性、广告性、恭维性或者诋毁性的词句；</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（五）公平披露信息，信息未披露前不得向单个或者部分</w:t>
      </w:r>
      <w:r>
        <w:rPr>
          <w:rFonts w:hint="eastAsia" w:ascii="仿宋" w:hAnsi="仿宋" w:eastAsia="仿宋" w:cs="仿宋"/>
          <w:sz w:val="32"/>
          <w:szCs w:val="32"/>
          <w:lang w:eastAsia="zh-CN"/>
        </w:rPr>
        <w:t>投资者</w:t>
      </w:r>
      <w:r>
        <w:rPr>
          <w:rFonts w:hint="eastAsia" w:ascii="仿宋" w:hAnsi="仿宋" w:eastAsia="仿宋" w:cs="仿宋"/>
          <w:sz w:val="32"/>
          <w:szCs w:val="32"/>
        </w:rPr>
        <w:t>透露或者泄露；</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（六）根据不同基础资产类型、交易结构等进行针对性披露，有效揭示资产支持证券的偿付能力，充分披露有利于投资者作出价值判断和合理决策的信息；</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（七）法律法规、本所规定以及专项计划文件约定的其他要求。</w:t>
      </w:r>
    </w:p>
    <w:p>
      <w:pPr>
        <w:spacing w:line="560" w:lineRule="exact"/>
        <w:ind w:firstLine="643" w:firstLineChars="200"/>
        <w:rPr>
          <w:rFonts w:ascii="仿宋" w:hAnsi="仿宋" w:eastAsia="仿宋" w:cs="仿宋"/>
          <w:sz w:val="32"/>
          <w:szCs w:val="32"/>
        </w:rPr>
      </w:pPr>
      <w:r>
        <w:rPr>
          <w:rFonts w:hint="eastAsia" w:ascii="仿宋" w:hAnsi="仿宋" w:eastAsia="仿宋" w:cs="仿宋"/>
          <w:b/>
          <w:bCs/>
          <w:sz w:val="32"/>
          <w:szCs w:val="32"/>
        </w:rPr>
        <w:t>第八条</w:t>
      </w:r>
      <w:r>
        <w:rPr>
          <w:rFonts w:hint="eastAsia" w:ascii="仿宋" w:hAnsi="仿宋" w:eastAsia="仿宋" w:cs="仿宋"/>
          <w:sz w:val="32"/>
          <w:szCs w:val="32"/>
        </w:rPr>
        <w:t xml:space="preserve"> 信息披露义务人编制的定期报告应当遵守下列要求：</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（一）在不影响信息披露完整性和不妨碍阅读的前提下，可以采取相互引证的方法，对定期报告进行合理的技术处理，以避免不必要的重复</w:t>
      </w:r>
      <w:r>
        <w:rPr>
          <w:rFonts w:hint="eastAsia" w:ascii="仿宋" w:hAnsi="仿宋" w:eastAsia="仿宋" w:cs="仿宋"/>
          <w:sz w:val="32"/>
          <w:szCs w:val="32"/>
          <w:lang w:eastAsia="zh-CN"/>
        </w:rPr>
        <w:t>并</w:t>
      </w:r>
      <w:r>
        <w:rPr>
          <w:rFonts w:hint="eastAsia" w:ascii="仿宋" w:hAnsi="仿宋" w:eastAsia="仿宋" w:cs="仿宋"/>
          <w:sz w:val="32"/>
          <w:szCs w:val="32"/>
        </w:rPr>
        <w:t>保持文字简洁；</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（二）引用的数字应当采用阿拉伯数字，货币金额除特别说明外，通常指人民币金额，并以元、千元、万元、百万元或者亿元为单位；</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（三）根据有关规定或者其他需求，编制定期报告外文译本的，应当保证中外文文本的一致性，并在外文文本上注明“中外文文本的理解上发生歧义时，以中文文本为准”。</w:t>
      </w:r>
    </w:p>
    <w:p>
      <w:pPr>
        <w:spacing w:line="560" w:lineRule="exact"/>
        <w:ind w:firstLine="643" w:firstLineChars="200"/>
        <w:rPr>
          <w:rFonts w:ascii="仿宋" w:hAnsi="仿宋" w:eastAsia="仿宋" w:cs="仿宋"/>
          <w:kern w:val="0"/>
          <w:sz w:val="32"/>
          <w:szCs w:val="32"/>
        </w:rPr>
      </w:pPr>
      <w:r>
        <w:rPr>
          <w:rFonts w:hint="eastAsia" w:ascii="仿宋" w:hAnsi="仿宋" w:eastAsia="仿宋" w:cs="仿宋"/>
          <w:b/>
          <w:bCs/>
          <w:kern w:val="0"/>
          <w:sz w:val="32"/>
          <w:szCs w:val="32"/>
        </w:rPr>
        <w:t>第九条</w:t>
      </w:r>
      <w:r>
        <w:rPr>
          <w:rFonts w:hint="eastAsia" w:ascii="仿宋" w:hAnsi="仿宋" w:eastAsia="仿宋" w:cs="仿宋"/>
          <w:kern w:val="0"/>
          <w:sz w:val="32"/>
          <w:szCs w:val="32"/>
        </w:rPr>
        <w:t xml:space="preserve"> 信息披露义务人披露的财务数据或者财务指标，法律法规、本所业务规则规定应当经审计的，信息披露义务人应当遵守相关规定；未作规定的，应当优先使用经审计的财务数据或者财务指标。</w:t>
      </w:r>
    </w:p>
    <w:p>
      <w:pPr>
        <w:spacing w:line="56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信息披露义务人披露未经审计的财务数据</w:t>
      </w:r>
      <w:r>
        <w:rPr>
          <w:rFonts w:hint="eastAsia" w:ascii="仿宋" w:hAnsi="仿宋" w:eastAsia="仿宋" w:cs="仿宋"/>
          <w:kern w:val="0"/>
          <w:sz w:val="32"/>
          <w:szCs w:val="32"/>
          <w:lang w:eastAsia="zh-CN"/>
        </w:rPr>
        <w:t>或者</w:t>
      </w:r>
      <w:r>
        <w:rPr>
          <w:rFonts w:hint="eastAsia" w:ascii="仿宋" w:hAnsi="仿宋" w:eastAsia="仿宋" w:cs="仿宋"/>
          <w:kern w:val="0"/>
          <w:sz w:val="32"/>
          <w:szCs w:val="32"/>
        </w:rPr>
        <w:t>财务指标，应当注明该财务数据或者财务指标未经审计。</w:t>
      </w:r>
    </w:p>
    <w:p>
      <w:pPr>
        <w:spacing w:line="560" w:lineRule="exact"/>
        <w:ind w:firstLine="643" w:firstLineChars="200"/>
        <w:contextualSpacing/>
        <w:rPr>
          <w:rFonts w:ascii="仿宋" w:hAnsi="仿宋" w:eastAsia="仿宋" w:cs="仿宋"/>
          <w:sz w:val="32"/>
          <w:szCs w:val="32"/>
        </w:rPr>
      </w:pPr>
      <w:r>
        <w:rPr>
          <w:rFonts w:hint="eastAsia" w:ascii="仿宋" w:hAnsi="仿宋" w:eastAsia="仿宋" w:cs="仿宋"/>
          <w:b/>
          <w:bCs/>
          <w:sz w:val="32"/>
          <w:szCs w:val="32"/>
        </w:rPr>
        <w:t>第十条</w:t>
      </w:r>
      <w:r>
        <w:rPr>
          <w:rFonts w:hint="eastAsia" w:ascii="仿宋" w:hAnsi="仿宋" w:eastAsia="仿宋" w:cs="仿宋"/>
          <w:sz w:val="32"/>
          <w:szCs w:val="32"/>
        </w:rPr>
        <w:t xml:space="preserve"> 已披露信息出现错误、遗漏或者误导等情形的，信息披露义务人应当及时披露补充或者更正公告，说明原因、补充或者更正事项、具体影响等。</w:t>
      </w:r>
    </w:p>
    <w:p>
      <w:pPr>
        <w:spacing w:line="560" w:lineRule="exact"/>
        <w:ind w:firstLine="643" w:firstLineChars="200"/>
        <w:contextualSpacing/>
        <w:rPr>
          <w:rFonts w:ascii="仿宋" w:hAnsi="仿宋" w:eastAsia="仿宋" w:cs="仿宋"/>
          <w:sz w:val="32"/>
          <w:szCs w:val="32"/>
        </w:rPr>
      </w:pPr>
      <w:r>
        <w:rPr>
          <w:rFonts w:hint="eastAsia" w:ascii="仿宋" w:hAnsi="仿宋" w:eastAsia="仿宋" w:cs="仿宋"/>
          <w:b/>
          <w:bCs/>
          <w:sz w:val="32"/>
          <w:szCs w:val="32"/>
        </w:rPr>
        <w:t>第十一条</w:t>
      </w:r>
      <w:r>
        <w:rPr>
          <w:rFonts w:hint="eastAsia" w:ascii="仿宋" w:hAnsi="仿宋" w:eastAsia="仿宋" w:cs="仿宋"/>
          <w:b/>
          <w:bCs/>
          <w:sz w:val="32"/>
          <w:szCs w:val="32"/>
          <w:lang w:val="en-US" w:eastAsia="zh-CN"/>
        </w:rPr>
        <w:t xml:space="preserve"> </w:t>
      </w:r>
      <w:r>
        <w:rPr>
          <w:rFonts w:hint="eastAsia" w:ascii="仿宋" w:hAnsi="仿宋" w:eastAsia="仿宋" w:cs="仿宋"/>
          <w:sz w:val="32"/>
          <w:szCs w:val="32"/>
        </w:rPr>
        <w:t>管理人更正专项计划经审计的财务信息的，应当聘请会计师事务所进行全面审计或者对更正事项进行专项鉴证。更正事项对经审计的财务报表具有广泛性影响，或者该事项导致专项计划相关年度盈亏性质发生改变，应当聘请会计师事务所对更正后的财务信息进行全面审计。信息披露义务人应当及时披露专项鉴证报告、审计报告、更正后的财务信息等内容。</w:t>
      </w:r>
    </w:p>
    <w:p>
      <w:pPr>
        <w:spacing w:line="560" w:lineRule="exact"/>
        <w:ind w:firstLine="640" w:firstLineChars="200"/>
        <w:contextualSpacing/>
        <w:rPr>
          <w:rFonts w:ascii="仿宋" w:hAnsi="仿宋" w:eastAsia="仿宋" w:cs="仿宋"/>
          <w:sz w:val="32"/>
          <w:szCs w:val="32"/>
        </w:rPr>
      </w:pPr>
      <w:r>
        <w:rPr>
          <w:rFonts w:hint="eastAsia" w:ascii="仿宋" w:hAnsi="仿宋" w:eastAsia="仿宋" w:cs="仿宋"/>
          <w:sz w:val="32"/>
          <w:szCs w:val="32"/>
        </w:rPr>
        <w:t>前款所述的广泛性影响、盈亏性质发生改变，按照中国证监会关于财务信息更正及披露的相关信息披露编报规则予以认定。</w:t>
      </w:r>
    </w:p>
    <w:p>
      <w:pPr>
        <w:spacing w:line="560" w:lineRule="exact"/>
        <w:ind w:firstLine="640" w:firstLineChars="200"/>
        <w:contextualSpacing/>
        <w:rPr>
          <w:rFonts w:ascii="仿宋_GB2312" w:eastAsia="仿宋_GB2312"/>
          <w:sz w:val="30"/>
          <w:szCs w:val="30"/>
        </w:rPr>
      </w:pPr>
      <w:r>
        <w:rPr>
          <w:rFonts w:hint="eastAsia" w:ascii="仿宋" w:hAnsi="仿宋" w:eastAsia="仿宋" w:cs="仿宋"/>
          <w:sz w:val="32"/>
          <w:szCs w:val="32"/>
        </w:rPr>
        <w:t>特定原始权益人更正经审计的公司财务信息的，参照前两款规定处理。</w:t>
      </w:r>
    </w:p>
    <w:p>
      <w:pPr>
        <w:pStyle w:val="2"/>
        <w:spacing w:line="560" w:lineRule="exact"/>
      </w:pPr>
      <w:bookmarkStart w:id="12" w:name="_Toc4854_WPSOffice_Level1"/>
      <w:bookmarkStart w:id="13" w:name="_Toc30481"/>
      <w:bookmarkStart w:id="14" w:name="_Toc24490"/>
      <w:bookmarkStart w:id="15" w:name="_Toc24642"/>
      <w:bookmarkStart w:id="16" w:name="_Toc121678225"/>
      <w:bookmarkStart w:id="17" w:name="_Toc28406"/>
      <w:r>
        <w:rPr>
          <w:rFonts w:hint="eastAsia"/>
        </w:rPr>
        <w:t>第三章 年度资产管理报告</w:t>
      </w:r>
      <w:bookmarkEnd w:id="12"/>
      <w:bookmarkEnd w:id="13"/>
      <w:bookmarkEnd w:id="14"/>
      <w:bookmarkEnd w:id="15"/>
      <w:bookmarkEnd w:id="16"/>
      <w:bookmarkEnd w:id="17"/>
    </w:p>
    <w:p>
      <w:pPr>
        <w:pStyle w:val="3"/>
        <w:spacing w:line="560" w:lineRule="exact"/>
      </w:pPr>
      <w:bookmarkStart w:id="18" w:name="_Toc29903"/>
      <w:bookmarkStart w:id="19" w:name="_Toc121678226"/>
      <w:bookmarkStart w:id="20" w:name="_Toc19423_WPSOffice_Level2"/>
      <w:bookmarkStart w:id="21" w:name="_Toc21827"/>
      <w:bookmarkStart w:id="22" w:name="_Toc15012"/>
      <w:bookmarkStart w:id="23" w:name="_Toc21574"/>
      <w:r>
        <w:rPr>
          <w:rFonts w:hint="eastAsia"/>
        </w:rPr>
        <w:t>第一节 一般规定</w:t>
      </w:r>
      <w:bookmarkEnd w:id="18"/>
      <w:bookmarkEnd w:id="19"/>
      <w:bookmarkEnd w:id="20"/>
      <w:bookmarkEnd w:id="21"/>
      <w:bookmarkEnd w:id="22"/>
      <w:bookmarkEnd w:id="23"/>
    </w:p>
    <w:p>
      <w:pPr>
        <w:spacing w:line="560" w:lineRule="exact"/>
        <w:ind w:firstLine="643" w:firstLineChars="200"/>
        <w:jc w:val="both"/>
        <w:rPr>
          <w:rFonts w:ascii="仿宋" w:hAnsi="仿宋" w:eastAsia="仿宋" w:cs="仿宋"/>
          <w:sz w:val="32"/>
          <w:szCs w:val="32"/>
        </w:rPr>
      </w:pPr>
      <w:r>
        <w:rPr>
          <w:rFonts w:hint="eastAsia" w:ascii="仿宋" w:hAnsi="仿宋" w:eastAsia="仿宋" w:cs="仿宋"/>
          <w:b/>
          <w:bCs/>
          <w:sz w:val="32"/>
          <w:szCs w:val="32"/>
        </w:rPr>
        <w:t>第十二条</w:t>
      </w:r>
      <w:r>
        <w:rPr>
          <w:rFonts w:hint="eastAsia" w:ascii="仿宋" w:hAnsi="仿宋" w:eastAsia="仿宋" w:cs="仿宋"/>
          <w:b/>
          <w:bCs/>
          <w:sz w:val="32"/>
          <w:szCs w:val="32"/>
          <w:lang w:val="en-US" w:eastAsia="zh-CN"/>
        </w:rPr>
        <w:t xml:space="preserve"> </w:t>
      </w:r>
      <w:r>
        <w:rPr>
          <w:rFonts w:hint="eastAsia" w:ascii="仿宋" w:hAnsi="仿宋" w:eastAsia="仿宋" w:cs="仿宋"/>
          <w:sz w:val="32"/>
          <w:szCs w:val="32"/>
        </w:rPr>
        <w:t>管理人应当在每年4月30日前披露年度资产管理报告，但专项计划设立距报告期末不足2个月或者专项计划所有挂牌证券在披露截止日前已全部摘牌的除外。</w:t>
      </w:r>
    </w:p>
    <w:p>
      <w:pPr>
        <w:spacing w:line="560" w:lineRule="exact"/>
        <w:ind w:firstLine="643" w:firstLineChars="200"/>
        <w:jc w:val="both"/>
        <w:rPr>
          <w:rFonts w:ascii="仿宋" w:hAnsi="仿宋" w:eastAsia="仿宋" w:cs="仿宋"/>
          <w:sz w:val="32"/>
          <w:szCs w:val="32"/>
        </w:rPr>
      </w:pPr>
      <w:r>
        <w:rPr>
          <w:rFonts w:hint="eastAsia" w:ascii="仿宋" w:hAnsi="仿宋" w:eastAsia="仿宋" w:cs="仿宋"/>
          <w:b/>
          <w:bCs/>
          <w:sz w:val="32"/>
          <w:szCs w:val="32"/>
        </w:rPr>
        <w:t>第十三条</w:t>
      </w:r>
      <w:r>
        <w:rPr>
          <w:rFonts w:hint="eastAsia" w:ascii="仿宋" w:hAnsi="仿宋" w:eastAsia="仿宋" w:cs="仿宋"/>
          <w:b/>
          <w:bCs/>
          <w:sz w:val="32"/>
          <w:szCs w:val="32"/>
          <w:lang w:val="en-US" w:eastAsia="zh-CN"/>
        </w:rPr>
        <w:t xml:space="preserve"> </w:t>
      </w:r>
      <w:r>
        <w:rPr>
          <w:rFonts w:hint="eastAsia" w:ascii="仿宋" w:hAnsi="仿宋" w:eastAsia="仿宋" w:cs="仿宋"/>
          <w:sz w:val="32"/>
          <w:szCs w:val="32"/>
        </w:rPr>
        <w:t>年度资产管理报告封面应当标明专项计划名称、报告期间、管理人名称和披露时间。</w:t>
      </w:r>
    </w:p>
    <w:p>
      <w:pPr>
        <w:spacing w:line="560" w:lineRule="exact"/>
        <w:ind w:firstLine="643" w:firstLineChars="200"/>
        <w:jc w:val="both"/>
        <w:rPr>
          <w:rFonts w:ascii="仿宋" w:hAnsi="仿宋" w:eastAsia="仿宋" w:cs="仿宋"/>
          <w:sz w:val="32"/>
          <w:szCs w:val="32"/>
        </w:rPr>
      </w:pPr>
      <w:r>
        <w:rPr>
          <w:rFonts w:hint="eastAsia" w:ascii="仿宋" w:hAnsi="仿宋" w:eastAsia="仿宋" w:cs="仿宋"/>
          <w:b/>
          <w:bCs/>
          <w:sz w:val="32"/>
          <w:szCs w:val="32"/>
        </w:rPr>
        <w:t>第十四条</w:t>
      </w:r>
      <w:r>
        <w:rPr>
          <w:rFonts w:hint="eastAsia" w:ascii="仿宋" w:hAnsi="仿宋" w:eastAsia="仿宋" w:cs="仿宋"/>
          <w:b/>
          <w:bCs/>
          <w:sz w:val="32"/>
          <w:szCs w:val="32"/>
          <w:lang w:val="en-US" w:eastAsia="zh-CN"/>
        </w:rPr>
        <w:t xml:space="preserve"> </w:t>
      </w:r>
      <w:r>
        <w:rPr>
          <w:rFonts w:hint="eastAsia" w:ascii="仿宋" w:hAnsi="仿宋" w:eastAsia="仿宋" w:cs="仿宋"/>
          <w:sz w:val="32"/>
          <w:szCs w:val="32"/>
        </w:rPr>
        <w:t>管理人应当在年度资产管理报告正文扉页作出如下重要提示：管理人保证本报告的内容真实、准确、完整，不存在虚假记载、误导性陈述或者重大遗漏，并承担相应的法律责任。</w:t>
      </w:r>
    </w:p>
    <w:p>
      <w:pPr>
        <w:spacing w:line="560" w:lineRule="exact"/>
        <w:ind w:firstLine="600"/>
        <w:rPr>
          <w:rFonts w:ascii="仿宋" w:hAnsi="仿宋" w:eastAsia="仿宋" w:cs="仿宋"/>
          <w:sz w:val="32"/>
          <w:szCs w:val="32"/>
        </w:rPr>
      </w:pPr>
      <w:r>
        <w:rPr>
          <w:rFonts w:hint="eastAsia" w:ascii="仿宋" w:hAnsi="仿宋" w:eastAsia="仿宋" w:cs="仿宋"/>
          <w:b/>
          <w:bCs/>
          <w:sz w:val="32"/>
          <w:szCs w:val="32"/>
        </w:rPr>
        <w:t>第十五条</w:t>
      </w:r>
      <w:r>
        <w:rPr>
          <w:rFonts w:hint="eastAsia" w:ascii="仿宋" w:hAnsi="仿宋" w:eastAsia="仿宋" w:cs="仿宋"/>
          <w:b/>
          <w:bCs/>
          <w:sz w:val="32"/>
          <w:szCs w:val="32"/>
          <w:lang w:val="en-US" w:eastAsia="zh-CN"/>
        </w:rPr>
        <w:t xml:space="preserve"> </w:t>
      </w:r>
      <w:r>
        <w:rPr>
          <w:rFonts w:hint="eastAsia" w:ascii="仿宋" w:hAnsi="仿宋" w:eastAsia="仿宋" w:cs="仿宋"/>
          <w:sz w:val="32"/>
          <w:szCs w:val="32"/>
        </w:rPr>
        <w:t>管理人应当在“重要提示”中说明执行审计的会计师事务所对专项计划出具的审计意见，并将审计报告作为年度资产管理报告的附件披露。</w:t>
      </w:r>
    </w:p>
    <w:p>
      <w:pPr>
        <w:spacing w:line="560" w:lineRule="exact"/>
        <w:ind w:firstLine="600"/>
        <w:rPr>
          <w:rFonts w:ascii="仿宋" w:hAnsi="仿宋" w:eastAsia="仿宋" w:cs="仿宋"/>
          <w:sz w:val="32"/>
          <w:szCs w:val="32"/>
        </w:rPr>
      </w:pPr>
      <w:r>
        <w:rPr>
          <w:rFonts w:hint="eastAsia" w:ascii="仿宋" w:hAnsi="仿宋" w:eastAsia="仿宋" w:cs="仿宋"/>
          <w:sz w:val="32"/>
          <w:szCs w:val="32"/>
        </w:rPr>
        <w:t>会计师事务所出具非标准审计意见的，管理人应当在年度资产管理报告中就所涉及事项作出说明，并分析相关事项对资产支持证券收益分配的影响。</w:t>
      </w:r>
    </w:p>
    <w:p>
      <w:pPr>
        <w:spacing w:line="560" w:lineRule="exact"/>
        <w:ind w:firstLine="600"/>
        <w:rPr>
          <w:rFonts w:ascii="仿宋" w:hAnsi="仿宋" w:eastAsia="仿宋" w:cs="仿宋"/>
          <w:sz w:val="32"/>
          <w:szCs w:val="32"/>
        </w:rPr>
      </w:pPr>
      <w:r>
        <w:rPr>
          <w:rFonts w:hint="eastAsia" w:ascii="仿宋" w:hAnsi="仿宋" w:eastAsia="仿宋" w:cs="仿宋"/>
          <w:sz w:val="32"/>
          <w:szCs w:val="32"/>
        </w:rPr>
        <w:t>前款所称资产支持证券收益分配，包含按约定支付资产支持证券本金及收益、其他权利行权等。</w:t>
      </w:r>
    </w:p>
    <w:p>
      <w:pPr>
        <w:spacing w:line="560" w:lineRule="exact"/>
        <w:ind w:firstLine="600"/>
        <w:rPr>
          <w:rFonts w:ascii="仿宋" w:hAnsi="仿宋" w:eastAsia="仿宋" w:cs="仿宋"/>
          <w:sz w:val="32"/>
          <w:szCs w:val="32"/>
        </w:rPr>
      </w:pPr>
      <w:r>
        <w:rPr>
          <w:rFonts w:hint="eastAsia" w:ascii="仿宋" w:hAnsi="仿宋" w:eastAsia="仿宋" w:cs="仿宋"/>
          <w:b/>
          <w:bCs/>
          <w:sz w:val="32"/>
          <w:szCs w:val="32"/>
        </w:rPr>
        <w:t>第十六条</w:t>
      </w:r>
      <w:r>
        <w:rPr>
          <w:rFonts w:hint="eastAsia" w:ascii="仿宋" w:hAnsi="仿宋" w:eastAsia="仿宋" w:cs="仿宋"/>
          <w:b/>
          <w:bCs/>
          <w:sz w:val="32"/>
          <w:szCs w:val="32"/>
          <w:lang w:val="en-US" w:eastAsia="zh-CN"/>
        </w:rPr>
        <w:t xml:space="preserve"> </w:t>
      </w:r>
      <w:r>
        <w:rPr>
          <w:rFonts w:hint="eastAsia" w:ascii="仿宋" w:hAnsi="仿宋" w:eastAsia="仿宋" w:cs="仿宋"/>
          <w:sz w:val="32"/>
          <w:szCs w:val="32"/>
        </w:rPr>
        <w:t>年度资产管理报告中相关信息来源于管理人外的其他</w:t>
      </w:r>
      <w:r>
        <w:rPr>
          <w:rFonts w:hint="eastAsia" w:ascii="仿宋" w:hAnsi="仿宋" w:eastAsia="仿宋" w:cs="仿宋"/>
          <w:sz w:val="32"/>
          <w:szCs w:val="32"/>
          <w:lang w:eastAsia="zh-CN"/>
        </w:rPr>
        <w:t>相关主体</w:t>
      </w:r>
      <w:r>
        <w:rPr>
          <w:rFonts w:hint="eastAsia" w:ascii="仿宋" w:hAnsi="仿宋" w:eastAsia="仿宋" w:cs="仿宋"/>
          <w:sz w:val="32"/>
          <w:szCs w:val="32"/>
        </w:rPr>
        <w:t>的，管理人应当在“重要提示”中说明相关信息来源及经信息来源方确认的情况，以及管理人已通过合理方式进行复核确认的情况。经复核仍存在重要差异的，管理人应当说明差异内容及其原因。</w:t>
      </w:r>
    </w:p>
    <w:p>
      <w:pPr>
        <w:spacing w:line="560" w:lineRule="exact"/>
        <w:ind w:firstLine="600"/>
        <w:rPr>
          <w:rFonts w:ascii="仿宋" w:hAnsi="仿宋" w:eastAsia="仿宋" w:cs="仿宋"/>
          <w:sz w:val="32"/>
          <w:szCs w:val="32"/>
        </w:rPr>
      </w:pPr>
      <w:r>
        <w:rPr>
          <w:rFonts w:hint="eastAsia" w:ascii="仿宋" w:hAnsi="仿宋" w:eastAsia="仿宋" w:cs="仿宋"/>
          <w:sz w:val="32"/>
          <w:szCs w:val="32"/>
        </w:rPr>
        <w:t>管理人应当在“重要提示”中说明年度资产管理报告相关内容与托管人出具的年度托管报告相应内容是否一致。存在重要差异的，管理人应当说明差异内容及其原因。</w:t>
      </w:r>
    </w:p>
    <w:p>
      <w:pPr>
        <w:spacing w:line="560" w:lineRule="exact"/>
        <w:ind w:firstLine="600"/>
        <w:rPr>
          <w:rFonts w:ascii="仿宋" w:hAnsi="仿宋" w:eastAsia="仿宋" w:cs="仿宋"/>
          <w:sz w:val="32"/>
          <w:szCs w:val="32"/>
        </w:rPr>
      </w:pPr>
      <w:r>
        <w:rPr>
          <w:rFonts w:hint="eastAsia" w:ascii="仿宋" w:hAnsi="仿宋" w:eastAsia="仿宋" w:cs="仿宋"/>
          <w:b/>
          <w:bCs/>
          <w:sz w:val="32"/>
          <w:szCs w:val="32"/>
        </w:rPr>
        <w:t>第十七条</w:t>
      </w:r>
      <w:r>
        <w:rPr>
          <w:rFonts w:hint="eastAsia" w:ascii="仿宋" w:hAnsi="仿宋" w:eastAsia="仿宋" w:cs="仿宋"/>
          <w:b/>
          <w:bCs/>
          <w:sz w:val="32"/>
          <w:szCs w:val="32"/>
          <w:lang w:val="en-US" w:eastAsia="zh-CN"/>
        </w:rPr>
        <w:t xml:space="preserve"> </w:t>
      </w:r>
      <w:r>
        <w:rPr>
          <w:rFonts w:hint="eastAsia" w:ascii="仿宋" w:hAnsi="仿宋" w:eastAsia="仿宋" w:cs="仿宋"/>
          <w:sz w:val="32"/>
          <w:szCs w:val="32"/>
        </w:rPr>
        <w:t>年度资产管理报告中披露的相关信息可能对资产支持证券收益分配、投资价值、转让价格和投资者权益产生重大不利影响的，管理人应当在“重要提示”中说明相关信息产生的重大不利影响并向投资者提示风险。</w:t>
      </w:r>
    </w:p>
    <w:p>
      <w:pPr>
        <w:spacing w:line="560" w:lineRule="exact"/>
        <w:ind w:firstLine="600"/>
        <w:rPr>
          <w:rFonts w:ascii="仿宋" w:hAnsi="仿宋" w:eastAsia="仿宋" w:cs="仿宋"/>
          <w:sz w:val="32"/>
          <w:szCs w:val="32"/>
        </w:rPr>
      </w:pPr>
      <w:r>
        <w:rPr>
          <w:rFonts w:hint="eastAsia" w:ascii="仿宋" w:hAnsi="仿宋" w:eastAsia="仿宋" w:cs="仿宋"/>
          <w:b/>
          <w:bCs/>
          <w:sz w:val="32"/>
          <w:szCs w:val="32"/>
        </w:rPr>
        <w:t>第十八条</w:t>
      </w:r>
      <w:r>
        <w:rPr>
          <w:rFonts w:hint="eastAsia" w:ascii="仿宋" w:hAnsi="仿宋" w:eastAsia="仿宋" w:cs="仿宋"/>
          <w:b/>
          <w:bCs/>
          <w:sz w:val="32"/>
          <w:szCs w:val="32"/>
          <w:lang w:val="en-US" w:eastAsia="zh-CN"/>
        </w:rPr>
        <w:t xml:space="preserve"> </w:t>
      </w:r>
      <w:r>
        <w:rPr>
          <w:rFonts w:hint="eastAsia" w:ascii="仿宋" w:hAnsi="仿宋" w:eastAsia="仿宋" w:cs="仿宋"/>
          <w:sz w:val="32"/>
          <w:szCs w:val="32"/>
        </w:rPr>
        <w:t>年度资产管理报告内容较多的，可以编制目录。目录应当标明各章、节的标题及其对应的页码。</w:t>
      </w:r>
    </w:p>
    <w:p>
      <w:pPr>
        <w:spacing w:line="560" w:lineRule="exact"/>
        <w:ind w:firstLine="600"/>
        <w:rPr>
          <w:rFonts w:ascii="仿宋" w:hAnsi="仿宋" w:eastAsia="仿宋" w:cs="仿宋"/>
          <w:sz w:val="32"/>
          <w:szCs w:val="32"/>
        </w:rPr>
      </w:pPr>
      <w:r>
        <w:rPr>
          <w:rFonts w:hint="eastAsia" w:ascii="仿宋" w:hAnsi="仿宋" w:eastAsia="仿宋" w:cs="仿宋"/>
          <w:b/>
          <w:bCs/>
          <w:sz w:val="32"/>
          <w:szCs w:val="32"/>
        </w:rPr>
        <w:t>第十九条</w:t>
      </w:r>
      <w:r>
        <w:rPr>
          <w:rFonts w:hint="eastAsia" w:ascii="仿宋" w:hAnsi="仿宋" w:eastAsia="仿宋" w:cs="仿宋"/>
          <w:b/>
          <w:bCs/>
          <w:sz w:val="32"/>
          <w:szCs w:val="32"/>
          <w:lang w:val="en-US" w:eastAsia="zh-CN"/>
        </w:rPr>
        <w:t xml:space="preserve"> </w:t>
      </w:r>
      <w:r>
        <w:rPr>
          <w:rFonts w:hint="eastAsia" w:ascii="仿宋" w:hAnsi="仿宋" w:eastAsia="仿宋" w:cs="仿宋"/>
          <w:sz w:val="32"/>
          <w:szCs w:val="32"/>
        </w:rPr>
        <w:t>管理人应当对可能造成投资者理解障碍以及具有特定含义的术语作出通俗易懂的解释，年度资产管理报告的释义应当在“重要提示”或者目录次页排印。</w:t>
      </w:r>
    </w:p>
    <w:p>
      <w:pPr>
        <w:spacing w:line="560" w:lineRule="exact"/>
        <w:ind w:firstLine="600"/>
        <w:rPr>
          <w:rFonts w:ascii="仿宋" w:hAnsi="仿宋" w:eastAsia="仿宋" w:cs="仿宋"/>
          <w:sz w:val="32"/>
          <w:szCs w:val="32"/>
        </w:rPr>
      </w:pPr>
      <w:r>
        <w:rPr>
          <w:rFonts w:hint="eastAsia" w:ascii="仿宋" w:hAnsi="仿宋" w:eastAsia="仿宋" w:cs="仿宋"/>
          <w:b/>
          <w:bCs/>
          <w:sz w:val="32"/>
          <w:szCs w:val="32"/>
        </w:rPr>
        <w:t>第二十条</w:t>
      </w:r>
      <w:r>
        <w:rPr>
          <w:rFonts w:hint="eastAsia" w:ascii="仿宋" w:hAnsi="仿宋" w:eastAsia="仿宋" w:cs="仿宋"/>
          <w:b/>
          <w:bCs/>
          <w:sz w:val="32"/>
          <w:szCs w:val="32"/>
          <w:lang w:val="en-US" w:eastAsia="zh-CN"/>
        </w:rPr>
        <w:t xml:space="preserve"> </w:t>
      </w:r>
      <w:r>
        <w:rPr>
          <w:rFonts w:hint="eastAsia" w:ascii="仿宋" w:hAnsi="仿宋" w:eastAsia="仿宋" w:cs="仿宋"/>
          <w:sz w:val="32"/>
          <w:szCs w:val="32"/>
        </w:rPr>
        <w:t>管理人应当在年度资产管理报告中披露附件目录，并在办公场所置备以下附件：</w:t>
      </w:r>
    </w:p>
    <w:p>
      <w:pPr>
        <w:spacing w:line="560" w:lineRule="exact"/>
        <w:ind w:firstLine="600"/>
        <w:rPr>
          <w:rFonts w:ascii="仿宋" w:hAnsi="仿宋" w:eastAsia="仿宋" w:cs="仿宋"/>
          <w:sz w:val="32"/>
          <w:szCs w:val="32"/>
        </w:rPr>
      </w:pPr>
      <w:r>
        <w:rPr>
          <w:rFonts w:hint="eastAsia" w:ascii="仿宋" w:hAnsi="仿宋" w:eastAsia="仿宋" w:cs="仿宋"/>
          <w:sz w:val="32"/>
          <w:szCs w:val="32"/>
        </w:rPr>
        <w:t>（一）会计师事务所对专项计划出具的审计报告与会计师事务所从事证券期货相关业务的备案证明；</w:t>
      </w:r>
    </w:p>
    <w:p>
      <w:pPr>
        <w:spacing w:line="560" w:lineRule="exact"/>
        <w:ind w:firstLine="600"/>
        <w:rPr>
          <w:rFonts w:ascii="仿宋" w:hAnsi="仿宋" w:eastAsia="仿宋" w:cs="仿宋"/>
          <w:sz w:val="32"/>
          <w:szCs w:val="32"/>
        </w:rPr>
      </w:pPr>
      <w:r>
        <w:rPr>
          <w:rFonts w:hint="eastAsia" w:ascii="仿宋" w:hAnsi="仿宋" w:eastAsia="仿宋" w:cs="仿宋"/>
          <w:sz w:val="32"/>
          <w:szCs w:val="32"/>
        </w:rPr>
        <w:t>（二）会计师事务所出具的特定原始权益人审计报告及特定原始权益人的年度财务报告（如有）；</w:t>
      </w:r>
    </w:p>
    <w:p>
      <w:pPr>
        <w:spacing w:line="560" w:lineRule="exact"/>
        <w:ind w:firstLine="600"/>
        <w:rPr>
          <w:rFonts w:ascii="仿宋" w:hAnsi="仿宋" w:eastAsia="仿宋" w:cs="仿宋"/>
          <w:sz w:val="32"/>
          <w:szCs w:val="32"/>
        </w:rPr>
      </w:pPr>
      <w:r>
        <w:rPr>
          <w:rFonts w:hint="eastAsia" w:ascii="仿宋" w:hAnsi="仿宋" w:eastAsia="仿宋" w:cs="仿宋"/>
          <w:sz w:val="32"/>
          <w:szCs w:val="32"/>
        </w:rPr>
        <w:t>（三）增信机构年度财务报告（如有）；</w:t>
      </w:r>
    </w:p>
    <w:p>
      <w:pPr>
        <w:spacing w:line="560" w:lineRule="exact"/>
        <w:ind w:firstLine="600"/>
        <w:rPr>
          <w:rFonts w:ascii="仿宋" w:hAnsi="仿宋" w:eastAsia="仿宋" w:cs="仿宋"/>
          <w:sz w:val="32"/>
          <w:szCs w:val="32"/>
        </w:rPr>
      </w:pPr>
      <w:r>
        <w:rPr>
          <w:rFonts w:hint="eastAsia" w:ascii="仿宋" w:hAnsi="仿宋" w:eastAsia="仿宋" w:cs="仿宋"/>
          <w:sz w:val="32"/>
          <w:szCs w:val="32"/>
        </w:rPr>
        <w:t>（四）抵质押物评估报告或者其他资产评估报告（如有）；</w:t>
      </w:r>
    </w:p>
    <w:p>
      <w:pPr>
        <w:spacing w:line="560" w:lineRule="exact"/>
        <w:ind w:firstLine="600"/>
        <w:rPr>
          <w:rFonts w:ascii="仿宋" w:hAnsi="仿宋" w:eastAsia="仿宋" w:cs="仿宋"/>
          <w:sz w:val="32"/>
          <w:szCs w:val="32"/>
        </w:rPr>
      </w:pPr>
      <w:r>
        <w:rPr>
          <w:rFonts w:hint="eastAsia" w:ascii="仿宋" w:hAnsi="仿宋" w:eastAsia="仿宋" w:cs="仿宋"/>
          <w:sz w:val="32"/>
          <w:szCs w:val="32"/>
        </w:rPr>
        <w:t>（五）现金流预测报告（如有）；</w:t>
      </w:r>
    </w:p>
    <w:p>
      <w:pPr>
        <w:spacing w:line="560" w:lineRule="exact"/>
        <w:ind w:firstLine="600"/>
        <w:rPr>
          <w:rFonts w:ascii="仿宋" w:hAnsi="仿宋" w:eastAsia="仿宋" w:cs="仿宋"/>
          <w:sz w:val="32"/>
          <w:szCs w:val="32"/>
        </w:rPr>
      </w:pPr>
      <w:r>
        <w:rPr>
          <w:rFonts w:hint="eastAsia" w:ascii="仿宋" w:hAnsi="仿宋" w:eastAsia="仿宋" w:cs="仿宋"/>
          <w:sz w:val="32"/>
          <w:szCs w:val="32"/>
        </w:rPr>
        <w:t>（六）其他附件。</w:t>
      </w:r>
    </w:p>
    <w:p>
      <w:pPr>
        <w:pStyle w:val="3"/>
        <w:spacing w:line="560" w:lineRule="exact"/>
      </w:pPr>
      <w:bookmarkStart w:id="24" w:name="_Toc13336"/>
      <w:bookmarkStart w:id="25" w:name="_Toc121678227"/>
      <w:bookmarkStart w:id="26" w:name="_Toc945"/>
      <w:bookmarkStart w:id="27" w:name="_Toc31657"/>
      <w:bookmarkStart w:id="28" w:name="_Toc23240"/>
      <w:bookmarkStart w:id="29" w:name="_Toc24400_WPSOffice_Level2"/>
      <w:r>
        <w:t>第二节 专项计划基本情况及业务参与人履约情况</w:t>
      </w:r>
      <w:bookmarkEnd w:id="24"/>
      <w:bookmarkEnd w:id="25"/>
      <w:bookmarkEnd w:id="26"/>
      <w:bookmarkEnd w:id="27"/>
      <w:bookmarkEnd w:id="28"/>
      <w:bookmarkEnd w:id="29"/>
    </w:p>
    <w:p>
      <w:pPr>
        <w:spacing w:line="560" w:lineRule="exact"/>
        <w:ind w:firstLine="600"/>
        <w:rPr>
          <w:rFonts w:ascii="仿宋" w:hAnsi="仿宋" w:eastAsia="仿宋" w:cs="仿宋"/>
          <w:sz w:val="32"/>
          <w:szCs w:val="32"/>
        </w:rPr>
      </w:pPr>
      <w:r>
        <w:rPr>
          <w:rFonts w:hint="eastAsia" w:ascii="仿宋" w:hAnsi="仿宋" w:eastAsia="仿宋" w:cs="仿宋"/>
          <w:b/>
          <w:bCs/>
          <w:sz w:val="32"/>
          <w:szCs w:val="32"/>
        </w:rPr>
        <w:t>第二十一条</w:t>
      </w:r>
      <w:r>
        <w:rPr>
          <w:rFonts w:hint="eastAsia" w:ascii="仿宋" w:hAnsi="仿宋" w:eastAsia="仿宋" w:cs="仿宋"/>
          <w:b/>
          <w:bCs/>
          <w:sz w:val="32"/>
          <w:szCs w:val="32"/>
          <w:lang w:val="en-US" w:eastAsia="zh-CN"/>
        </w:rPr>
        <w:t xml:space="preserve"> </w:t>
      </w:r>
      <w:r>
        <w:rPr>
          <w:rFonts w:hint="eastAsia" w:ascii="仿宋" w:hAnsi="仿宋" w:eastAsia="仿宋" w:cs="仿宋"/>
          <w:sz w:val="32"/>
          <w:szCs w:val="32"/>
        </w:rPr>
        <w:t>管理人应当简要披露专项计划设立情况、发行规模、交易结构、增信方式、基础资产类型及具体内容、资产支持证券挂牌转让场所等专项计划基本情况。</w:t>
      </w:r>
    </w:p>
    <w:p>
      <w:pPr>
        <w:spacing w:line="560" w:lineRule="exact"/>
        <w:ind w:firstLine="600"/>
        <w:rPr>
          <w:rFonts w:ascii="仿宋" w:hAnsi="仿宋" w:eastAsia="仿宋" w:cs="仿宋"/>
          <w:sz w:val="32"/>
          <w:szCs w:val="32"/>
        </w:rPr>
      </w:pPr>
      <w:r>
        <w:rPr>
          <w:rFonts w:hint="eastAsia" w:ascii="仿宋" w:hAnsi="仿宋" w:eastAsia="仿宋" w:cs="仿宋"/>
          <w:b/>
          <w:bCs/>
          <w:sz w:val="32"/>
          <w:szCs w:val="32"/>
        </w:rPr>
        <w:t>第二十二条</w:t>
      </w:r>
      <w:r>
        <w:rPr>
          <w:rFonts w:hint="eastAsia" w:ascii="仿宋" w:hAnsi="仿宋" w:eastAsia="仿宋" w:cs="仿宋"/>
          <w:b/>
          <w:bCs/>
          <w:sz w:val="32"/>
          <w:szCs w:val="32"/>
          <w:lang w:val="en-US" w:eastAsia="zh-CN"/>
        </w:rPr>
        <w:t xml:space="preserve"> </w:t>
      </w:r>
      <w:r>
        <w:rPr>
          <w:rFonts w:hint="eastAsia" w:ascii="仿宋" w:hAnsi="仿宋" w:eastAsia="仿宋" w:cs="仿宋"/>
          <w:sz w:val="32"/>
          <w:szCs w:val="32"/>
        </w:rPr>
        <w:t>管理人应当披露各档资产支持证券简称、证券代码、发行日、到期日、发行金额、信用评级（如有）、预期收益率（如有）、收益分配方式及频率、截至报告期末已进行收益分配的分配时间、分配的本金与收益金额，以及未来收益分配安排等。</w:t>
      </w:r>
    </w:p>
    <w:p>
      <w:pPr>
        <w:spacing w:line="560" w:lineRule="exact"/>
        <w:ind w:firstLine="600"/>
        <w:rPr>
          <w:rFonts w:ascii="仿宋" w:hAnsi="仿宋" w:eastAsia="仿宋" w:cs="仿宋"/>
          <w:sz w:val="32"/>
          <w:szCs w:val="32"/>
        </w:rPr>
      </w:pPr>
      <w:r>
        <w:rPr>
          <w:rFonts w:hint="eastAsia" w:ascii="仿宋" w:hAnsi="仿宋" w:eastAsia="仿宋" w:cs="仿宋"/>
          <w:sz w:val="32"/>
          <w:szCs w:val="32"/>
        </w:rPr>
        <w:t>管理人应当披露截至报告期末原始权益人及其关联方风险自留的情况。与报告期初发生变化的，管理人应当披露变化发生的原因以及是否存在违反规定</w:t>
      </w:r>
      <w:r>
        <w:rPr>
          <w:rFonts w:hint="eastAsia" w:ascii="仿宋" w:hAnsi="仿宋" w:eastAsia="仿宋" w:cs="仿宋"/>
          <w:sz w:val="32"/>
          <w:szCs w:val="32"/>
          <w:lang w:eastAsia="zh-CN"/>
        </w:rPr>
        <w:t>或者</w:t>
      </w:r>
      <w:r>
        <w:rPr>
          <w:rFonts w:hint="eastAsia" w:ascii="仿宋" w:hAnsi="仿宋" w:eastAsia="仿宋" w:cs="仿宋"/>
          <w:sz w:val="32"/>
          <w:szCs w:val="32"/>
        </w:rPr>
        <w:t>约定的情形。</w:t>
      </w:r>
    </w:p>
    <w:p>
      <w:pPr>
        <w:spacing w:line="560" w:lineRule="exact"/>
        <w:ind w:firstLine="600"/>
        <w:rPr>
          <w:rFonts w:ascii="仿宋" w:hAnsi="仿宋" w:eastAsia="仿宋" w:cs="仿宋"/>
          <w:sz w:val="32"/>
          <w:szCs w:val="32"/>
        </w:rPr>
      </w:pPr>
      <w:r>
        <w:rPr>
          <w:rFonts w:hint="eastAsia" w:ascii="仿宋" w:hAnsi="仿宋" w:eastAsia="仿宋" w:cs="仿宋"/>
          <w:b/>
          <w:bCs/>
          <w:sz w:val="32"/>
          <w:szCs w:val="32"/>
        </w:rPr>
        <w:t>第二十三条</w:t>
      </w:r>
      <w:r>
        <w:rPr>
          <w:rFonts w:hint="eastAsia" w:ascii="仿宋" w:hAnsi="仿宋" w:eastAsia="仿宋" w:cs="仿宋"/>
          <w:b/>
          <w:bCs/>
          <w:sz w:val="32"/>
          <w:szCs w:val="32"/>
          <w:lang w:val="en-US" w:eastAsia="zh-CN"/>
        </w:rPr>
        <w:t xml:space="preserve"> </w:t>
      </w:r>
      <w:r>
        <w:rPr>
          <w:rFonts w:hint="eastAsia" w:ascii="仿宋" w:hAnsi="仿宋" w:eastAsia="仿宋" w:cs="仿宋"/>
          <w:sz w:val="32"/>
          <w:szCs w:val="32"/>
        </w:rPr>
        <w:t>报告期内原始权益人、资产服务机构、增信机构、托管人、资信评级机构、资产评估机构（如有）、现金流预测机构（如有）等其他资产支持证券业务参与人发生变更或者基本情况变化的，管理人应当披露变更或者变化情况。</w:t>
      </w:r>
    </w:p>
    <w:p>
      <w:pPr>
        <w:spacing w:line="560" w:lineRule="exact"/>
        <w:ind w:firstLine="600"/>
        <w:rPr>
          <w:rFonts w:ascii="仿宋" w:hAnsi="仿宋" w:eastAsia="仿宋" w:cs="仿宋"/>
          <w:sz w:val="32"/>
          <w:szCs w:val="32"/>
        </w:rPr>
      </w:pPr>
      <w:r>
        <w:rPr>
          <w:rFonts w:hint="eastAsia" w:ascii="仿宋" w:hAnsi="仿宋" w:eastAsia="仿宋" w:cs="仿宋"/>
          <w:b/>
          <w:bCs/>
          <w:sz w:val="32"/>
          <w:szCs w:val="32"/>
        </w:rPr>
        <w:t>第二十四条</w:t>
      </w:r>
      <w:r>
        <w:rPr>
          <w:rFonts w:hint="eastAsia" w:ascii="仿宋" w:hAnsi="仿宋" w:eastAsia="仿宋" w:cs="仿宋"/>
          <w:b/>
          <w:bCs/>
          <w:sz w:val="32"/>
          <w:szCs w:val="32"/>
          <w:lang w:val="en-US" w:eastAsia="zh-CN"/>
        </w:rPr>
        <w:t xml:space="preserve"> </w:t>
      </w:r>
      <w:r>
        <w:rPr>
          <w:rFonts w:hint="eastAsia" w:ascii="仿宋" w:hAnsi="仿宋" w:eastAsia="仿宋" w:cs="仿宋"/>
          <w:sz w:val="32"/>
          <w:szCs w:val="32"/>
        </w:rPr>
        <w:t>资产支持证券附基础资产相关权益方或者投资者选择权条款的，管理人应当披露报告期内相关选择权的行使情况。</w:t>
      </w:r>
    </w:p>
    <w:p>
      <w:pPr>
        <w:spacing w:line="560" w:lineRule="exact"/>
        <w:ind w:firstLine="600"/>
        <w:rPr>
          <w:rFonts w:ascii="仿宋" w:hAnsi="仿宋" w:eastAsia="仿宋" w:cs="仿宋"/>
          <w:sz w:val="32"/>
          <w:szCs w:val="32"/>
        </w:rPr>
      </w:pPr>
      <w:r>
        <w:rPr>
          <w:rFonts w:hint="eastAsia" w:ascii="仿宋" w:hAnsi="仿宋" w:eastAsia="仿宋" w:cs="仿宋"/>
          <w:b/>
          <w:bCs/>
          <w:sz w:val="32"/>
          <w:szCs w:val="32"/>
        </w:rPr>
        <w:t>第二十五条</w:t>
      </w:r>
      <w:r>
        <w:rPr>
          <w:rFonts w:hint="eastAsia" w:ascii="仿宋" w:hAnsi="仿宋" w:eastAsia="仿宋" w:cs="仿宋"/>
          <w:b/>
          <w:bCs/>
          <w:sz w:val="32"/>
          <w:szCs w:val="32"/>
          <w:lang w:val="en-US" w:eastAsia="zh-CN"/>
        </w:rPr>
        <w:t xml:space="preserve"> </w:t>
      </w:r>
      <w:r>
        <w:rPr>
          <w:rFonts w:hint="eastAsia" w:ascii="仿宋" w:hAnsi="仿宋" w:eastAsia="仿宋" w:cs="仿宋"/>
          <w:sz w:val="32"/>
          <w:szCs w:val="32"/>
        </w:rPr>
        <w:t>管理人应当披露报告期内履行职责和义务的情况，包括但不限于专项计划资产管理过程中是否严格遵守了法律法规、本所规定、专项计划文件的约定和所作出的承诺，是否勤勉尽责地履行专项计划资产管理职责和义务，是否积极督促原始权益人、资产服务机构、增信机构、托管人等其他资产支持证券业务参与人按照规定或者约定履行职责和义务，有无损害资产支持证券投资者权益的行为。</w:t>
      </w:r>
    </w:p>
    <w:p>
      <w:pPr>
        <w:spacing w:line="560" w:lineRule="exact"/>
        <w:ind w:firstLine="600"/>
        <w:rPr>
          <w:rFonts w:ascii="仿宋" w:hAnsi="仿宋" w:eastAsia="仿宋" w:cs="仿宋"/>
          <w:sz w:val="32"/>
          <w:szCs w:val="32"/>
        </w:rPr>
      </w:pPr>
      <w:r>
        <w:rPr>
          <w:rFonts w:hint="eastAsia" w:ascii="仿宋" w:hAnsi="仿宋" w:eastAsia="仿宋" w:cs="仿宋"/>
          <w:sz w:val="32"/>
          <w:szCs w:val="32"/>
        </w:rPr>
        <w:t>管理人应当披露报告期内原始权益人、资产服务机构、增信机构、托管人等其他资产支持证券业务参与人按照规定或者约定履行职责和义务</w:t>
      </w:r>
      <w:r>
        <w:rPr>
          <w:rFonts w:hint="eastAsia" w:ascii="仿宋" w:hAnsi="仿宋" w:eastAsia="仿宋" w:cs="仿宋"/>
          <w:sz w:val="32"/>
          <w:szCs w:val="32"/>
          <w:lang w:eastAsia="zh-CN"/>
        </w:rPr>
        <w:t>的</w:t>
      </w:r>
      <w:r>
        <w:rPr>
          <w:rFonts w:hint="eastAsia" w:ascii="仿宋" w:hAnsi="仿宋" w:eastAsia="仿宋" w:cs="仿宋"/>
          <w:sz w:val="32"/>
          <w:szCs w:val="32"/>
        </w:rPr>
        <w:t>情况。如存在严重违反相关规定、约定或者损害资产支持证券投资者权益行为的，管理人应当披露具体情况，以及采取的维护投资者权益的措施。</w:t>
      </w:r>
    </w:p>
    <w:p>
      <w:pPr>
        <w:spacing w:line="560" w:lineRule="exact"/>
        <w:ind w:firstLine="600"/>
        <w:rPr>
          <w:rFonts w:ascii="仿宋" w:hAnsi="仿宋" w:eastAsia="仿宋" w:cs="仿宋"/>
          <w:sz w:val="32"/>
          <w:szCs w:val="32"/>
        </w:rPr>
      </w:pPr>
      <w:r>
        <w:rPr>
          <w:rFonts w:hint="eastAsia" w:ascii="仿宋" w:hAnsi="仿宋" w:eastAsia="仿宋" w:cs="仿宋"/>
          <w:b/>
          <w:bCs/>
          <w:sz w:val="32"/>
          <w:szCs w:val="32"/>
        </w:rPr>
        <w:t>第二十六条</w:t>
      </w:r>
      <w:r>
        <w:rPr>
          <w:rFonts w:hint="eastAsia" w:ascii="仿宋" w:hAnsi="仿宋" w:eastAsia="仿宋" w:cs="仿宋"/>
          <w:b/>
          <w:bCs/>
          <w:sz w:val="32"/>
          <w:szCs w:val="32"/>
          <w:lang w:val="en-US" w:eastAsia="zh-CN"/>
        </w:rPr>
        <w:t xml:space="preserve"> </w:t>
      </w:r>
      <w:r>
        <w:rPr>
          <w:rFonts w:hint="eastAsia" w:ascii="仿宋" w:hAnsi="仿宋" w:eastAsia="仿宋" w:cs="仿宋"/>
          <w:sz w:val="32"/>
          <w:szCs w:val="32"/>
        </w:rPr>
        <w:t>管理人应当披露报告期内专项计划资产隔离情况，包括但不限于管理的专项计划资产是否独立于固有财产、所管理的其他专项计划资产和客户资产，是否对专项计划资产单独记账、独立核算，管理人管理、运用和处分专项计划资产所产生的债权是否与其自身固有财产、所管理的其他专项计划资产和客户资产产生的债务相抵销。</w:t>
      </w:r>
    </w:p>
    <w:p>
      <w:pPr>
        <w:spacing w:line="560" w:lineRule="exact"/>
        <w:ind w:firstLine="600"/>
        <w:rPr>
          <w:rFonts w:ascii="仿宋" w:hAnsi="仿宋" w:eastAsia="仿宋" w:cs="仿宋"/>
          <w:sz w:val="32"/>
          <w:szCs w:val="32"/>
        </w:rPr>
      </w:pPr>
      <w:r>
        <w:rPr>
          <w:rFonts w:hint="eastAsia" w:ascii="仿宋" w:hAnsi="仿宋" w:eastAsia="仿宋" w:cs="仿宋"/>
          <w:sz w:val="32"/>
          <w:szCs w:val="32"/>
        </w:rPr>
        <w:t>管理人应当披露报告期内原始权益人、资产服务机构等其他资产支持证券业务参与人按照规定或者约定落实专项计划资产隔离制度与混同风险防范机制的情况。专项计划资产未独立于管理人固有财产、所管理的其他资产，或者发生基础资产现金流被截留、挪用等严重损害资产支持证券投资者权益行为的，管理人应当披露具体情况，以及采取的维护投资者权益的措施。</w:t>
      </w:r>
    </w:p>
    <w:p>
      <w:pPr>
        <w:spacing w:line="560" w:lineRule="exact"/>
        <w:ind w:firstLine="643" w:firstLineChars="200"/>
        <w:rPr>
          <w:rFonts w:ascii="仿宋" w:hAnsi="仿宋" w:eastAsia="仿宋" w:cs="仿宋"/>
          <w:sz w:val="32"/>
          <w:szCs w:val="32"/>
        </w:rPr>
      </w:pPr>
      <w:r>
        <w:rPr>
          <w:rFonts w:hint="eastAsia" w:ascii="仿宋" w:hAnsi="仿宋" w:eastAsia="仿宋" w:cs="仿宋"/>
          <w:b/>
          <w:bCs/>
          <w:sz w:val="32"/>
          <w:szCs w:val="32"/>
        </w:rPr>
        <w:t>第二十七条</w:t>
      </w:r>
      <w:r>
        <w:rPr>
          <w:rFonts w:hint="eastAsia" w:ascii="仿宋" w:hAnsi="仿宋" w:eastAsia="仿宋" w:cs="仿宋"/>
          <w:b/>
          <w:bCs/>
          <w:sz w:val="32"/>
          <w:szCs w:val="32"/>
          <w:lang w:val="en-US" w:eastAsia="zh-CN"/>
        </w:rPr>
        <w:t xml:space="preserve"> </w:t>
      </w:r>
      <w:r>
        <w:rPr>
          <w:rFonts w:hint="eastAsia" w:ascii="仿宋" w:hAnsi="仿宋" w:eastAsia="仿宋" w:cs="仿宋"/>
          <w:sz w:val="32"/>
          <w:szCs w:val="32"/>
        </w:rPr>
        <w:t>报告期内聘请的资信评级机构对资产支持证券出具跟踪评级报告的，管理人应当披露报告期内的跟踪评级情况，包括但不限于资信评级机构、评级报告出具时间、调整前后评级结论及标识所代表的含义等。</w:t>
      </w:r>
    </w:p>
    <w:p>
      <w:pPr>
        <w:spacing w:line="560" w:lineRule="exact"/>
        <w:ind w:firstLine="600"/>
        <w:rPr>
          <w:rFonts w:ascii="仿宋" w:hAnsi="仿宋" w:eastAsia="仿宋" w:cs="仿宋"/>
          <w:sz w:val="32"/>
          <w:szCs w:val="32"/>
        </w:rPr>
      </w:pPr>
      <w:r>
        <w:rPr>
          <w:rFonts w:hint="eastAsia" w:ascii="仿宋" w:hAnsi="仿宋" w:eastAsia="仿宋" w:cs="仿宋"/>
          <w:b/>
          <w:bCs/>
          <w:sz w:val="32"/>
          <w:szCs w:val="32"/>
        </w:rPr>
        <w:t>第二十八条</w:t>
      </w:r>
      <w:r>
        <w:rPr>
          <w:rFonts w:hint="eastAsia" w:ascii="仿宋" w:hAnsi="仿宋" w:eastAsia="仿宋" w:cs="仿宋"/>
          <w:b/>
          <w:bCs/>
          <w:sz w:val="32"/>
          <w:szCs w:val="32"/>
          <w:lang w:val="en-US" w:eastAsia="zh-CN"/>
        </w:rPr>
        <w:t xml:space="preserve"> </w:t>
      </w:r>
      <w:r>
        <w:rPr>
          <w:rFonts w:hint="eastAsia" w:ascii="仿宋" w:hAnsi="仿宋" w:eastAsia="仿宋" w:cs="仿宋"/>
          <w:sz w:val="32"/>
          <w:szCs w:val="32"/>
        </w:rPr>
        <w:t>计划说明书约定原始权益人转让基础资产所取得的资金有专门用途或者限制性用途的，管理人应当披露资金使用情况、资金使用用途是否符合计划说明书的约定等。</w:t>
      </w:r>
    </w:p>
    <w:p>
      <w:pPr>
        <w:pStyle w:val="3"/>
        <w:spacing w:line="560" w:lineRule="exact"/>
      </w:pPr>
      <w:bookmarkStart w:id="30" w:name="_Toc14416"/>
      <w:bookmarkStart w:id="31" w:name="_Toc121678228"/>
      <w:bookmarkStart w:id="32" w:name="_Toc28626_WPSOffice_Level2"/>
      <w:bookmarkStart w:id="33" w:name="_Toc3164"/>
      <w:bookmarkStart w:id="34" w:name="_Toc17170"/>
      <w:bookmarkStart w:id="35" w:name="_Toc28210"/>
      <w:r>
        <w:t>第三节 基础资产情况</w:t>
      </w:r>
      <w:bookmarkEnd w:id="30"/>
      <w:bookmarkEnd w:id="31"/>
      <w:bookmarkEnd w:id="32"/>
      <w:bookmarkEnd w:id="33"/>
      <w:bookmarkEnd w:id="34"/>
      <w:bookmarkEnd w:id="35"/>
    </w:p>
    <w:p>
      <w:pPr>
        <w:spacing w:line="560" w:lineRule="exact"/>
        <w:ind w:firstLine="600"/>
        <w:rPr>
          <w:rFonts w:ascii="仿宋" w:hAnsi="仿宋" w:eastAsia="仿宋" w:cs="仿宋"/>
          <w:sz w:val="32"/>
          <w:szCs w:val="32"/>
        </w:rPr>
      </w:pPr>
      <w:r>
        <w:rPr>
          <w:rFonts w:hint="eastAsia" w:ascii="仿宋" w:hAnsi="仿宋" w:eastAsia="仿宋" w:cs="仿宋"/>
          <w:b/>
          <w:bCs/>
          <w:sz w:val="32"/>
          <w:szCs w:val="32"/>
        </w:rPr>
        <w:t>第二十九条</w:t>
      </w:r>
      <w:r>
        <w:rPr>
          <w:rFonts w:hint="eastAsia" w:ascii="仿宋" w:hAnsi="仿宋" w:eastAsia="仿宋" w:cs="仿宋"/>
          <w:b/>
          <w:bCs/>
          <w:sz w:val="32"/>
          <w:szCs w:val="32"/>
          <w:lang w:val="en-US" w:eastAsia="zh-CN"/>
        </w:rPr>
        <w:t xml:space="preserve"> </w:t>
      </w:r>
      <w:r>
        <w:rPr>
          <w:rFonts w:hint="eastAsia" w:ascii="仿宋" w:hAnsi="仿宋" w:eastAsia="仿宋" w:cs="仿宋"/>
          <w:sz w:val="32"/>
          <w:szCs w:val="32"/>
        </w:rPr>
        <w:t>管理人应当披露专项计划基础资产变化情况，包括但不限于基础资产数量、金额的报告期初、期末情况，报告期内变化情况及其原因等。</w:t>
      </w:r>
    </w:p>
    <w:p>
      <w:pPr>
        <w:spacing w:line="560" w:lineRule="exact"/>
        <w:ind w:firstLine="600"/>
        <w:rPr>
          <w:rFonts w:ascii="仿宋" w:hAnsi="仿宋" w:eastAsia="仿宋" w:cs="仿宋"/>
          <w:sz w:val="32"/>
          <w:szCs w:val="32"/>
        </w:rPr>
      </w:pPr>
      <w:r>
        <w:rPr>
          <w:rFonts w:hint="eastAsia" w:ascii="仿宋" w:hAnsi="仿宋" w:eastAsia="仿宋" w:cs="仿宋"/>
          <w:sz w:val="32"/>
          <w:szCs w:val="32"/>
        </w:rPr>
        <w:t>首次披露年度资产管理报告的，管理人应当参照前款规定披露相关协议约定的基础资产转让生效日至报告期末的基础资产变化情况。</w:t>
      </w:r>
    </w:p>
    <w:p>
      <w:pPr>
        <w:spacing w:line="560" w:lineRule="exact"/>
        <w:ind w:firstLine="600"/>
        <w:rPr>
          <w:rFonts w:ascii="仿宋" w:hAnsi="仿宋" w:eastAsia="仿宋" w:cs="仿宋"/>
          <w:sz w:val="32"/>
          <w:szCs w:val="32"/>
        </w:rPr>
      </w:pPr>
      <w:r>
        <w:rPr>
          <w:rFonts w:hint="eastAsia" w:ascii="仿宋" w:hAnsi="仿宋" w:eastAsia="仿宋" w:cs="仿宋"/>
          <w:sz w:val="32"/>
          <w:szCs w:val="32"/>
        </w:rPr>
        <w:t>报告期末基础资产数量或者金额相比上一年度资产管理报告（计划说明书）期末变动幅度达到20%的，管理人应当参照计划说明书的披露要求，披露报告期末基础资产构成、特征、分布等情况。</w:t>
      </w:r>
    </w:p>
    <w:p>
      <w:pPr>
        <w:spacing w:line="560" w:lineRule="exact"/>
        <w:ind w:firstLine="600"/>
        <w:rPr>
          <w:rFonts w:ascii="仿宋" w:hAnsi="仿宋" w:eastAsia="仿宋" w:cs="仿宋"/>
          <w:sz w:val="32"/>
          <w:szCs w:val="32"/>
        </w:rPr>
      </w:pPr>
      <w:r>
        <w:rPr>
          <w:rFonts w:hint="eastAsia" w:ascii="仿宋" w:hAnsi="仿宋" w:eastAsia="仿宋" w:cs="仿宋"/>
          <w:b/>
          <w:bCs/>
          <w:sz w:val="32"/>
          <w:szCs w:val="32"/>
        </w:rPr>
        <w:t>第三十条</w:t>
      </w:r>
      <w:r>
        <w:rPr>
          <w:rFonts w:hint="eastAsia" w:ascii="仿宋" w:hAnsi="仿宋" w:eastAsia="仿宋" w:cs="仿宋"/>
          <w:b/>
          <w:bCs/>
          <w:sz w:val="32"/>
          <w:szCs w:val="32"/>
          <w:lang w:val="en-US" w:eastAsia="zh-CN"/>
        </w:rPr>
        <w:t xml:space="preserve"> </w:t>
      </w:r>
      <w:r>
        <w:rPr>
          <w:rFonts w:hint="eastAsia" w:ascii="仿宋" w:hAnsi="仿宋" w:eastAsia="仿宋" w:cs="仿宋"/>
          <w:sz w:val="32"/>
          <w:szCs w:val="32"/>
        </w:rPr>
        <w:t>报告期内因循环购买、替换、赎回、处置等导致基础资产发生变化的，管理人应当披露报告期内变化的具体情况，并说明基础资产循环购买、替换、赎回、处置等是否符合相关规定或者协议约定。</w:t>
      </w:r>
    </w:p>
    <w:p>
      <w:pPr>
        <w:spacing w:line="560" w:lineRule="exact"/>
        <w:ind w:firstLine="600"/>
        <w:rPr>
          <w:rFonts w:ascii="仿宋" w:hAnsi="仿宋" w:eastAsia="仿宋" w:cs="仿宋"/>
          <w:sz w:val="32"/>
          <w:szCs w:val="32"/>
        </w:rPr>
      </w:pPr>
      <w:r>
        <w:rPr>
          <w:rFonts w:hint="eastAsia" w:ascii="仿宋" w:hAnsi="仿宋" w:eastAsia="仿宋" w:cs="仿宋"/>
          <w:sz w:val="32"/>
          <w:szCs w:val="32"/>
        </w:rPr>
        <w:t>报告期内基础资产筛选标准发生调整的，管理人还应当披露调整情况。</w:t>
      </w:r>
    </w:p>
    <w:p>
      <w:pPr>
        <w:spacing w:line="560" w:lineRule="exact"/>
        <w:ind w:firstLine="600"/>
        <w:rPr>
          <w:rFonts w:ascii="仿宋" w:hAnsi="仿宋" w:eastAsia="仿宋" w:cs="仿宋"/>
          <w:sz w:val="32"/>
          <w:szCs w:val="32"/>
        </w:rPr>
      </w:pPr>
      <w:r>
        <w:rPr>
          <w:rFonts w:hint="eastAsia" w:ascii="仿宋" w:hAnsi="仿宋" w:eastAsia="仿宋" w:cs="仿宋"/>
          <w:b/>
          <w:bCs/>
          <w:sz w:val="32"/>
          <w:szCs w:val="32"/>
        </w:rPr>
        <w:t>第三十一条</w:t>
      </w:r>
      <w:r>
        <w:rPr>
          <w:rFonts w:hint="eastAsia" w:ascii="仿宋" w:hAnsi="仿宋" w:eastAsia="仿宋" w:cs="仿宋"/>
          <w:b/>
          <w:bCs/>
          <w:sz w:val="32"/>
          <w:szCs w:val="32"/>
          <w:lang w:val="en-US" w:eastAsia="zh-CN"/>
        </w:rPr>
        <w:t xml:space="preserve"> </w:t>
      </w:r>
      <w:r>
        <w:rPr>
          <w:rFonts w:hint="eastAsia" w:ascii="仿宋" w:hAnsi="仿宋" w:eastAsia="仿宋" w:cs="仿宋"/>
          <w:sz w:val="32"/>
          <w:szCs w:val="32"/>
        </w:rPr>
        <w:t>管理人应当披露重要现金流提供方在报告期末的经营情况、财务状况、偿付能力、资信水平以及其在报告期内的变化情况。</w:t>
      </w:r>
    </w:p>
    <w:p>
      <w:pPr>
        <w:spacing w:line="560" w:lineRule="exact"/>
        <w:ind w:firstLine="600"/>
        <w:rPr>
          <w:rFonts w:ascii="仿宋" w:hAnsi="仿宋" w:eastAsia="仿宋" w:cs="仿宋"/>
          <w:sz w:val="32"/>
          <w:szCs w:val="32"/>
        </w:rPr>
      </w:pPr>
      <w:r>
        <w:rPr>
          <w:rFonts w:hint="eastAsia" w:ascii="仿宋" w:hAnsi="仿宋" w:eastAsia="仿宋" w:cs="仿宋"/>
          <w:b/>
          <w:bCs/>
          <w:sz w:val="32"/>
          <w:szCs w:val="32"/>
        </w:rPr>
        <w:t>第三十二条</w:t>
      </w:r>
      <w:r>
        <w:rPr>
          <w:rFonts w:hint="eastAsia" w:ascii="仿宋" w:hAnsi="仿宋" w:eastAsia="仿宋" w:cs="仿宋"/>
          <w:b/>
          <w:bCs/>
          <w:sz w:val="32"/>
          <w:szCs w:val="32"/>
          <w:lang w:val="en-US" w:eastAsia="zh-CN"/>
        </w:rPr>
        <w:t xml:space="preserve"> </w:t>
      </w:r>
      <w:r>
        <w:rPr>
          <w:rFonts w:hint="eastAsia" w:ascii="仿宋" w:hAnsi="仿宋" w:eastAsia="仿宋" w:cs="仿宋"/>
          <w:sz w:val="32"/>
          <w:szCs w:val="32"/>
        </w:rPr>
        <w:t>基础资产为债权类资产的，管理人还应当披露下列情况</w:t>
      </w:r>
      <w:r>
        <w:rPr>
          <w:rFonts w:hint="eastAsia" w:ascii="仿宋" w:hAnsi="仿宋" w:eastAsia="仿宋" w:cs="仿宋"/>
          <w:color w:val="000000"/>
          <w:kern w:val="0"/>
          <w:sz w:val="32"/>
          <w:szCs w:val="32"/>
        </w:rPr>
        <w:t>，</w:t>
      </w:r>
      <w:r>
        <w:rPr>
          <w:rFonts w:hint="eastAsia" w:ascii="仿宋" w:hAnsi="仿宋" w:eastAsia="仿宋" w:cs="仿宋"/>
          <w:sz w:val="32"/>
          <w:szCs w:val="32"/>
        </w:rPr>
        <w:t>并说明是否影响报告期内按约定分配收益及其解决措施，以及对未来收益分配的影响与应对措施：</w:t>
      </w:r>
    </w:p>
    <w:p>
      <w:pPr>
        <w:spacing w:line="560" w:lineRule="exact"/>
        <w:ind w:firstLine="600"/>
        <w:rPr>
          <w:rFonts w:ascii="仿宋" w:hAnsi="仿宋" w:eastAsia="仿宋" w:cs="仿宋"/>
          <w:sz w:val="32"/>
          <w:szCs w:val="32"/>
        </w:rPr>
      </w:pPr>
      <w:r>
        <w:rPr>
          <w:rFonts w:hint="eastAsia" w:ascii="仿宋" w:hAnsi="仿宋" w:eastAsia="仿宋" w:cs="仿宋"/>
          <w:sz w:val="32"/>
          <w:szCs w:val="32"/>
        </w:rPr>
        <w:t>（一）报告期末单笔未偿本息余额占全部基础资产未偿本息余额1%以上的前20笔基础资产的情况，以及较报告期初的变化情况。如发生变化，应当参照计划说明书的披露要求披露变化后的基础资产情况；</w:t>
      </w:r>
    </w:p>
    <w:p>
      <w:pPr>
        <w:spacing w:line="560" w:lineRule="exact"/>
        <w:ind w:firstLine="600"/>
        <w:rPr>
          <w:rFonts w:ascii="仿宋" w:hAnsi="仿宋" w:eastAsia="仿宋" w:cs="仿宋"/>
          <w:sz w:val="32"/>
          <w:szCs w:val="32"/>
        </w:rPr>
      </w:pPr>
      <w:r>
        <w:rPr>
          <w:rFonts w:hint="eastAsia" w:ascii="仿宋" w:hAnsi="仿宋" w:eastAsia="仿宋" w:cs="仿宋"/>
          <w:sz w:val="32"/>
          <w:szCs w:val="32"/>
        </w:rPr>
        <w:t>（二）报告期内不合格基础资产的处置情况；</w:t>
      </w:r>
    </w:p>
    <w:p>
      <w:pPr>
        <w:spacing w:line="560" w:lineRule="exact"/>
        <w:ind w:firstLine="600"/>
        <w:rPr>
          <w:rFonts w:ascii="仿宋" w:hAnsi="仿宋" w:eastAsia="仿宋" w:cs="仿宋"/>
          <w:sz w:val="32"/>
          <w:szCs w:val="32"/>
        </w:rPr>
      </w:pPr>
      <w:r>
        <w:rPr>
          <w:rFonts w:hint="eastAsia" w:ascii="仿宋" w:hAnsi="仿宋" w:eastAsia="仿宋" w:cs="仿宋"/>
          <w:sz w:val="32"/>
          <w:szCs w:val="32"/>
        </w:rPr>
        <w:t>（三）报告期内早偿、逾期、违约等各类非正常偿还的金额笔数及其占比情况；</w:t>
      </w:r>
    </w:p>
    <w:p>
      <w:pPr>
        <w:spacing w:line="560" w:lineRule="exact"/>
        <w:ind w:firstLine="600"/>
        <w:rPr>
          <w:rFonts w:ascii="仿宋" w:hAnsi="仿宋" w:eastAsia="仿宋" w:cs="仿宋"/>
          <w:sz w:val="32"/>
          <w:szCs w:val="32"/>
        </w:rPr>
      </w:pPr>
      <w:r>
        <w:rPr>
          <w:rFonts w:hint="eastAsia" w:ascii="仿宋" w:hAnsi="仿宋" w:eastAsia="仿宋" w:cs="仿宋"/>
          <w:sz w:val="32"/>
          <w:szCs w:val="32"/>
        </w:rPr>
        <w:t>（四）报告期内涉及诉讼或者仲裁等争议及其处置情况；</w:t>
      </w:r>
    </w:p>
    <w:p>
      <w:pPr>
        <w:spacing w:line="560" w:lineRule="exact"/>
        <w:ind w:firstLine="600"/>
        <w:rPr>
          <w:rFonts w:ascii="仿宋" w:hAnsi="仿宋" w:eastAsia="仿宋" w:cs="仿宋"/>
          <w:sz w:val="32"/>
          <w:szCs w:val="32"/>
        </w:rPr>
      </w:pPr>
      <w:r>
        <w:rPr>
          <w:rFonts w:hint="eastAsia" w:ascii="仿宋" w:hAnsi="仿宋" w:eastAsia="仿宋" w:cs="仿宋"/>
          <w:sz w:val="32"/>
          <w:szCs w:val="32"/>
        </w:rPr>
        <w:t>（五）影响报告期内或者未来收益分配的债权类资产质量和现金流变化的其他情况。</w:t>
      </w:r>
    </w:p>
    <w:p>
      <w:pPr>
        <w:spacing w:line="560" w:lineRule="exact"/>
        <w:ind w:firstLine="600"/>
        <w:rPr>
          <w:rFonts w:ascii="仿宋" w:hAnsi="仿宋" w:eastAsia="仿宋" w:cs="仿宋"/>
          <w:sz w:val="32"/>
          <w:szCs w:val="32"/>
        </w:rPr>
      </w:pPr>
      <w:r>
        <w:rPr>
          <w:rFonts w:hint="eastAsia" w:ascii="仿宋" w:hAnsi="仿宋" w:eastAsia="仿宋" w:cs="仿宋"/>
          <w:b/>
          <w:bCs/>
          <w:sz w:val="32"/>
          <w:szCs w:val="32"/>
        </w:rPr>
        <w:t>第三十三条</w:t>
      </w:r>
      <w:r>
        <w:rPr>
          <w:rFonts w:hint="eastAsia" w:ascii="仿宋" w:hAnsi="仿宋" w:eastAsia="仿宋" w:cs="仿宋"/>
          <w:b/>
          <w:bCs/>
          <w:sz w:val="32"/>
          <w:szCs w:val="32"/>
          <w:lang w:val="en-US" w:eastAsia="zh-CN"/>
        </w:rPr>
        <w:t xml:space="preserve"> </w:t>
      </w:r>
      <w:r>
        <w:rPr>
          <w:rFonts w:hint="eastAsia" w:ascii="仿宋" w:hAnsi="仿宋" w:eastAsia="仿宋" w:cs="仿宋"/>
          <w:sz w:val="32"/>
          <w:szCs w:val="32"/>
        </w:rPr>
        <w:t>基础资产为基础设施等经营收益类资产的，管理人还应当披露下列情况，并说明是否影响报告期内按约定分配收益及其解决措施，以及对未来收益分配的影响与应对措施：</w:t>
      </w:r>
    </w:p>
    <w:p>
      <w:pPr>
        <w:spacing w:line="560" w:lineRule="exact"/>
        <w:ind w:firstLine="600"/>
        <w:rPr>
          <w:rFonts w:ascii="仿宋" w:hAnsi="仿宋" w:eastAsia="仿宋" w:cs="仿宋"/>
          <w:sz w:val="32"/>
          <w:szCs w:val="32"/>
        </w:rPr>
      </w:pPr>
      <w:r>
        <w:rPr>
          <w:rFonts w:hint="eastAsia" w:ascii="仿宋" w:hAnsi="仿宋" w:eastAsia="仿宋" w:cs="仿宋"/>
          <w:sz w:val="32"/>
          <w:szCs w:val="32"/>
        </w:rPr>
        <w:t>（一）报告期内原始权益人相关经营资质或者范围变化情况，经营所提供服务的数量、质量变化情况，经营业务管理和风险管理情况等；</w:t>
      </w:r>
    </w:p>
    <w:p>
      <w:pPr>
        <w:spacing w:line="560" w:lineRule="exact"/>
        <w:ind w:firstLine="600"/>
        <w:rPr>
          <w:rFonts w:ascii="仿宋" w:hAnsi="仿宋" w:eastAsia="仿宋" w:cs="仿宋"/>
          <w:sz w:val="32"/>
          <w:szCs w:val="32"/>
        </w:rPr>
      </w:pPr>
      <w:r>
        <w:rPr>
          <w:rFonts w:hint="eastAsia" w:ascii="仿宋" w:hAnsi="仿宋" w:eastAsia="仿宋" w:cs="仿宋"/>
          <w:sz w:val="32"/>
          <w:szCs w:val="32"/>
        </w:rPr>
        <w:t>（二）报告期内经营收益来源对象变化情况，经营所提供服务价格变化情况，项目外部环境变化情况，经营成本及经营资金来源的情况，涉及诉讼或者仲裁等争议及其处置情况等；</w:t>
      </w:r>
    </w:p>
    <w:p>
      <w:pPr>
        <w:spacing w:line="560" w:lineRule="exact"/>
        <w:ind w:firstLine="600"/>
        <w:rPr>
          <w:rFonts w:ascii="仿宋" w:hAnsi="仿宋" w:eastAsia="仿宋" w:cs="仿宋"/>
          <w:sz w:val="32"/>
          <w:szCs w:val="32"/>
        </w:rPr>
      </w:pPr>
      <w:r>
        <w:rPr>
          <w:rFonts w:hint="eastAsia" w:ascii="仿宋" w:hAnsi="仿宋" w:eastAsia="仿宋" w:cs="仿宋"/>
          <w:sz w:val="32"/>
          <w:szCs w:val="32"/>
        </w:rPr>
        <w:t>（三）基础资产与相关资产的权属、权利负担或者其他权利限制的变化情况；</w:t>
      </w:r>
    </w:p>
    <w:p>
      <w:pPr>
        <w:spacing w:line="560" w:lineRule="exact"/>
        <w:ind w:firstLine="600"/>
        <w:rPr>
          <w:rFonts w:ascii="仿宋" w:hAnsi="仿宋" w:eastAsia="仿宋" w:cs="仿宋"/>
          <w:sz w:val="32"/>
          <w:szCs w:val="32"/>
        </w:rPr>
      </w:pPr>
      <w:r>
        <w:rPr>
          <w:rFonts w:hint="eastAsia" w:ascii="仿宋" w:hAnsi="仿宋" w:eastAsia="仿宋" w:cs="仿宋"/>
          <w:sz w:val="32"/>
          <w:szCs w:val="32"/>
        </w:rPr>
        <w:t>（四）影响报告期内或者未来收益分配的基础设施等经营收益类资产质量和现金流变化的其他情况。</w:t>
      </w:r>
    </w:p>
    <w:p>
      <w:pPr>
        <w:spacing w:line="560" w:lineRule="exact"/>
        <w:ind w:firstLine="600"/>
        <w:rPr>
          <w:rFonts w:ascii="仿宋" w:hAnsi="仿宋" w:eastAsia="仿宋" w:cs="仿宋"/>
          <w:sz w:val="32"/>
          <w:szCs w:val="32"/>
        </w:rPr>
      </w:pPr>
      <w:r>
        <w:rPr>
          <w:rFonts w:hint="eastAsia" w:ascii="仿宋" w:hAnsi="仿宋" w:eastAsia="仿宋" w:cs="仿宋"/>
          <w:b/>
          <w:bCs/>
          <w:sz w:val="32"/>
          <w:szCs w:val="32"/>
        </w:rPr>
        <w:t>第三十四条</w:t>
      </w:r>
      <w:r>
        <w:rPr>
          <w:rFonts w:hint="eastAsia" w:ascii="仿宋" w:hAnsi="仿宋" w:eastAsia="仿宋" w:cs="仿宋"/>
          <w:b/>
          <w:bCs/>
          <w:sz w:val="32"/>
          <w:szCs w:val="32"/>
          <w:lang w:val="en-US" w:eastAsia="zh-CN"/>
        </w:rPr>
        <w:t xml:space="preserve"> </w:t>
      </w:r>
      <w:r>
        <w:rPr>
          <w:rFonts w:hint="eastAsia" w:ascii="仿宋" w:hAnsi="仿宋" w:eastAsia="仿宋" w:cs="仿宋"/>
          <w:sz w:val="32"/>
          <w:szCs w:val="32"/>
        </w:rPr>
        <w:t>基础资产为不动产财产或者不动产财产权利类资产的，管理人还应当披露下列情况，并说明是否影响报告期内按约定分配收益及其解决措施，以及对未来收益分配的影响与应对措施：</w:t>
      </w:r>
    </w:p>
    <w:p>
      <w:pPr>
        <w:spacing w:line="560" w:lineRule="exact"/>
        <w:ind w:firstLine="600"/>
        <w:rPr>
          <w:rFonts w:ascii="仿宋" w:hAnsi="仿宋" w:eastAsia="仿宋" w:cs="仿宋"/>
          <w:sz w:val="32"/>
          <w:szCs w:val="32"/>
        </w:rPr>
      </w:pPr>
      <w:r>
        <w:rPr>
          <w:rFonts w:hint="eastAsia" w:ascii="仿宋" w:hAnsi="仿宋" w:eastAsia="仿宋" w:cs="仿宋"/>
          <w:sz w:val="32"/>
          <w:szCs w:val="32"/>
        </w:rPr>
        <w:t>（一）报告期内不动产基本情况是否发生变化，包括不动产物业类型及实际用途、建筑面积及可出租面积、所属土地性质变化情况等；</w:t>
      </w:r>
    </w:p>
    <w:p>
      <w:pPr>
        <w:spacing w:line="560" w:lineRule="exact"/>
        <w:ind w:firstLine="600"/>
        <w:rPr>
          <w:rFonts w:ascii="仿宋" w:hAnsi="仿宋" w:eastAsia="仿宋" w:cs="仿宋"/>
          <w:sz w:val="32"/>
          <w:szCs w:val="32"/>
        </w:rPr>
      </w:pPr>
      <w:r>
        <w:rPr>
          <w:rFonts w:hint="eastAsia" w:ascii="仿宋" w:hAnsi="仿宋" w:eastAsia="仿宋" w:cs="仿宋"/>
          <w:sz w:val="32"/>
          <w:szCs w:val="32"/>
        </w:rPr>
        <w:t>（二）报告期内对不动产运营、维护、管理情况等，包括但不限于运营、维护主体，运营、维护业务管理和风险管理，是否实现规定或者约定的质量标准，周边竞争性不动产变化情况等；</w:t>
      </w:r>
    </w:p>
    <w:p>
      <w:pPr>
        <w:spacing w:line="560" w:lineRule="exact"/>
        <w:ind w:firstLine="600"/>
        <w:rPr>
          <w:rFonts w:ascii="仿宋" w:hAnsi="仿宋" w:eastAsia="仿宋" w:cs="仿宋"/>
          <w:sz w:val="32"/>
          <w:szCs w:val="32"/>
        </w:rPr>
      </w:pPr>
      <w:r>
        <w:rPr>
          <w:rFonts w:hint="eastAsia" w:ascii="仿宋" w:hAnsi="仿宋" w:eastAsia="仿宋" w:cs="仿宋"/>
          <w:sz w:val="32"/>
          <w:szCs w:val="32"/>
        </w:rPr>
        <w:t>（三）报告期内不动产相关权属变化情况，不动产价值变化情况，不动产使用数量、使用率、使用价格、收益变化情况，涉及诉讼或者仲裁等争议及其处置情况等；</w:t>
      </w:r>
    </w:p>
    <w:p>
      <w:pPr>
        <w:spacing w:line="560" w:lineRule="exact"/>
        <w:ind w:firstLine="600"/>
        <w:rPr>
          <w:rFonts w:ascii="仿宋" w:hAnsi="仿宋" w:eastAsia="仿宋" w:cs="仿宋"/>
          <w:sz w:val="32"/>
          <w:szCs w:val="32"/>
        </w:rPr>
      </w:pPr>
      <w:r>
        <w:rPr>
          <w:rFonts w:hint="eastAsia" w:ascii="仿宋" w:hAnsi="仿宋" w:eastAsia="仿宋" w:cs="仿宋"/>
          <w:sz w:val="32"/>
          <w:szCs w:val="32"/>
        </w:rPr>
        <w:t>（四）影响报告期内或者未来收益分配的不动产财产或者不动产财产权利类资产质量和现金流变化的其他情况。</w:t>
      </w:r>
    </w:p>
    <w:p>
      <w:pPr>
        <w:spacing w:line="560" w:lineRule="exact"/>
        <w:ind w:firstLine="600"/>
        <w:rPr>
          <w:rFonts w:ascii="仿宋" w:hAnsi="仿宋" w:eastAsia="仿宋" w:cs="仿宋"/>
          <w:sz w:val="32"/>
          <w:szCs w:val="32"/>
        </w:rPr>
      </w:pPr>
      <w:r>
        <w:rPr>
          <w:rFonts w:hint="eastAsia" w:ascii="仿宋" w:hAnsi="仿宋" w:eastAsia="仿宋" w:cs="仿宋"/>
          <w:b/>
          <w:bCs/>
          <w:sz w:val="32"/>
          <w:szCs w:val="32"/>
        </w:rPr>
        <w:t>第三十五条</w:t>
      </w:r>
      <w:r>
        <w:rPr>
          <w:rFonts w:hint="eastAsia" w:ascii="仿宋" w:hAnsi="仿宋" w:eastAsia="仿宋" w:cs="仿宋"/>
          <w:b/>
          <w:bCs/>
          <w:sz w:val="32"/>
          <w:szCs w:val="32"/>
          <w:lang w:val="en-US" w:eastAsia="zh-CN"/>
        </w:rPr>
        <w:t xml:space="preserve"> </w:t>
      </w:r>
      <w:r>
        <w:rPr>
          <w:rFonts w:hint="eastAsia" w:ascii="仿宋" w:hAnsi="仿宋" w:eastAsia="仿宋" w:cs="仿宋"/>
          <w:sz w:val="32"/>
          <w:szCs w:val="32"/>
        </w:rPr>
        <w:t>以政府和社会资本合作（以下简称PPP）项目收益权、PPP项目资产、PPP项目公司股权等为基础资产或者基础资产现金流来源所发行的资产支持证券，管理人应当披露PPP项目实施情况、运营情况、是否达到规定或者约定的运营标准和要求，项目公司绩效情况、付费调整情况以及影响运营和项目收益的其他情况，并说明是否影响报告期内按约定分配收益及其解决措施，以及对未来收益分配的影响与应对措施。</w:t>
      </w:r>
    </w:p>
    <w:p>
      <w:pPr>
        <w:spacing w:line="560" w:lineRule="exact"/>
        <w:ind w:firstLine="600"/>
        <w:rPr>
          <w:rFonts w:ascii="仿宋" w:hAnsi="仿宋" w:eastAsia="仿宋" w:cs="仿宋"/>
          <w:sz w:val="32"/>
          <w:szCs w:val="32"/>
        </w:rPr>
      </w:pPr>
      <w:r>
        <w:rPr>
          <w:rFonts w:hint="eastAsia" w:ascii="仿宋" w:hAnsi="仿宋" w:eastAsia="仿宋" w:cs="仿宋"/>
          <w:b/>
          <w:bCs/>
          <w:sz w:val="32"/>
          <w:szCs w:val="32"/>
        </w:rPr>
        <w:t>第三十六条</w:t>
      </w:r>
      <w:r>
        <w:rPr>
          <w:rFonts w:hint="eastAsia" w:ascii="仿宋" w:hAnsi="仿宋" w:eastAsia="仿宋" w:cs="仿宋"/>
          <w:b/>
          <w:bCs/>
          <w:sz w:val="32"/>
          <w:szCs w:val="32"/>
          <w:lang w:val="en-US" w:eastAsia="zh-CN"/>
        </w:rPr>
        <w:t xml:space="preserve"> </w:t>
      </w:r>
      <w:r>
        <w:rPr>
          <w:rFonts w:hint="eastAsia" w:ascii="仿宋" w:hAnsi="仿宋" w:eastAsia="仿宋" w:cs="仿宋"/>
          <w:sz w:val="32"/>
          <w:szCs w:val="32"/>
        </w:rPr>
        <w:t>基础资产为其他类型资产的，管理人应当按照相关规定</w:t>
      </w:r>
      <w:r>
        <w:rPr>
          <w:rFonts w:hint="eastAsia" w:ascii="仿宋" w:hAnsi="仿宋" w:eastAsia="仿宋" w:cs="仿宋"/>
          <w:sz w:val="32"/>
          <w:szCs w:val="32"/>
          <w:lang w:eastAsia="zh-CN"/>
        </w:rPr>
        <w:t>和</w:t>
      </w:r>
      <w:r>
        <w:rPr>
          <w:rFonts w:hint="eastAsia" w:ascii="仿宋" w:hAnsi="仿宋" w:eastAsia="仿宋" w:cs="仿宋"/>
          <w:sz w:val="32"/>
          <w:szCs w:val="32"/>
        </w:rPr>
        <w:t>约定，结合基础资产实际情况披露报告期内基础资产质量变化和现金流情况，并说明是否影响报告期内按约定分配收益及其解决措施，以及对未来收益分配的影响与应对措施。</w:t>
      </w:r>
    </w:p>
    <w:p>
      <w:pPr>
        <w:pStyle w:val="3"/>
        <w:spacing w:line="560" w:lineRule="exact"/>
      </w:pPr>
      <w:bookmarkStart w:id="36" w:name="_Toc21554"/>
      <w:bookmarkStart w:id="37" w:name="_Toc25220"/>
      <w:bookmarkStart w:id="38" w:name="_Toc121678229"/>
      <w:bookmarkStart w:id="39" w:name="_Toc16788"/>
      <w:bookmarkStart w:id="40" w:name="_Toc27133_WPSOffice_Level2"/>
      <w:bookmarkStart w:id="41" w:name="_Toc22707"/>
      <w:r>
        <w:t>第四节 资金收支与投资管理情况</w:t>
      </w:r>
      <w:bookmarkEnd w:id="36"/>
      <w:bookmarkEnd w:id="37"/>
      <w:bookmarkEnd w:id="38"/>
      <w:bookmarkEnd w:id="39"/>
      <w:bookmarkEnd w:id="40"/>
      <w:bookmarkEnd w:id="41"/>
    </w:p>
    <w:p>
      <w:pPr>
        <w:spacing w:line="560" w:lineRule="exact"/>
        <w:ind w:firstLine="600"/>
        <w:rPr>
          <w:rFonts w:ascii="仿宋" w:hAnsi="仿宋" w:eastAsia="仿宋" w:cs="仿宋"/>
          <w:sz w:val="32"/>
          <w:szCs w:val="32"/>
        </w:rPr>
      </w:pPr>
      <w:r>
        <w:rPr>
          <w:rFonts w:hint="eastAsia" w:ascii="仿宋" w:hAnsi="仿宋" w:eastAsia="仿宋" w:cs="仿宋"/>
          <w:b/>
          <w:bCs/>
          <w:sz w:val="32"/>
          <w:szCs w:val="32"/>
        </w:rPr>
        <w:t>第三十七条</w:t>
      </w:r>
      <w:r>
        <w:rPr>
          <w:rFonts w:hint="eastAsia" w:ascii="仿宋" w:hAnsi="仿宋" w:eastAsia="仿宋" w:cs="仿宋"/>
          <w:b/>
          <w:bCs/>
          <w:sz w:val="32"/>
          <w:szCs w:val="32"/>
          <w:lang w:val="en-US" w:eastAsia="zh-CN"/>
        </w:rPr>
        <w:t xml:space="preserve"> </w:t>
      </w:r>
      <w:r>
        <w:rPr>
          <w:rFonts w:hint="eastAsia" w:ascii="仿宋" w:hAnsi="仿宋" w:eastAsia="仿宋" w:cs="仿宋"/>
          <w:sz w:val="32"/>
          <w:szCs w:val="32"/>
        </w:rPr>
        <w:t>管理人应当披露专项计划现金流的回款和归集情况，包括各层回款和归集账户的设置，基础资产现金流的回款及划转时间、金额，说明现金流归集、划转是否符合相关规定或者协议约定，是否存在滞留、截留、挪用等情况，并说明是否影响报告期内按约定分配专项计划收益及其解决措施，以及对未来收益分配的影响与应对措施。</w:t>
      </w:r>
    </w:p>
    <w:p>
      <w:pPr>
        <w:spacing w:line="560" w:lineRule="exact"/>
        <w:ind w:firstLine="643" w:firstLineChars="200"/>
        <w:rPr>
          <w:rFonts w:ascii="仿宋" w:hAnsi="仿宋" w:eastAsia="仿宋" w:cs="仿宋"/>
          <w:sz w:val="32"/>
          <w:szCs w:val="32"/>
        </w:rPr>
      </w:pPr>
      <w:r>
        <w:rPr>
          <w:rFonts w:hint="eastAsia" w:ascii="仿宋" w:hAnsi="仿宋" w:eastAsia="仿宋" w:cs="仿宋"/>
          <w:b/>
          <w:bCs/>
          <w:sz w:val="32"/>
          <w:szCs w:val="32"/>
        </w:rPr>
        <w:t>第三十八条</w:t>
      </w:r>
      <w:r>
        <w:rPr>
          <w:rFonts w:hint="eastAsia" w:ascii="仿宋" w:hAnsi="仿宋" w:eastAsia="仿宋" w:cs="仿宋"/>
          <w:b/>
          <w:bCs/>
          <w:sz w:val="32"/>
          <w:szCs w:val="32"/>
          <w:lang w:val="en-US" w:eastAsia="zh-CN"/>
        </w:rPr>
        <w:t xml:space="preserve"> </w:t>
      </w:r>
      <w:r>
        <w:rPr>
          <w:rFonts w:hint="eastAsia" w:ascii="仿宋" w:hAnsi="仿宋" w:eastAsia="仿宋" w:cs="仿宋"/>
          <w:sz w:val="32"/>
          <w:szCs w:val="32"/>
        </w:rPr>
        <w:t>管理人应当披露专项计划账户资金管理、运用、处分的下列情况，并说明是否影响报告期内按约定分配专项计划收益及其解决措施，以及对未来收益分配的影响与应对措施：</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（一）专项计划账户资金收支情况，包括但不限于收入来源、金额，支出用途、金额，报告期初和期末余额等。支出用于分配专项计划收益的，支出用途应当明确专项计划各档资产支持证券简称、证券代码等；</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（二）管理人依据规定或者约定，利用专项计划账户闲置资金进行投资的，应当披露报告期内投资的产品、投资期限、累计投资金额、累计投资收益、报告期初和期末投资余额等；</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（三）管理人依据规定或者约定，以投资或者运营专项计划中不动产为目的，报告期内向金融机构等借款的，应当披露债权人、借款金额、利率、借入资金用途、偿还本息情况、报告期初和期末借款余额等；</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（四）专项计划账户资金管理、运用、处分的其他情况。</w:t>
      </w:r>
    </w:p>
    <w:p>
      <w:pPr>
        <w:spacing w:line="560" w:lineRule="exact"/>
        <w:ind w:firstLine="643" w:firstLineChars="200"/>
        <w:rPr>
          <w:rFonts w:ascii="仿宋" w:hAnsi="仿宋" w:eastAsia="仿宋" w:cs="仿宋"/>
          <w:sz w:val="32"/>
          <w:szCs w:val="32"/>
        </w:rPr>
      </w:pPr>
      <w:r>
        <w:rPr>
          <w:rFonts w:hint="eastAsia" w:ascii="仿宋" w:hAnsi="仿宋" w:eastAsia="仿宋" w:cs="仿宋"/>
          <w:b/>
          <w:bCs/>
          <w:sz w:val="32"/>
          <w:szCs w:val="32"/>
        </w:rPr>
        <w:t>第三十九条</w:t>
      </w:r>
      <w:r>
        <w:rPr>
          <w:rFonts w:hint="eastAsia" w:ascii="仿宋" w:hAnsi="仿宋" w:eastAsia="仿宋" w:cs="仿宋"/>
          <w:b/>
          <w:bCs/>
          <w:sz w:val="32"/>
          <w:szCs w:val="32"/>
          <w:lang w:val="en-US" w:eastAsia="zh-CN"/>
        </w:rPr>
        <w:t xml:space="preserve"> </w:t>
      </w:r>
      <w:r>
        <w:rPr>
          <w:rFonts w:hint="eastAsia" w:ascii="仿宋" w:hAnsi="仿宋" w:eastAsia="仿宋" w:cs="仿宋"/>
          <w:sz w:val="32"/>
          <w:szCs w:val="32"/>
        </w:rPr>
        <w:t>管理人应当以报告期内实际划转至专项计划账户的基础资产现金流为基础，披露报告期内基础资产实际现金流与之前预测的该期现金流是否存在差异。实际现金流较预测值下降20%以上的，应当说明造成差异的原因，是否影响报告期内按约定分配专项计划收益及其解决措施，以及对未来收益分配的影响与应对措施。</w:t>
      </w:r>
    </w:p>
    <w:p>
      <w:pPr>
        <w:pStyle w:val="3"/>
        <w:spacing w:line="560" w:lineRule="exact"/>
      </w:pPr>
      <w:bookmarkStart w:id="42" w:name="_Toc19081"/>
      <w:bookmarkStart w:id="43" w:name="_Toc13410"/>
      <w:bookmarkStart w:id="44" w:name="_Toc27184"/>
      <w:bookmarkStart w:id="45" w:name="_Toc121678230"/>
      <w:bookmarkStart w:id="46" w:name="_Toc5083_WPSOffice_Level2"/>
      <w:bookmarkStart w:id="47" w:name="_Toc9904"/>
      <w:r>
        <w:t>第五节 特定原始权益人情况</w:t>
      </w:r>
      <w:bookmarkEnd w:id="42"/>
      <w:bookmarkEnd w:id="43"/>
      <w:bookmarkEnd w:id="44"/>
      <w:bookmarkEnd w:id="45"/>
      <w:bookmarkEnd w:id="46"/>
      <w:bookmarkEnd w:id="47"/>
    </w:p>
    <w:p>
      <w:pPr>
        <w:spacing w:line="560" w:lineRule="exact"/>
        <w:ind w:firstLine="600"/>
        <w:rPr>
          <w:rFonts w:ascii="仿宋" w:hAnsi="仿宋" w:eastAsia="仿宋" w:cs="仿宋"/>
          <w:b/>
          <w:bCs/>
          <w:sz w:val="32"/>
          <w:szCs w:val="32"/>
        </w:rPr>
      </w:pPr>
      <w:r>
        <w:rPr>
          <w:rFonts w:hint="eastAsia" w:ascii="仿宋" w:hAnsi="仿宋" w:eastAsia="仿宋" w:cs="仿宋"/>
          <w:b/>
          <w:bCs/>
          <w:sz w:val="32"/>
          <w:szCs w:val="32"/>
        </w:rPr>
        <w:t>第四十条</w:t>
      </w:r>
      <w:r>
        <w:rPr>
          <w:rFonts w:hint="eastAsia" w:ascii="仿宋" w:hAnsi="仿宋" w:eastAsia="仿宋" w:cs="仿宋"/>
          <w:b/>
          <w:bCs/>
          <w:sz w:val="32"/>
          <w:szCs w:val="32"/>
          <w:lang w:val="en-US" w:eastAsia="zh-CN"/>
        </w:rPr>
        <w:t xml:space="preserve"> </w:t>
      </w:r>
      <w:r>
        <w:rPr>
          <w:rFonts w:hint="eastAsia" w:ascii="仿宋" w:hAnsi="仿宋" w:eastAsia="仿宋" w:cs="仿宋"/>
          <w:bCs/>
          <w:sz w:val="32"/>
          <w:szCs w:val="32"/>
        </w:rPr>
        <w:t>专项计划涉及特定原始权益人的，管理人应当按照本节规定披露特定原始权益人的情况。</w:t>
      </w:r>
    </w:p>
    <w:p>
      <w:pPr>
        <w:spacing w:line="560" w:lineRule="exact"/>
        <w:ind w:firstLine="600"/>
        <w:rPr>
          <w:rFonts w:ascii="仿宋" w:hAnsi="仿宋" w:eastAsia="仿宋" w:cs="仿宋"/>
          <w:sz w:val="32"/>
          <w:szCs w:val="32"/>
        </w:rPr>
      </w:pPr>
      <w:r>
        <w:rPr>
          <w:rFonts w:hint="eastAsia" w:ascii="仿宋" w:hAnsi="仿宋" w:eastAsia="仿宋" w:cs="仿宋"/>
          <w:b/>
          <w:bCs/>
          <w:sz w:val="32"/>
          <w:szCs w:val="32"/>
        </w:rPr>
        <w:t>第四十一条</w:t>
      </w:r>
      <w:r>
        <w:rPr>
          <w:rFonts w:hint="eastAsia" w:ascii="仿宋" w:hAnsi="仿宋" w:eastAsia="仿宋" w:cs="仿宋"/>
          <w:b/>
          <w:bCs/>
          <w:sz w:val="32"/>
          <w:szCs w:val="32"/>
          <w:lang w:val="en-US" w:eastAsia="zh-CN"/>
        </w:rPr>
        <w:t xml:space="preserve"> </w:t>
      </w:r>
      <w:r>
        <w:rPr>
          <w:rFonts w:hint="eastAsia" w:ascii="仿宋" w:hAnsi="仿宋" w:eastAsia="仿宋" w:cs="仿宋"/>
          <w:sz w:val="32"/>
          <w:szCs w:val="32"/>
        </w:rPr>
        <w:t>管理人应当简要披露报告期内特定原始权益人的股权结构和公司治理结构的重大变化情况，是否存在实际控制人、主要负责人变动或者无法履行职责等影响公司治理和经营的重大情况以及对资产支持证券投资者权益的影响。</w:t>
      </w:r>
    </w:p>
    <w:p>
      <w:pPr>
        <w:spacing w:line="560" w:lineRule="exact"/>
        <w:ind w:firstLine="600"/>
        <w:rPr>
          <w:rFonts w:ascii="仿宋" w:hAnsi="仿宋" w:eastAsia="仿宋" w:cs="仿宋"/>
          <w:sz w:val="32"/>
          <w:szCs w:val="32"/>
        </w:rPr>
      </w:pPr>
      <w:r>
        <w:rPr>
          <w:rFonts w:hint="eastAsia" w:ascii="仿宋" w:hAnsi="仿宋" w:eastAsia="仿宋" w:cs="仿宋"/>
          <w:b/>
          <w:bCs/>
          <w:sz w:val="32"/>
          <w:szCs w:val="32"/>
        </w:rPr>
        <w:t>第四十二条</w:t>
      </w:r>
      <w:r>
        <w:rPr>
          <w:rFonts w:hint="eastAsia" w:ascii="仿宋" w:hAnsi="仿宋" w:eastAsia="仿宋" w:cs="仿宋"/>
          <w:b/>
          <w:bCs/>
          <w:sz w:val="32"/>
          <w:szCs w:val="32"/>
          <w:lang w:val="en-US" w:eastAsia="zh-CN"/>
        </w:rPr>
        <w:t xml:space="preserve"> </w:t>
      </w:r>
      <w:r>
        <w:rPr>
          <w:rFonts w:hint="eastAsia" w:ascii="仿宋" w:hAnsi="仿宋" w:eastAsia="仿宋" w:cs="仿宋"/>
          <w:sz w:val="32"/>
          <w:szCs w:val="32"/>
        </w:rPr>
        <w:t>管理人应当简要披露报告期内特定原始权益人从事的经营模式、主要业务情况，所处行业发展环境和政策变化情况，报告期内特定原始权益人不同</w:t>
      </w:r>
      <w:r>
        <w:rPr>
          <w:rFonts w:hint="eastAsia" w:ascii="仿宋" w:hAnsi="仿宋" w:eastAsia="仿宋" w:cs="仿宋"/>
          <w:sz w:val="32"/>
          <w:szCs w:val="32"/>
          <w:lang w:eastAsia="zh-CN"/>
        </w:rPr>
        <w:t>业务板块</w:t>
      </w:r>
      <w:r>
        <w:rPr>
          <w:rFonts w:hint="eastAsia" w:ascii="仿宋" w:hAnsi="仿宋" w:eastAsia="仿宋" w:cs="仿宋"/>
          <w:sz w:val="32"/>
          <w:szCs w:val="32"/>
        </w:rPr>
        <w:t>营业收入、成本的构成及比例，并重点说明与基础资产相关业务的经营管理、为基础资产产生预期现金流提供支持和保障等情况。</w:t>
      </w:r>
    </w:p>
    <w:p>
      <w:pPr>
        <w:spacing w:line="560" w:lineRule="exact"/>
        <w:ind w:firstLine="600"/>
        <w:rPr>
          <w:rFonts w:ascii="仿宋" w:hAnsi="仿宋" w:eastAsia="仿宋" w:cs="仿宋"/>
          <w:sz w:val="32"/>
          <w:szCs w:val="32"/>
        </w:rPr>
      </w:pPr>
      <w:r>
        <w:rPr>
          <w:rFonts w:hint="eastAsia" w:ascii="仿宋" w:hAnsi="仿宋" w:eastAsia="仿宋" w:cs="仿宋"/>
          <w:b/>
          <w:bCs/>
          <w:sz w:val="32"/>
          <w:szCs w:val="32"/>
        </w:rPr>
        <w:t>第四十三条</w:t>
      </w:r>
      <w:r>
        <w:rPr>
          <w:rFonts w:hint="eastAsia" w:ascii="仿宋" w:hAnsi="仿宋" w:eastAsia="仿宋" w:cs="仿宋"/>
          <w:b/>
          <w:bCs/>
          <w:sz w:val="32"/>
          <w:szCs w:val="32"/>
          <w:lang w:val="en-US" w:eastAsia="zh-CN"/>
        </w:rPr>
        <w:t xml:space="preserve"> </w:t>
      </w:r>
      <w:r>
        <w:rPr>
          <w:rFonts w:hint="eastAsia" w:ascii="仿宋" w:hAnsi="仿宋" w:eastAsia="仿宋" w:cs="仿宋"/>
          <w:sz w:val="32"/>
          <w:szCs w:val="32"/>
        </w:rPr>
        <w:t>管理人应当采用数据列表方式，披露截至报告期末特定原始权益人最近2年的下列主要会计数据和财务指标及其变动比例，同比变动超过30%的，还应当披露产生变化的主要原因：</w:t>
      </w:r>
    </w:p>
    <w:p>
      <w:pPr>
        <w:spacing w:line="560" w:lineRule="exact"/>
        <w:ind w:firstLine="600"/>
        <w:rPr>
          <w:rFonts w:ascii="仿宋" w:hAnsi="仿宋" w:eastAsia="仿宋" w:cs="仿宋"/>
          <w:sz w:val="32"/>
          <w:szCs w:val="32"/>
        </w:rPr>
      </w:pPr>
      <w:r>
        <w:rPr>
          <w:rFonts w:hint="eastAsia" w:ascii="仿宋" w:hAnsi="仿宋" w:eastAsia="仿宋" w:cs="仿宋"/>
          <w:sz w:val="32"/>
          <w:szCs w:val="32"/>
        </w:rPr>
        <w:t>（一）资产负债情况，包括总资产、总负债、短期借款、长期借款、其他有息负债、所有者权益等；</w:t>
      </w:r>
    </w:p>
    <w:p>
      <w:pPr>
        <w:spacing w:line="560" w:lineRule="exact"/>
        <w:ind w:firstLine="600"/>
        <w:rPr>
          <w:rFonts w:ascii="仿宋" w:hAnsi="仿宋" w:eastAsia="仿宋" w:cs="仿宋"/>
          <w:sz w:val="32"/>
          <w:szCs w:val="32"/>
        </w:rPr>
      </w:pPr>
      <w:r>
        <w:rPr>
          <w:rFonts w:hint="eastAsia" w:ascii="仿宋" w:hAnsi="仿宋" w:eastAsia="仿宋" w:cs="仿宋"/>
          <w:sz w:val="32"/>
          <w:szCs w:val="32"/>
        </w:rPr>
        <w:t>（二）收入利润情况，包括营业总收入、营业收入、营业外收入、利润总额、净利润、扣除非经常性损益后净利润等；</w:t>
      </w:r>
    </w:p>
    <w:p>
      <w:pPr>
        <w:spacing w:line="560" w:lineRule="exact"/>
        <w:ind w:firstLine="600"/>
        <w:rPr>
          <w:rFonts w:ascii="仿宋" w:hAnsi="仿宋" w:eastAsia="仿宋" w:cs="仿宋"/>
          <w:sz w:val="32"/>
          <w:szCs w:val="32"/>
        </w:rPr>
      </w:pPr>
      <w:r>
        <w:rPr>
          <w:rFonts w:hint="eastAsia" w:ascii="仿宋" w:hAnsi="仿宋" w:eastAsia="仿宋" w:cs="仿宋"/>
          <w:sz w:val="32"/>
          <w:szCs w:val="32"/>
        </w:rPr>
        <w:t>（三）现金流情况，包括经营活动产生现金流量净额、投资活动产生现金流量净额、筹资活动产生现金流量净额等；</w:t>
      </w:r>
    </w:p>
    <w:p>
      <w:pPr>
        <w:spacing w:line="560" w:lineRule="exact"/>
        <w:ind w:firstLine="600"/>
        <w:rPr>
          <w:rFonts w:ascii="仿宋" w:hAnsi="仿宋" w:eastAsia="仿宋" w:cs="仿宋"/>
          <w:sz w:val="32"/>
          <w:szCs w:val="32"/>
        </w:rPr>
      </w:pPr>
      <w:r>
        <w:rPr>
          <w:rFonts w:hint="eastAsia" w:ascii="仿宋" w:hAnsi="仿宋" w:eastAsia="仿宋" w:cs="仿宋"/>
          <w:sz w:val="32"/>
          <w:szCs w:val="32"/>
        </w:rPr>
        <w:t>（四）财务指标情况，包括流动比率、速动比率、资产负债率、债务资本比率、营业毛利率、平均总资产回报率、加权平均净资产收益率、扣除非经常性损益后加权平均净资产收益率、税息折旧及摊销前利润（EBITDA）、EBITDA全部债务比、EBITDA利息倍数等。</w:t>
      </w:r>
    </w:p>
    <w:p>
      <w:pPr>
        <w:spacing w:line="560" w:lineRule="exact"/>
        <w:ind w:firstLine="600"/>
        <w:rPr>
          <w:rFonts w:ascii="仿宋" w:hAnsi="仿宋" w:eastAsia="仿宋" w:cs="仿宋"/>
          <w:sz w:val="32"/>
          <w:szCs w:val="32"/>
        </w:rPr>
      </w:pPr>
      <w:r>
        <w:rPr>
          <w:rFonts w:hint="eastAsia" w:ascii="仿宋" w:hAnsi="仿宋" w:eastAsia="仿宋" w:cs="仿宋"/>
          <w:sz w:val="32"/>
          <w:szCs w:val="32"/>
        </w:rPr>
        <w:t>前款所称的全部债务，金额包括长期借款、应付债券、短期借款、交易性金融负债、应付票据、应付短期债券以及一年内到期的非流动负债之和；所称EBITDA利息倍数，是指EBITDA与计入财务费用的利息支出及资本化的利息支出之和的比例。</w:t>
      </w:r>
    </w:p>
    <w:p>
      <w:pPr>
        <w:spacing w:line="560" w:lineRule="exact"/>
        <w:ind w:firstLine="600"/>
        <w:rPr>
          <w:rFonts w:ascii="仿宋" w:hAnsi="仿宋" w:eastAsia="仿宋" w:cs="仿宋"/>
          <w:sz w:val="32"/>
          <w:szCs w:val="32"/>
        </w:rPr>
      </w:pPr>
      <w:r>
        <w:rPr>
          <w:rFonts w:hint="eastAsia" w:ascii="仿宋" w:hAnsi="仿宋" w:eastAsia="仿宋" w:cs="仿宋"/>
          <w:b/>
          <w:bCs/>
          <w:sz w:val="32"/>
          <w:szCs w:val="32"/>
        </w:rPr>
        <w:t>第四十四条</w:t>
      </w:r>
      <w:r>
        <w:rPr>
          <w:rFonts w:hint="eastAsia" w:ascii="仿宋" w:hAnsi="仿宋" w:eastAsia="仿宋" w:cs="仿宋"/>
          <w:b/>
          <w:bCs/>
          <w:sz w:val="32"/>
          <w:szCs w:val="32"/>
          <w:lang w:val="en-US" w:eastAsia="zh-CN"/>
        </w:rPr>
        <w:t xml:space="preserve"> </w:t>
      </w:r>
      <w:r>
        <w:rPr>
          <w:rFonts w:hint="eastAsia" w:ascii="仿宋" w:hAnsi="仿宋" w:eastAsia="仿宋" w:cs="仿宋"/>
          <w:sz w:val="32"/>
          <w:szCs w:val="32"/>
        </w:rPr>
        <w:t>管理人应当说明会计师事务所对特定原始权益人财务报告出具的审计意见，并将审计报告作为年度资产管理报告的附件披露。会计师事务所出具非标准审计意见的，管理人应当披露特定原始权益人就所涉及事项作出的说明，并分析相关事项对特定原始权益人生产经营的影响和对资产支持证券投资者权益的影响。</w:t>
      </w:r>
    </w:p>
    <w:p>
      <w:pPr>
        <w:spacing w:line="560" w:lineRule="exact"/>
        <w:ind w:firstLine="600"/>
        <w:rPr>
          <w:rFonts w:ascii="仿宋" w:hAnsi="仿宋" w:eastAsia="仿宋" w:cs="仿宋"/>
          <w:sz w:val="32"/>
          <w:szCs w:val="32"/>
        </w:rPr>
      </w:pPr>
      <w:r>
        <w:rPr>
          <w:rFonts w:hint="eastAsia" w:ascii="仿宋" w:hAnsi="仿宋" w:eastAsia="仿宋" w:cs="仿宋"/>
          <w:b/>
          <w:bCs/>
          <w:sz w:val="32"/>
          <w:szCs w:val="32"/>
        </w:rPr>
        <w:t>第四十五条</w:t>
      </w:r>
      <w:r>
        <w:rPr>
          <w:rFonts w:hint="eastAsia" w:ascii="仿宋" w:hAnsi="仿宋" w:eastAsia="仿宋" w:cs="仿宋"/>
          <w:b/>
          <w:bCs/>
          <w:sz w:val="32"/>
          <w:szCs w:val="32"/>
          <w:lang w:val="en-US" w:eastAsia="zh-CN"/>
        </w:rPr>
        <w:t xml:space="preserve"> </w:t>
      </w:r>
      <w:r>
        <w:rPr>
          <w:rFonts w:hint="eastAsia" w:ascii="仿宋" w:hAnsi="仿宋" w:eastAsia="仿宋" w:cs="仿宋"/>
          <w:sz w:val="32"/>
          <w:szCs w:val="32"/>
        </w:rPr>
        <w:t>管理人应当简要披露报告期内特定原始权益人偿还债务本息的情况。特定原始权益人报告期内发生金额占</w:t>
      </w:r>
      <w:r>
        <w:rPr>
          <w:rFonts w:hint="eastAsia" w:ascii="仿宋" w:hAnsi="仿宋" w:eastAsia="仿宋" w:cs="仿宋"/>
          <w:kern w:val="0"/>
          <w:sz w:val="32"/>
          <w:szCs w:val="32"/>
        </w:rPr>
        <w:t>上年末合并口径净资产的5%以上且超过5000万元的债务违约或者发生公开市场债务违约</w:t>
      </w:r>
      <w:r>
        <w:rPr>
          <w:rFonts w:hint="eastAsia" w:ascii="仿宋" w:hAnsi="仿宋" w:eastAsia="仿宋" w:cs="仿宋"/>
          <w:sz w:val="32"/>
          <w:szCs w:val="32"/>
        </w:rPr>
        <w:t>的，管理人应当披露未按期偿还的金额、未按期偿还原因、未来偿还安排等情况和对资产支持证券投资者权益的影响。</w:t>
      </w:r>
    </w:p>
    <w:p>
      <w:pPr>
        <w:spacing w:line="560" w:lineRule="exact"/>
        <w:ind w:firstLine="643" w:firstLineChars="200"/>
        <w:rPr>
          <w:rFonts w:ascii="仿宋" w:hAnsi="仿宋" w:eastAsia="仿宋" w:cs="仿宋"/>
          <w:sz w:val="32"/>
          <w:szCs w:val="32"/>
        </w:rPr>
      </w:pPr>
      <w:r>
        <w:rPr>
          <w:rFonts w:hint="eastAsia" w:ascii="仿宋" w:hAnsi="仿宋" w:eastAsia="仿宋" w:cs="仿宋"/>
          <w:b/>
          <w:bCs/>
          <w:sz w:val="32"/>
          <w:szCs w:val="32"/>
        </w:rPr>
        <w:t>第四十六条</w:t>
      </w:r>
      <w:r>
        <w:rPr>
          <w:rFonts w:hint="eastAsia" w:ascii="仿宋" w:hAnsi="仿宋" w:eastAsia="仿宋" w:cs="仿宋"/>
          <w:b/>
          <w:bCs/>
          <w:sz w:val="32"/>
          <w:szCs w:val="32"/>
          <w:lang w:val="en-US" w:eastAsia="zh-CN"/>
        </w:rPr>
        <w:t xml:space="preserve"> </w:t>
      </w:r>
      <w:r>
        <w:rPr>
          <w:rFonts w:hint="eastAsia" w:ascii="仿宋" w:hAnsi="仿宋" w:eastAsia="仿宋" w:cs="仿宋"/>
          <w:sz w:val="32"/>
          <w:szCs w:val="32"/>
        </w:rPr>
        <w:t>报告期内特定原始权益人发生破产事项、被托管或者接管、清算、发生重大诉讼或者仲裁、受到刑事处罚或者重大行政处罚、被列入失信被执行人的，管理人应当披露相关事项的具体情况，并说明该事项对特定原始权益人经营和对资产支持证券投资者权益的影响。</w:t>
      </w:r>
    </w:p>
    <w:p>
      <w:pPr>
        <w:pStyle w:val="3"/>
        <w:spacing w:line="560" w:lineRule="exact"/>
      </w:pPr>
      <w:bookmarkStart w:id="48" w:name="_Toc12395"/>
      <w:bookmarkStart w:id="49" w:name="_Toc15059_WPSOffice_Level2"/>
      <w:bookmarkStart w:id="50" w:name="_Toc121678231"/>
      <w:bookmarkStart w:id="51" w:name="_Toc14987"/>
      <w:bookmarkStart w:id="52" w:name="_Toc4948"/>
      <w:bookmarkStart w:id="53" w:name="_Toc20933"/>
      <w:r>
        <w:t>第六节 增信措施及其执行情况</w:t>
      </w:r>
      <w:bookmarkEnd w:id="48"/>
      <w:bookmarkEnd w:id="49"/>
      <w:bookmarkEnd w:id="50"/>
      <w:bookmarkEnd w:id="51"/>
      <w:bookmarkEnd w:id="52"/>
      <w:bookmarkEnd w:id="53"/>
    </w:p>
    <w:p>
      <w:pPr>
        <w:spacing w:line="560" w:lineRule="exact"/>
        <w:ind w:firstLine="600"/>
        <w:rPr>
          <w:rFonts w:ascii="仿宋" w:hAnsi="仿宋" w:eastAsia="仿宋" w:cs="仿宋"/>
          <w:sz w:val="32"/>
          <w:szCs w:val="32"/>
        </w:rPr>
      </w:pPr>
      <w:r>
        <w:rPr>
          <w:rFonts w:hint="eastAsia" w:ascii="仿宋" w:hAnsi="仿宋" w:eastAsia="仿宋" w:cs="仿宋"/>
          <w:b/>
          <w:bCs/>
          <w:sz w:val="32"/>
          <w:szCs w:val="32"/>
        </w:rPr>
        <w:t>第四十七条</w:t>
      </w:r>
      <w:r>
        <w:rPr>
          <w:rFonts w:hint="eastAsia" w:ascii="仿宋" w:hAnsi="仿宋" w:eastAsia="仿宋" w:cs="仿宋"/>
          <w:b/>
          <w:bCs/>
          <w:sz w:val="32"/>
          <w:szCs w:val="32"/>
          <w:lang w:val="en-US" w:eastAsia="zh-CN"/>
        </w:rPr>
        <w:t xml:space="preserve"> </w:t>
      </w:r>
      <w:r>
        <w:rPr>
          <w:rFonts w:hint="eastAsia" w:ascii="仿宋" w:hAnsi="仿宋" w:eastAsia="仿宋" w:cs="仿宋"/>
          <w:sz w:val="32"/>
          <w:szCs w:val="32"/>
        </w:rPr>
        <w:t>报告期内专项计划或者资产支持证券内外部增信措施发生变化的，管理人应当参照计划说明书的编制要求，披露增信措施变化的原因、具体内容、履行的程序、是否符合计划说明书等专项计划文件约定，以及相关变化对资产支持证券投资者权益的影响。</w:t>
      </w:r>
    </w:p>
    <w:p>
      <w:pPr>
        <w:spacing w:line="560" w:lineRule="exact"/>
        <w:ind w:firstLine="600"/>
        <w:rPr>
          <w:rFonts w:ascii="仿宋" w:hAnsi="仿宋" w:eastAsia="仿宋" w:cs="仿宋"/>
          <w:sz w:val="32"/>
          <w:szCs w:val="32"/>
        </w:rPr>
      </w:pPr>
      <w:r>
        <w:rPr>
          <w:rFonts w:hint="eastAsia" w:ascii="仿宋" w:hAnsi="仿宋" w:eastAsia="仿宋" w:cs="仿宋"/>
          <w:b/>
          <w:bCs/>
          <w:sz w:val="32"/>
          <w:szCs w:val="32"/>
        </w:rPr>
        <w:t>第四十八条</w:t>
      </w:r>
      <w:r>
        <w:rPr>
          <w:rFonts w:hint="eastAsia" w:ascii="仿宋" w:hAnsi="仿宋" w:eastAsia="仿宋" w:cs="仿宋"/>
          <w:b/>
          <w:bCs/>
          <w:sz w:val="32"/>
          <w:szCs w:val="32"/>
          <w:lang w:val="en-US" w:eastAsia="zh-CN"/>
        </w:rPr>
        <w:t xml:space="preserve"> </w:t>
      </w:r>
      <w:r>
        <w:rPr>
          <w:rFonts w:hint="eastAsia" w:ascii="仿宋" w:hAnsi="仿宋" w:eastAsia="仿宋" w:cs="仿宋"/>
          <w:sz w:val="32"/>
          <w:szCs w:val="32"/>
        </w:rPr>
        <w:t>报告期内按照规定或者约定执行专项计划或者资产支持证券差额支付、保证人代偿、流动性支持、处置抵质押资产等增信措施的，管理人应当披露相关增信措施执行的具体情况，并说明对资产支持证券投资者权益的影响。</w:t>
      </w:r>
    </w:p>
    <w:p>
      <w:pPr>
        <w:spacing w:line="560" w:lineRule="exact"/>
        <w:ind w:firstLine="600"/>
        <w:rPr>
          <w:rFonts w:ascii="仿宋" w:hAnsi="仿宋" w:eastAsia="仿宋" w:cs="仿宋"/>
          <w:sz w:val="32"/>
          <w:szCs w:val="32"/>
        </w:rPr>
      </w:pPr>
      <w:r>
        <w:rPr>
          <w:rFonts w:hint="eastAsia" w:ascii="仿宋" w:hAnsi="仿宋" w:eastAsia="仿宋" w:cs="仿宋"/>
          <w:b/>
          <w:bCs/>
          <w:sz w:val="32"/>
          <w:szCs w:val="32"/>
        </w:rPr>
        <w:t>第四十九条</w:t>
      </w:r>
      <w:r>
        <w:rPr>
          <w:rFonts w:hint="eastAsia" w:ascii="仿宋" w:hAnsi="仿宋" w:eastAsia="仿宋" w:cs="仿宋"/>
          <w:b/>
          <w:bCs/>
          <w:sz w:val="32"/>
          <w:szCs w:val="32"/>
          <w:lang w:val="en-US" w:eastAsia="zh-CN"/>
        </w:rPr>
        <w:t xml:space="preserve"> </w:t>
      </w:r>
      <w:r>
        <w:rPr>
          <w:rFonts w:hint="eastAsia" w:ascii="仿宋" w:hAnsi="仿宋" w:eastAsia="仿宋" w:cs="仿宋"/>
          <w:sz w:val="32"/>
          <w:szCs w:val="32"/>
        </w:rPr>
        <w:t>专项计划或者资产支持证券存在差额支付、保证、流动性支持等增信措施的，管理人应当按照下列要求披露相关信息：</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一）增信方为法人或者其他组织的，应当披露增信机构报告期末的净资产、资产负债率、净资产收益率、流动比率、速动比率等主要财务指标（并注明相关财务报告是否经审计），增信机构资信情况、累计对外担保余额及其占合并口径净资产的比例，并将增信机构财务报告作为年度资产管理报告的附件披露；</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（二）增信方为自然人的，应当披露增信方资信状况、代偿能力、资产受限情况、对外担保情况以及可能影响增信措施有效实现的其他信息；</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（三）增信方为原始权益人控股股东或者实际控制人的，还应当披露报告期末增信方所拥有的除原始权益人股权外其他主要资产，以及该部分资产的权利限制情况。</w:t>
      </w:r>
    </w:p>
    <w:p>
      <w:pPr>
        <w:spacing w:line="560" w:lineRule="exact"/>
        <w:ind w:firstLine="600"/>
        <w:rPr>
          <w:rFonts w:ascii="仿宋" w:hAnsi="仿宋" w:eastAsia="仿宋" w:cs="仿宋"/>
          <w:sz w:val="32"/>
          <w:szCs w:val="32"/>
        </w:rPr>
      </w:pPr>
      <w:r>
        <w:rPr>
          <w:rFonts w:hint="eastAsia" w:ascii="仿宋" w:hAnsi="仿宋" w:eastAsia="仿宋" w:cs="仿宋"/>
          <w:b/>
          <w:bCs/>
          <w:sz w:val="32"/>
          <w:szCs w:val="32"/>
        </w:rPr>
        <w:t>第五十条</w:t>
      </w:r>
      <w:r>
        <w:rPr>
          <w:rFonts w:hint="eastAsia" w:ascii="仿宋" w:hAnsi="仿宋" w:eastAsia="仿宋" w:cs="仿宋"/>
          <w:b/>
          <w:bCs/>
          <w:sz w:val="32"/>
          <w:szCs w:val="32"/>
          <w:lang w:val="en-US" w:eastAsia="zh-CN"/>
        </w:rPr>
        <w:t xml:space="preserve"> </w:t>
      </w:r>
      <w:r>
        <w:rPr>
          <w:rFonts w:hint="eastAsia" w:ascii="仿宋" w:hAnsi="仿宋" w:eastAsia="仿宋" w:cs="仿宋"/>
          <w:sz w:val="32"/>
          <w:szCs w:val="32"/>
        </w:rPr>
        <w:t>专项计划或者资产支持证券存在抵押或者质押担保增信措施的，管理人应当披露担保物价值的重大变化情况，已经担保的债务总余额以及抵押、质押顺序，报告期内担保物的评估（如有）、登记、保管等情况。</w:t>
      </w:r>
    </w:p>
    <w:p>
      <w:pPr>
        <w:spacing w:line="560" w:lineRule="exact"/>
        <w:ind w:firstLine="643" w:firstLineChars="200"/>
        <w:rPr>
          <w:rFonts w:ascii="仿宋" w:hAnsi="仿宋" w:eastAsia="仿宋" w:cs="仿宋"/>
          <w:sz w:val="32"/>
          <w:szCs w:val="32"/>
        </w:rPr>
      </w:pPr>
      <w:r>
        <w:rPr>
          <w:rFonts w:hint="eastAsia" w:ascii="仿宋" w:hAnsi="仿宋" w:eastAsia="仿宋" w:cs="仿宋"/>
          <w:b/>
          <w:bCs/>
          <w:sz w:val="32"/>
          <w:szCs w:val="32"/>
        </w:rPr>
        <w:t>第五十一条</w:t>
      </w:r>
      <w:r>
        <w:rPr>
          <w:rFonts w:hint="eastAsia" w:ascii="仿宋" w:hAnsi="仿宋" w:eastAsia="仿宋" w:cs="仿宋"/>
          <w:b/>
          <w:bCs/>
          <w:sz w:val="32"/>
          <w:szCs w:val="32"/>
          <w:lang w:val="en-US" w:eastAsia="zh-CN"/>
        </w:rPr>
        <w:t xml:space="preserve"> </w:t>
      </w:r>
      <w:r>
        <w:rPr>
          <w:rFonts w:hint="eastAsia" w:ascii="仿宋" w:hAnsi="仿宋" w:eastAsia="仿宋" w:cs="仿宋"/>
          <w:sz w:val="32"/>
          <w:szCs w:val="32"/>
        </w:rPr>
        <w:t>专项计划或者资产支持证券存在其他增信措施的，管理人应当披露报告期内相关增信措施有效性的变化情况。</w:t>
      </w:r>
    </w:p>
    <w:p>
      <w:pPr>
        <w:pStyle w:val="3"/>
        <w:spacing w:line="560" w:lineRule="exact"/>
      </w:pPr>
      <w:bookmarkStart w:id="54" w:name="_Toc11573"/>
      <w:bookmarkStart w:id="55" w:name="_Toc121678232"/>
      <w:bookmarkStart w:id="56" w:name="_Toc20263_WPSOffice_Level2"/>
      <w:bookmarkStart w:id="57" w:name="_Toc31411"/>
      <w:bookmarkStart w:id="58" w:name="_Toc18234"/>
      <w:bookmarkStart w:id="59" w:name="_Toc25751"/>
      <w:r>
        <w:rPr>
          <w:rFonts w:hint="eastAsia"/>
        </w:rPr>
        <w:t>第七节</w:t>
      </w:r>
      <w:r>
        <w:t xml:space="preserve"> </w:t>
      </w:r>
      <w:r>
        <w:rPr>
          <w:rFonts w:hint="eastAsia"/>
        </w:rPr>
        <w:t>其他重大事项</w:t>
      </w:r>
      <w:bookmarkEnd w:id="54"/>
      <w:bookmarkEnd w:id="55"/>
      <w:bookmarkEnd w:id="56"/>
      <w:bookmarkEnd w:id="57"/>
      <w:bookmarkEnd w:id="58"/>
      <w:bookmarkEnd w:id="59"/>
    </w:p>
    <w:p>
      <w:pPr>
        <w:spacing w:line="560" w:lineRule="exact"/>
        <w:ind w:firstLine="643" w:firstLineChars="200"/>
        <w:rPr>
          <w:rFonts w:ascii="仿宋" w:hAnsi="仿宋" w:eastAsia="仿宋" w:cs="仿宋"/>
          <w:sz w:val="32"/>
          <w:szCs w:val="32"/>
        </w:rPr>
      </w:pPr>
      <w:r>
        <w:rPr>
          <w:rFonts w:hint="eastAsia" w:ascii="仿宋" w:hAnsi="仿宋" w:eastAsia="仿宋" w:cs="仿宋"/>
          <w:b/>
          <w:bCs/>
          <w:sz w:val="32"/>
          <w:szCs w:val="32"/>
        </w:rPr>
        <w:t xml:space="preserve">第五十二条 </w:t>
      </w:r>
      <w:r>
        <w:rPr>
          <w:rFonts w:hint="eastAsia" w:ascii="仿宋" w:hAnsi="仿宋" w:eastAsia="仿宋" w:cs="仿宋"/>
          <w:sz w:val="32"/>
          <w:szCs w:val="32"/>
        </w:rPr>
        <w:t>报告期内启动权利完善、加速清偿、提前终止等信用触发机制的，管理人应当披露该事项发生的具体情况、原因、截至报告期末的最新处置进展以及对未来专项计划收益分配的影响。</w:t>
      </w:r>
    </w:p>
    <w:p>
      <w:pPr>
        <w:spacing w:line="560" w:lineRule="exact"/>
        <w:ind w:firstLine="643" w:firstLineChars="200"/>
        <w:rPr>
          <w:rFonts w:ascii="仿宋" w:hAnsi="仿宋" w:eastAsia="仿宋" w:cs="仿宋"/>
          <w:sz w:val="32"/>
          <w:szCs w:val="32"/>
        </w:rPr>
      </w:pPr>
      <w:r>
        <w:rPr>
          <w:rFonts w:hint="eastAsia" w:ascii="仿宋" w:hAnsi="仿宋" w:eastAsia="仿宋" w:cs="仿宋"/>
          <w:b/>
          <w:bCs/>
          <w:sz w:val="32"/>
          <w:szCs w:val="32"/>
        </w:rPr>
        <w:t>第五十三条</w:t>
      </w:r>
      <w:r>
        <w:rPr>
          <w:rFonts w:hint="eastAsia" w:ascii="仿宋" w:hAnsi="仿宋" w:eastAsia="仿宋" w:cs="仿宋"/>
          <w:sz w:val="32"/>
          <w:szCs w:val="32"/>
        </w:rPr>
        <w:t xml:space="preserve"> 报告期内发生法律法规、本所规定以及计划说明书等约定或者管理人认为可能对投资者作出价值判断和投资决策有实质性影响的重大事件的，管理人应当披露该事件的发生情况、原因，说明该事件最新进展以及对报告期内和未来专项计划收益分配的影响。</w:t>
      </w:r>
    </w:p>
    <w:p>
      <w:pPr>
        <w:spacing w:line="560" w:lineRule="exact"/>
        <w:ind w:firstLine="643" w:firstLineChars="200"/>
        <w:rPr>
          <w:rFonts w:ascii="仿宋" w:hAnsi="仿宋" w:eastAsia="仿宋" w:cs="仿宋"/>
          <w:sz w:val="32"/>
          <w:szCs w:val="32"/>
        </w:rPr>
      </w:pPr>
      <w:r>
        <w:rPr>
          <w:rFonts w:hint="eastAsia" w:ascii="仿宋" w:hAnsi="仿宋" w:eastAsia="仿宋" w:cs="仿宋"/>
          <w:b/>
          <w:bCs/>
          <w:sz w:val="32"/>
          <w:szCs w:val="32"/>
        </w:rPr>
        <w:t xml:space="preserve">第五十四条 </w:t>
      </w:r>
      <w:r>
        <w:rPr>
          <w:rFonts w:hint="eastAsia" w:ascii="仿宋" w:hAnsi="仿宋" w:eastAsia="仿宋" w:cs="仿宋"/>
          <w:sz w:val="32"/>
          <w:szCs w:val="32"/>
        </w:rPr>
        <w:t>报告期内召开资产支持证券持有人会议的，管理人应当披露资产支持证券持有人会议的相关情况，包括召开时间、召开事由、会议形式、审议事项、决议内容及后续落实情况等。</w:t>
      </w:r>
    </w:p>
    <w:p>
      <w:pPr>
        <w:spacing w:line="560" w:lineRule="exact"/>
        <w:ind w:firstLine="643" w:firstLineChars="200"/>
        <w:rPr>
          <w:rFonts w:ascii="仿宋" w:hAnsi="仿宋" w:eastAsia="仿宋" w:cs="仿宋"/>
          <w:sz w:val="32"/>
          <w:szCs w:val="32"/>
        </w:rPr>
      </w:pPr>
      <w:r>
        <w:rPr>
          <w:rFonts w:hint="eastAsia" w:ascii="仿宋" w:hAnsi="仿宋" w:eastAsia="仿宋" w:cs="仿宋"/>
          <w:b/>
          <w:bCs/>
          <w:sz w:val="32"/>
          <w:szCs w:val="32"/>
        </w:rPr>
        <w:t>第五十五条</w:t>
      </w:r>
      <w:r>
        <w:rPr>
          <w:rFonts w:hint="eastAsia" w:ascii="仿宋" w:hAnsi="仿宋" w:eastAsia="仿宋" w:cs="仿宋"/>
          <w:sz w:val="32"/>
          <w:szCs w:val="32"/>
        </w:rPr>
        <w:t xml:space="preserve"> 本节相关事项已作为临时报告披露且后续无变化的，管理人仅需简要说明相关重大事项及已披露网站的相关查询索引及披露日期。</w:t>
      </w:r>
    </w:p>
    <w:p>
      <w:pPr>
        <w:pStyle w:val="2"/>
        <w:spacing w:line="560" w:lineRule="exact"/>
      </w:pPr>
      <w:bookmarkStart w:id="60" w:name="_Toc28610"/>
      <w:bookmarkStart w:id="61" w:name="_Toc12523"/>
      <w:bookmarkStart w:id="62" w:name="_Toc121678233"/>
      <w:bookmarkStart w:id="63" w:name="_Toc3756"/>
      <w:bookmarkStart w:id="64" w:name="_Toc3301_WPSOffice_Level1"/>
      <w:bookmarkStart w:id="65" w:name="_Toc7286"/>
      <w:r>
        <w:rPr>
          <w:rFonts w:hint="eastAsia"/>
        </w:rPr>
        <w:t>第四章 年度托管报告</w:t>
      </w:r>
      <w:bookmarkEnd w:id="60"/>
      <w:bookmarkEnd w:id="61"/>
      <w:bookmarkEnd w:id="62"/>
      <w:bookmarkEnd w:id="63"/>
      <w:bookmarkEnd w:id="64"/>
      <w:bookmarkEnd w:id="65"/>
    </w:p>
    <w:p>
      <w:pPr>
        <w:spacing w:line="560" w:lineRule="exact"/>
        <w:ind w:firstLine="643" w:firstLineChars="200"/>
        <w:jc w:val="both"/>
        <w:rPr>
          <w:rFonts w:ascii="仿宋" w:hAnsi="仿宋" w:eastAsia="仿宋" w:cs="仿宋"/>
          <w:sz w:val="32"/>
          <w:szCs w:val="32"/>
        </w:rPr>
      </w:pPr>
      <w:r>
        <w:rPr>
          <w:rFonts w:hint="eastAsia" w:ascii="仿宋" w:hAnsi="仿宋" w:eastAsia="仿宋" w:cs="仿宋"/>
          <w:b/>
          <w:bCs/>
          <w:sz w:val="32"/>
          <w:szCs w:val="32"/>
        </w:rPr>
        <w:t>第五十六条</w:t>
      </w:r>
      <w:r>
        <w:rPr>
          <w:rFonts w:hint="eastAsia" w:ascii="仿宋" w:hAnsi="仿宋" w:eastAsia="仿宋" w:cs="仿宋"/>
          <w:b/>
          <w:bCs/>
          <w:sz w:val="32"/>
          <w:szCs w:val="32"/>
          <w:lang w:val="en-US" w:eastAsia="zh-CN"/>
        </w:rPr>
        <w:t xml:space="preserve"> </w:t>
      </w:r>
      <w:r>
        <w:rPr>
          <w:rFonts w:hint="eastAsia" w:ascii="仿宋" w:hAnsi="仿宋" w:eastAsia="仿宋" w:cs="仿宋"/>
          <w:sz w:val="32"/>
          <w:szCs w:val="32"/>
        </w:rPr>
        <w:t>托管人应当在每年4月30日前披露年度托管报告，但专项计划设立距报告期末不足2个月或者专项计划所有挂牌证券在披露截止日前已全部摘牌的除外。</w:t>
      </w:r>
    </w:p>
    <w:p>
      <w:pPr>
        <w:spacing w:line="560" w:lineRule="exact"/>
        <w:ind w:firstLine="643" w:firstLineChars="200"/>
        <w:jc w:val="both"/>
        <w:rPr>
          <w:rFonts w:ascii="仿宋" w:hAnsi="仿宋" w:eastAsia="仿宋" w:cs="仿宋"/>
          <w:sz w:val="32"/>
          <w:szCs w:val="32"/>
        </w:rPr>
      </w:pPr>
      <w:r>
        <w:rPr>
          <w:rFonts w:hint="eastAsia" w:ascii="仿宋" w:hAnsi="仿宋" w:eastAsia="仿宋" w:cs="仿宋"/>
          <w:b/>
          <w:bCs/>
          <w:sz w:val="32"/>
          <w:szCs w:val="32"/>
        </w:rPr>
        <w:t>第五十七条</w:t>
      </w:r>
      <w:r>
        <w:rPr>
          <w:rFonts w:hint="eastAsia" w:ascii="仿宋" w:hAnsi="仿宋" w:eastAsia="仿宋" w:cs="仿宋"/>
          <w:b/>
          <w:bCs/>
          <w:sz w:val="32"/>
          <w:szCs w:val="32"/>
          <w:lang w:val="en-US" w:eastAsia="zh-CN"/>
        </w:rPr>
        <w:t xml:space="preserve"> </w:t>
      </w:r>
      <w:r>
        <w:rPr>
          <w:rFonts w:hint="eastAsia" w:ascii="仿宋" w:hAnsi="仿宋" w:eastAsia="仿宋" w:cs="仿宋"/>
          <w:sz w:val="32"/>
          <w:szCs w:val="32"/>
        </w:rPr>
        <w:t>年度托管报告封面应当标明专项计划名称、报告期间、托管人名称和披露时间。</w:t>
      </w:r>
    </w:p>
    <w:p>
      <w:pPr>
        <w:spacing w:line="560" w:lineRule="exact"/>
        <w:ind w:firstLine="643" w:firstLineChars="200"/>
        <w:rPr>
          <w:rFonts w:ascii="仿宋" w:hAnsi="仿宋" w:eastAsia="仿宋" w:cs="仿宋"/>
          <w:sz w:val="32"/>
          <w:szCs w:val="32"/>
        </w:rPr>
      </w:pPr>
      <w:r>
        <w:rPr>
          <w:rFonts w:hint="eastAsia" w:ascii="仿宋" w:hAnsi="仿宋" w:eastAsia="仿宋" w:cs="仿宋"/>
          <w:b/>
          <w:bCs/>
          <w:sz w:val="32"/>
          <w:szCs w:val="32"/>
        </w:rPr>
        <w:t>第五十八条</w:t>
      </w:r>
      <w:r>
        <w:rPr>
          <w:rFonts w:hint="eastAsia" w:ascii="仿宋" w:hAnsi="仿宋" w:eastAsia="仿宋" w:cs="仿宋"/>
          <w:b/>
          <w:bCs/>
          <w:sz w:val="32"/>
          <w:szCs w:val="32"/>
          <w:lang w:val="en-US" w:eastAsia="zh-CN"/>
        </w:rPr>
        <w:t xml:space="preserve"> </w:t>
      </w:r>
      <w:r>
        <w:rPr>
          <w:rFonts w:hint="eastAsia" w:ascii="仿宋" w:hAnsi="仿宋" w:eastAsia="仿宋" w:cs="仿宋"/>
          <w:sz w:val="32"/>
          <w:szCs w:val="32"/>
        </w:rPr>
        <w:t>托管人应当在年度托管报告正文扉页作出如下重要提示：托管人保证本报告的内容真实、准确、完整，不存在虚假记载、误导性陈述或者重大遗漏，并承担相应的法律责任。</w:t>
      </w:r>
    </w:p>
    <w:p>
      <w:pPr>
        <w:spacing w:line="560" w:lineRule="exact"/>
        <w:ind w:firstLine="600"/>
        <w:rPr>
          <w:rFonts w:ascii="仿宋" w:hAnsi="仿宋" w:eastAsia="仿宋" w:cs="仿宋"/>
          <w:sz w:val="32"/>
          <w:szCs w:val="32"/>
        </w:rPr>
      </w:pPr>
      <w:r>
        <w:rPr>
          <w:rFonts w:hint="eastAsia" w:ascii="仿宋" w:hAnsi="仿宋" w:eastAsia="仿宋" w:cs="仿宋"/>
          <w:b/>
          <w:bCs/>
          <w:sz w:val="32"/>
          <w:szCs w:val="32"/>
        </w:rPr>
        <w:t>第五十九条</w:t>
      </w:r>
      <w:r>
        <w:rPr>
          <w:rFonts w:hint="eastAsia" w:ascii="仿宋" w:hAnsi="仿宋" w:eastAsia="仿宋" w:cs="仿宋"/>
          <w:b/>
          <w:bCs/>
          <w:sz w:val="32"/>
          <w:szCs w:val="32"/>
          <w:lang w:val="en-US" w:eastAsia="zh-CN"/>
        </w:rPr>
        <w:t xml:space="preserve"> </w:t>
      </w:r>
      <w:r>
        <w:rPr>
          <w:rFonts w:hint="eastAsia" w:ascii="仿宋" w:hAnsi="仿宋" w:eastAsia="仿宋" w:cs="仿宋"/>
          <w:sz w:val="32"/>
          <w:szCs w:val="32"/>
        </w:rPr>
        <w:t>托管人发现报告期内管理人有严重违反相关规定或者约定、损害资产支持证券投资者权益的情形，或者年度托管报告中披露的相关信息可能对资产支持证券收益分配、投资价值、转让价格和投资者权益产生重大不利影响的，应当在“重要提示”中说明相关信息、产生的重大不利影响并提醒投资者关注。</w:t>
      </w:r>
    </w:p>
    <w:p>
      <w:pPr>
        <w:spacing w:line="560" w:lineRule="exact"/>
        <w:ind w:firstLine="600"/>
        <w:rPr>
          <w:rFonts w:ascii="仿宋" w:hAnsi="仿宋" w:eastAsia="仿宋" w:cs="仿宋"/>
          <w:sz w:val="32"/>
          <w:szCs w:val="32"/>
        </w:rPr>
      </w:pPr>
      <w:r>
        <w:rPr>
          <w:rFonts w:hint="eastAsia" w:ascii="仿宋" w:hAnsi="仿宋" w:eastAsia="仿宋" w:cs="仿宋"/>
          <w:b/>
          <w:bCs/>
          <w:sz w:val="32"/>
          <w:szCs w:val="32"/>
        </w:rPr>
        <w:t>第六十条</w:t>
      </w:r>
      <w:r>
        <w:rPr>
          <w:rFonts w:hint="eastAsia" w:ascii="仿宋" w:hAnsi="仿宋" w:eastAsia="仿宋" w:cs="仿宋"/>
          <w:b/>
          <w:bCs/>
          <w:sz w:val="32"/>
          <w:szCs w:val="32"/>
          <w:lang w:val="en-US" w:eastAsia="zh-CN"/>
        </w:rPr>
        <w:t xml:space="preserve"> </w:t>
      </w:r>
      <w:r>
        <w:rPr>
          <w:rFonts w:hint="eastAsia" w:ascii="仿宋" w:hAnsi="仿宋" w:eastAsia="仿宋" w:cs="仿宋"/>
          <w:sz w:val="32"/>
          <w:szCs w:val="32"/>
        </w:rPr>
        <w:t>年度托管报告中相关信息来源于管理人等其他</w:t>
      </w:r>
      <w:r>
        <w:rPr>
          <w:rFonts w:hint="eastAsia" w:ascii="仿宋" w:hAnsi="仿宋" w:eastAsia="仿宋" w:cs="仿宋"/>
          <w:sz w:val="32"/>
          <w:szCs w:val="32"/>
          <w:lang w:eastAsia="zh-CN"/>
        </w:rPr>
        <w:t>相关主体</w:t>
      </w:r>
      <w:r>
        <w:rPr>
          <w:rFonts w:hint="eastAsia" w:ascii="仿宋" w:hAnsi="仿宋" w:eastAsia="仿宋" w:cs="仿宋"/>
          <w:sz w:val="32"/>
          <w:szCs w:val="32"/>
        </w:rPr>
        <w:t>的，托管人应当在“重要提示”中说明相关信息来源及经信息来源方确认的情况，以及托管人已通过合理方式进行复核确认的情况。经复核仍存在重要差异的，托管人应当说明差异内容及其原因。</w:t>
      </w:r>
    </w:p>
    <w:p>
      <w:pPr>
        <w:spacing w:line="560" w:lineRule="exact"/>
        <w:ind w:firstLine="600"/>
        <w:rPr>
          <w:rFonts w:ascii="仿宋" w:hAnsi="仿宋" w:eastAsia="仿宋" w:cs="仿宋"/>
          <w:sz w:val="32"/>
          <w:szCs w:val="32"/>
        </w:rPr>
      </w:pPr>
      <w:r>
        <w:rPr>
          <w:rFonts w:hint="eastAsia" w:ascii="仿宋" w:hAnsi="仿宋" w:eastAsia="仿宋" w:cs="仿宋"/>
          <w:sz w:val="32"/>
          <w:szCs w:val="32"/>
        </w:rPr>
        <w:t>托管人应当对年度资产管理报告有关数据的真实性、准确性、完整性进行复核，并披露复核情况。</w:t>
      </w:r>
    </w:p>
    <w:p>
      <w:pPr>
        <w:spacing w:line="560" w:lineRule="exact"/>
        <w:ind w:firstLine="600"/>
        <w:rPr>
          <w:rFonts w:ascii="仿宋" w:hAnsi="仿宋" w:eastAsia="仿宋" w:cs="仿宋"/>
          <w:sz w:val="32"/>
          <w:szCs w:val="32"/>
        </w:rPr>
      </w:pPr>
      <w:r>
        <w:rPr>
          <w:rFonts w:hint="eastAsia" w:ascii="仿宋" w:hAnsi="仿宋" w:eastAsia="仿宋" w:cs="仿宋"/>
          <w:b/>
          <w:bCs/>
          <w:sz w:val="32"/>
          <w:szCs w:val="32"/>
        </w:rPr>
        <w:t>第六十一条</w:t>
      </w:r>
      <w:r>
        <w:rPr>
          <w:rFonts w:hint="eastAsia" w:ascii="仿宋" w:hAnsi="仿宋" w:eastAsia="仿宋" w:cs="仿宋"/>
          <w:b/>
          <w:bCs/>
          <w:sz w:val="32"/>
          <w:szCs w:val="32"/>
          <w:lang w:val="en-US" w:eastAsia="zh-CN"/>
        </w:rPr>
        <w:t xml:space="preserve"> </w:t>
      </w:r>
      <w:r>
        <w:rPr>
          <w:rFonts w:hint="eastAsia" w:ascii="仿宋" w:hAnsi="仿宋" w:eastAsia="仿宋" w:cs="仿宋"/>
          <w:sz w:val="32"/>
          <w:szCs w:val="32"/>
        </w:rPr>
        <w:t>年度托管报告内容较多的，可以编制目录。目录应当标明各章、节的标题及其对应的页码。</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托管人应当对可能造成投资者理解障碍以及特定含义的术语作出通俗易懂的解释。年度托管报告的释义应当在“重要提示”或者目录次页排印。</w:t>
      </w:r>
    </w:p>
    <w:p>
      <w:pPr>
        <w:spacing w:line="560" w:lineRule="exact"/>
        <w:ind w:firstLine="643" w:firstLineChars="200"/>
        <w:rPr>
          <w:rFonts w:ascii="仿宋" w:hAnsi="仿宋" w:eastAsia="仿宋" w:cs="仿宋"/>
          <w:sz w:val="32"/>
          <w:szCs w:val="32"/>
        </w:rPr>
      </w:pPr>
      <w:r>
        <w:rPr>
          <w:rFonts w:hint="eastAsia" w:ascii="仿宋" w:hAnsi="仿宋" w:eastAsia="仿宋" w:cs="仿宋"/>
          <w:b/>
          <w:bCs/>
          <w:sz w:val="32"/>
          <w:szCs w:val="32"/>
        </w:rPr>
        <w:t>第六十二条</w:t>
      </w:r>
      <w:r>
        <w:rPr>
          <w:rFonts w:hint="eastAsia" w:ascii="仿宋" w:hAnsi="仿宋" w:eastAsia="仿宋" w:cs="仿宋"/>
          <w:b/>
          <w:bCs/>
          <w:sz w:val="32"/>
          <w:szCs w:val="32"/>
          <w:lang w:val="en-US" w:eastAsia="zh-CN"/>
        </w:rPr>
        <w:t xml:space="preserve"> </w:t>
      </w:r>
      <w:r>
        <w:rPr>
          <w:rFonts w:hint="eastAsia" w:ascii="仿宋" w:hAnsi="仿宋" w:eastAsia="仿宋" w:cs="仿宋"/>
          <w:sz w:val="32"/>
          <w:szCs w:val="32"/>
        </w:rPr>
        <w:t>托管人应当披露报告期内履行职责和义务的情况，包括但不限于在专项计划资产托管过程中是否严格遵守了法律法规、本所规定、专项计划文件的约定和所作出的承诺，是否勤勉尽责地履行托管职责和义务，是否安全保管专项计划相关资产，是否积极监督管理人对专项计划资产的运作，有无损害资产支持证券投资者权益的行为。</w:t>
      </w:r>
    </w:p>
    <w:p>
      <w:pPr>
        <w:spacing w:line="560" w:lineRule="exact"/>
        <w:ind w:firstLine="643" w:firstLineChars="200"/>
        <w:rPr>
          <w:rFonts w:ascii="仿宋" w:hAnsi="仿宋" w:eastAsia="仿宋" w:cs="仿宋"/>
          <w:sz w:val="32"/>
          <w:szCs w:val="32"/>
        </w:rPr>
      </w:pPr>
      <w:r>
        <w:rPr>
          <w:rFonts w:hint="eastAsia" w:ascii="仿宋" w:hAnsi="仿宋" w:eastAsia="仿宋" w:cs="仿宋"/>
          <w:b/>
          <w:bCs/>
          <w:sz w:val="32"/>
          <w:szCs w:val="32"/>
        </w:rPr>
        <w:t>第六十三条</w:t>
      </w:r>
      <w:r>
        <w:rPr>
          <w:rFonts w:hint="eastAsia" w:ascii="仿宋" w:hAnsi="仿宋" w:eastAsia="仿宋" w:cs="仿宋"/>
          <w:b/>
          <w:bCs/>
          <w:sz w:val="32"/>
          <w:szCs w:val="32"/>
          <w:lang w:val="en-US" w:eastAsia="zh-CN"/>
        </w:rPr>
        <w:t xml:space="preserve"> </w:t>
      </w:r>
      <w:r>
        <w:rPr>
          <w:rFonts w:hint="eastAsia" w:ascii="仿宋" w:hAnsi="仿宋" w:eastAsia="仿宋" w:cs="仿宋"/>
          <w:sz w:val="32"/>
          <w:szCs w:val="32"/>
        </w:rPr>
        <w:t>托管人应当披露报告期内专项计划资产隔离情况，包括但不限于托管的专项计划资产是否独立于其自身固有财产和所托管的其他资产，托管的专项计划资产所产生的债权是否与其自身固有财产和所托管的其他资产产生的债务相抵销。</w:t>
      </w:r>
    </w:p>
    <w:p>
      <w:pPr>
        <w:spacing w:line="560" w:lineRule="exact"/>
        <w:ind w:firstLine="643" w:firstLineChars="200"/>
        <w:rPr>
          <w:rFonts w:ascii="仿宋" w:hAnsi="仿宋" w:eastAsia="仿宋" w:cs="仿宋"/>
          <w:sz w:val="32"/>
          <w:szCs w:val="32"/>
        </w:rPr>
      </w:pPr>
      <w:r>
        <w:rPr>
          <w:rFonts w:hint="eastAsia" w:ascii="仿宋" w:hAnsi="仿宋" w:eastAsia="仿宋" w:cs="仿宋"/>
          <w:b/>
          <w:bCs/>
          <w:sz w:val="32"/>
          <w:szCs w:val="32"/>
        </w:rPr>
        <w:t>第六十四条</w:t>
      </w:r>
      <w:r>
        <w:rPr>
          <w:rFonts w:hint="eastAsia" w:ascii="仿宋" w:hAnsi="仿宋" w:eastAsia="仿宋" w:cs="仿宋"/>
          <w:b/>
          <w:bCs/>
          <w:sz w:val="32"/>
          <w:szCs w:val="32"/>
          <w:lang w:val="en-US" w:eastAsia="zh-CN"/>
        </w:rPr>
        <w:t xml:space="preserve"> </w:t>
      </w:r>
      <w:r>
        <w:rPr>
          <w:rFonts w:hint="eastAsia" w:ascii="仿宋" w:hAnsi="仿宋" w:eastAsia="仿宋" w:cs="仿宋"/>
          <w:sz w:val="32"/>
          <w:szCs w:val="32"/>
        </w:rPr>
        <w:t>托管人应当披露报告期内监督管理人对专项计划资产运作情况，包括但不限于是否认真复核管理人的每项管理指令，管理指令是否存在违反相关规定或者约定的情形，是否存在损害资产支持证券投资者权益的情形，以及相关规定或者约定的其他监督事项的执行情况。</w:t>
      </w:r>
    </w:p>
    <w:p>
      <w:pPr>
        <w:spacing w:line="560" w:lineRule="exact"/>
        <w:ind w:firstLine="643" w:firstLineChars="200"/>
        <w:rPr>
          <w:rFonts w:ascii="仿宋" w:hAnsi="仿宋" w:eastAsia="仿宋" w:cs="仿宋"/>
          <w:sz w:val="32"/>
          <w:szCs w:val="32"/>
        </w:rPr>
      </w:pPr>
      <w:r>
        <w:rPr>
          <w:rFonts w:hint="eastAsia" w:ascii="仿宋" w:hAnsi="仿宋" w:eastAsia="仿宋" w:cs="仿宋"/>
          <w:b/>
          <w:bCs/>
          <w:sz w:val="32"/>
          <w:szCs w:val="32"/>
        </w:rPr>
        <w:t>第六十五条</w:t>
      </w:r>
      <w:r>
        <w:rPr>
          <w:rFonts w:hint="eastAsia" w:ascii="仿宋" w:hAnsi="仿宋" w:eastAsia="仿宋" w:cs="仿宋"/>
          <w:b/>
          <w:bCs/>
          <w:sz w:val="32"/>
          <w:szCs w:val="32"/>
          <w:lang w:val="en-US" w:eastAsia="zh-CN"/>
        </w:rPr>
        <w:t xml:space="preserve"> </w:t>
      </w:r>
      <w:r>
        <w:rPr>
          <w:rFonts w:hint="eastAsia" w:ascii="仿宋" w:hAnsi="仿宋" w:eastAsia="仿宋" w:cs="仿宋"/>
          <w:sz w:val="32"/>
          <w:szCs w:val="32"/>
        </w:rPr>
        <w:t>托管人应当披露报告期内下列专项计划资金运用、处分情况：</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一）专项计划账户资金收支情况，包括但不限于收支日期，收入来源、金额，支出用途、金额，报告期初和期末余额等。支出用于分配专项计划收益的，支出用途应当明确专项计划各档资产支持证券简称、证券代码等。如专项计划账户下设多个子账户的，托管人应当提供报告期内专项计划账户所有子账户的资金收支情况；</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二）管理人利用专项计划账户闲置资金进行投资的，应当披露报告期内投资、投资回收、取得投资收益日期，投资的产品、投资金额、投资收益金额，报告期初和期末投资余额等，并说明该等投资是否符合规定或者约定；</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三）管理人以投资或者运营专项计划中不动产为目的向金融机构等借款的，应当披露报告期内借款、还款、利息支付日期，债权人、借款金额、利率、借入资金用途、偿还本息情况，报告期初和期末借款余额等；</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（四）专项计划账户资金运用、处分的其他情况。</w:t>
      </w:r>
    </w:p>
    <w:p>
      <w:pPr>
        <w:spacing w:line="560" w:lineRule="exact"/>
        <w:ind w:firstLine="600"/>
      </w:pPr>
      <w:r>
        <w:rPr>
          <w:rFonts w:hint="eastAsia" w:ascii="仿宋" w:hAnsi="仿宋" w:eastAsia="仿宋" w:cs="仿宋"/>
          <w:b/>
          <w:bCs/>
          <w:sz w:val="32"/>
          <w:szCs w:val="32"/>
        </w:rPr>
        <w:t>第六十六条</w:t>
      </w:r>
      <w:r>
        <w:rPr>
          <w:rFonts w:hint="eastAsia" w:ascii="仿宋" w:hAnsi="仿宋" w:eastAsia="仿宋" w:cs="仿宋"/>
          <w:b/>
          <w:bCs/>
          <w:sz w:val="32"/>
          <w:szCs w:val="32"/>
          <w:lang w:val="en-US" w:eastAsia="zh-CN"/>
        </w:rPr>
        <w:t xml:space="preserve"> </w:t>
      </w:r>
      <w:r>
        <w:rPr>
          <w:rFonts w:hint="eastAsia" w:ascii="仿宋" w:hAnsi="仿宋" w:eastAsia="仿宋" w:cs="仿宋"/>
          <w:sz w:val="32"/>
          <w:szCs w:val="32"/>
        </w:rPr>
        <w:t>年度托管报告有附件的，托管人应当在年度托管报告中披露附件目录，并在办公场所置备该附件。</w:t>
      </w:r>
    </w:p>
    <w:p>
      <w:pPr>
        <w:pStyle w:val="2"/>
        <w:spacing w:line="560" w:lineRule="exact"/>
      </w:pPr>
      <w:bookmarkStart w:id="66" w:name="_Toc13545"/>
      <w:bookmarkStart w:id="67" w:name="_Toc32194"/>
      <w:bookmarkStart w:id="68" w:name="_Toc27409"/>
      <w:bookmarkStart w:id="69" w:name="_Toc19423_WPSOffice_Level1"/>
      <w:bookmarkStart w:id="70" w:name="_Toc19229"/>
      <w:bookmarkStart w:id="71" w:name="_Toc121678234"/>
      <w:r>
        <w:rPr>
          <w:rFonts w:hint="eastAsia"/>
        </w:rPr>
        <w:t>第五章 附则</w:t>
      </w:r>
      <w:bookmarkEnd w:id="66"/>
      <w:bookmarkEnd w:id="67"/>
      <w:bookmarkEnd w:id="68"/>
      <w:bookmarkEnd w:id="69"/>
      <w:bookmarkEnd w:id="70"/>
      <w:bookmarkEnd w:id="71"/>
    </w:p>
    <w:p>
      <w:pPr>
        <w:spacing w:line="560" w:lineRule="exact"/>
        <w:ind w:firstLine="643" w:firstLineChars="200"/>
        <w:rPr>
          <w:rFonts w:ascii="仿宋" w:hAnsi="仿宋" w:eastAsia="仿宋" w:cs="仿宋"/>
          <w:kern w:val="0"/>
          <w:sz w:val="32"/>
          <w:szCs w:val="32"/>
        </w:rPr>
      </w:pPr>
      <w:r>
        <w:rPr>
          <w:rFonts w:hint="eastAsia" w:ascii="仿宋" w:hAnsi="仿宋" w:eastAsia="仿宋" w:cs="仿宋"/>
          <w:b/>
          <w:bCs/>
          <w:kern w:val="0"/>
          <w:sz w:val="32"/>
          <w:szCs w:val="32"/>
        </w:rPr>
        <w:t>第六十七条</w:t>
      </w:r>
      <w:r>
        <w:rPr>
          <w:rFonts w:hint="eastAsia" w:ascii="仿宋" w:hAnsi="仿宋" w:eastAsia="仿宋" w:cs="仿宋"/>
          <w:kern w:val="0"/>
          <w:sz w:val="32"/>
          <w:szCs w:val="32"/>
        </w:rPr>
        <w:t xml:space="preserve"> 聘请资信评级机构对资产支持证券进行评级的，资信评级机构应当按照相关规定和约定编制定期跟踪评级报告，并于每年6月30日前披露，但专项计划设立距报告期末不足2个月或者专项计划所有挂牌证券在披露截止日前已全部摘牌的除外。</w:t>
      </w:r>
    </w:p>
    <w:p>
      <w:pPr>
        <w:spacing w:line="560" w:lineRule="exact"/>
        <w:ind w:firstLine="643" w:firstLineChars="200"/>
        <w:rPr>
          <w:rFonts w:ascii="仿宋" w:hAnsi="仿宋" w:eastAsia="仿宋" w:cs="仿宋"/>
          <w:kern w:val="0"/>
          <w:sz w:val="32"/>
          <w:szCs w:val="32"/>
        </w:rPr>
      </w:pPr>
      <w:r>
        <w:rPr>
          <w:rFonts w:hint="eastAsia" w:ascii="仿宋" w:hAnsi="仿宋" w:eastAsia="仿宋" w:cs="仿宋"/>
          <w:b/>
          <w:bCs/>
          <w:kern w:val="0"/>
          <w:sz w:val="32"/>
          <w:szCs w:val="32"/>
        </w:rPr>
        <w:t xml:space="preserve">第六十八条 </w:t>
      </w:r>
      <w:r>
        <w:rPr>
          <w:rFonts w:hint="eastAsia" w:ascii="仿宋" w:hAnsi="仿宋" w:eastAsia="仿宋" w:cs="仿宋"/>
          <w:kern w:val="0"/>
          <w:sz w:val="32"/>
          <w:szCs w:val="32"/>
        </w:rPr>
        <w:t>专项计划基础资产为核心企业供应链应付款的，核心企业参照执行本指引特定原始权益人的披露要求。</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前款所称核心企业供应链应付款，是指上游供应商或者服务提供方向核心企业或者其下属公司销售商品或者提供服务等经营活动后产生的、以核心企业或者其下属公司为付款方的应付款；核心企业，是指在供应链业务过程中具备主导地位且利用其主体资信为供应链资产支持证券提供信用支持的企业。</w:t>
      </w:r>
    </w:p>
    <w:p>
      <w:pPr>
        <w:spacing w:line="560" w:lineRule="exact"/>
        <w:ind w:firstLine="643" w:firstLineChars="200"/>
        <w:rPr>
          <w:rFonts w:ascii="仿宋" w:hAnsi="仿宋" w:eastAsia="仿宋" w:cs="仿宋"/>
          <w:kern w:val="0"/>
          <w:sz w:val="32"/>
          <w:szCs w:val="32"/>
        </w:rPr>
      </w:pPr>
      <w:r>
        <w:rPr>
          <w:rFonts w:hint="eastAsia" w:ascii="仿宋" w:hAnsi="仿宋" w:eastAsia="仿宋" w:cs="仿宋"/>
          <w:b/>
          <w:bCs/>
          <w:kern w:val="0"/>
          <w:sz w:val="32"/>
          <w:szCs w:val="32"/>
        </w:rPr>
        <w:t>第六十九条</w:t>
      </w:r>
      <w:r>
        <w:rPr>
          <w:rFonts w:hint="eastAsia" w:ascii="仿宋" w:hAnsi="仿宋" w:eastAsia="仿宋" w:cs="仿宋"/>
          <w:kern w:val="0"/>
          <w:sz w:val="32"/>
          <w:szCs w:val="32"/>
        </w:rPr>
        <w:t xml:space="preserve"> 报告期末专项计划剩余基础资产规模不足发行时资产规模的20%，且</w:t>
      </w:r>
      <w:r>
        <w:rPr>
          <w:rFonts w:hint="eastAsia" w:ascii="仿宋" w:hAnsi="仿宋" w:eastAsia="仿宋" w:cs="仿宋"/>
          <w:sz w:val="32"/>
          <w:szCs w:val="32"/>
        </w:rPr>
        <w:t>单一</w:t>
      </w:r>
      <w:r>
        <w:rPr>
          <w:rFonts w:hint="eastAsia" w:ascii="仿宋" w:hAnsi="仿宋" w:eastAsia="仿宋" w:cs="仿宋"/>
          <w:kern w:val="0"/>
          <w:sz w:val="32"/>
          <w:szCs w:val="32"/>
        </w:rPr>
        <w:t>重要现金流提供方按照约定未支付现金流金额占基础资产未来现金流总额比例不足30%，或者该单一提供方及其关联方的未支付现金流金额合计占基础资产未来现金流总额比例不足40%</w:t>
      </w:r>
      <w:r>
        <w:rPr>
          <w:rFonts w:hint="eastAsia" w:ascii="仿宋" w:hAnsi="仿宋" w:eastAsia="仿宋" w:cs="仿宋"/>
          <w:sz w:val="32"/>
          <w:szCs w:val="32"/>
        </w:rPr>
        <w:t>的，</w:t>
      </w:r>
      <w:r>
        <w:rPr>
          <w:rFonts w:hint="eastAsia" w:ascii="仿宋" w:hAnsi="仿宋" w:eastAsia="仿宋" w:cs="仿宋"/>
          <w:kern w:val="0"/>
          <w:sz w:val="32"/>
          <w:szCs w:val="32"/>
        </w:rPr>
        <w:t>可以豁免管理人披露重要现金流提供方相关事项的要求。</w:t>
      </w:r>
    </w:p>
    <w:p>
      <w:pPr>
        <w:spacing w:line="560" w:lineRule="exact"/>
        <w:ind w:firstLine="643" w:firstLineChars="200"/>
        <w:rPr>
          <w:rFonts w:ascii="仿宋" w:hAnsi="仿宋" w:eastAsia="仿宋" w:cs="仿宋"/>
          <w:kern w:val="0"/>
          <w:sz w:val="32"/>
          <w:szCs w:val="32"/>
        </w:rPr>
      </w:pPr>
      <w:r>
        <w:rPr>
          <w:rFonts w:hint="eastAsia" w:ascii="仿宋" w:hAnsi="仿宋" w:eastAsia="仿宋" w:cs="仿宋"/>
          <w:b/>
          <w:bCs/>
          <w:kern w:val="0"/>
          <w:sz w:val="32"/>
          <w:szCs w:val="32"/>
        </w:rPr>
        <w:t>第七十条</w:t>
      </w:r>
      <w:r>
        <w:rPr>
          <w:rFonts w:hint="eastAsia" w:ascii="仿宋" w:hAnsi="仿宋" w:eastAsia="仿宋" w:cs="仿宋"/>
          <w:kern w:val="0"/>
          <w:sz w:val="32"/>
          <w:szCs w:val="32"/>
        </w:rPr>
        <w:t xml:space="preserve"> 本指引所称重大行政处罚，指中国证监会及其派出机构实施的行政处罚，其他行政机关实施的暂扣许可证件、降低资质等级、吊销许可证件、限制开展生产经营活动、责令停产停业、责令关闭、限制从业等行政处罚或者其他可能严重影响被处罚主体经营情况或者专项计划收益分配的行政处罚。</w:t>
      </w:r>
    </w:p>
    <w:p>
      <w:pPr>
        <w:spacing w:line="560" w:lineRule="exact"/>
        <w:ind w:firstLine="643" w:firstLineChars="200"/>
        <w:rPr>
          <w:rFonts w:ascii="仿宋" w:hAnsi="仿宋" w:eastAsia="仿宋" w:cs="仿宋"/>
          <w:kern w:val="0"/>
          <w:sz w:val="32"/>
          <w:szCs w:val="32"/>
        </w:rPr>
      </w:pPr>
      <w:r>
        <w:rPr>
          <w:rFonts w:hint="eastAsia" w:ascii="仿宋" w:hAnsi="仿宋" w:eastAsia="仿宋" w:cs="仿宋"/>
          <w:b/>
          <w:bCs/>
          <w:kern w:val="0"/>
          <w:sz w:val="32"/>
          <w:szCs w:val="32"/>
        </w:rPr>
        <w:t xml:space="preserve">第七十一条 </w:t>
      </w:r>
      <w:r>
        <w:rPr>
          <w:rFonts w:hint="eastAsia" w:ascii="仿宋" w:hAnsi="仿宋" w:eastAsia="仿宋" w:cs="仿宋"/>
          <w:kern w:val="0"/>
          <w:sz w:val="32"/>
          <w:szCs w:val="32"/>
        </w:rPr>
        <w:t>监管对象</w:t>
      </w:r>
      <w:r>
        <w:rPr>
          <w:rFonts w:hint="eastAsia" w:ascii="仿宋" w:hAnsi="仿宋" w:eastAsia="仿宋" w:cs="仿宋"/>
          <w:sz w:val="32"/>
          <w:szCs w:val="32"/>
        </w:rPr>
        <w:t>违反本指引的，本所根据《深圳证券交易所资产支持证券业务规则》等相关业务规则的规定对其采取自律监管措施或者纪律处分。</w:t>
      </w:r>
    </w:p>
    <w:p>
      <w:pPr>
        <w:spacing w:line="560" w:lineRule="exact"/>
        <w:ind w:firstLine="643" w:firstLineChars="200"/>
        <w:rPr>
          <w:rFonts w:ascii="仿宋" w:hAnsi="仿宋" w:eastAsia="仿宋" w:cs="仿宋"/>
          <w:sz w:val="32"/>
          <w:szCs w:val="32"/>
        </w:rPr>
      </w:pPr>
      <w:r>
        <w:rPr>
          <w:rFonts w:hint="eastAsia" w:ascii="仿宋" w:hAnsi="仿宋" w:eastAsia="仿宋" w:cs="仿宋"/>
          <w:b/>
          <w:bCs/>
          <w:sz w:val="32"/>
          <w:szCs w:val="32"/>
        </w:rPr>
        <w:t xml:space="preserve">第七十二条 </w:t>
      </w:r>
      <w:r>
        <w:rPr>
          <w:rFonts w:hint="eastAsia" w:ascii="仿宋" w:hAnsi="仿宋" w:eastAsia="仿宋" w:cs="仿宋"/>
          <w:sz w:val="32"/>
          <w:szCs w:val="32"/>
        </w:rPr>
        <w:t>本指引由本所负责解释。</w:t>
      </w:r>
    </w:p>
    <w:p>
      <w:pPr>
        <w:spacing w:line="560" w:lineRule="exact"/>
        <w:ind w:firstLine="643" w:firstLineChars="200"/>
        <w:rPr>
          <w:rFonts w:ascii="仿宋" w:hAnsi="仿宋" w:eastAsia="仿宋" w:cs="仿宋"/>
          <w:sz w:val="32"/>
          <w:szCs w:val="32"/>
        </w:rPr>
      </w:pPr>
      <w:r>
        <w:rPr>
          <w:rFonts w:hint="eastAsia" w:ascii="仿宋" w:hAnsi="仿宋" w:eastAsia="仿宋" w:cs="仿宋"/>
          <w:b/>
          <w:bCs/>
          <w:sz w:val="32"/>
          <w:szCs w:val="32"/>
        </w:rPr>
        <w:t>第七十三条</w:t>
      </w:r>
      <w:r>
        <w:rPr>
          <w:rFonts w:hint="eastAsia" w:ascii="仿宋" w:hAnsi="仿宋" w:eastAsia="仿宋" w:cs="仿宋"/>
          <w:sz w:val="32"/>
          <w:szCs w:val="32"/>
        </w:rPr>
        <w:t xml:space="preserve"> 本指引自发布之日起</w:t>
      </w:r>
      <w:bookmarkStart w:id="72" w:name="_GoBack"/>
      <w:bookmarkEnd w:id="72"/>
      <w:r>
        <w:rPr>
          <w:rFonts w:hint="eastAsia" w:ascii="仿宋" w:hAnsi="仿宋" w:eastAsia="仿宋" w:cs="仿宋"/>
          <w:sz w:val="32"/>
          <w:szCs w:val="32"/>
        </w:rPr>
        <w:t>施行。本所</w:t>
      </w:r>
      <w:r>
        <w:rPr>
          <w:rFonts w:hint="eastAsia" w:ascii="仿宋" w:hAnsi="仿宋" w:eastAsia="仿宋" w:cs="仿宋"/>
          <w:sz w:val="32"/>
          <w:szCs w:val="32"/>
          <w:lang w:eastAsia="zh-CN"/>
        </w:rPr>
        <w:t>于</w:t>
      </w:r>
      <w:r>
        <w:rPr>
          <w:rFonts w:hint="eastAsia" w:ascii="仿宋" w:hAnsi="仿宋" w:eastAsia="仿宋" w:cs="仿宋"/>
          <w:sz w:val="32"/>
          <w:szCs w:val="32"/>
        </w:rPr>
        <w:t>2018年5月11日发布的《深圳证券交易所资产支持证券定期报告内容与格式指引》（深证上〔2018〕200号）同时废止。</w:t>
      </w:r>
    </w:p>
    <w:p>
      <w:pPr>
        <w:spacing w:line="560" w:lineRule="exact"/>
      </w:pPr>
    </w:p>
    <w:sectPr>
      <w:footerReference r:id="rId3" w:type="default"/>
      <w:pgSz w:w="11906" w:h="16838"/>
      <w:pgMar w:top="2098" w:right="1474" w:bottom="1984"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Microsoft Himalaya">
    <w:panose1 w:val="01010100010101010101"/>
    <w:charset w:val="00"/>
    <w:family w:val="auto"/>
    <w:pitch w:val="default"/>
    <w:sig w:usb0="80000003" w:usb1="00010000" w:usb2="00000040" w:usb3="00000000" w:csb0="00000001" w:csb1="00000000"/>
  </w:font>
  <w:font w:name="Calibri Light">
    <w:panose1 w:val="020F0302020204030204"/>
    <w:charset w:val="00"/>
    <w:family w:val="swiss"/>
    <w:pitch w:val="default"/>
    <w:sig w:usb0="A00002EF" w:usb1="4000207B" w:usb2="00000000" w:usb3="00000000" w:csb0="2000019F" w:csb1="00000000"/>
  </w:font>
  <w:font w:name="方正小标宋简体">
    <w:panose1 w:val="02000000000000000000"/>
    <w:charset w:val="86"/>
    <w:family w:val="auto"/>
    <w:pitch w:val="default"/>
    <w:sig w:usb0="00000001" w:usb1="08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简体">
    <w:altName w:val="Arial Unicode MS"/>
    <w:panose1 w:val="02010601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ascii="仿宋_GB2312" w:eastAsia="仿宋_GB2312"/>
        <w:sz w:val="30"/>
        <w:szCs w:val="30"/>
      </w:rPr>
    </w:pPr>
    <w:r>
      <w:rPr>
        <w:sz w:val="30"/>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rPr>
                              <w:rFonts w:hint="eastAsia"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1</w:t>
                          </w:r>
                          <w:r>
                            <w:rPr>
                              <w:rFonts w:hint="eastAsia" w:ascii="宋体" w:hAnsi="宋体" w:cs="宋体"/>
                              <w:sz w:val="28"/>
                              <w:szCs w:val="28"/>
                            </w:rPr>
                            <w:fldChar w:fldCharType="end"/>
                          </w:r>
                          <w:r>
                            <w:rPr>
                              <w:rFonts w:hint="eastAsia" w:ascii="宋体" w:hAnsi="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1"/>
                      <w:rPr>
                        <w:rFonts w:hint="eastAsia"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1</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6"/>
    <w:multiLevelType w:val="multilevel"/>
    <w:tmpl w:val="00000006"/>
    <w:lvl w:ilvl="0" w:tentative="0">
      <w:start w:val="1"/>
      <w:numFmt w:val="chineseCountingThousand"/>
      <w:pStyle w:val="6"/>
      <w:lvlText w:val="第%1条"/>
      <w:lvlJc w:val="left"/>
      <w:pPr>
        <w:ind w:left="1554" w:hanging="420"/>
      </w:pPr>
      <w:rPr>
        <w:rFonts w:hint="eastAsia"/>
        <w:b/>
        <w:i w:val="0"/>
        <w:lang w:val="en-US"/>
      </w:rPr>
    </w:lvl>
    <w:lvl w:ilvl="1" w:tentative="0">
      <w:start w:val="1"/>
      <w:numFmt w:val="lowerLetter"/>
      <w:lvlText w:val="%2)"/>
      <w:lvlJc w:val="left"/>
      <w:pPr>
        <w:ind w:left="3606" w:hanging="420"/>
      </w:pPr>
    </w:lvl>
    <w:lvl w:ilvl="2" w:tentative="0">
      <w:start w:val="1"/>
      <w:numFmt w:val="lowerRoman"/>
      <w:lvlText w:val="%3."/>
      <w:lvlJc w:val="right"/>
      <w:pPr>
        <w:ind w:left="4026" w:hanging="420"/>
      </w:pPr>
    </w:lvl>
    <w:lvl w:ilvl="3" w:tentative="0">
      <w:start w:val="1"/>
      <w:numFmt w:val="decimal"/>
      <w:lvlText w:val="%4."/>
      <w:lvlJc w:val="left"/>
      <w:pPr>
        <w:ind w:left="4446" w:hanging="420"/>
      </w:pPr>
    </w:lvl>
    <w:lvl w:ilvl="4" w:tentative="0">
      <w:start w:val="1"/>
      <w:numFmt w:val="lowerLetter"/>
      <w:lvlText w:val="%5)"/>
      <w:lvlJc w:val="left"/>
      <w:pPr>
        <w:ind w:left="4866" w:hanging="420"/>
      </w:pPr>
    </w:lvl>
    <w:lvl w:ilvl="5" w:tentative="0">
      <w:start w:val="1"/>
      <w:numFmt w:val="lowerRoman"/>
      <w:lvlText w:val="%6."/>
      <w:lvlJc w:val="right"/>
      <w:pPr>
        <w:ind w:left="5286" w:hanging="420"/>
      </w:pPr>
    </w:lvl>
    <w:lvl w:ilvl="6" w:tentative="0">
      <w:start w:val="1"/>
      <w:numFmt w:val="decimal"/>
      <w:lvlText w:val="%7."/>
      <w:lvlJc w:val="left"/>
      <w:pPr>
        <w:ind w:left="5706" w:hanging="420"/>
      </w:pPr>
    </w:lvl>
    <w:lvl w:ilvl="7" w:tentative="0">
      <w:start w:val="1"/>
      <w:numFmt w:val="lowerLetter"/>
      <w:lvlText w:val="%8)"/>
      <w:lvlJc w:val="left"/>
      <w:pPr>
        <w:ind w:left="6126" w:hanging="420"/>
      </w:pPr>
    </w:lvl>
    <w:lvl w:ilvl="8" w:tentative="0">
      <w:start w:val="1"/>
      <w:numFmt w:val="lowerRoman"/>
      <w:lvlText w:val="%9."/>
      <w:lvlJc w:val="right"/>
      <w:pPr>
        <w:ind w:left="6546" w:hanging="42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revisionView w:markup="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153FCC"/>
    <w:rsid w:val="00011670"/>
    <w:rsid w:val="00021BE4"/>
    <w:rsid w:val="00025FC5"/>
    <w:rsid w:val="00050D08"/>
    <w:rsid w:val="000525BE"/>
    <w:rsid w:val="000562B8"/>
    <w:rsid w:val="00057BD7"/>
    <w:rsid w:val="00066AFD"/>
    <w:rsid w:val="0007152E"/>
    <w:rsid w:val="00082844"/>
    <w:rsid w:val="00083682"/>
    <w:rsid w:val="000A3821"/>
    <w:rsid w:val="000C2419"/>
    <w:rsid w:val="000D3FC2"/>
    <w:rsid w:val="000D7930"/>
    <w:rsid w:val="00101393"/>
    <w:rsid w:val="001059DD"/>
    <w:rsid w:val="00116258"/>
    <w:rsid w:val="00117DAB"/>
    <w:rsid w:val="00124820"/>
    <w:rsid w:val="00124DD4"/>
    <w:rsid w:val="001401A7"/>
    <w:rsid w:val="00141D05"/>
    <w:rsid w:val="00160ECC"/>
    <w:rsid w:val="00162C84"/>
    <w:rsid w:val="0019143E"/>
    <w:rsid w:val="00195D63"/>
    <w:rsid w:val="001A62F2"/>
    <w:rsid w:val="001A7571"/>
    <w:rsid w:val="001B154D"/>
    <w:rsid w:val="001D08AF"/>
    <w:rsid w:val="001D7A98"/>
    <w:rsid w:val="001E0C4A"/>
    <w:rsid w:val="001E676B"/>
    <w:rsid w:val="001F4CB7"/>
    <w:rsid w:val="00207712"/>
    <w:rsid w:val="00210C72"/>
    <w:rsid w:val="00251BDF"/>
    <w:rsid w:val="00255802"/>
    <w:rsid w:val="0025605D"/>
    <w:rsid w:val="002605FB"/>
    <w:rsid w:val="002751AB"/>
    <w:rsid w:val="00283404"/>
    <w:rsid w:val="00295F76"/>
    <w:rsid w:val="002A4224"/>
    <w:rsid w:val="002C190B"/>
    <w:rsid w:val="002C7C7E"/>
    <w:rsid w:val="002E30B4"/>
    <w:rsid w:val="002F4317"/>
    <w:rsid w:val="00311EDA"/>
    <w:rsid w:val="00324783"/>
    <w:rsid w:val="00342835"/>
    <w:rsid w:val="003625F6"/>
    <w:rsid w:val="00370CCD"/>
    <w:rsid w:val="00371DE7"/>
    <w:rsid w:val="00372148"/>
    <w:rsid w:val="0037395B"/>
    <w:rsid w:val="003775A5"/>
    <w:rsid w:val="00393558"/>
    <w:rsid w:val="003935BB"/>
    <w:rsid w:val="003939BC"/>
    <w:rsid w:val="00393A27"/>
    <w:rsid w:val="00394FF3"/>
    <w:rsid w:val="003A1F83"/>
    <w:rsid w:val="003B45BD"/>
    <w:rsid w:val="003B5EF2"/>
    <w:rsid w:val="003D1676"/>
    <w:rsid w:val="003E48D3"/>
    <w:rsid w:val="003F2767"/>
    <w:rsid w:val="004030EB"/>
    <w:rsid w:val="00411FB5"/>
    <w:rsid w:val="004168AF"/>
    <w:rsid w:val="00434D12"/>
    <w:rsid w:val="00456757"/>
    <w:rsid w:val="00461CC3"/>
    <w:rsid w:val="00492073"/>
    <w:rsid w:val="004B0D6A"/>
    <w:rsid w:val="004C1130"/>
    <w:rsid w:val="004C323F"/>
    <w:rsid w:val="004C78C7"/>
    <w:rsid w:val="004D3823"/>
    <w:rsid w:val="004F003F"/>
    <w:rsid w:val="004F7918"/>
    <w:rsid w:val="005013C5"/>
    <w:rsid w:val="0050571B"/>
    <w:rsid w:val="0051574F"/>
    <w:rsid w:val="005435A8"/>
    <w:rsid w:val="005501E6"/>
    <w:rsid w:val="00553B8F"/>
    <w:rsid w:val="005625A3"/>
    <w:rsid w:val="005774DC"/>
    <w:rsid w:val="005B01D5"/>
    <w:rsid w:val="005B6733"/>
    <w:rsid w:val="005C1819"/>
    <w:rsid w:val="005C4D79"/>
    <w:rsid w:val="005C6FF4"/>
    <w:rsid w:val="005D5B04"/>
    <w:rsid w:val="005E6A88"/>
    <w:rsid w:val="00614C7D"/>
    <w:rsid w:val="00620523"/>
    <w:rsid w:val="006310EA"/>
    <w:rsid w:val="00643127"/>
    <w:rsid w:val="00656BDD"/>
    <w:rsid w:val="00665C77"/>
    <w:rsid w:val="006673CD"/>
    <w:rsid w:val="00672823"/>
    <w:rsid w:val="006734EB"/>
    <w:rsid w:val="006960E2"/>
    <w:rsid w:val="006979A0"/>
    <w:rsid w:val="006B30A6"/>
    <w:rsid w:val="006B537D"/>
    <w:rsid w:val="006F552B"/>
    <w:rsid w:val="007055BB"/>
    <w:rsid w:val="00746E36"/>
    <w:rsid w:val="0075786E"/>
    <w:rsid w:val="007622B9"/>
    <w:rsid w:val="00763C53"/>
    <w:rsid w:val="00767C85"/>
    <w:rsid w:val="00787EAE"/>
    <w:rsid w:val="00797369"/>
    <w:rsid w:val="007A544B"/>
    <w:rsid w:val="007A5C16"/>
    <w:rsid w:val="007D58B6"/>
    <w:rsid w:val="007E2853"/>
    <w:rsid w:val="007E4A24"/>
    <w:rsid w:val="007E4A31"/>
    <w:rsid w:val="007E4D61"/>
    <w:rsid w:val="00805E46"/>
    <w:rsid w:val="008101A9"/>
    <w:rsid w:val="008169D3"/>
    <w:rsid w:val="008376FF"/>
    <w:rsid w:val="008755DB"/>
    <w:rsid w:val="00875DCD"/>
    <w:rsid w:val="00897566"/>
    <w:rsid w:val="008E2E4A"/>
    <w:rsid w:val="008F0F3C"/>
    <w:rsid w:val="008F4989"/>
    <w:rsid w:val="0091750D"/>
    <w:rsid w:val="00925985"/>
    <w:rsid w:val="00930E9F"/>
    <w:rsid w:val="009428DA"/>
    <w:rsid w:val="00943C79"/>
    <w:rsid w:val="0096087D"/>
    <w:rsid w:val="00990CC1"/>
    <w:rsid w:val="009A6A66"/>
    <w:rsid w:val="009C2E82"/>
    <w:rsid w:val="009C75CB"/>
    <w:rsid w:val="009D6CA6"/>
    <w:rsid w:val="009E0875"/>
    <w:rsid w:val="009F1E15"/>
    <w:rsid w:val="009F5120"/>
    <w:rsid w:val="009F5BFE"/>
    <w:rsid w:val="00A11845"/>
    <w:rsid w:val="00A30309"/>
    <w:rsid w:val="00A306D6"/>
    <w:rsid w:val="00A43B99"/>
    <w:rsid w:val="00A51217"/>
    <w:rsid w:val="00A7507E"/>
    <w:rsid w:val="00A91503"/>
    <w:rsid w:val="00A94A7C"/>
    <w:rsid w:val="00AA6275"/>
    <w:rsid w:val="00AB50C9"/>
    <w:rsid w:val="00AE0669"/>
    <w:rsid w:val="00B00FFF"/>
    <w:rsid w:val="00B13A14"/>
    <w:rsid w:val="00B13ADA"/>
    <w:rsid w:val="00B25046"/>
    <w:rsid w:val="00B32DB9"/>
    <w:rsid w:val="00B34448"/>
    <w:rsid w:val="00B54EEA"/>
    <w:rsid w:val="00B61AF2"/>
    <w:rsid w:val="00B63902"/>
    <w:rsid w:val="00BA3663"/>
    <w:rsid w:val="00BB2E36"/>
    <w:rsid w:val="00BB5069"/>
    <w:rsid w:val="00BF233C"/>
    <w:rsid w:val="00C322F1"/>
    <w:rsid w:val="00C32352"/>
    <w:rsid w:val="00C36D5C"/>
    <w:rsid w:val="00C409A9"/>
    <w:rsid w:val="00C64EE5"/>
    <w:rsid w:val="00C65485"/>
    <w:rsid w:val="00C66CD5"/>
    <w:rsid w:val="00C67705"/>
    <w:rsid w:val="00C855FE"/>
    <w:rsid w:val="00CD5850"/>
    <w:rsid w:val="00CD648E"/>
    <w:rsid w:val="00D141B6"/>
    <w:rsid w:val="00D15491"/>
    <w:rsid w:val="00D233CF"/>
    <w:rsid w:val="00D363E7"/>
    <w:rsid w:val="00D36E09"/>
    <w:rsid w:val="00D55BCE"/>
    <w:rsid w:val="00D667C5"/>
    <w:rsid w:val="00D80355"/>
    <w:rsid w:val="00D864AA"/>
    <w:rsid w:val="00D94F80"/>
    <w:rsid w:val="00DA1DC1"/>
    <w:rsid w:val="00DB1752"/>
    <w:rsid w:val="00DB2531"/>
    <w:rsid w:val="00DB7A7E"/>
    <w:rsid w:val="00DF6609"/>
    <w:rsid w:val="00E40C8B"/>
    <w:rsid w:val="00E411B2"/>
    <w:rsid w:val="00E454A3"/>
    <w:rsid w:val="00E67986"/>
    <w:rsid w:val="00E767A1"/>
    <w:rsid w:val="00E960EB"/>
    <w:rsid w:val="00EA3056"/>
    <w:rsid w:val="00EA44A1"/>
    <w:rsid w:val="00ED64AC"/>
    <w:rsid w:val="00EE2326"/>
    <w:rsid w:val="00F05FB3"/>
    <w:rsid w:val="00F12BCC"/>
    <w:rsid w:val="00F14080"/>
    <w:rsid w:val="00F22E0A"/>
    <w:rsid w:val="00F3671C"/>
    <w:rsid w:val="00F36955"/>
    <w:rsid w:val="00F73782"/>
    <w:rsid w:val="00F90D6C"/>
    <w:rsid w:val="00F91BFB"/>
    <w:rsid w:val="00F943CB"/>
    <w:rsid w:val="00FC1860"/>
    <w:rsid w:val="00FC5F42"/>
    <w:rsid w:val="00FD7D34"/>
    <w:rsid w:val="00FE6C80"/>
    <w:rsid w:val="00FF21CC"/>
    <w:rsid w:val="014357B2"/>
    <w:rsid w:val="01BC1D8C"/>
    <w:rsid w:val="03256846"/>
    <w:rsid w:val="054544B7"/>
    <w:rsid w:val="05C14DF9"/>
    <w:rsid w:val="070B0FF3"/>
    <w:rsid w:val="07FE1D37"/>
    <w:rsid w:val="08153FCC"/>
    <w:rsid w:val="0A246EE4"/>
    <w:rsid w:val="0A80059A"/>
    <w:rsid w:val="0BD90FC5"/>
    <w:rsid w:val="0CE10DFF"/>
    <w:rsid w:val="0DAF5BB6"/>
    <w:rsid w:val="0E296789"/>
    <w:rsid w:val="0F292DE5"/>
    <w:rsid w:val="0F6B57AB"/>
    <w:rsid w:val="10A3105B"/>
    <w:rsid w:val="12B97633"/>
    <w:rsid w:val="13AA509E"/>
    <w:rsid w:val="1A08507E"/>
    <w:rsid w:val="1E984C37"/>
    <w:rsid w:val="1EEB78C7"/>
    <w:rsid w:val="1FDB6224"/>
    <w:rsid w:val="218074F2"/>
    <w:rsid w:val="227C70CA"/>
    <w:rsid w:val="23231B6B"/>
    <w:rsid w:val="23B4398C"/>
    <w:rsid w:val="23CA1DE6"/>
    <w:rsid w:val="23EB49FB"/>
    <w:rsid w:val="25C004FF"/>
    <w:rsid w:val="287D2C0C"/>
    <w:rsid w:val="2A297F7D"/>
    <w:rsid w:val="31C61918"/>
    <w:rsid w:val="34231914"/>
    <w:rsid w:val="35AA04FA"/>
    <w:rsid w:val="35BE23B4"/>
    <w:rsid w:val="364D3E77"/>
    <w:rsid w:val="387C1B10"/>
    <w:rsid w:val="3D3A368C"/>
    <w:rsid w:val="3F5E7DAB"/>
    <w:rsid w:val="43320C23"/>
    <w:rsid w:val="445B5017"/>
    <w:rsid w:val="44BE6B3E"/>
    <w:rsid w:val="47502100"/>
    <w:rsid w:val="478C1A33"/>
    <w:rsid w:val="47F36697"/>
    <w:rsid w:val="4C760976"/>
    <w:rsid w:val="4D19313E"/>
    <w:rsid w:val="4D7D40E4"/>
    <w:rsid w:val="50D31C75"/>
    <w:rsid w:val="50D97F4E"/>
    <w:rsid w:val="53172DA4"/>
    <w:rsid w:val="592258EE"/>
    <w:rsid w:val="59787246"/>
    <w:rsid w:val="5B1F1114"/>
    <w:rsid w:val="5B294F7D"/>
    <w:rsid w:val="5B4B5F15"/>
    <w:rsid w:val="5D197900"/>
    <w:rsid w:val="5D3822E0"/>
    <w:rsid w:val="5ECA6E03"/>
    <w:rsid w:val="613F7406"/>
    <w:rsid w:val="62A17692"/>
    <w:rsid w:val="65E738B3"/>
    <w:rsid w:val="66F60322"/>
    <w:rsid w:val="66FE6858"/>
    <w:rsid w:val="67537CC9"/>
    <w:rsid w:val="67AC7A22"/>
    <w:rsid w:val="6A784A0C"/>
    <w:rsid w:val="6B596E4D"/>
    <w:rsid w:val="6BE603AD"/>
    <w:rsid w:val="6CD313B8"/>
    <w:rsid w:val="6D6E2D5A"/>
    <w:rsid w:val="6E473796"/>
    <w:rsid w:val="6F80224B"/>
    <w:rsid w:val="6F8534E9"/>
    <w:rsid w:val="6FB1397A"/>
    <w:rsid w:val="70D45340"/>
    <w:rsid w:val="71371EC7"/>
    <w:rsid w:val="72AE5288"/>
    <w:rsid w:val="73950638"/>
    <w:rsid w:val="748F004B"/>
    <w:rsid w:val="751F3BE4"/>
    <w:rsid w:val="77484F40"/>
    <w:rsid w:val="7A5258BB"/>
    <w:rsid w:val="7B4264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spacing w:before="340" w:after="330" w:line="576" w:lineRule="auto"/>
      <w:jc w:val="center"/>
      <w:outlineLvl w:val="0"/>
    </w:pPr>
    <w:rPr>
      <w:rFonts w:eastAsia="黑体"/>
      <w:kern w:val="44"/>
      <w:sz w:val="32"/>
    </w:rPr>
  </w:style>
  <w:style w:type="paragraph" w:styleId="3">
    <w:name w:val="heading 2"/>
    <w:basedOn w:val="1"/>
    <w:next w:val="1"/>
    <w:unhideWhenUsed/>
    <w:qFormat/>
    <w:uiPriority w:val="0"/>
    <w:pPr>
      <w:keepNext/>
      <w:keepLines/>
      <w:spacing w:before="260" w:after="260" w:line="413" w:lineRule="auto"/>
      <w:jc w:val="center"/>
      <w:outlineLvl w:val="1"/>
    </w:pPr>
    <w:rPr>
      <w:rFonts w:ascii="Arial" w:hAnsi="Arial" w:eastAsia="楷体"/>
      <w:sz w:val="32"/>
    </w:rPr>
  </w:style>
  <w:style w:type="paragraph" w:styleId="4">
    <w:name w:val="heading 3"/>
    <w:basedOn w:val="1"/>
    <w:next w:val="1"/>
    <w:qFormat/>
    <w:uiPriority w:val="9"/>
    <w:pPr>
      <w:adjustRightInd w:val="0"/>
      <w:spacing w:line="600" w:lineRule="exact"/>
      <w:jc w:val="center"/>
      <w:outlineLvl w:val="2"/>
    </w:pPr>
    <w:rPr>
      <w:rFonts w:ascii="仿宋_GB2312" w:eastAsia="仿宋_GB2312" w:cs="Microsoft Himalaya"/>
      <w:b/>
      <w:sz w:val="30"/>
      <w:szCs w:val="30"/>
      <w:lang w:bidi="bo-CN"/>
    </w:rPr>
  </w:style>
  <w:style w:type="paragraph" w:styleId="5">
    <w:name w:val="heading 4"/>
    <w:basedOn w:val="4"/>
    <w:next w:val="1"/>
    <w:qFormat/>
    <w:uiPriority w:val="9"/>
    <w:pPr>
      <w:outlineLvl w:val="3"/>
    </w:pPr>
  </w:style>
  <w:style w:type="paragraph" w:styleId="6">
    <w:name w:val="heading 5"/>
    <w:basedOn w:val="7"/>
    <w:next w:val="1"/>
    <w:qFormat/>
    <w:uiPriority w:val="9"/>
    <w:pPr>
      <w:numPr>
        <w:ilvl w:val="0"/>
        <w:numId w:val="1"/>
      </w:numPr>
      <w:spacing w:line="600" w:lineRule="exact"/>
      <w:ind w:firstLine="0" w:firstLineChars="0"/>
      <w:outlineLvl w:val="4"/>
    </w:pPr>
    <w:rPr>
      <w:rFonts w:ascii="仿宋_GB2312" w:eastAsia="仿宋_GB2312" w:cs="Microsoft Himalaya"/>
      <w:sz w:val="30"/>
      <w:szCs w:val="30"/>
      <w:lang w:bidi="bo-CN"/>
    </w:rPr>
  </w:style>
  <w:style w:type="character" w:default="1" w:styleId="17">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7">
    <w:name w:val="List Paragraph"/>
    <w:basedOn w:val="1"/>
    <w:qFormat/>
    <w:uiPriority w:val="34"/>
    <w:pPr>
      <w:ind w:firstLine="420" w:firstLineChars="200"/>
    </w:pPr>
  </w:style>
  <w:style w:type="paragraph" w:styleId="8">
    <w:name w:val="annotation text"/>
    <w:basedOn w:val="1"/>
    <w:link w:val="23"/>
    <w:qFormat/>
    <w:uiPriority w:val="0"/>
    <w:pPr>
      <w:jc w:val="left"/>
    </w:pPr>
  </w:style>
  <w:style w:type="paragraph" w:styleId="9">
    <w:name w:val="Body Text Indent"/>
    <w:basedOn w:val="1"/>
    <w:qFormat/>
    <w:uiPriority w:val="0"/>
    <w:pPr>
      <w:tabs>
        <w:tab w:val="left" w:pos="7020"/>
      </w:tabs>
      <w:spacing w:line="600" w:lineRule="exact"/>
      <w:ind w:firstLine="600" w:firstLineChars="200"/>
    </w:pPr>
    <w:rPr>
      <w:rFonts w:ascii="仿宋_GB2312" w:hAnsi="Times New Roman" w:eastAsia="仿宋_GB2312"/>
      <w:sz w:val="30"/>
      <w:szCs w:val="24"/>
    </w:rPr>
  </w:style>
  <w:style w:type="paragraph" w:styleId="10">
    <w:name w:val="Balloon Text"/>
    <w:basedOn w:val="1"/>
    <w:link w:val="21"/>
    <w:qFormat/>
    <w:uiPriority w:val="0"/>
    <w:rPr>
      <w:sz w:val="18"/>
      <w:szCs w:val="18"/>
    </w:rPr>
  </w:style>
  <w:style w:type="paragraph" w:styleId="11">
    <w:name w:val="footer"/>
    <w:basedOn w:val="1"/>
    <w:qFormat/>
    <w:uiPriority w:val="99"/>
    <w:pPr>
      <w:tabs>
        <w:tab w:val="center" w:pos="4153"/>
        <w:tab w:val="right" w:pos="8306"/>
      </w:tabs>
      <w:snapToGrid w:val="0"/>
      <w:jc w:val="left"/>
    </w:pPr>
    <w:rPr>
      <w:kern w:val="0"/>
      <w:sz w:val="18"/>
      <w:szCs w:val="18"/>
    </w:rPr>
  </w:style>
  <w:style w:type="paragraph" w:styleId="12">
    <w:name w:val="header"/>
    <w:basedOn w:val="1"/>
    <w:link w:val="22"/>
    <w:qFormat/>
    <w:uiPriority w:val="0"/>
    <w:pPr>
      <w:pBdr>
        <w:bottom w:val="single" w:color="auto" w:sz="6" w:space="1"/>
      </w:pBdr>
      <w:tabs>
        <w:tab w:val="center" w:pos="4153"/>
        <w:tab w:val="right" w:pos="8306"/>
      </w:tabs>
      <w:snapToGrid w:val="0"/>
      <w:jc w:val="center"/>
    </w:pPr>
    <w:rPr>
      <w:sz w:val="18"/>
      <w:szCs w:val="18"/>
    </w:rPr>
  </w:style>
  <w:style w:type="paragraph" w:styleId="13">
    <w:name w:val="toc 1"/>
    <w:basedOn w:val="1"/>
    <w:next w:val="1"/>
    <w:qFormat/>
    <w:uiPriority w:val="39"/>
  </w:style>
  <w:style w:type="paragraph" w:styleId="14">
    <w:name w:val="toc 2"/>
    <w:basedOn w:val="1"/>
    <w:next w:val="1"/>
    <w:qFormat/>
    <w:uiPriority w:val="39"/>
    <w:pPr>
      <w:ind w:left="420" w:leftChars="200"/>
    </w:pPr>
  </w:style>
  <w:style w:type="paragraph" w:styleId="15">
    <w:name w:val="annotation subject"/>
    <w:basedOn w:val="8"/>
    <w:next w:val="8"/>
    <w:link w:val="24"/>
    <w:qFormat/>
    <w:uiPriority w:val="0"/>
    <w:rPr>
      <w:b/>
      <w:bCs/>
    </w:rPr>
  </w:style>
  <w:style w:type="character" w:styleId="18">
    <w:name w:val="page number"/>
    <w:qFormat/>
    <w:uiPriority w:val="0"/>
  </w:style>
  <w:style w:type="character" w:styleId="19">
    <w:name w:val="Hyperlink"/>
    <w:basedOn w:val="17"/>
    <w:unhideWhenUsed/>
    <w:qFormat/>
    <w:uiPriority w:val="99"/>
    <w:rPr>
      <w:color w:val="0563C1" w:themeColor="hyperlink"/>
      <w:u w:val="single"/>
      <w14:textFill>
        <w14:solidFill>
          <w14:schemeClr w14:val="hlink"/>
        </w14:solidFill>
      </w14:textFill>
    </w:rPr>
  </w:style>
  <w:style w:type="character" w:styleId="20">
    <w:name w:val="annotation reference"/>
    <w:qFormat/>
    <w:uiPriority w:val="99"/>
    <w:rPr>
      <w:rFonts w:cs="Times New Roman"/>
      <w:sz w:val="21"/>
      <w:szCs w:val="21"/>
    </w:rPr>
  </w:style>
  <w:style w:type="character" w:customStyle="1" w:styleId="21">
    <w:name w:val="批注框文本 Char"/>
    <w:basedOn w:val="17"/>
    <w:link w:val="10"/>
    <w:qFormat/>
    <w:uiPriority w:val="0"/>
    <w:rPr>
      <w:rFonts w:ascii="Calibri" w:hAnsi="Calibri"/>
      <w:kern w:val="2"/>
      <w:sz w:val="18"/>
      <w:szCs w:val="18"/>
    </w:rPr>
  </w:style>
  <w:style w:type="character" w:customStyle="1" w:styleId="22">
    <w:name w:val="页眉 Char"/>
    <w:basedOn w:val="17"/>
    <w:link w:val="12"/>
    <w:qFormat/>
    <w:uiPriority w:val="0"/>
    <w:rPr>
      <w:rFonts w:ascii="Calibri" w:hAnsi="Calibri"/>
      <w:kern w:val="2"/>
      <w:sz w:val="18"/>
      <w:szCs w:val="18"/>
    </w:rPr>
  </w:style>
  <w:style w:type="character" w:customStyle="1" w:styleId="23">
    <w:name w:val="批注文字 Char"/>
    <w:basedOn w:val="17"/>
    <w:link w:val="8"/>
    <w:qFormat/>
    <w:uiPriority w:val="0"/>
    <w:rPr>
      <w:rFonts w:ascii="Calibri" w:hAnsi="Calibri"/>
      <w:kern w:val="2"/>
      <w:sz w:val="21"/>
      <w:szCs w:val="22"/>
    </w:rPr>
  </w:style>
  <w:style w:type="character" w:customStyle="1" w:styleId="24">
    <w:name w:val="批注主题 Char"/>
    <w:basedOn w:val="23"/>
    <w:link w:val="15"/>
    <w:qFormat/>
    <w:uiPriority w:val="0"/>
    <w:rPr>
      <w:rFonts w:ascii="Calibri" w:hAnsi="Calibri"/>
      <w:b/>
      <w:bCs/>
      <w:kern w:val="2"/>
      <w:sz w:val="21"/>
      <w:szCs w:val="22"/>
    </w:rPr>
  </w:style>
  <w:style w:type="character" w:customStyle="1" w:styleId="25">
    <w:name w:val="15"/>
    <w:basedOn w:val="17"/>
    <w:qFormat/>
    <w:uiPriority w:val="0"/>
    <w:rPr>
      <w:rFonts w:hint="eastAsia" w:ascii="宋体" w:hAnsi="宋体" w:eastAsia="宋体"/>
      <w:color w:val="000000"/>
      <w:sz w:val="30"/>
      <w:szCs w:val="30"/>
    </w:rPr>
  </w:style>
  <w:style w:type="paragraph" w:customStyle="1" w:styleId="26">
    <w:name w:val="规则二级标题"/>
    <w:basedOn w:val="1"/>
    <w:qFormat/>
    <w:uiPriority w:val="0"/>
    <w:pPr>
      <w:spacing w:line="560" w:lineRule="exact"/>
      <w:jc w:val="center"/>
    </w:pPr>
    <w:rPr>
      <w:rFonts w:ascii="仿宋_GB2312" w:hAnsi="宋体" w:eastAsia="仿宋_GB2312" w:cs="宋体"/>
      <w:b/>
      <w:bCs/>
      <w:sz w:val="30"/>
      <w:szCs w:val="30"/>
    </w:rPr>
  </w:style>
  <w:style w:type="paragraph" w:customStyle="1" w:styleId="27">
    <w:name w:val="规则一级标题"/>
    <w:basedOn w:val="1"/>
    <w:qFormat/>
    <w:uiPriority w:val="0"/>
    <w:pPr>
      <w:spacing w:line="560" w:lineRule="exact"/>
      <w:jc w:val="center"/>
    </w:pPr>
    <w:rPr>
      <w:rFonts w:ascii="黑体" w:hAnsi="黑体" w:eastAsia="黑体" w:cs="宋体"/>
      <w:b/>
      <w:bCs/>
      <w:sz w:val="30"/>
      <w:szCs w:val="30"/>
    </w:rPr>
  </w:style>
  <w:style w:type="paragraph" w:customStyle="1" w:styleId="28">
    <w:name w:val="Default"/>
    <w:basedOn w:val="1"/>
    <w:qFormat/>
    <w:uiPriority w:val="0"/>
    <w:pPr>
      <w:autoSpaceDE w:val="0"/>
      <w:autoSpaceDN w:val="0"/>
      <w:adjustRightInd w:val="0"/>
      <w:jc w:val="left"/>
    </w:pPr>
    <w:rPr>
      <w:rFonts w:ascii="宋体" w:hAnsi="Times New Roman" w:cs="宋体"/>
      <w:color w:val="000000"/>
      <w:kern w:val="0"/>
      <w:sz w:val="24"/>
      <w:szCs w:val="24"/>
    </w:rPr>
  </w:style>
  <w:style w:type="paragraph" w:customStyle="1" w:styleId="29">
    <w:name w:val="WPSOffice手动目录 1"/>
    <w:qFormat/>
    <w:uiPriority w:val="0"/>
    <w:rPr>
      <w:rFonts w:ascii="Times New Roman" w:hAnsi="Times New Roman" w:eastAsia="宋体" w:cs="Times New Roman"/>
      <w:lang w:val="en-US" w:eastAsia="zh-CN" w:bidi="ar-SA"/>
    </w:rPr>
  </w:style>
  <w:style w:type="paragraph" w:customStyle="1" w:styleId="30">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31">
    <w:name w:val="TOC 标题1"/>
    <w:basedOn w:val="2"/>
    <w:next w:val="1"/>
    <w:semiHidden/>
    <w:unhideWhenUsed/>
    <w:qFormat/>
    <w:uiPriority w:val="39"/>
    <w:pPr>
      <w:widowControl/>
      <w:spacing w:before="480" w:after="0" w:line="276" w:lineRule="auto"/>
      <w:jc w:val="left"/>
      <w:outlineLvl w:val="9"/>
    </w:pPr>
    <w:rPr>
      <w:rFonts w:asciiTheme="majorHAnsi" w:hAnsiTheme="majorHAnsi" w:eastAsiaTheme="majorEastAsia" w:cstheme="majorBidi"/>
      <w:bCs/>
      <w:color w:val="2E75B6" w:themeColor="accent1" w:themeShade="BF"/>
      <w:kern w:val="0"/>
      <w:sz w:val="28"/>
      <w:szCs w:val="2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EA052AE-DAD5-41A6-8346-937AB10A7686}">
  <ds:schemaRefs/>
</ds:datastoreItem>
</file>

<file path=docProps/app.xml><?xml version="1.0" encoding="utf-8"?>
<Properties xmlns="http://schemas.openxmlformats.org/officeDocument/2006/extended-properties" xmlns:vt="http://schemas.openxmlformats.org/officeDocument/2006/docPropsVTypes">
  <Template>Normal</Template>
  <Pages>1</Pages>
  <Words>1851</Words>
  <Characters>10557</Characters>
  <Lines>87</Lines>
  <Paragraphs>24</Paragraphs>
  <TotalTime>240</TotalTime>
  <ScaleCrop>false</ScaleCrop>
  <LinksUpToDate>false</LinksUpToDate>
  <CharactersWithSpaces>12384</CharactersWithSpaces>
  <Application>WPS Office_11.8.2.12094_F1E327BC-269C-435d-A152-05C5408002CA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2022-12-08T02:57:00Z</dcterms:created>
  <dc:creator>wusq</dc:creator>
  <cp:lastModifiedBy>xxfb01</cp:lastModifiedBy>
  <dcterms:modified xsi:type="dcterms:W3CDTF">2024-03-29T08:58:18Z</dcterms:modified>
  <cp:revision>190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2052-11.8.2.12094</vt:lpwstr>
  </property>
  <property fmtid="{D5CDD505-2E9C-101B-9397-08002B2CF9AE}" pid="3" name="ICV">
    <vt:lpwstr>EE4115180C4347ACA5AE8231916D8195</vt:lpwstr>
  </property>
</Properties>
</file>