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02" w:rsidRPr="00E65AEA" w:rsidRDefault="002B3B29">
      <w:pPr>
        <w:pStyle w:val="a6"/>
        <w:spacing w:before="156" w:after="156" w:line="360" w:lineRule="auto"/>
        <w:rPr>
          <w:rFonts w:ascii="黑体" w:eastAsia="黑体" w:hAnsi="黑体" w:cs="宋体"/>
          <w:b w:val="0"/>
          <w:kern w:val="0"/>
          <w:sz w:val="40"/>
          <w:szCs w:val="40"/>
        </w:rPr>
      </w:pPr>
      <w:r w:rsidRPr="00E65AEA">
        <w:rPr>
          <w:rFonts w:ascii="黑体" w:eastAsia="黑体" w:hAnsi="黑体" w:hint="eastAsia"/>
          <w:b w:val="0"/>
          <w:sz w:val="40"/>
          <w:szCs w:val="40"/>
        </w:rPr>
        <w:t>第三号</w:t>
      </w:r>
      <w:r w:rsidRPr="00E65AEA">
        <w:rPr>
          <w:rFonts w:ascii="黑体" w:eastAsia="黑体" w:hAnsi="黑体"/>
          <w:b w:val="0"/>
          <w:sz w:val="40"/>
          <w:szCs w:val="40"/>
        </w:rPr>
        <w:t xml:space="preserve"> </w:t>
      </w:r>
      <w:r w:rsidRPr="00E65AEA">
        <w:rPr>
          <w:rFonts w:ascii="黑体" w:eastAsia="黑体" w:hAnsi="黑体" w:cs="宋体" w:hint="eastAsia"/>
          <w:b w:val="0"/>
          <w:kern w:val="0"/>
          <w:sz w:val="40"/>
          <w:szCs w:val="40"/>
        </w:rPr>
        <w:t>证券停复牌</w:t>
      </w:r>
    </w:p>
    <w:p w:rsidR="00890102" w:rsidRDefault="00890102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9F259F" w:rsidRDefault="00E971A0">
      <w:pPr>
        <w:spacing w:line="6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为防控证券停复牌业务操作风险，根据《上海证券交易所股票上市规则》《上海证券交易所上市公司自律监管指引第4号——停复牌》等规定，制定本指南。</w:t>
      </w:r>
    </w:p>
    <w:p w:rsidR="009F259F" w:rsidRDefault="00E971A0">
      <w:pPr>
        <w:spacing w:line="600" w:lineRule="exact"/>
        <w:ind w:firstLineChars="200" w:firstLine="562"/>
      </w:pPr>
      <w:r>
        <w:rPr>
          <w:rFonts w:ascii="仿宋_GB2312" w:eastAsia="仿宋_GB2312" w:hint="eastAsia"/>
          <w:b/>
          <w:sz w:val="28"/>
          <w:szCs w:val="28"/>
        </w:rPr>
        <w:t>一、一般规定</w:t>
      </w:r>
    </w:p>
    <w:p w:rsidR="00890102" w:rsidRDefault="00E971A0" w:rsidP="00F06278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上海证券交易所（以下简称本所）的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上市公司申请股票、股票衍生品种（优先股、可转换公司债券）停复牌以及可转债暂停或恢复转股等相关业务（以下统称停复牌）适用本指南。</w:t>
      </w:r>
    </w:p>
    <w:p w:rsidR="009F259F" w:rsidRDefault="00E971A0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Cs/>
          <w:kern w:val="0"/>
          <w:sz w:val="28"/>
          <w:szCs w:val="28"/>
        </w:rPr>
        <w:t>2.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境内外同时上市的公司，其股票将进行停复牌的，上市公司需在第一时间通知各相关证券交易所，明确停复牌事宜。</w:t>
      </w:r>
    </w:p>
    <w:p w:rsidR="009F259F" w:rsidRDefault="00E971A0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Cs/>
          <w:kern w:val="0"/>
          <w:sz w:val="28"/>
          <w:szCs w:val="28"/>
        </w:rPr>
        <w:t>3.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上市公司根据停牌事由和相关规则要求，选择正确的</w:t>
      </w:r>
      <w:r>
        <w:rPr>
          <w:rFonts w:ascii="仿宋_GB2312" w:eastAsia="仿宋_GB2312" w:hAnsi="微软雅黑" w:cs="宋体"/>
          <w:kern w:val="0"/>
          <w:sz w:val="28"/>
          <w:szCs w:val="28"/>
        </w:rPr>
        <w:t>停牌类型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、业务类型、停牌原因和停牌时间，在规定的停牌申请提交时段内，通过公司业务管理系统（以下简称系统）提交停牌申请和相关备查文件。上市公司申请停牌和复牌，在提交停复牌申请后，于非交易时间及时告知本所公司管理部门，关注办理进展，并在规定的时间核对确认停复牌操作结果。</w:t>
      </w:r>
    </w:p>
    <w:p w:rsidR="009F259F" w:rsidRDefault="00E971A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4.如超过停复牌申请提交的截止时点，上市公司自行做好信息保密工作，于下一信息披露申请提交时段提交信息披露申请，或于下一停复牌申请提交时段提交停复牌申请。</w:t>
      </w:r>
    </w:p>
    <w:p w:rsidR="009F259F" w:rsidRDefault="00E971A0">
      <w:pPr>
        <w:spacing w:line="6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二、停牌类型及提交时间</w:t>
      </w:r>
    </w:p>
    <w:p w:rsidR="00890102" w:rsidRDefault="00E971A0" w:rsidP="00F06278">
      <w:pPr>
        <w:pStyle w:val="2"/>
        <w:adjustRightInd w:val="0"/>
        <w:snapToGrid w:val="0"/>
        <w:spacing w:before="0" w:beforeAutospacing="0" w:after="0" w:afterAutospacing="0"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（一）停牌类型按提交时段分类</w:t>
      </w:r>
    </w:p>
    <w:p w:rsidR="00890102" w:rsidRDefault="00E971A0" w:rsidP="00F06278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lastRenderedPageBreak/>
        <w:t>停牌申请按提交时段可分为盘后停牌和紧急停牌。其中，盘后停牌按停牌期间分为临时停牌和连续停牌。</w:t>
      </w:r>
    </w:p>
    <w:p w:rsidR="009F259F" w:rsidRDefault="00E971A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1.临时停牌是指上市公司在交易日提交的、于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次一交易日</w:t>
      </w:r>
      <w:r>
        <w:rPr>
          <w:rFonts w:ascii="仿宋_GB2312" w:eastAsia="仿宋_GB2312" w:hAnsi="微软雅黑" w:cs="宋体"/>
          <w:kern w:val="0"/>
          <w:sz w:val="28"/>
          <w:szCs w:val="28"/>
        </w:rPr>
        <w:t>停牌1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天的证券停牌。</w:t>
      </w:r>
    </w:p>
    <w:p w:rsidR="009F259F" w:rsidRDefault="00E971A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2.连续停牌是指上市公司在交易日提交的、于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次一交易日</w:t>
      </w:r>
      <w:r>
        <w:rPr>
          <w:rFonts w:ascii="仿宋_GB2312" w:eastAsia="仿宋_GB2312" w:hAnsi="微软雅黑" w:cs="宋体"/>
          <w:kern w:val="0"/>
          <w:sz w:val="28"/>
          <w:szCs w:val="28"/>
        </w:rPr>
        <w:t>或之后交易日开始停牌、停牌期间为1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个交易日以上的证券停牌。</w:t>
      </w:r>
    </w:p>
    <w:p w:rsidR="009F259F" w:rsidRDefault="00E971A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3.紧急停牌是指上市公司在交易日早间和午间提交的、仅于当日停牌的证券停牌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。</w:t>
      </w:r>
    </w:p>
    <w:p w:rsidR="009F259F" w:rsidRDefault="00E971A0">
      <w:pPr>
        <w:widowControl/>
        <w:shd w:val="clear" w:color="auto" w:fill="FFFFFF"/>
        <w:spacing w:line="6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（二）停牌类型</w:t>
      </w:r>
      <w:r>
        <w:rPr>
          <w:rFonts w:ascii="仿宋_GB2312" w:eastAsia="仿宋_GB2312" w:hint="eastAsia"/>
          <w:b/>
          <w:sz w:val="28"/>
          <w:szCs w:val="28"/>
        </w:rPr>
        <w:t>按提交方式分类</w:t>
      </w:r>
    </w:p>
    <w:p w:rsidR="009F259F" w:rsidRDefault="00E971A0"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eastAsia="仿宋_GB2312"/>
          <w:sz w:val="28"/>
          <w:szCs w:val="28"/>
        </w:rPr>
      </w:pPr>
      <w:r w:rsidRPr="00F06278">
        <w:rPr>
          <w:rFonts w:ascii="仿宋_GB2312" w:eastAsia="仿宋_GB2312" w:hint="eastAsia"/>
          <w:sz w:val="28"/>
          <w:szCs w:val="28"/>
        </w:rPr>
        <w:t>停牌申请按提交方式可分随公告停牌和独立停牌。</w:t>
      </w:r>
    </w:p>
    <w:p w:rsidR="009F259F" w:rsidRDefault="002B3B29">
      <w:pPr>
        <w:widowControl/>
        <w:shd w:val="clear" w:color="auto" w:fill="FFFFFF"/>
        <w:spacing w:line="600" w:lineRule="exact"/>
        <w:ind w:firstLine="6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随公告停牌是指停复牌业务申请随公告添加、填写后一起提交的停复牌。</w:t>
      </w:r>
      <w:r w:rsidRPr="002B3B29">
        <w:rPr>
          <w:rFonts w:ascii="仿宋_GB2312" w:eastAsia="仿宋_GB2312" w:hint="eastAsia"/>
          <w:sz w:val="28"/>
          <w:szCs w:val="28"/>
        </w:rPr>
        <w:t>上市公司公告涉及停复牌事宜，原则上应添加相应的停复牌申请。</w:t>
      </w:r>
    </w:p>
    <w:p w:rsidR="009F259F" w:rsidRDefault="002B3B29">
      <w:pPr>
        <w:widowControl/>
        <w:shd w:val="clear" w:color="auto" w:fill="FFFFFF"/>
        <w:spacing w:line="600" w:lineRule="exact"/>
        <w:ind w:firstLine="57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独立停牌是指停复牌业务申请不随公告、单独提交的停复牌。</w:t>
      </w:r>
    </w:p>
    <w:p w:rsidR="009F259F" w:rsidRDefault="00E971A0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微软雅黑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（三）停牌申请的提交时间</w:t>
      </w:r>
    </w:p>
    <w:p w:rsidR="009F259F" w:rsidRDefault="00E971A0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1.早间随公告提交的紧急停牌申请，应于8:30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前完成提交。早间独立提交的紧急停牌申请，应于</w:t>
      </w:r>
      <w:r>
        <w:rPr>
          <w:rFonts w:ascii="仿宋_GB2312" w:eastAsia="仿宋_GB2312" w:hAnsi="微软雅黑" w:cs="宋体"/>
          <w:kern w:val="0"/>
          <w:sz w:val="28"/>
          <w:szCs w:val="28"/>
        </w:rPr>
        <w:t>8:50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前完成提交。</w:t>
      </w:r>
    </w:p>
    <w:p w:rsidR="009F259F" w:rsidRDefault="00E971A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2.午间随公告提交的紧急停牌申请，以及独立提交的紧急停牌申请，均应于12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微软雅黑" w:cs="宋体"/>
          <w:kern w:val="0"/>
          <w:sz w:val="28"/>
          <w:szCs w:val="28"/>
        </w:rPr>
        <w:t>30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前完成提交。</w:t>
      </w:r>
    </w:p>
    <w:p w:rsidR="00890102" w:rsidRDefault="00E971A0" w:rsidP="00F06278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3.盘后随公告提交的停复牌申请，以及独立提交的停复牌申请，均应于交易日17:00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前完成提交。</w:t>
      </w:r>
    </w:p>
    <w:p w:rsidR="00890102" w:rsidRDefault="00890102">
      <w:pPr>
        <w:tabs>
          <w:tab w:val="left" w:pos="540"/>
        </w:tabs>
        <w:adjustRightInd w:val="0"/>
        <w:snapToGrid w:val="0"/>
        <w:rPr>
          <w:rFonts w:ascii="黑体" w:eastAsia="黑体" w:hAnsi="黑体"/>
          <w:b/>
          <w:sz w:val="28"/>
          <w:szCs w:val="28"/>
        </w:rPr>
      </w:pPr>
    </w:p>
    <w:p w:rsidR="00890102" w:rsidRDefault="00E971A0">
      <w:pPr>
        <w:tabs>
          <w:tab w:val="left" w:pos="540"/>
        </w:tabs>
        <w:adjustRightInd w:val="0"/>
        <w:snapToGrid w:val="0"/>
        <w:jc w:val="center"/>
        <w:rPr>
          <w:rFonts w:ascii="仿宋_GB2312" w:eastAsia="仿宋_GB2312" w:hAnsi="仿宋_GB2312" w:cs="仿宋_GB2312"/>
          <w:b/>
          <w:szCs w:val="21"/>
        </w:rPr>
      </w:pPr>
      <w:r>
        <w:rPr>
          <w:rFonts w:ascii="仿宋_GB2312" w:eastAsia="仿宋_GB2312" w:hAnsi="仿宋_GB2312" w:cs="仿宋_GB2312" w:hint="eastAsia"/>
          <w:b/>
          <w:szCs w:val="21"/>
        </w:rPr>
        <w:t>表一  停牌申请提交和操作反馈结果核对确认时点一览表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709"/>
        <w:gridCol w:w="1698"/>
        <w:gridCol w:w="1780"/>
        <w:gridCol w:w="1589"/>
        <w:gridCol w:w="2214"/>
      </w:tblGrid>
      <w:tr w:rsidR="00890102">
        <w:trPr>
          <w:trHeight w:val="90"/>
        </w:trPr>
        <w:tc>
          <w:tcPr>
            <w:tcW w:w="1241" w:type="dxa"/>
            <w:gridSpan w:val="2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停牌类型</w:t>
            </w:r>
          </w:p>
        </w:tc>
        <w:tc>
          <w:tcPr>
            <w:tcW w:w="1698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停牌时间</w:t>
            </w:r>
          </w:p>
        </w:tc>
        <w:tc>
          <w:tcPr>
            <w:tcW w:w="1780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是否随公告提交</w:t>
            </w:r>
          </w:p>
        </w:tc>
        <w:tc>
          <w:tcPr>
            <w:tcW w:w="1589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申请提交截止时间</w:t>
            </w:r>
          </w:p>
        </w:tc>
        <w:tc>
          <w:tcPr>
            <w:tcW w:w="2214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操作反馈结果查看核对时间</w:t>
            </w:r>
          </w:p>
        </w:tc>
      </w:tr>
      <w:tr w:rsidR="00890102">
        <w:trPr>
          <w:trHeight w:val="90"/>
        </w:trPr>
        <w:tc>
          <w:tcPr>
            <w:tcW w:w="532" w:type="dxa"/>
            <w:vMerge w:val="restart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紧急停牌</w:t>
            </w:r>
          </w:p>
        </w:tc>
        <w:tc>
          <w:tcPr>
            <w:tcW w:w="709" w:type="dxa"/>
            <w:vMerge w:val="restart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早间停牌</w:t>
            </w:r>
          </w:p>
        </w:tc>
        <w:tc>
          <w:tcPr>
            <w:tcW w:w="1698" w:type="dxa"/>
            <w:vMerge w:val="restart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当日全天</w:t>
            </w:r>
          </w:p>
        </w:tc>
        <w:tc>
          <w:tcPr>
            <w:tcW w:w="1780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随公告提交</w:t>
            </w:r>
          </w:p>
        </w:tc>
        <w:tc>
          <w:tcPr>
            <w:tcW w:w="1589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8:30:00前</w:t>
            </w:r>
          </w:p>
        </w:tc>
        <w:tc>
          <w:tcPr>
            <w:tcW w:w="2214" w:type="dxa"/>
            <w:vAlign w:val="center"/>
          </w:tcPr>
          <w:p w:rsidR="00890102" w:rsidRDefault="00E971A0">
            <w:pPr>
              <w:pStyle w:val="10"/>
              <w:tabs>
                <w:tab w:val="left" w:pos="1276"/>
              </w:tabs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申请当日</w:t>
            </w:r>
          </w:p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9:00—9:05</w:t>
            </w:r>
          </w:p>
        </w:tc>
      </w:tr>
      <w:tr w:rsidR="00890102">
        <w:trPr>
          <w:trHeight w:val="90"/>
        </w:trPr>
        <w:tc>
          <w:tcPr>
            <w:tcW w:w="532" w:type="dxa"/>
            <w:vMerge/>
            <w:vAlign w:val="center"/>
          </w:tcPr>
          <w:p w:rsidR="00890102" w:rsidRDefault="0089010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90102" w:rsidRDefault="0089010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:rsidR="00890102" w:rsidRDefault="0089010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独立提交</w:t>
            </w:r>
          </w:p>
        </w:tc>
        <w:tc>
          <w:tcPr>
            <w:tcW w:w="1589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8:50:00前</w:t>
            </w:r>
          </w:p>
        </w:tc>
        <w:tc>
          <w:tcPr>
            <w:tcW w:w="2214" w:type="dxa"/>
            <w:vAlign w:val="center"/>
          </w:tcPr>
          <w:p w:rsidR="00890102" w:rsidRDefault="00E971A0">
            <w:pPr>
              <w:pStyle w:val="10"/>
              <w:tabs>
                <w:tab w:val="left" w:pos="1276"/>
              </w:tabs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申请当日</w:t>
            </w:r>
          </w:p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9:00—9:05</w:t>
            </w:r>
          </w:p>
        </w:tc>
      </w:tr>
      <w:tr w:rsidR="00890102">
        <w:trPr>
          <w:trHeight w:val="710"/>
        </w:trPr>
        <w:tc>
          <w:tcPr>
            <w:tcW w:w="532" w:type="dxa"/>
            <w:vMerge/>
            <w:vAlign w:val="center"/>
          </w:tcPr>
          <w:p w:rsidR="00890102" w:rsidRDefault="0089010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午间停牌</w:t>
            </w:r>
          </w:p>
        </w:tc>
        <w:tc>
          <w:tcPr>
            <w:tcW w:w="1698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当日下午</w:t>
            </w:r>
          </w:p>
        </w:tc>
        <w:tc>
          <w:tcPr>
            <w:tcW w:w="1780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随公告提交、</w:t>
            </w:r>
          </w:p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独立提交</w:t>
            </w:r>
          </w:p>
        </w:tc>
        <w:tc>
          <w:tcPr>
            <w:tcW w:w="1589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12:30:00前</w:t>
            </w:r>
          </w:p>
        </w:tc>
        <w:tc>
          <w:tcPr>
            <w:tcW w:w="2214" w:type="dxa"/>
            <w:vAlign w:val="center"/>
          </w:tcPr>
          <w:p w:rsidR="00890102" w:rsidRDefault="00E971A0">
            <w:pPr>
              <w:pStyle w:val="10"/>
              <w:tabs>
                <w:tab w:val="left" w:pos="1276"/>
              </w:tabs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申请当日</w:t>
            </w:r>
          </w:p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12:40—12:50</w:t>
            </w:r>
          </w:p>
        </w:tc>
      </w:tr>
      <w:tr w:rsidR="00890102">
        <w:trPr>
          <w:trHeight w:val="905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盘后停牌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临时停牌</w:t>
            </w:r>
          </w:p>
        </w:tc>
        <w:tc>
          <w:tcPr>
            <w:tcW w:w="1698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下一交易日</w:t>
            </w:r>
          </w:p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停牌1天</w:t>
            </w:r>
          </w:p>
        </w:tc>
        <w:tc>
          <w:tcPr>
            <w:tcW w:w="1780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随公告提交、</w:t>
            </w:r>
          </w:p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独立提交</w:t>
            </w:r>
          </w:p>
        </w:tc>
        <w:tc>
          <w:tcPr>
            <w:tcW w:w="1589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17:00:00前</w:t>
            </w:r>
          </w:p>
        </w:tc>
        <w:tc>
          <w:tcPr>
            <w:tcW w:w="2214" w:type="dxa"/>
            <w:vAlign w:val="center"/>
          </w:tcPr>
          <w:p w:rsidR="00890102" w:rsidRDefault="00E971A0">
            <w:pPr>
              <w:pStyle w:val="10"/>
              <w:tabs>
                <w:tab w:val="left" w:pos="1276"/>
              </w:tabs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申请日下一交易日8:45—9:00</w:t>
            </w:r>
          </w:p>
        </w:tc>
      </w:tr>
      <w:tr w:rsidR="00890102">
        <w:trPr>
          <w:trHeight w:val="653"/>
        </w:trPr>
        <w:tc>
          <w:tcPr>
            <w:tcW w:w="532" w:type="dxa"/>
            <w:vMerge/>
            <w:shd w:val="clear" w:color="auto" w:fill="auto"/>
            <w:vAlign w:val="center"/>
          </w:tcPr>
          <w:p w:rsidR="00890102" w:rsidRDefault="0089010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连续停牌</w:t>
            </w:r>
          </w:p>
        </w:tc>
        <w:tc>
          <w:tcPr>
            <w:tcW w:w="1698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ind w:firstLine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下一交易日或之后停牌1个交易日以上</w:t>
            </w:r>
          </w:p>
        </w:tc>
        <w:tc>
          <w:tcPr>
            <w:tcW w:w="1780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随公告提交、</w:t>
            </w:r>
          </w:p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独立提交</w:t>
            </w:r>
          </w:p>
        </w:tc>
        <w:tc>
          <w:tcPr>
            <w:tcW w:w="1589" w:type="dxa"/>
            <w:vAlign w:val="center"/>
          </w:tcPr>
          <w:p w:rsidR="00890102" w:rsidRDefault="00E971A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17:00:00前</w:t>
            </w:r>
          </w:p>
        </w:tc>
        <w:tc>
          <w:tcPr>
            <w:tcW w:w="2214" w:type="dxa"/>
            <w:vAlign w:val="center"/>
          </w:tcPr>
          <w:p w:rsidR="00890102" w:rsidRDefault="00E971A0">
            <w:pPr>
              <w:pStyle w:val="10"/>
              <w:tabs>
                <w:tab w:val="left" w:pos="1276"/>
              </w:tabs>
              <w:spacing w:line="36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申请日下一交易日8:45—9:00</w:t>
            </w:r>
          </w:p>
        </w:tc>
      </w:tr>
    </w:tbl>
    <w:p w:rsidR="009F259F" w:rsidRDefault="00E971A0">
      <w:pPr>
        <w:spacing w:line="6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三、办理流程</w:t>
      </w:r>
    </w:p>
    <w:p w:rsidR="00890102" w:rsidRDefault="00E971A0" w:rsidP="00F06278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微软雅黑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（一）创建停复牌申请</w:t>
      </w:r>
    </w:p>
    <w:p w:rsidR="00890102" w:rsidRPr="00F06278" w:rsidRDefault="00E971A0" w:rsidP="00F06278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 w:rsidRPr="00F06278">
        <w:rPr>
          <w:rFonts w:ascii="仿宋_GB2312" w:eastAsia="仿宋_GB2312" w:hAnsi="微软雅黑" w:cs="宋体" w:hint="eastAsia"/>
          <w:kern w:val="0"/>
          <w:sz w:val="28"/>
          <w:szCs w:val="28"/>
        </w:rPr>
        <w:t>上市公司在提交与停复牌相关公告时，应根据公告内容和业务操作申请需要，准确选择公告类别，随公告一起提交停复牌业务申请，不得以公告替代停复牌业务申请。</w:t>
      </w:r>
    </w:p>
    <w:p w:rsidR="009F259F" w:rsidRDefault="002B3B29" w:rsidP="00413B4F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 w:rsidRPr="002B3B29">
        <w:rPr>
          <w:rFonts w:ascii="仿宋_GB2312" w:eastAsia="仿宋_GB2312" w:hAnsi="微软雅黑" w:cs="宋体" w:hint="eastAsia"/>
          <w:kern w:val="0"/>
          <w:sz w:val="28"/>
          <w:szCs w:val="28"/>
        </w:rPr>
        <w:t>上市公司也可在系统中“独立停复牌”模块单独提交停复牌申请。</w:t>
      </w:r>
    </w:p>
    <w:p w:rsidR="009F259F" w:rsidRDefault="002B3B29" w:rsidP="00413B4F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 w:rsidRPr="002B3B29">
        <w:rPr>
          <w:rFonts w:ascii="仿宋_GB2312" w:eastAsia="仿宋_GB2312" w:hAnsi="微软雅黑" w:cs="宋体" w:hint="eastAsia"/>
          <w:kern w:val="0"/>
          <w:sz w:val="28"/>
          <w:szCs w:val="28"/>
        </w:rPr>
        <w:t>上市公司不能申请其证券当天复牌或当天起的连续停牌。</w:t>
      </w:r>
    </w:p>
    <w:p w:rsidR="009F259F" w:rsidRDefault="002B3B29" w:rsidP="00413B4F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微软雅黑" w:cs="宋体"/>
          <w:b/>
          <w:kern w:val="0"/>
          <w:sz w:val="28"/>
          <w:szCs w:val="28"/>
        </w:rPr>
      </w:pPr>
      <w:r w:rsidRPr="002B3B29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（二）</w:t>
      </w:r>
      <w:r w:rsidR="00E971A0" w:rsidRPr="00F06278"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填写停复牌申请</w:t>
      </w:r>
    </w:p>
    <w:p w:rsidR="009F259F" w:rsidRDefault="00E971A0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上市公司填写停复牌申请时，应根据停牌事由正确选择停复牌的证券品种、业务类型、停复牌原因及日期。</w:t>
      </w:r>
    </w:p>
    <w:p w:rsidR="009F259F" w:rsidRDefault="00E971A0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若为连续停牌，“停牌起始日”为提交停牌申请的下一个交易日或之后交易日，停牌终止日一般不填写。</w:t>
      </w:r>
    </w:p>
    <w:p w:rsidR="009F259F" w:rsidRDefault="00E971A0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连续停牌在提交申请时未确定停牌终止日的，证券如需复牌，公司需在连续停牌终止日（含）前再次提交连续停牌申请，明确停牌终止日。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“停牌终止日”</w:t>
      </w:r>
      <w:r>
        <w:rPr>
          <w:rFonts w:ascii="仿宋_GB2312" w:eastAsia="仿宋_GB2312" w:hint="eastAsia"/>
          <w:sz w:val="28"/>
          <w:szCs w:val="28"/>
        </w:rPr>
        <w:t>的下一交易日即为复牌日，停牌证券在复牌日恢复交易，</w:t>
      </w:r>
      <w:r>
        <w:rPr>
          <w:rFonts w:ascii="仿宋_GB2312" w:eastAsia="仿宋_GB2312" w:hAnsi="微软雅黑" w:hint="eastAsia"/>
          <w:sz w:val="28"/>
          <w:szCs w:val="28"/>
        </w:rPr>
        <w:t>复牌申请不填写“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停牌起始日”。</w:t>
      </w:r>
    </w:p>
    <w:p w:rsidR="009F259F" w:rsidRDefault="00E971A0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lastRenderedPageBreak/>
        <w:t>证券临时停牌或紧急停牌后，上市公司如需继续停牌，应在当日盘后通过系统另行提交停牌申请，如上市公司未提交继续停牌申请的，该证券下一交易日将自动复牌交易。</w:t>
      </w:r>
    </w:p>
    <w:p w:rsidR="009F259F" w:rsidRDefault="00E971A0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微软雅黑" w:cs="宋体"/>
          <w:b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kern w:val="0"/>
          <w:sz w:val="28"/>
          <w:szCs w:val="28"/>
        </w:rPr>
        <w:t>（三）确认停复牌业务操作结果</w:t>
      </w:r>
    </w:p>
    <w:p w:rsidR="009F259F" w:rsidRDefault="002B3B29" w:rsidP="00413B4F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 w:rsidRPr="002B3B29">
        <w:rPr>
          <w:rFonts w:ascii="仿宋_GB2312" w:eastAsia="仿宋_GB2312" w:hAnsi="微软雅黑" w:cs="宋体" w:hint="eastAsia"/>
          <w:kern w:val="0"/>
          <w:sz w:val="28"/>
          <w:szCs w:val="28"/>
        </w:rPr>
        <w:t>上市公司应关注停复牌办理进展。</w:t>
      </w:r>
      <w:r w:rsidR="00E971A0" w:rsidRPr="00F06278">
        <w:rPr>
          <w:rFonts w:ascii="仿宋_GB2312" w:eastAsia="仿宋_GB2312" w:hAnsi="微软雅黑" w:cs="宋体" w:hint="eastAsia"/>
          <w:kern w:val="0"/>
          <w:sz w:val="28"/>
          <w:szCs w:val="28"/>
        </w:rPr>
        <w:t>本所按照上市公司申请实施停复牌操作后，将通过系统向上市公司反馈停复牌操作结果，上市公司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应当及时核对确认停复牌操作反馈结果是否与业务申请内容一致。</w:t>
      </w:r>
    </w:p>
    <w:p w:rsidR="00890102" w:rsidRPr="00F06278" w:rsidRDefault="002B3B29" w:rsidP="00F06278">
      <w:pPr>
        <w:adjustRightInd w:val="0"/>
        <w:snapToGrid w:val="0"/>
        <w:spacing w:line="600" w:lineRule="exact"/>
        <w:ind w:firstLineChars="192" w:firstLine="538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如发现停复牌操作反馈结果与上市公司业务申请不一致，或未在规定时间收到停复牌操作反馈结果，公司应当立即与本所公司管理部门联系处理。</w:t>
      </w:r>
    </w:p>
    <w:p w:rsidR="00924DCF" w:rsidRDefault="00E971A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上市公司核对确认停复牌操作结果的时间如本指南表一所示。系统中核对确认操作反馈结果的具体路径</w:t>
      </w:r>
      <w:bookmarkStart w:id="0" w:name="_GoBack"/>
      <w:bookmarkEnd w:id="0"/>
      <w:r>
        <w:rPr>
          <w:rFonts w:ascii="仿宋_GB2312" w:eastAsia="仿宋_GB2312" w:hAnsi="微软雅黑" w:cs="宋体" w:hint="eastAsia"/>
          <w:kern w:val="0"/>
          <w:sz w:val="28"/>
          <w:szCs w:val="28"/>
        </w:rPr>
        <w:t>为“首页—信息披露—业务操作申请结果确认”。</w:t>
      </w:r>
    </w:p>
    <w:sectPr w:rsidR="00924DCF" w:rsidSect="008901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FFE45C2" w15:done="0"/>
  <w15:commentEx w15:paraId="555B4D15" w15:done="0"/>
  <w15:commentEx w15:paraId="56B10516" w15:done="0"/>
  <w15:commentEx w15:paraId="26CF50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B3" w:rsidRDefault="00940BB3" w:rsidP="00F06278">
      <w:r>
        <w:separator/>
      </w:r>
    </w:p>
  </w:endnote>
  <w:endnote w:type="continuationSeparator" w:id="0">
    <w:p w:rsidR="00940BB3" w:rsidRDefault="00940BB3" w:rsidP="00F0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88704"/>
      <w:docPartObj>
        <w:docPartGallery w:val="Page Numbers (Bottom of Page)"/>
        <w:docPartUnique/>
      </w:docPartObj>
    </w:sdtPr>
    <w:sdtContent>
      <w:p w:rsidR="00942C3A" w:rsidRDefault="00942C3A" w:rsidP="00942C3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42C3A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B3" w:rsidRDefault="00940BB3" w:rsidP="00F06278">
      <w:r>
        <w:separator/>
      </w:r>
    </w:p>
  </w:footnote>
  <w:footnote w:type="continuationSeparator" w:id="0">
    <w:p w:rsidR="00940BB3" w:rsidRDefault="00940BB3" w:rsidP="00F0627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8500E1"/>
    <w:rsid w:val="000B34B5"/>
    <w:rsid w:val="00182A76"/>
    <w:rsid w:val="00220B49"/>
    <w:rsid w:val="002B3B29"/>
    <w:rsid w:val="003B048A"/>
    <w:rsid w:val="004071E9"/>
    <w:rsid w:val="00413B4F"/>
    <w:rsid w:val="00424417"/>
    <w:rsid w:val="006356D1"/>
    <w:rsid w:val="008420F2"/>
    <w:rsid w:val="00890102"/>
    <w:rsid w:val="00924DCF"/>
    <w:rsid w:val="00940BB3"/>
    <w:rsid w:val="00942C3A"/>
    <w:rsid w:val="009F259F"/>
    <w:rsid w:val="00B02DE9"/>
    <w:rsid w:val="00B943AB"/>
    <w:rsid w:val="00E65AEA"/>
    <w:rsid w:val="00E971A0"/>
    <w:rsid w:val="00F06278"/>
    <w:rsid w:val="02DA277D"/>
    <w:rsid w:val="06804B49"/>
    <w:rsid w:val="14EC216F"/>
    <w:rsid w:val="21BE66FC"/>
    <w:rsid w:val="2F2F5EFD"/>
    <w:rsid w:val="39F350B4"/>
    <w:rsid w:val="408500E1"/>
    <w:rsid w:val="45EB5B11"/>
    <w:rsid w:val="51C13FBE"/>
    <w:rsid w:val="6193113F"/>
    <w:rsid w:val="6D5F7D37"/>
    <w:rsid w:val="72CE71D3"/>
    <w:rsid w:val="73322903"/>
    <w:rsid w:val="75E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annotation text" w:unhideWhenUsed="1" w:qFormat="1"/>
    <w:lsdException w:name="footer" w:uiPriority="99"/>
    <w:lsdException w:name="caption" w:semiHidden="1" w:unhideWhenUsed="1" w:qFormat="1"/>
    <w:lsdException w:name="footnote reference" w:semiHidden="1" w:qFormat="1"/>
    <w:lsdException w:name="annotation reference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10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901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89010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rsid w:val="00890102"/>
    <w:pPr>
      <w:jc w:val="left"/>
    </w:pPr>
    <w:rPr>
      <w:rFonts w:ascii="Calibri" w:hAnsi="Calibri"/>
      <w:szCs w:val="22"/>
    </w:rPr>
  </w:style>
  <w:style w:type="paragraph" w:styleId="a4">
    <w:name w:val="Balloon Text"/>
    <w:basedOn w:val="a"/>
    <w:link w:val="Char"/>
    <w:qFormat/>
    <w:rsid w:val="00890102"/>
    <w:rPr>
      <w:sz w:val="18"/>
      <w:szCs w:val="18"/>
    </w:rPr>
  </w:style>
  <w:style w:type="paragraph" w:styleId="a5">
    <w:name w:val="footnote text"/>
    <w:basedOn w:val="a"/>
    <w:semiHidden/>
    <w:qFormat/>
    <w:rsid w:val="00890102"/>
    <w:pPr>
      <w:snapToGrid w:val="0"/>
      <w:jc w:val="left"/>
    </w:pPr>
    <w:rPr>
      <w:sz w:val="18"/>
      <w:szCs w:val="18"/>
    </w:rPr>
  </w:style>
  <w:style w:type="paragraph" w:styleId="a6">
    <w:name w:val="Title"/>
    <w:basedOn w:val="a"/>
    <w:next w:val="a"/>
    <w:qFormat/>
    <w:rsid w:val="00890102"/>
    <w:pPr>
      <w:spacing w:beforeLines="50" w:afterLines="50" w:line="480" w:lineRule="auto"/>
      <w:jc w:val="center"/>
      <w:outlineLvl w:val="0"/>
    </w:pPr>
    <w:rPr>
      <w:rFonts w:ascii="Cambria" w:hAnsi="Cambria"/>
      <w:b/>
      <w:bCs/>
      <w:sz w:val="30"/>
      <w:szCs w:val="30"/>
    </w:rPr>
  </w:style>
  <w:style w:type="character" w:styleId="a7">
    <w:name w:val="annotation reference"/>
    <w:basedOn w:val="a0"/>
    <w:unhideWhenUsed/>
    <w:qFormat/>
    <w:rsid w:val="00890102"/>
    <w:rPr>
      <w:sz w:val="21"/>
      <w:szCs w:val="21"/>
    </w:rPr>
  </w:style>
  <w:style w:type="character" w:styleId="a8">
    <w:name w:val="footnote reference"/>
    <w:basedOn w:val="a0"/>
    <w:semiHidden/>
    <w:qFormat/>
    <w:rsid w:val="00890102"/>
    <w:rPr>
      <w:vertAlign w:val="superscript"/>
    </w:rPr>
  </w:style>
  <w:style w:type="paragraph" w:customStyle="1" w:styleId="10">
    <w:name w:val="列出段落1"/>
    <w:basedOn w:val="a"/>
    <w:qFormat/>
    <w:rsid w:val="00890102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4"/>
    <w:rsid w:val="00890102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Char0"/>
    <w:rsid w:val="00F0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F06278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Char1"/>
    <w:uiPriority w:val="99"/>
    <w:rsid w:val="00F0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F062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1668</Characters>
  <Application>Microsoft Office Word</Application>
  <DocSecurity>0</DocSecurity>
  <Lines>13</Lines>
  <Paragraphs>3</Paragraphs>
  <ScaleCrop>false</ScaleCrop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陈邹</cp:lastModifiedBy>
  <dcterms:created xsi:type="dcterms:W3CDTF">2021-11-25T01:42:00Z</dcterms:created>
  <dcterms:modified xsi:type="dcterms:W3CDTF">2021-12-31T07:23:00Z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8AFFDFE742264B4A99E6D28CF01BDD5F</vt:lpwstr>
  </property>
</Properties>
</file>