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81" w:rsidRPr="006A4149" w:rsidRDefault="00B83B18">
      <w:pPr>
        <w:jc w:val="center"/>
        <w:rPr>
          <w:rFonts w:ascii="黑体" w:eastAsia="黑体" w:hAnsi="黑体"/>
          <w:sz w:val="40"/>
          <w:szCs w:val="40"/>
        </w:rPr>
      </w:pPr>
      <w:r w:rsidRPr="006A4149">
        <w:rPr>
          <w:rFonts w:ascii="黑体" w:eastAsia="黑体" w:hAnsi="黑体" w:hint="eastAsia"/>
          <w:sz w:val="40"/>
          <w:szCs w:val="40"/>
        </w:rPr>
        <w:t>第一号</w:t>
      </w:r>
      <w:r w:rsidRPr="006A4149">
        <w:rPr>
          <w:rFonts w:ascii="黑体" w:eastAsia="黑体" w:hAnsi="黑体"/>
          <w:sz w:val="40"/>
          <w:szCs w:val="40"/>
        </w:rPr>
        <w:t xml:space="preserve"> </w:t>
      </w:r>
      <w:r w:rsidRPr="006A4149">
        <w:rPr>
          <w:rFonts w:ascii="黑体" w:eastAsia="黑体" w:hAnsi="黑体" w:hint="eastAsia"/>
          <w:sz w:val="40"/>
          <w:szCs w:val="40"/>
        </w:rPr>
        <w:t>信息披露业务办理</w:t>
      </w:r>
    </w:p>
    <w:p w:rsidR="00575D81" w:rsidRDefault="00575D81">
      <w:pPr>
        <w:ind w:firstLineChars="200" w:firstLine="560"/>
        <w:rPr>
          <w:rFonts w:ascii="仿宋_GB2312" w:eastAsia="仿宋_GB2312"/>
          <w:sz w:val="28"/>
          <w:szCs w:val="28"/>
        </w:rPr>
      </w:pP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为提高上市公司信息披露业务办理质量，根据相关法律法规及《上海证券交易所股票上市规则》《上海证券交易所上市公司自律监管指引第2号——信息披露事务管理》等有关规定，制定本指南。</w:t>
      </w:r>
    </w:p>
    <w:p w:rsidR="00611514" w:rsidRDefault="00B83B18" w:rsidP="00611514">
      <w:pPr>
        <w:spacing w:line="600" w:lineRule="exact"/>
        <w:ind w:firstLineChars="200" w:firstLine="562"/>
        <w:rPr>
          <w:rFonts w:ascii="仿宋_GB2312" w:eastAsia="仿宋_GB2312"/>
          <w:b/>
          <w:sz w:val="28"/>
          <w:szCs w:val="28"/>
        </w:rPr>
      </w:pPr>
      <w:r>
        <w:rPr>
          <w:rFonts w:ascii="仿宋_GB2312" w:eastAsia="仿宋_GB2312" w:hint="eastAsia"/>
          <w:b/>
          <w:sz w:val="28"/>
          <w:szCs w:val="28"/>
        </w:rPr>
        <w:t>一、一般规定</w:t>
      </w:r>
      <w:r>
        <w:rPr>
          <w:rFonts w:ascii="仿宋_GB2312" w:eastAsia="仿宋_GB2312"/>
          <w:b/>
          <w:sz w:val="28"/>
          <w:szCs w:val="28"/>
        </w:rPr>
        <w:t> </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1.上市公司按照本指南的要求，通过上海证券交易所（以下简称本所）公司业务管理系统（以下简称系统）报送信息披露文件、提交业务申请、收发函件等。</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本指南所称的信息披露文件，包括公告、公告附件及备查文件、非公告上网文件。</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除本指南明确的特殊情形外，本所不接受上市公司以其他方式办理信息披露相关业务。</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2.上市公司需要向上证所信息网络有限公司申请配发数字证书（以下简称</w:t>
      </w:r>
      <w:r>
        <w:rPr>
          <w:rFonts w:ascii="仿宋_GB2312" w:eastAsia="仿宋_GB2312"/>
          <w:sz w:val="28"/>
          <w:szCs w:val="28"/>
        </w:rPr>
        <w:t>EKEY</w:t>
      </w:r>
      <w:r>
        <w:rPr>
          <w:rFonts w:ascii="仿宋_GB2312" w:eastAsia="仿宋_GB2312" w:hint="eastAsia"/>
          <w:sz w:val="28"/>
          <w:szCs w:val="28"/>
        </w:rPr>
        <w:t>），办理信息披露业务。</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sz w:val="28"/>
          <w:szCs w:val="28"/>
        </w:rPr>
        <w:t>EKEY</w:t>
      </w:r>
      <w:r>
        <w:rPr>
          <w:rFonts w:ascii="仿宋_GB2312" w:eastAsia="仿宋_GB2312" w:hint="eastAsia"/>
          <w:sz w:val="28"/>
          <w:szCs w:val="28"/>
        </w:rPr>
        <w:t>是上市公司通过系统办理信息披露业务的唯一身份证明。使用</w:t>
      </w:r>
      <w:r>
        <w:rPr>
          <w:rFonts w:ascii="仿宋_GB2312" w:eastAsia="仿宋_GB2312"/>
          <w:sz w:val="28"/>
          <w:szCs w:val="28"/>
        </w:rPr>
        <w:t>EKEY</w:t>
      </w:r>
      <w:r>
        <w:rPr>
          <w:rFonts w:ascii="仿宋_GB2312" w:eastAsia="仿宋_GB2312" w:hint="eastAsia"/>
          <w:sz w:val="28"/>
          <w:szCs w:val="28"/>
        </w:rPr>
        <w:t>的所有操作行为均代表上市公司的行为，由上市公司承担相应的法律责任。</w:t>
      </w:r>
    </w:p>
    <w:p w:rsidR="00611514" w:rsidRDefault="00B83B18" w:rsidP="00611514">
      <w:pPr>
        <w:spacing w:line="600" w:lineRule="exact"/>
        <w:ind w:firstLineChars="200" w:firstLine="562"/>
        <w:rPr>
          <w:rFonts w:ascii="仿宋_GB2312" w:eastAsia="仿宋_GB2312"/>
          <w:b/>
          <w:sz w:val="28"/>
          <w:szCs w:val="28"/>
        </w:rPr>
      </w:pPr>
      <w:r>
        <w:rPr>
          <w:rFonts w:ascii="仿宋_GB2312" w:eastAsia="仿宋_GB2312" w:hint="eastAsia"/>
          <w:b/>
          <w:sz w:val="28"/>
          <w:szCs w:val="28"/>
        </w:rPr>
        <w:t>二、信息披露文件的报送与发布</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1.上市公司通过系统“信息披露</w:t>
      </w:r>
      <w:r>
        <w:rPr>
          <w:rFonts w:ascii="仿宋_GB2312" w:eastAsia="仿宋_GB2312"/>
          <w:sz w:val="28"/>
          <w:szCs w:val="28"/>
        </w:rPr>
        <w:t>—</w:t>
      </w:r>
      <w:r>
        <w:rPr>
          <w:rFonts w:ascii="仿宋_GB2312" w:eastAsia="仿宋_GB2312" w:hint="eastAsia"/>
          <w:sz w:val="28"/>
          <w:szCs w:val="28"/>
        </w:rPr>
        <w:t>公告提交”栏目提交公告及相关文件、通过“信息披露</w:t>
      </w:r>
      <w:r>
        <w:rPr>
          <w:rFonts w:ascii="仿宋_GB2312" w:eastAsia="仿宋_GB2312"/>
          <w:sz w:val="28"/>
          <w:szCs w:val="28"/>
        </w:rPr>
        <w:t>—</w:t>
      </w:r>
      <w:r>
        <w:rPr>
          <w:rFonts w:ascii="仿宋_GB2312" w:eastAsia="仿宋_GB2312" w:hint="eastAsia"/>
          <w:sz w:val="28"/>
          <w:szCs w:val="28"/>
        </w:rPr>
        <w:t>非公告上网”栏目提交非公告上网文件。</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上市公司提交公告时，需要勾选或填写披露时段、拟披露日期、拟披露媒体、公告编号、拟披露公告的类别与标题、相关报备文件的</w:t>
      </w:r>
      <w:r>
        <w:rPr>
          <w:rFonts w:ascii="仿宋_GB2312" w:eastAsia="仿宋_GB2312" w:hint="eastAsia"/>
          <w:sz w:val="28"/>
          <w:szCs w:val="28"/>
        </w:rPr>
        <w:lastRenderedPageBreak/>
        <w:t>类型与标题等要素。</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非公告上网参照直通业务办理。</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2.上市公司可以在以下</w:t>
      </w:r>
      <w:r w:rsidR="00274D4F">
        <w:rPr>
          <w:rFonts w:ascii="仿宋_GB2312" w:eastAsia="仿宋_GB2312" w:hint="eastAsia"/>
          <w:sz w:val="28"/>
          <w:szCs w:val="28"/>
        </w:rPr>
        <w:t>时间</w:t>
      </w:r>
      <w:r>
        <w:rPr>
          <w:rFonts w:ascii="仿宋_GB2312" w:eastAsia="仿宋_GB2312" w:hint="eastAsia"/>
          <w:sz w:val="28"/>
          <w:szCs w:val="28"/>
        </w:rPr>
        <w:t>提交信息披露文件：</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（1）交易日早间披露时段（</w:t>
      </w:r>
      <w:r>
        <w:rPr>
          <w:rFonts w:ascii="仿宋_GB2312" w:eastAsia="仿宋_GB2312"/>
          <w:sz w:val="28"/>
          <w:szCs w:val="28"/>
        </w:rPr>
        <w:t>7:30-8:30</w:t>
      </w:r>
      <w:r>
        <w:rPr>
          <w:rFonts w:ascii="仿宋_GB2312" w:eastAsia="仿宋_GB2312" w:hint="eastAsia"/>
          <w:sz w:val="28"/>
          <w:szCs w:val="28"/>
        </w:rPr>
        <w:t>）；</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（2）交易日午间披露时段（7</w:t>
      </w:r>
      <w:r>
        <w:rPr>
          <w:rFonts w:ascii="仿宋_GB2312" w:eastAsia="仿宋_GB2312"/>
          <w:sz w:val="28"/>
          <w:szCs w:val="28"/>
        </w:rPr>
        <w:t>:30-12:30</w:t>
      </w:r>
      <w:r>
        <w:rPr>
          <w:rFonts w:ascii="仿宋_GB2312" w:eastAsia="仿宋_GB2312" w:hint="eastAsia"/>
          <w:sz w:val="28"/>
          <w:szCs w:val="28"/>
        </w:rPr>
        <w:t>）；</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（3）交易日盘后披露时段：直通公告（</w:t>
      </w:r>
      <w:r>
        <w:rPr>
          <w:rFonts w:ascii="仿宋_GB2312" w:eastAsia="仿宋_GB2312"/>
          <w:sz w:val="28"/>
          <w:szCs w:val="28"/>
        </w:rPr>
        <w:t>7:30-19:00</w:t>
      </w:r>
      <w:r>
        <w:rPr>
          <w:rFonts w:ascii="仿宋_GB2312" w:eastAsia="仿宋_GB2312" w:hint="eastAsia"/>
          <w:sz w:val="28"/>
          <w:szCs w:val="28"/>
        </w:rPr>
        <w:t>）、非直通公告（7</w:t>
      </w:r>
      <w:r>
        <w:rPr>
          <w:rFonts w:ascii="仿宋_GB2312" w:eastAsia="仿宋_GB2312"/>
          <w:sz w:val="28"/>
          <w:szCs w:val="28"/>
        </w:rPr>
        <w:t>:30-17:00</w:t>
      </w:r>
      <w:r>
        <w:rPr>
          <w:rFonts w:ascii="仿宋_GB2312" w:eastAsia="仿宋_GB2312" w:hint="eastAsia"/>
          <w:sz w:val="28"/>
          <w:szCs w:val="28"/>
        </w:rPr>
        <w:t>）；</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（4）非交易日披露时段（单一非交易日或连续非交易日的最后一日</w:t>
      </w:r>
      <w:r>
        <w:rPr>
          <w:rFonts w:ascii="仿宋_GB2312" w:eastAsia="仿宋_GB2312"/>
          <w:sz w:val="28"/>
          <w:szCs w:val="28"/>
        </w:rPr>
        <w:t>13:00-17:00</w:t>
      </w:r>
      <w:r>
        <w:rPr>
          <w:rFonts w:ascii="仿宋_GB2312" w:eastAsia="仿宋_GB2312" w:hint="eastAsia"/>
          <w:sz w:val="28"/>
          <w:szCs w:val="28"/>
        </w:rPr>
        <w:t>）。</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3.上市公司提交的公告需有公告编号，编号格式为20XX-NNN,其中20XX为披露日期的年份，NNN为当年公告的序列号。定期报告和其他信息披露义务人提交的公告无需编号。</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4.公告标题与上网附件标题需与文件内容标题一致，该标题直接用作上网标题，同时公告、上网附件及备查文件的标题需与文件内容一致。</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5.上市公司依据《上海证券交易所信息披露公告类别索引》（附件1），正确选择拟披露事项对应的公告类别和非公告上网文件类型，所选择的公告类别应反映所披露事项的重点与实质内容，不能以兜底性公告类别代替明确事项的公告类别，不能以直通公告类别代替非直通公告类别。</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6.上市公司应当按照本所要求，在“交易日早间披露时段”、“交易日午间披露时段”及“非交易日披露时段”内，提交与披露指定类别的公告。各披露时段可披露公告类别如下表：</w:t>
      </w:r>
    </w:p>
    <w:tbl>
      <w:tblPr>
        <w:tblW w:w="0" w:type="auto"/>
        <w:tblLayout w:type="fixed"/>
        <w:tblLook w:val="04A0"/>
      </w:tblPr>
      <w:tblGrid>
        <w:gridCol w:w="1526"/>
        <w:gridCol w:w="1276"/>
        <w:gridCol w:w="2268"/>
        <w:gridCol w:w="3402"/>
      </w:tblGrid>
      <w:tr w:rsidR="00575D81">
        <w:tc>
          <w:tcPr>
            <w:tcW w:w="2802" w:type="dxa"/>
            <w:gridSpan w:val="2"/>
            <w:tcBorders>
              <w:top w:val="single" w:sz="4" w:space="0" w:color="auto"/>
              <w:left w:val="single" w:sz="4" w:space="0" w:color="auto"/>
              <w:bottom w:val="single" w:sz="4" w:space="0" w:color="auto"/>
              <w:right w:val="single" w:sz="4" w:space="0" w:color="auto"/>
            </w:tcBorders>
          </w:tcPr>
          <w:p w:rsidR="00575D81" w:rsidRDefault="00274D4F">
            <w:pPr>
              <w:jc w:val="center"/>
              <w:rPr>
                <w:rFonts w:ascii="仿宋_GB2312" w:eastAsia="仿宋_GB2312"/>
                <w:szCs w:val="21"/>
              </w:rPr>
            </w:pPr>
            <w:r>
              <w:rPr>
                <w:rFonts w:ascii="仿宋_GB2312" w:eastAsia="仿宋_GB2312" w:hint="eastAsia"/>
                <w:szCs w:val="21"/>
              </w:rPr>
              <w:lastRenderedPageBreak/>
              <w:t>公告披露</w:t>
            </w:r>
            <w:r w:rsidR="00B83B18">
              <w:rPr>
                <w:rFonts w:ascii="仿宋_GB2312" w:eastAsia="仿宋_GB2312" w:hint="eastAsia"/>
                <w:szCs w:val="21"/>
              </w:rPr>
              <w:t>时段</w:t>
            </w:r>
          </w:p>
        </w:tc>
        <w:tc>
          <w:tcPr>
            <w:tcW w:w="2268" w:type="dxa"/>
            <w:tcBorders>
              <w:top w:val="single" w:sz="4" w:space="0" w:color="auto"/>
              <w:left w:val="single" w:sz="4" w:space="0" w:color="auto"/>
              <w:bottom w:val="single" w:sz="4" w:space="0" w:color="auto"/>
              <w:right w:val="single" w:sz="4" w:space="0" w:color="auto"/>
            </w:tcBorders>
          </w:tcPr>
          <w:p w:rsidR="00575D81" w:rsidRDefault="00B83B18">
            <w:pPr>
              <w:jc w:val="center"/>
              <w:rPr>
                <w:rFonts w:ascii="仿宋_GB2312" w:eastAsia="仿宋_GB2312"/>
                <w:szCs w:val="21"/>
              </w:rPr>
            </w:pPr>
            <w:r>
              <w:rPr>
                <w:rFonts w:ascii="仿宋_GB2312" w:eastAsia="仿宋_GB2312" w:hint="eastAsia"/>
                <w:szCs w:val="21"/>
              </w:rPr>
              <w:t>提交公告起止时限</w:t>
            </w:r>
          </w:p>
        </w:tc>
        <w:tc>
          <w:tcPr>
            <w:tcW w:w="3402" w:type="dxa"/>
            <w:tcBorders>
              <w:top w:val="single" w:sz="4" w:space="0" w:color="auto"/>
              <w:left w:val="single" w:sz="4" w:space="0" w:color="auto"/>
              <w:bottom w:val="single" w:sz="4" w:space="0" w:color="auto"/>
              <w:right w:val="single" w:sz="4" w:space="0" w:color="auto"/>
            </w:tcBorders>
            <w:vAlign w:val="center"/>
          </w:tcPr>
          <w:p w:rsidR="00575D81" w:rsidRDefault="00B83B18">
            <w:pPr>
              <w:jc w:val="center"/>
              <w:rPr>
                <w:rFonts w:ascii="仿宋_GB2312" w:eastAsia="仿宋_GB2312"/>
                <w:szCs w:val="21"/>
              </w:rPr>
            </w:pPr>
            <w:r>
              <w:rPr>
                <w:rFonts w:ascii="仿宋_GB2312" w:eastAsia="仿宋_GB2312" w:hint="eastAsia"/>
                <w:szCs w:val="21"/>
              </w:rPr>
              <w:t>可提交的公告类别</w:t>
            </w:r>
          </w:p>
        </w:tc>
      </w:tr>
      <w:tr w:rsidR="00575D81">
        <w:tc>
          <w:tcPr>
            <w:tcW w:w="1526" w:type="dxa"/>
            <w:vMerge w:val="restart"/>
            <w:tcBorders>
              <w:top w:val="single" w:sz="4" w:space="0" w:color="auto"/>
              <w:left w:val="single" w:sz="4" w:space="0" w:color="auto"/>
              <w:bottom w:val="single" w:sz="4" w:space="0" w:color="auto"/>
              <w:right w:val="single" w:sz="4" w:space="0" w:color="auto"/>
            </w:tcBorders>
            <w:vAlign w:val="center"/>
          </w:tcPr>
          <w:p w:rsidR="00575D81" w:rsidRDefault="00B83B18">
            <w:pPr>
              <w:rPr>
                <w:szCs w:val="21"/>
              </w:rPr>
            </w:pPr>
            <w:r>
              <w:rPr>
                <w:rFonts w:ascii="仿宋_GB2312" w:eastAsia="仿宋_GB2312" w:hint="eastAsia"/>
                <w:szCs w:val="21"/>
              </w:rPr>
              <w:t>交易日盘后</w:t>
            </w:r>
          </w:p>
        </w:tc>
        <w:tc>
          <w:tcPr>
            <w:tcW w:w="1276" w:type="dxa"/>
            <w:tcBorders>
              <w:top w:val="single" w:sz="4" w:space="0" w:color="auto"/>
              <w:left w:val="single" w:sz="4" w:space="0" w:color="auto"/>
              <w:bottom w:val="single" w:sz="4" w:space="0" w:color="auto"/>
              <w:right w:val="single" w:sz="4" w:space="0" w:color="auto"/>
            </w:tcBorders>
            <w:vAlign w:val="center"/>
          </w:tcPr>
          <w:p w:rsidR="00575D81" w:rsidRDefault="00B83B18">
            <w:pPr>
              <w:rPr>
                <w:rFonts w:ascii="仿宋_GB2312" w:eastAsia="仿宋_GB2312"/>
                <w:szCs w:val="21"/>
              </w:rPr>
            </w:pPr>
            <w:r>
              <w:rPr>
                <w:rFonts w:ascii="仿宋_GB2312" w:eastAsia="仿宋_GB2312" w:hint="eastAsia"/>
                <w:szCs w:val="21"/>
              </w:rPr>
              <w:t>直通</w:t>
            </w:r>
          </w:p>
        </w:tc>
        <w:tc>
          <w:tcPr>
            <w:tcW w:w="2268" w:type="dxa"/>
            <w:tcBorders>
              <w:top w:val="single" w:sz="4" w:space="0" w:color="auto"/>
              <w:left w:val="single" w:sz="4" w:space="0" w:color="auto"/>
              <w:bottom w:val="single" w:sz="4" w:space="0" w:color="auto"/>
              <w:right w:val="single" w:sz="4" w:space="0" w:color="auto"/>
            </w:tcBorders>
            <w:vAlign w:val="center"/>
          </w:tcPr>
          <w:p w:rsidR="00575D81" w:rsidRDefault="00B83B18">
            <w:pPr>
              <w:rPr>
                <w:rFonts w:ascii="仿宋_GB2312" w:eastAsia="仿宋_GB2312"/>
                <w:szCs w:val="21"/>
              </w:rPr>
            </w:pPr>
            <w:r>
              <w:rPr>
                <w:rFonts w:ascii="仿宋_GB2312" w:eastAsia="仿宋_GB2312"/>
                <w:szCs w:val="21"/>
              </w:rPr>
              <w:t>7:30</w:t>
            </w:r>
            <w:r>
              <w:rPr>
                <w:rFonts w:ascii="仿宋_GB2312" w:eastAsia="仿宋_GB2312" w:hint="eastAsia"/>
                <w:szCs w:val="21"/>
              </w:rPr>
              <w:t>—</w:t>
            </w:r>
            <w:r>
              <w:rPr>
                <w:rFonts w:ascii="仿宋_GB2312" w:eastAsia="仿宋_GB2312"/>
                <w:szCs w:val="21"/>
              </w:rPr>
              <w:t>19:00</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575D81" w:rsidRDefault="00B83B18">
            <w:pPr>
              <w:jc w:val="center"/>
              <w:rPr>
                <w:rFonts w:ascii="仿宋_GB2312" w:eastAsia="仿宋_GB2312"/>
                <w:szCs w:val="21"/>
              </w:rPr>
            </w:pPr>
            <w:r>
              <w:rPr>
                <w:rFonts w:ascii="仿宋_GB2312" w:eastAsia="仿宋_GB2312" w:hint="eastAsia"/>
                <w:szCs w:val="21"/>
              </w:rPr>
              <w:t>全部公告类别</w:t>
            </w:r>
          </w:p>
        </w:tc>
      </w:tr>
      <w:tr w:rsidR="00575D81">
        <w:tc>
          <w:tcPr>
            <w:tcW w:w="1526" w:type="dxa"/>
            <w:vMerge/>
            <w:tcBorders>
              <w:top w:val="single" w:sz="4" w:space="0" w:color="auto"/>
              <w:left w:val="single" w:sz="4" w:space="0" w:color="auto"/>
              <w:bottom w:val="single" w:sz="4" w:space="0" w:color="auto"/>
              <w:right w:val="single" w:sz="4" w:space="0" w:color="auto"/>
            </w:tcBorders>
            <w:vAlign w:val="center"/>
          </w:tcPr>
          <w:p w:rsidR="00575D81" w:rsidRDefault="00575D81">
            <w:pP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75D81" w:rsidRDefault="00B83B18">
            <w:pPr>
              <w:rPr>
                <w:rFonts w:ascii="仿宋_GB2312" w:eastAsia="仿宋_GB2312"/>
                <w:szCs w:val="21"/>
              </w:rPr>
            </w:pPr>
            <w:r>
              <w:rPr>
                <w:rFonts w:ascii="仿宋_GB2312" w:eastAsia="仿宋_GB2312" w:hint="eastAsia"/>
                <w:szCs w:val="21"/>
              </w:rPr>
              <w:t>非直通</w:t>
            </w:r>
          </w:p>
        </w:tc>
        <w:tc>
          <w:tcPr>
            <w:tcW w:w="2268" w:type="dxa"/>
            <w:tcBorders>
              <w:top w:val="single" w:sz="4" w:space="0" w:color="auto"/>
              <w:left w:val="single" w:sz="4" w:space="0" w:color="auto"/>
              <w:bottom w:val="single" w:sz="4" w:space="0" w:color="auto"/>
              <w:right w:val="single" w:sz="4" w:space="0" w:color="auto"/>
            </w:tcBorders>
            <w:vAlign w:val="center"/>
          </w:tcPr>
          <w:p w:rsidR="00575D81" w:rsidRDefault="00B83B18">
            <w:pPr>
              <w:rPr>
                <w:rFonts w:ascii="仿宋_GB2312" w:eastAsia="仿宋_GB2312"/>
                <w:szCs w:val="21"/>
              </w:rPr>
            </w:pPr>
            <w:r>
              <w:rPr>
                <w:rFonts w:ascii="仿宋_GB2312" w:eastAsia="仿宋_GB2312" w:hint="eastAsia"/>
                <w:szCs w:val="21"/>
              </w:rPr>
              <w:t>7:30—</w:t>
            </w:r>
            <w:r>
              <w:rPr>
                <w:rFonts w:ascii="仿宋_GB2312" w:eastAsia="仿宋_GB2312"/>
                <w:szCs w:val="21"/>
              </w:rPr>
              <w:t>17:00</w:t>
            </w:r>
          </w:p>
        </w:tc>
        <w:tc>
          <w:tcPr>
            <w:tcW w:w="3402" w:type="dxa"/>
            <w:vMerge/>
            <w:tcBorders>
              <w:top w:val="single" w:sz="4" w:space="0" w:color="auto"/>
              <w:left w:val="single" w:sz="4" w:space="0" w:color="auto"/>
              <w:bottom w:val="single" w:sz="4" w:space="0" w:color="auto"/>
              <w:right w:val="single" w:sz="4" w:space="0" w:color="auto"/>
            </w:tcBorders>
            <w:vAlign w:val="center"/>
          </w:tcPr>
          <w:p w:rsidR="00575D81" w:rsidRDefault="00575D81">
            <w:pPr>
              <w:jc w:val="center"/>
              <w:rPr>
                <w:rFonts w:ascii="仿宋_GB2312" w:eastAsia="仿宋_GB2312"/>
                <w:szCs w:val="21"/>
              </w:rPr>
            </w:pPr>
          </w:p>
        </w:tc>
      </w:tr>
      <w:tr w:rsidR="00575D81">
        <w:tc>
          <w:tcPr>
            <w:tcW w:w="2802" w:type="dxa"/>
            <w:gridSpan w:val="2"/>
            <w:tcBorders>
              <w:top w:val="single" w:sz="4" w:space="0" w:color="auto"/>
              <w:left w:val="single" w:sz="4" w:space="0" w:color="auto"/>
              <w:bottom w:val="single" w:sz="4" w:space="0" w:color="auto"/>
              <w:right w:val="single" w:sz="4" w:space="0" w:color="auto"/>
            </w:tcBorders>
            <w:vAlign w:val="center"/>
          </w:tcPr>
          <w:p w:rsidR="00575D81" w:rsidRDefault="00B83B18">
            <w:pPr>
              <w:rPr>
                <w:rFonts w:ascii="仿宋_GB2312" w:eastAsia="仿宋_GB2312"/>
                <w:szCs w:val="21"/>
              </w:rPr>
            </w:pPr>
            <w:r>
              <w:rPr>
                <w:rFonts w:ascii="仿宋_GB2312" w:eastAsia="仿宋_GB2312" w:hint="eastAsia"/>
                <w:szCs w:val="21"/>
              </w:rPr>
              <w:t>交易日早间</w:t>
            </w:r>
          </w:p>
        </w:tc>
        <w:tc>
          <w:tcPr>
            <w:tcW w:w="2268" w:type="dxa"/>
            <w:tcBorders>
              <w:top w:val="single" w:sz="4" w:space="0" w:color="auto"/>
              <w:left w:val="single" w:sz="4" w:space="0" w:color="auto"/>
              <w:bottom w:val="single" w:sz="4" w:space="0" w:color="auto"/>
              <w:right w:val="single" w:sz="4" w:space="0" w:color="auto"/>
            </w:tcBorders>
            <w:vAlign w:val="center"/>
          </w:tcPr>
          <w:p w:rsidR="00575D81" w:rsidRDefault="00B83B18">
            <w:pPr>
              <w:rPr>
                <w:rFonts w:ascii="仿宋_GB2312" w:eastAsia="仿宋_GB2312"/>
                <w:szCs w:val="21"/>
              </w:rPr>
            </w:pPr>
            <w:r>
              <w:rPr>
                <w:rFonts w:ascii="仿宋_GB2312" w:eastAsia="仿宋_GB2312" w:hint="eastAsia"/>
                <w:szCs w:val="21"/>
              </w:rPr>
              <w:t>7:30—</w:t>
            </w:r>
            <w:r>
              <w:rPr>
                <w:rFonts w:ascii="仿宋_GB2312" w:eastAsia="仿宋_GB2312"/>
                <w:szCs w:val="21"/>
              </w:rPr>
              <w:t>8:30</w:t>
            </w:r>
          </w:p>
        </w:tc>
        <w:tc>
          <w:tcPr>
            <w:tcW w:w="3402" w:type="dxa"/>
            <w:tcBorders>
              <w:top w:val="single" w:sz="4" w:space="0" w:color="auto"/>
              <w:left w:val="single" w:sz="4" w:space="0" w:color="auto"/>
              <w:bottom w:val="single" w:sz="4" w:space="0" w:color="auto"/>
              <w:right w:val="single" w:sz="4" w:space="0" w:color="auto"/>
            </w:tcBorders>
            <w:vAlign w:val="center"/>
          </w:tcPr>
          <w:p w:rsidR="00575D81" w:rsidRDefault="00B83B18">
            <w:pPr>
              <w:jc w:val="center"/>
              <w:rPr>
                <w:rFonts w:ascii="仿宋_GB2312" w:eastAsia="仿宋_GB2312"/>
                <w:szCs w:val="21"/>
              </w:rPr>
            </w:pPr>
            <w:r>
              <w:rPr>
                <w:rFonts w:ascii="仿宋_GB2312" w:eastAsia="仿宋_GB2312" w:hint="eastAsia"/>
                <w:szCs w:val="21"/>
              </w:rPr>
              <w:t>停复牌提示公告（3301）</w:t>
            </w:r>
          </w:p>
          <w:p w:rsidR="00575D81" w:rsidRDefault="00B83B18">
            <w:pPr>
              <w:jc w:val="center"/>
              <w:rPr>
                <w:rFonts w:ascii="仿宋_GB2312" w:eastAsia="仿宋_GB2312"/>
                <w:szCs w:val="21"/>
              </w:rPr>
            </w:pPr>
            <w:r>
              <w:rPr>
                <w:rFonts w:ascii="仿宋_GB2312" w:eastAsia="仿宋_GB2312" w:hint="eastAsia"/>
                <w:szCs w:val="21"/>
              </w:rPr>
              <w:t>澄清与说明公告（1002）</w:t>
            </w:r>
          </w:p>
          <w:p w:rsidR="00575D81" w:rsidRDefault="00B83B18">
            <w:pPr>
              <w:jc w:val="center"/>
              <w:rPr>
                <w:rFonts w:ascii="仿宋_GB2312" w:eastAsia="仿宋_GB2312"/>
                <w:szCs w:val="21"/>
              </w:rPr>
            </w:pPr>
            <w:r>
              <w:rPr>
                <w:rFonts w:ascii="仿宋_GB2312" w:eastAsia="仿宋_GB2312" w:hint="eastAsia"/>
                <w:szCs w:val="21"/>
              </w:rPr>
              <w:t>签订合同公告（0419）</w:t>
            </w:r>
          </w:p>
          <w:p w:rsidR="00575D81" w:rsidRDefault="00B83B18">
            <w:pPr>
              <w:jc w:val="center"/>
              <w:rPr>
                <w:rFonts w:ascii="仿宋_GB2312" w:eastAsia="仿宋_GB2312"/>
                <w:szCs w:val="21"/>
              </w:rPr>
            </w:pPr>
            <w:r>
              <w:rPr>
                <w:rFonts w:ascii="仿宋_GB2312" w:eastAsia="仿宋_GB2312" w:hint="eastAsia"/>
                <w:szCs w:val="21"/>
              </w:rPr>
              <w:t>因境外市场发行证券披露的其他融资产品公告（1599）</w:t>
            </w:r>
          </w:p>
        </w:tc>
      </w:tr>
      <w:tr w:rsidR="00575D81">
        <w:tc>
          <w:tcPr>
            <w:tcW w:w="2802" w:type="dxa"/>
            <w:gridSpan w:val="2"/>
            <w:tcBorders>
              <w:top w:val="single" w:sz="4" w:space="0" w:color="auto"/>
              <w:left w:val="single" w:sz="4" w:space="0" w:color="auto"/>
              <w:bottom w:val="single" w:sz="4" w:space="0" w:color="auto"/>
              <w:right w:val="single" w:sz="4" w:space="0" w:color="auto"/>
            </w:tcBorders>
            <w:vAlign w:val="center"/>
          </w:tcPr>
          <w:p w:rsidR="00575D81" w:rsidRDefault="00B83B18">
            <w:pPr>
              <w:rPr>
                <w:rFonts w:ascii="仿宋_GB2312" w:eastAsia="仿宋_GB2312"/>
                <w:szCs w:val="21"/>
              </w:rPr>
            </w:pPr>
            <w:r>
              <w:rPr>
                <w:rFonts w:ascii="仿宋_GB2312" w:eastAsia="仿宋_GB2312" w:hint="eastAsia"/>
                <w:szCs w:val="21"/>
              </w:rPr>
              <w:t>交易日午间</w:t>
            </w:r>
          </w:p>
        </w:tc>
        <w:tc>
          <w:tcPr>
            <w:tcW w:w="2268" w:type="dxa"/>
            <w:tcBorders>
              <w:top w:val="single" w:sz="4" w:space="0" w:color="auto"/>
              <w:left w:val="single" w:sz="4" w:space="0" w:color="auto"/>
              <w:bottom w:val="single" w:sz="4" w:space="0" w:color="auto"/>
              <w:right w:val="single" w:sz="4" w:space="0" w:color="auto"/>
            </w:tcBorders>
            <w:vAlign w:val="center"/>
          </w:tcPr>
          <w:p w:rsidR="00575D81" w:rsidRDefault="00274D4F">
            <w:pPr>
              <w:rPr>
                <w:rFonts w:ascii="仿宋_GB2312" w:eastAsia="仿宋_GB2312"/>
                <w:szCs w:val="21"/>
              </w:rPr>
            </w:pPr>
            <w:r>
              <w:rPr>
                <w:rFonts w:ascii="仿宋_GB2312" w:eastAsia="仿宋_GB2312" w:hint="eastAsia"/>
                <w:szCs w:val="21"/>
              </w:rPr>
              <w:t>7</w:t>
            </w:r>
            <w:r w:rsidR="00B83B18">
              <w:rPr>
                <w:rFonts w:ascii="仿宋_GB2312" w:eastAsia="仿宋_GB2312" w:hint="eastAsia"/>
                <w:szCs w:val="21"/>
              </w:rPr>
              <w:t>:30—</w:t>
            </w:r>
            <w:r w:rsidR="00B83B18">
              <w:rPr>
                <w:rFonts w:ascii="仿宋_GB2312" w:eastAsia="仿宋_GB2312"/>
                <w:szCs w:val="21"/>
              </w:rPr>
              <w:t>12:30</w:t>
            </w:r>
          </w:p>
        </w:tc>
        <w:tc>
          <w:tcPr>
            <w:tcW w:w="3402" w:type="dxa"/>
            <w:tcBorders>
              <w:top w:val="single" w:sz="4" w:space="0" w:color="auto"/>
              <w:left w:val="single" w:sz="4" w:space="0" w:color="auto"/>
              <w:bottom w:val="single" w:sz="4" w:space="0" w:color="auto"/>
              <w:right w:val="single" w:sz="4" w:space="0" w:color="auto"/>
            </w:tcBorders>
            <w:vAlign w:val="center"/>
          </w:tcPr>
          <w:p w:rsidR="00575D81" w:rsidRDefault="00B83B18">
            <w:pPr>
              <w:jc w:val="center"/>
              <w:rPr>
                <w:rFonts w:ascii="仿宋_GB2312" w:eastAsia="仿宋_GB2312"/>
                <w:szCs w:val="21"/>
              </w:rPr>
            </w:pPr>
            <w:r>
              <w:rPr>
                <w:rFonts w:ascii="仿宋_GB2312" w:eastAsia="仿宋_GB2312" w:hint="eastAsia"/>
                <w:szCs w:val="21"/>
              </w:rPr>
              <w:t>停复牌提示公告（3301）</w:t>
            </w:r>
          </w:p>
          <w:p w:rsidR="00575D81" w:rsidRDefault="00B83B18">
            <w:pPr>
              <w:jc w:val="center"/>
              <w:rPr>
                <w:rFonts w:ascii="仿宋_GB2312" w:eastAsia="仿宋_GB2312"/>
                <w:szCs w:val="21"/>
              </w:rPr>
            </w:pPr>
            <w:r>
              <w:rPr>
                <w:rFonts w:ascii="仿宋_GB2312" w:eastAsia="仿宋_GB2312" w:hint="eastAsia"/>
                <w:szCs w:val="21"/>
              </w:rPr>
              <w:t>澄清与说明公告（1002）</w:t>
            </w:r>
          </w:p>
        </w:tc>
      </w:tr>
      <w:tr w:rsidR="00575D81">
        <w:tc>
          <w:tcPr>
            <w:tcW w:w="2802" w:type="dxa"/>
            <w:gridSpan w:val="2"/>
            <w:tcBorders>
              <w:top w:val="single" w:sz="4" w:space="0" w:color="auto"/>
              <w:left w:val="single" w:sz="4" w:space="0" w:color="auto"/>
              <w:bottom w:val="single" w:sz="4" w:space="0" w:color="auto"/>
              <w:right w:val="single" w:sz="4" w:space="0" w:color="auto"/>
            </w:tcBorders>
            <w:vAlign w:val="center"/>
          </w:tcPr>
          <w:p w:rsidR="00575D81" w:rsidRDefault="00B83B18">
            <w:pPr>
              <w:rPr>
                <w:rFonts w:ascii="仿宋_GB2312" w:eastAsia="仿宋_GB2312"/>
                <w:szCs w:val="21"/>
              </w:rPr>
            </w:pPr>
            <w:r>
              <w:rPr>
                <w:rFonts w:ascii="仿宋_GB2312" w:eastAsia="仿宋_GB2312" w:hint="eastAsia"/>
                <w:szCs w:val="21"/>
              </w:rPr>
              <w:t>非交易日</w:t>
            </w:r>
          </w:p>
        </w:tc>
        <w:tc>
          <w:tcPr>
            <w:tcW w:w="2268" w:type="dxa"/>
            <w:tcBorders>
              <w:top w:val="single" w:sz="4" w:space="0" w:color="auto"/>
              <w:left w:val="single" w:sz="4" w:space="0" w:color="auto"/>
              <w:bottom w:val="single" w:sz="4" w:space="0" w:color="auto"/>
              <w:right w:val="single" w:sz="4" w:space="0" w:color="auto"/>
            </w:tcBorders>
            <w:vAlign w:val="center"/>
          </w:tcPr>
          <w:p w:rsidR="00575D81" w:rsidRDefault="00B83B18">
            <w:pPr>
              <w:rPr>
                <w:rFonts w:ascii="仿宋_GB2312" w:eastAsia="仿宋_GB2312"/>
                <w:szCs w:val="21"/>
              </w:rPr>
            </w:pPr>
            <w:r>
              <w:rPr>
                <w:rFonts w:ascii="仿宋_GB2312" w:eastAsia="仿宋_GB2312" w:hint="eastAsia"/>
                <w:szCs w:val="21"/>
              </w:rPr>
              <w:t>13:00—</w:t>
            </w:r>
            <w:r>
              <w:rPr>
                <w:rFonts w:ascii="仿宋_GB2312" w:eastAsia="仿宋_GB2312"/>
                <w:szCs w:val="21"/>
              </w:rPr>
              <w:t>17:00</w:t>
            </w:r>
          </w:p>
        </w:tc>
        <w:tc>
          <w:tcPr>
            <w:tcW w:w="3402" w:type="dxa"/>
            <w:tcBorders>
              <w:top w:val="single" w:sz="4" w:space="0" w:color="auto"/>
              <w:left w:val="single" w:sz="4" w:space="0" w:color="auto"/>
              <w:bottom w:val="single" w:sz="4" w:space="0" w:color="auto"/>
              <w:right w:val="single" w:sz="4" w:space="0" w:color="auto"/>
            </w:tcBorders>
            <w:vAlign w:val="center"/>
          </w:tcPr>
          <w:p w:rsidR="00575D81" w:rsidRDefault="00B83B18">
            <w:pPr>
              <w:jc w:val="center"/>
              <w:rPr>
                <w:rFonts w:ascii="仿宋_GB2312" w:eastAsia="仿宋_GB2312"/>
                <w:szCs w:val="21"/>
              </w:rPr>
            </w:pPr>
            <w:r>
              <w:rPr>
                <w:rFonts w:ascii="仿宋_GB2312" w:eastAsia="仿宋_GB2312" w:hint="eastAsia"/>
                <w:szCs w:val="21"/>
              </w:rPr>
              <w:t>直通类别公告</w:t>
            </w:r>
          </w:p>
        </w:tc>
      </w:tr>
    </w:tbl>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7.上市公司在提交信息披露文件时，不能将多个文件合并为一个文件上传，并需准确选择是否登报、上网或备案的流转渠道，不能以上传公告上网附件及备查文件、非公告上网文件的形式，替代公告披露。</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8.上市公司应当对照系统预设的公告附件及备查文件列表，提交必备的附件及备查文件，并填写附件上网的标题。上市公司也可根据实际情况，自行补充其它与公告相关的附件及备查文件。</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9.上市公司在提交信息披露申请时，需要填写或确认关键字及数据采集项的，公司需认真、准确地完成相关项目的选择和填写。</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10.上市公司以其名义出具信息披露文件的，需要履行内部审议程序并取得充分授权。</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上市公司提交股东大会、董事会、监事会决议备查文件时，需同时提交董事、监事等相关人员签名页的电子扫描文件。</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上市公司提交由其他机构、个人盖章或签名的信息披露文件（如中介机构报告、协议或批文等），需提供相关机构、个人盖章或签名页的电子扫描文件。</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11.上市公司拟于同日披露多个相互关联公告的，需通过同一个</w:t>
      </w:r>
      <w:r>
        <w:rPr>
          <w:rFonts w:ascii="仿宋_GB2312" w:eastAsia="仿宋_GB2312" w:hint="eastAsia"/>
          <w:sz w:val="28"/>
          <w:szCs w:val="28"/>
        </w:rPr>
        <w:lastRenderedPageBreak/>
        <w:t>信息披露申请提交。</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上市公司创建的同一个信息披露申请中，如有一个或者一个以上的公告不属于直通公告范围的，该申请中的所有公告均不能通过直通方式办理。</w:t>
      </w:r>
    </w:p>
    <w:p w:rsidR="00611514" w:rsidRDefault="00B83B18" w:rsidP="00611514">
      <w:pPr>
        <w:spacing w:line="600" w:lineRule="exact"/>
        <w:ind w:firstLineChars="200" w:firstLine="562"/>
        <w:rPr>
          <w:rFonts w:ascii="仿宋_GB2312" w:eastAsia="仿宋_GB2312"/>
          <w:sz w:val="28"/>
          <w:szCs w:val="28"/>
        </w:rPr>
      </w:pPr>
      <w:r>
        <w:rPr>
          <w:rFonts w:ascii="仿宋_GB2312" w:eastAsia="仿宋_GB2312"/>
          <w:b/>
          <w:sz w:val="28"/>
          <w:szCs w:val="28"/>
        </w:rPr>
        <w:t> </w:t>
      </w:r>
      <w:r>
        <w:rPr>
          <w:rFonts w:ascii="仿宋_GB2312" w:eastAsia="仿宋_GB2312" w:hint="eastAsia"/>
          <w:sz w:val="28"/>
          <w:szCs w:val="28"/>
        </w:rPr>
        <w:t>12.上市公司提交证券停复牌、权益分派、限售股份解禁等信息披露事项，需本所协助办理相关业务操作的，在提交信息披露申请的同时，需按照本所有关业务规则、指南的要求在系统填写并提交业务申请，或核对系统生成的业务申请并提交。</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13.上市公司提交直通公告申请的，点击“提交并发布”后，需认真核对拟发布的信息披露文件及相关申请事项，然后点击“确认提交”，完成该批次信息披露文件的确认发布。</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本所上市公司管理部门对直通公告进行事后审查，其中，对“交易日早间披露时段”和“交易日午间披露时段”披露的直通公告，于相应披露时段截止后开始事后审查；对“交易日盘后披露时段”披露的直通公告，于申请提交日盘后开始事后审查。</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上市公司需及时关注本所公司管理部门在系统中就公告类别、备查文件、业务申请等事项的增删、修改、替换填写的反馈意见，并进行相应修改。</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14.上市公司提交非直通公告申请的，本所上市公司管理部门对公告进行事前审查，其中，拟在“交易日早间披露时段”和“交易日午间披露时段”披露的非直通公告，于相应信息披露时段开始后进行事前审查；对拟在“交易日盘后披露时段”披露的非直通公告，于公告提交当日</w:t>
      </w:r>
      <w:r>
        <w:rPr>
          <w:rFonts w:ascii="仿宋_GB2312" w:eastAsia="仿宋_GB2312"/>
          <w:sz w:val="28"/>
          <w:szCs w:val="28"/>
        </w:rPr>
        <w:t>15:00</w:t>
      </w:r>
      <w:r>
        <w:rPr>
          <w:rFonts w:ascii="仿宋_GB2312" w:eastAsia="仿宋_GB2312" w:hint="eastAsia"/>
          <w:sz w:val="28"/>
          <w:szCs w:val="28"/>
        </w:rPr>
        <w:t>后进行事前审查。</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lastRenderedPageBreak/>
        <w:t>上市公司需关注非直通公告的审查状态。本所短信平台将在开始审查信息披露文件时、提出反馈意见时、信息披露申请审查通过时三个时点向上市公司信息披露申请的经办人发送提示短信。上市公司收到反馈的，应当及时根据反馈意见修改、补充相应公告内容及公告申请事项，或者删除公告。</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公告审查通过的，上市公司需再次核对公告信息，然后及时确认发布。其中，“交易日早间披露时段”和“交易日午间披露时段”披露的非直通公告，确认发布的最晚时间分别是8：40与12：40。</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15.已提交但尚未进入审查状态的非直通信息披露申请文件，如需修改或撤销的，上市公司可通过“错发回收”予以收回。</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上市公司信息披露文件在确认发布后，一般不能修改或撤销。如属于下列情形的可按程序办理。</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（1）已提交但尚未上网披露的直通信息披露申请文件，如需修改或撤销的，上市公司可自行操作“撤销”予以收回；</w:t>
      </w:r>
    </w:p>
    <w:p w:rsidR="00611514" w:rsidRDefault="00B83B18" w:rsidP="00611514">
      <w:pPr>
        <w:spacing w:line="600" w:lineRule="exact"/>
        <w:ind w:firstLineChars="200" w:firstLine="560"/>
        <w:rPr>
          <w:rFonts w:ascii="仿宋_GB2312" w:eastAsia="仿宋_GB2312"/>
          <w:color w:val="FF0000"/>
          <w:sz w:val="28"/>
          <w:szCs w:val="28"/>
        </w:rPr>
      </w:pPr>
      <w:r>
        <w:rPr>
          <w:rFonts w:ascii="仿宋_GB2312" w:eastAsia="仿宋_GB2312" w:hint="eastAsia"/>
          <w:sz w:val="28"/>
          <w:szCs w:val="28"/>
        </w:rPr>
        <w:t>（2）已确认发布但尚未上网披露的非直通信息披露申请文件，确需修改或撤销的，上市公司可第一时间联系本所上市公司管理部门。</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16.上市公司可以在信息披露申请页面查看信息披露文件的发布状态。上市公司提交的信息披露文件将在确认发布后在本所网站发布。</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上市公司选择在指定媒体刊登公告的，可在信息披露申请页面点击“媒体回执”，查看媒体下载情况。</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17.上市公司应当按照《上市公司公告电子文件编制规范》（附件2），制作公告电子文件。</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18.上市公司披露定期报告、股东大会、权益分派、减持计划及</w:t>
      </w:r>
      <w:r>
        <w:rPr>
          <w:rFonts w:ascii="仿宋_GB2312" w:eastAsia="仿宋_GB2312" w:hint="eastAsia"/>
          <w:sz w:val="28"/>
          <w:szCs w:val="28"/>
        </w:rPr>
        <w:lastRenderedPageBreak/>
        <w:t>进展、内部控制评价报告等指定类别公告的，需按照本所的有关要求，使用本所提供的公告编制软件中的公告模板编制公告。</w:t>
      </w:r>
    </w:p>
    <w:p w:rsidR="00611514" w:rsidRDefault="00B83B18" w:rsidP="00611514">
      <w:pPr>
        <w:spacing w:line="600" w:lineRule="exact"/>
        <w:ind w:firstLineChars="200" w:firstLine="560"/>
        <w:rPr>
          <w:rFonts w:ascii="仿宋_GB2312" w:eastAsia="仿宋_GB2312" w:hAnsi="仿宋_GB2312" w:cs="仿宋_GB2312"/>
          <w:sz w:val="28"/>
          <w:szCs w:val="28"/>
        </w:rPr>
      </w:pPr>
      <w:r>
        <w:rPr>
          <w:rFonts w:ascii="仿宋_GB2312" w:eastAsia="仿宋_GB2312" w:hint="eastAsia"/>
          <w:sz w:val="28"/>
          <w:szCs w:val="28"/>
        </w:rPr>
        <w:t>19.</w:t>
      </w:r>
      <w:r>
        <w:rPr>
          <w:rFonts w:ascii="仿宋_GB2312" w:eastAsia="仿宋_GB2312" w:hAnsi="仿宋_GB2312" w:cs="仿宋_GB2312" w:hint="eastAsia"/>
          <w:sz w:val="28"/>
          <w:szCs w:val="28"/>
        </w:rPr>
        <w:t>因不可抗力、意外事件及技术故障等原因</w:t>
      </w:r>
      <w:r>
        <w:rPr>
          <w:rFonts w:ascii="仿宋_GB2312" w:eastAsia="仿宋_GB2312" w:hint="eastAsia"/>
          <w:sz w:val="28"/>
          <w:szCs w:val="28"/>
        </w:rPr>
        <w:t>，上市公司无法使用系统提交信息披露申请的，</w:t>
      </w:r>
      <w:r>
        <w:rPr>
          <w:rFonts w:ascii="仿宋_GB2312" w:eastAsia="仿宋_GB2312" w:hAnsi="仿宋_GB2312" w:cs="仿宋_GB2312" w:hint="eastAsia"/>
          <w:sz w:val="28"/>
          <w:szCs w:val="28"/>
        </w:rPr>
        <w:t>可以按照本所认可的其他方式办理信息披露事项。</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20.上市公司以系统之外的其他方式披露公告的，需及时在系统补充提交已披露的信息披露文件。补充提交公告的“披露时段”为“补充提交”，“披露日期”为公告实际披露日期。补充提交的信息披露文件不会在本所网站重复披露。</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21.境内外同时上市的公司，应当根据各地证券市场信息披露规则的要求，合理安排信息披露文件的发布时间，确保公平披露信息。</w:t>
      </w:r>
    </w:p>
    <w:p w:rsidR="00611514" w:rsidRDefault="00B83B18" w:rsidP="00611514">
      <w:pPr>
        <w:spacing w:line="600" w:lineRule="exact"/>
        <w:ind w:firstLineChars="200" w:firstLine="562"/>
        <w:rPr>
          <w:rFonts w:ascii="仿宋_GB2312" w:eastAsia="仿宋_GB2312"/>
          <w:b/>
          <w:sz w:val="28"/>
          <w:szCs w:val="28"/>
        </w:rPr>
      </w:pPr>
      <w:r>
        <w:rPr>
          <w:rFonts w:ascii="仿宋_GB2312" w:eastAsia="仿宋_GB2312" w:hint="eastAsia"/>
          <w:b/>
          <w:sz w:val="28"/>
          <w:szCs w:val="28"/>
        </w:rPr>
        <w:t>三、其他信息披露业务</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1.上市公司需关注披露定期报告相关通知，及时通过系统“信息披露”下的“定期报告预约及变更”栏目，预约定期报告披露时间。在预约期间内，公司可根据预约状态自行选择、修改披露时间。预约期后，公司如需变更预约披露日期，应当创建“定期报告预约变更”流程，填写变更原因并重新选择预约日期，并关注流程的审核状态。</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2.本所上市公司管理部门通过系统向上市公司发送监管函件，上市公司通过系统的“监管互动”栏目，接收并查看本所的监管函件。</w:t>
      </w:r>
    </w:p>
    <w:p w:rsidR="00611514" w:rsidRDefault="00B83B18" w:rsidP="00611514">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上市公司如需向上市公司管理部门提交其他业务相关文件的，通过“监管互动”提交。</w:t>
      </w:r>
    </w:p>
    <w:p w:rsidR="00575D81" w:rsidRDefault="00B83B18" w:rsidP="00E92635">
      <w:pPr>
        <w:spacing w:line="600" w:lineRule="exact"/>
        <w:ind w:firstLineChars="200" w:firstLine="560"/>
        <w:rPr>
          <w:rFonts w:ascii="仿宋_GB2312" w:eastAsia="仿宋_GB2312" w:hAnsi="宋体"/>
          <w:b/>
          <w:sz w:val="28"/>
          <w:szCs w:val="28"/>
        </w:rPr>
      </w:pPr>
      <w:r>
        <w:rPr>
          <w:rFonts w:ascii="仿宋_GB2312" w:eastAsia="仿宋_GB2312" w:hint="eastAsia"/>
          <w:sz w:val="28"/>
          <w:szCs w:val="28"/>
        </w:rPr>
        <w:t>上市公司回复监管函件或发送其他函件的，需及时联系上市公司管理部门，并关注上述流程的流转状态。</w:t>
      </w:r>
      <w:r>
        <w:rPr>
          <w:rFonts w:ascii="仿宋_GB2312" w:eastAsia="仿宋_GB2312"/>
          <w:sz w:val="28"/>
          <w:szCs w:val="28"/>
        </w:rPr>
        <w:br w:type="page"/>
      </w:r>
      <w:r>
        <w:rPr>
          <w:rFonts w:ascii="仿宋_GB2312" w:eastAsia="仿宋_GB2312" w:hAnsi="宋体" w:hint="eastAsia"/>
          <w:b/>
          <w:sz w:val="28"/>
          <w:szCs w:val="28"/>
        </w:rPr>
        <w:lastRenderedPageBreak/>
        <w:t>附件1：</w:t>
      </w:r>
    </w:p>
    <w:p w:rsidR="00575D81" w:rsidRDefault="00B83B18">
      <w:pPr>
        <w:spacing w:line="600" w:lineRule="exact"/>
        <w:jc w:val="center"/>
        <w:rPr>
          <w:rFonts w:ascii="仿宋_GB2312" w:eastAsia="仿宋_GB2312" w:hAnsi="宋体"/>
          <w:b/>
          <w:sz w:val="28"/>
          <w:szCs w:val="28"/>
        </w:rPr>
      </w:pPr>
      <w:r>
        <w:rPr>
          <w:rFonts w:ascii="仿宋_GB2312" w:eastAsia="仿宋_GB2312" w:hint="eastAsia"/>
          <w:sz w:val="28"/>
          <w:szCs w:val="28"/>
        </w:rPr>
        <w:t>上海证券交易所信息披露公告类别索引</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9"/>
        <w:gridCol w:w="964"/>
        <w:gridCol w:w="964"/>
        <w:gridCol w:w="964"/>
        <w:gridCol w:w="1696"/>
        <w:gridCol w:w="1009"/>
        <w:gridCol w:w="1015"/>
        <w:gridCol w:w="747"/>
      </w:tblGrid>
      <w:tr w:rsidR="00575D81">
        <w:trPr>
          <w:trHeight w:val="1149"/>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总编号</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一级公告序号</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一级公告类别</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二级公告序号</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二级公告类别</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直通披露公告范围(是“√”，否“×”)</w:t>
            </w:r>
          </w:p>
        </w:tc>
        <w:tc>
          <w:tcPr>
            <w:tcW w:w="1015"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对应业务申请</w:t>
            </w:r>
          </w:p>
        </w:tc>
        <w:tc>
          <w:tcPr>
            <w:tcW w:w="747"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备注</w:t>
            </w: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1</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定期报告</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年报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一季报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半年报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三季报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675"/>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105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上市时未盈利公司实现盈利</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highlight w:val="yellow"/>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highlight w:val="yellow"/>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highlight w:val="yellow"/>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6</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董事会和监事会</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董事会决议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监事会决议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推选职工董事或者监事</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董事会审议变更证券简称</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10</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股东大会</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股东大会召开通知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股东大会相关提示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股东大会延期</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股东大会取消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增加临时提案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取消提案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16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股东、监事会自行召集股东大会</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股东大会不能正常召开</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股东大会决议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股东大会补充更正</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20</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应当披露的交易</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购买资产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出售资产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对外投资</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委托理财</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委托贷款</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提供财务资助</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接受财务资助</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租入资产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租出资产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委托管理资产和业务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受托管理资产和业务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赠与资产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受赠资产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33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债权重组</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债务重组</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签订许可使用协议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转让研究与开发项目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受让研究与开发项目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签订日常经营合同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420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矿业权交易</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421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新建项目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422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应当披露交易的提示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423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应当披露交易的进展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424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应当披露交易已完成</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425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签订战略框架协议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426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与私募基金合作投资</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427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开展新业务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highlight w:val="yellow"/>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highlight w:val="yellow"/>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其他应当披露的交易</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48</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关联交易</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日常关联交易</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49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向关联人提供担保或反担保</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向关联人购买资产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向关联人出售资产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与关联人共同投资</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向关联人委托理财</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向关联人委托贷款</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向关联人提供财务资助（见注释6）</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接受关联人财务资助</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向关联人租入资产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向关联人租出资产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59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委托关联人管理资产和业务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60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受托管理关联人资产和业务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61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向关联人赠与资产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62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受赠关联人资产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63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与关联人债权重组</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64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与关联人债务重组</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65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与关联人签订许可使用协议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66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向关联人转让研究与开发项目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67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受让关联人的研究与开发项目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68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向关联人购买原材料、燃料、动力</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69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向关联人销售产品、商品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70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向关联人提供劳务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71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接受关联人所提供的劳务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72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委托关联人销售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73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受关联人之托进行销售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74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与关联人财务公司的交易</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75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关联交易的提示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76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关联交易的进展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77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530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关联交易的完成</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78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其他应披露的关联交易</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79</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6</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对外担保</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年度担保预计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80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为控股子公司提供担保</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81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其他对外担保</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82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提供反担保</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83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对外担保责任解除</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84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被担保人可能无法清偿担保债务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85</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7</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募集资金使用与管理</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签署募集资金存管协议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86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超募资金/结余募集资金的使用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87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募集资金使用进展情况</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88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变更募集资金用途</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89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用募集资金置换预先投入的自筹资金</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募集资金临时补充流动资金</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归还募集资金</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募集资金存放与使用情况报告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前次募集资金使用情况报告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其他与募集资金使用与管理有关的事项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95</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8</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业绩预告、业绩快报和盈利预测</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预盈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盈亏不确定</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预亏</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业绩大幅提升</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业绩大幅下降</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100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业绩快报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101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其他类型业绩预告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102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定期经营数据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103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业绩预告更正</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104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业绩快报更正</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105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盈利预测更正</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2773"/>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106</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利润分配和资本公积金转增股本</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901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实施利润分配和资本公积金转增</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1权益分派及送转股份上市申请</w:t>
            </w:r>
            <w:r>
              <w:rPr>
                <w:rFonts w:ascii="仿宋_GB2312" w:eastAsia="仿宋_GB2312" w:hAnsi="宋体" w:cs="仿宋_GB2312" w:hint="eastAsia"/>
                <w:color w:val="000000"/>
                <w:kern w:val="0"/>
                <w:sz w:val="20"/>
                <w:szCs w:val="20"/>
              </w:rPr>
              <w:br/>
              <w:t>2*送股（转增股本）登记通知</w:t>
            </w:r>
          </w:p>
        </w:tc>
        <w:tc>
          <w:tcPr>
            <w:tcW w:w="747" w:type="dxa"/>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107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902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董事会审议高送转</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108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903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股东或董事会关于利润分配或转增股本的提议</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109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kern w:val="0"/>
                <w:sz w:val="20"/>
                <w:szCs w:val="20"/>
              </w:rPr>
              <w:t>904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送股及转增股份上市</w:t>
            </w:r>
          </w:p>
        </w:tc>
        <w:tc>
          <w:tcPr>
            <w:tcW w:w="1009" w:type="dxa"/>
            <w:shd w:val="clear" w:color="auto" w:fill="auto"/>
            <w:tcMar>
              <w:top w:w="15" w:type="dxa"/>
              <w:left w:w="15" w:type="dxa"/>
              <w:right w:w="15" w:type="dxa"/>
            </w:tcMar>
          </w:tcPr>
          <w:p w:rsidR="00575D81" w:rsidRDefault="00B83B18">
            <w:pPr>
              <w:jc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110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999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与利润分配或转增相关的其他事项</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noWrap/>
            <w:tcMar>
              <w:top w:w="15" w:type="dxa"/>
              <w:left w:w="15" w:type="dxa"/>
              <w:right w:w="15" w:type="dxa"/>
            </w:tcMar>
            <w:vAlign w:val="center"/>
          </w:tcPr>
          <w:p w:rsidR="00575D81" w:rsidRDefault="00575D81">
            <w:pPr>
              <w:jc w:val="left"/>
              <w:rPr>
                <w:rFonts w:ascii="仿宋_GB2312" w:eastAsia="仿宋_GB2312" w:hAnsi="宋体" w:cs="仿宋_GB2312"/>
                <w:color w:val="000000"/>
                <w:sz w:val="22"/>
                <w:szCs w:val="22"/>
              </w:rPr>
            </w:pPr>
          </w:p>
        </w:tc>
        <w:tc>
          <w:tcPr>
            <w:tcW w:w="747" w:type="dxa"/>
            <w:shd w:val="clear" w:color="auto" w:fill="auto"/>
            <w:noWrap/>
            <w:tcMar>
              <w:top w:w="15" w:type="dxa"/>
              <w:left w:w="15" w:type="dxa"/>
              <w:right w:w="15" w:type="dxa"/>
            </w:tcMar>
            <w:vAlign w:val="center"/>
          </w:tcPr>
          <w:p w:rsidR="00575D81" w:rsidRDefault="00575D81">
            <w:pPr>
              <w:rPr>
                <w:rFonts w:ascii="仿宋_GB2312" w:eastAsia="仿宋_GB2312" w:hAnsi="宋体" w:cs="仿宋_GB2312"/>
                <w:color w:val="000000"/>
                <w:sz w:val="22"/>
                <w:szCs w:val="22"/>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111</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10</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股票交易异常波动和澄清</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异常波动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112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澄清或说明</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113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其他股价异常</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114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1004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严重异常波动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2067"/>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115</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11</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股份上市流通与股本变动</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1101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首发限售股份上市</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1股票上市申请</w:t>
            </w:r>
            <w:r>
              <w:rPr>
                <w:rFonts w:ascii="仿宋_GB2312" w:eastAsia="仿宋_GB2312" w:hAnsi="宋体" w:cs="仿宋_GB2312" w:hint="eastAsia"/>
                <w:color w:val="000000"/>
                <w:kern w:val="0"/>
                <w:sz w:val="20"/>
                <w:szCs w:val="20"/>
              </w:rPr>
              <w:br/>
              <w:t>2*有限售条件的流通股上市流通申请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116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1102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股改后限售流通股上市</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同上</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117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1103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非公开发行限售股上市</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同上</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118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1104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其他类型股份上市</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同上</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119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1105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其他股本变动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其他股本结构变动申请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2337"/>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120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1106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配股/增发股份上市</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1股票上市申请</w:t>
            </w:r>
            <w:r>
              <w:rPr>
                <w:rFonts w:ascii="仿宋_GB2312" w:eastAsia="仿宋_GB2312" w:hAnsi="宋体" w:cs="仿宋_GB2312" w:hint="eastAsia"/>
                <w:color w:val="000000"/>
                <w:kern w:val="0"/>
                <w:sz w:val="20"/>
                <w:szCs w:val="20"/>
              </w:rPr>
              <w:br/>
              <w:t>2*有限售条件的流通股上市流通申请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121</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12</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股东增持或减持股份</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持股5%以上的股东累计减持1%的股份</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122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持股5%以上的股东减持后持股比例低于5%</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123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股权过户完成</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47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124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因股东披露权益变动报告书或收购报告书的提示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125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1214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控股股东或实际控制人发生变动的提示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126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1215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刊登报告书后一个月股份过户手续仍未完成</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127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1216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公开征集股权受让方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128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1217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公开征集股权受让方的结果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129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1218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股东股权转让的相关进展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股权协议转让表（如适用）</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130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1219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上市公司股权托管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131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1220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股东减持计划</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132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1221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股东减持进展</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47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133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1222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股东增持计划</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noWrap/>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134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1223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股东增持进展</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135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1224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股东增持计划完成</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136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其他股权变动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137</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13</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权益变动报告书和（要约）收购</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减持简式权益变动报告书</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138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增持简式权益变动报告书</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股权协议转让表（如适用）</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139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增持详式权益变动报告书</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股权协议转让表（如适用）</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140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收购报告书摘要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141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收购报告书全文</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股权协议转让表（如适用）</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142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要约收购报告书摘要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143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要约收购报告书全文</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widowControl/>
              <w:jc w:val="left"/>
              <w:textAlignment w:val="center"/>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144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要约收购股份申报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jc w:val="left"/>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要约收购业务申请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145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被收购公司董事会报告书</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146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要约收购期间提示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147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要约条件修改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要约收购业务申请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148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要约收购结果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149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要约收购股份清算</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要约收购股份临时保管通知(如适用)</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150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1314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豁免要约义务反馈意见及回复</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151</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14</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股权型再融资</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1401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与再融资有关的停牌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152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1402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再融资预案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153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1403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取消再融资</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154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1404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再融资预案补充</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155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1405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再融资预案修改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156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1406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再融资相关进展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noWrap/>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157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1407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发审委审核结果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158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1408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取得核准文件</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159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1409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非公开发行结果暨股份变动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其他股本结构变动申请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160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配股说明书摘要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384"/>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161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配股发行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1配股实施申请</w:t>
            </w:r>
            <w:r>
              <w:rPr>
                <w:rFonts w:ascii="仿宋_GB2312" w:eastAsia="仿宋_GB2312" w:hAnsi="宋体" w:cs="仿宋_GB2312" w:hint="eastAsia"/>
                <w:color w:val="000000"/>
                <w:kern w:val="0"/>
                <w:sz w:val="20"/>
                <w:szCs w:val="20"/>
              </w:rPr>
              <w:br/>
              <w:t>2停复牌业务申请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162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配股失败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配股失败申请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163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配股发行结果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164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公开增发招股说明书摘要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165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1415</w:t>
            </w:r>
          </w:p>
        </w:tc>
        <w:tc>
          <w:tcPr>
            <w:tcW w:w="1696"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公开增发发行</w:t>
            </w:r>
          </w:p>
        </w:tc>
        <w:tc>
          <w:tcPr>
            <w:tcW w:w="1009"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vMerge w:val="restart"/>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1定价增发股票发行申请</w:t>
            </w:r>
            <w:r>
              <w:rPr>
                <w:rFonts w:ascii="仿宋_GB2312" w:eastAsia="仿宋_GB2312" w:hAnsi="宋体" w:cs="仿宋_GB2312" w:hint="eastAsia"/>
                <w:color w:val="000000"/>
                <w:kern w:val="0"/>
                <w:sz w:val="20"/>
                <w:szCs w:val="20"/>
              </w:rPr>
              <w:br/>
              <w:t>2停复牌业务申请</w:t>
            </w:r>
          </w:p>
        </w:tc>
        <w:tc>
          <w:tcPr>
            <w:tcW w:w="747" w:type="dxa"/>
            <w:vMerge w:val="restart"/>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166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sz w:val="20"/>
                <w:szCs w:val="20"/>
              </w:rPr>
            </w:pPr>
          </w:p>
        </w:tc>
        <w:tc>
          <w:tcPr>
            <w:tcW w:w="1696"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1009"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1015" w:type="dxa"/>
            <w:vMerge/>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vMerge/>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167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公开增发网下发行结果及网上中签率</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增发新股价格及配售情况表</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168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增发中签结果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169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1445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超额配售选择权行使完成公告</w:t>
            </w:r>
          </w:p>
        </w:tc>
        <w:tc>
          <w:tcPr>
            <w:tcW w:w="1009" w:type="dxa"/>
            <w:shd w:val="clear" w:color="auto" w:fill="auto"/>
            <w:tcMar>
              <w:top w:w="15" w:type="dxa"/>
              <w:left w:w="15" w:type="dxa"/>
              <w:right w:w="15" w:type="dxa"/>
            </w:tcMar>
            <w:vAlign w:val="center"/>
          </w:tcPr>
          <w:p w:rsidR="00575D81" w:rsidRDefault="00B83B18">
            <w:pPr>
              <w:jc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jc w:val="left"/>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行使超额配售选择权申请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170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1450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H股及境外市场融资相关事项</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widowControl/>
              <w:jc w:val="left"/>
              <w:textAlignment w:val="center"/>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171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与再融资有关的其他事项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172</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15</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其他再融资</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1501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短期融资券融资相关公告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173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1505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中期票据融资相关公告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174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1509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拟发行公司债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175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1510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发行公司债获批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176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1511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信托产品融资</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177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1599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发行其他融资产品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178</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16</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重大资产重组</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进入重大资产重组程序停牌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179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重大资产重组停牌期延长</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180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取消重大资产重组并复牌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072"/>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181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许可类重大资产重组预案摘要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182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重大资产重组相关进展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072"/>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183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许可类重大资产重组报告书摘要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184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重组委审核</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185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重组委审核结果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186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重大资产重组核准</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187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重大资产重组未予核准</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44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188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重大资产重组实施情况报告书（含资产过户情况）</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0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189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涉及重大资产重组的发行结果暨股份变动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其他股本结构变动申请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190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重大资产重组终止</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072"/>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191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1614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非许可类重大资产重组预案摘要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4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192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1615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非许可类重大资产重组报告书摘要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193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1616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许可类重大资产重组反馈意见及回复</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0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194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1617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非许可类重大资产重组反馈意见及回复</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195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1618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筹划重大资产重组并不停牌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196</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17</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吸收合并</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进入吸收合并程序停牌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197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吸收合并停牌期延长</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198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取消吸收合并复牌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199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吸收合并预案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200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吸收合并相关进展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201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吸收合并报告书</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202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重组委审核</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203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重组委审核结果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204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吸收合并核准</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205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吸收合并未予核准</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206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现金选择权实施</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上市公司现金选择权申请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207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现金选择权申报提示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208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现金选择权申报结果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209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1714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现金选择权股份清算</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47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210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1715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换股实施结果、股份变动暨新增股份上市（合并方）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股票上市申请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47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211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1716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吸收合并实施情况报告书（含资产过户情况）</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212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1717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涉及吸收合并的发行结果暨股份变动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其他股本结构变动申请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213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1718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吸收合并终止</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214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1719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吸收合并反馈意见及回复</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215</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18</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回购股份</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1801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回购预案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216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1802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前10名公众股东名册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217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1803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回购方案经审核无异议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7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218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1804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回购报告书</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上市公司股份回购业务申请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219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1805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回购实施进展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220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1806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通知债权人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221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1807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期间过半仍未实施回购</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222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1808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回购实施结果暨股份变动（有股份注销）</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股份注销申请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223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1809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回购实施结果暨股份变动（无股份注销）</w:t>
            </w:r>
          </w:p>
        </w:tc>
        <w:tc>
          <w:tcPr>
            <w:tcW w:w="1009" w:type="dxa"/>
            <w:shd w:val="clear" w:color="auto" w:fill="auto"/>
            <w:tcMar>
              <w:top w:w="15" w:type="dxa"/>
              <w:left w:w="15" w:type="dxa"/>
              <w:right w:w="15" w:type="dxa"/>
            </w:tcMar>
            <w:vAlign w:val="center"/>
          </w:tcPr>
          <w:p w:rsidR="00575D81" w:rsidRDefault="00B83B18">
            <w:pPr>
              <w:jc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47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224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1810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已回购股份注销（回购完成后3年持有期内的注销）</w:t>
            </w:r>
          </w:p>
        </w:tc>
        <w:tc>
          <w:tcPr>
            <w:tcW w:w="1009" w:type="dxa"/>
            <w:shd w:val="clear" w:color="auto" w:fill="auto"/>
            <w:tcMar>
              <w:top w:w="15" w:type="dxa"/>
              <w:left w:w="15" w:type="dxa"/>
              <w:right w:w="15" w:type="dxa"/>
            </w:tcMar>
            <w:vAlign w:val="center"/>
          </w:tcPr>
          <w:p w:rsidR="00575D81" w:rsidRDefault="00B83B18">
            <w:pPr>
              <w:jc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jc w:val="left"/>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股份注销申请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225</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19</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可转换公司债</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可转债上市</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可转债上市申请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226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可转债开始转股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可转换公司债券转股申请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227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权益分派引起的转股价格调整提示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545"/>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228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转股价格调整（权益分派）</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1可转债转股价格调整申请</w:t>
            </w:r>
            <w:r>
              <w:rPr>
                <w:rFonts w:ascii="仿宋_GB2312" w:eastAsia="仿宋_GB2312" w:hAnsi="宋体" w:cs="仿宋_GB2312" w:hint="eastAsia"/>
                <w:color w:val="000000"/>
                <w:kern w:val="0"/>
                <w:sz w:val="20"/>
                <w:szCs w:val="20"/>
              </w:rPr>
              <w:br/>
              <w:t>2停复牌业务申请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545"/>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229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转股价格调整（修正条款）</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1可转债转股价格调整申请</w:t>
            </w:r>
            <w:r>
              <w:rPr>
                <w:rFonts w:ascii="仿宋_GB2312" w:eastAsia="仿宋_GB2312" w:hAnsi="宋体" w:cs="仿宋_GB2312" w:hint="eastAsia"/>
                <w:color w:val="000000"/>
                <w:kern w:val="0"/>
                <w:sz w:val="20"/>
                <w:szCs w:val="20"/>
              </w:rPr>
              <w:br/>
              <w:t>2停复牌业务申请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230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可转债付息</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*可转债兑息通知</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231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可转债赎回提示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4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232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可转债全额赎回暨摘牌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1*可转债赎回通知</w:t>
            </w:r>
          </w:p>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2.代码摘牌申请</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755"/>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233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可转债赎回/到期兑付结果暨股本变动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其他股本结构变动申请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234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可转债转股引起的股份变动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其他股本结构变动申请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235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可转债回售提示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236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可转债回售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1可转债回售申请</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 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237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可转债回售结果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可转债回售结果申请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2671"/>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238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1914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可转债停止交易</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239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1915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可转债到期摘牌提示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5"/>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240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1916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可转债到期兑付及摘牌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1*可转债兑付通知</w:t>
            </w:r>
          </w:p>
          <w:p w:rsidR="00575D81" w:rsidRDefault="00B83B18">
            <w:pPr>
              <w:widowControl/>
              <w:jc w:val="left"/>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2代码摘牌申请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241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1917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可转债强制转股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242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1918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可转债持有人会议召开通知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243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1919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可转债持有人会议决议</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244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1920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可转债评级结果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可转换信用评级调整申请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245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1921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可转债募集说明书摘要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246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1922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可转债发行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可转债发行申请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247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1923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可转债网上中签率及网下配售结果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可转债配售数量情况表</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248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1924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可转债中签结果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545"/>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249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1925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可转债发行结果</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可转债网上网下发行及放弃认购数量申请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250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1926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可转债中止发行</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可转债发行失败申请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251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与可转债有关的其它事项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252</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20</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公司债</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已停用</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已停用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b/>
                <w:color w:val="000000"/>
                <w:kern w:val="0"/>
                <w:sz w:val="20"/>
                <w:szCs w:val="20"/>
              </w:rPr>
              <w:t>253</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股权激励及员工持股计划</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股权激励计划草案摘要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254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股权激励计划草案摘要修订</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255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股权激励计划进展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256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股权激励计划终止</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257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股权激励计划股份回购开始</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0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258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股权激励回购股份变更性质</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无限售条件流通股证券类别变更申请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259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股权激励计划授予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260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限制性股票授予结果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其他股本结构变动申请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261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限制性股票解锁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股票上市申请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lastRenderedPageBreak/>
              <w:t>262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激励股份回购注销</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1股权激励限制性股票回购注销通知</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2其他股本结构变动通知</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263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股票期权开始行权</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股票期权行权通知</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755"/>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264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股票期权行权结果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1股票上市申请</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2其他股本结构变动申请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265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2114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股权激励计划实施完成</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266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2130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员工持股计划草案</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267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2131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员工持股计划完成股票购买</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268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2132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员工持股计划变更</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269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2133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员工持股计划终止</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270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2134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员工持股计划展期</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271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2135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员工持股计划完成</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272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2136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员工持股计划实施进展</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b/>
                <w:color w:val="000000"/>
                <w:kern w:val="0"/>
                <w:sz w:val="20"/>
                <w:szCs w:val="20"/>
              </w:rPr>
              <w:t>273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2199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与股权激励有关的其他事项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274</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22</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股权分置改革</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董事会公告股改方案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275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A股相关股东会议召开通知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276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股改方案获得国资部门批文</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30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277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股改沟通</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278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股改方案修订暨沟通结果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279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股改股东大会催告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280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A股相关股东大会催告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281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A股相关股东会议表决结果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282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A股相关股东会议延期</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283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A股相关股东会议取消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3085"/>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284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股改方案实施</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1股权分置改革实施申请</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2*股权分置改革现金对价登记通知</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3*股权分置改革股份对价通知</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285</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23</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诉讼和仲裁</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2301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诉讼</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286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2302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诉讼进展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287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2303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诉讼结果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288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2304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仲裁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289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2305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仲裁进展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290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2306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仲裁结果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291</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24</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股东股份被质押冻结或司法拍卖</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2401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股份被质押</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292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2402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股份被冻结</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293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2403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股份质押解除</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294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2404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股份冻结解除</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295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2405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股份被司法拍卖</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296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2406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股份司法拍卖进展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297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2408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5%以上股份权利受限或解除</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298</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25</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破产与重整</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申请重整、和解或破产清算</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299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撤回重整、和解或破产清算的申请</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300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法院受理</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1上市股票实施退市风险警示申请</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301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法院不予受理</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302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与破产程序相关的连续停牌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303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债权确认通知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304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召开债权人/出资人会议的通知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305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指定破产管理人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306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法院裁定重整、和解或破产清算</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0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307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重整、和解或破产清算实施的相关进展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0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308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法院裁定重整、和解或破产清算计划实施完成</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309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法院宣告破产</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310</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26</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其他重大事项</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重大亏损或重大损失</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311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发生重大债务或重大债权到期未获清偿</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312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或有重大违约责任或大额赔偿责任</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313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计提大额资产减值准备</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314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计提大额资产减值准备转回</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315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公司决定解散</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316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重大债权未提取足额坏账准备</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317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主要资产被查封、扣押、冻结或拍卖</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318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主要业务陷入停顿</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319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公司涉嫌违法违规被其他机构调查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320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重大行政、刑事处罚</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321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公司法定代表人或者总经理无法履行职责</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322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董监高被调查、处罚或被采取强制措施</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323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2614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公司被证监会立案调查</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324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2615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重要前期会计差错更正</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325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2616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生产经营、外部条件发生重大变化</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47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326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2618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公司获高新技术企业或公司产品获高新技术产品认证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327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2619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获得财政补贴</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328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2620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获得其他补贴</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329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2621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行业及经营风险的提示公告</w:t>
            </w:r>
          </w:p>
        </w:tc>
        <w:tc>
          <w:tcPr>
            <w:tcW w:w="1009" w:type="dxa"/>
            <w:shd w:val="clear" w:color="auto" w:fill="auto"/>
            <w:tcMar>
              <w:top w:w="15" w:type="dxa"/>
              <w:left w:w="15" w:type="dxa"/>
              <w:right w:w="15" w:type="dxa"/>
            </w:tcMar>
            <w:vAlign w:val="center"/>
          </w:tcPr>
          <w:p w:rsidR="00575D81" w:rsidRDefault="00B83B18">
            <w:pPr>
              <w:jc w:val="center"/>
              <w:rPr>
                <w:rFonts w:ascii="仿宋_GB2312" w:eastAsia="仿宋_GB2312" w:hAnsi="宋体" w:cs="仿宋_GB2312"/>
                <w:b/>
                <w:color w:val="000000"/>
                <w:sz w:val="20"/>
                <w:szCs w:val="20"/>
                <w:highlight w:val="yellow"/>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330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其他重大事项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noWrap/>
            <w:tcMar>
              <w:top w:w="15" w:type="dxa"/>
              <w:left w:w="15" w:type="dxa"/>
              <w:right w:w="15" w:type="dxa"/>
            </w:tcMar>
            <w:vAlign w:val="center"/>
          </w:tcPr>
          <w:p w:rsidR="00575D81" w:rsidRDefault="00575D81">
            <w:pPr>
              <w:jc w:val="left"/>
              <w:rPr>
                <w:rFonts w:ascii="仿宋_GB2312" w:eastAsia="仿宋_GB2312" w:hAnsi="宋体" w:cs="仿宋_GB2312"/>
                <w:color w:val="000000"/>
                <w:sz w:val="22"/>
                <w:szCs w:val="22"/>
              </w:rPr>
            </w:pPr>
          </w:p>
        </w:tc>
        <w:tc>
          <w:tcPr>
            <w:tcW w:w="747" w:type="dxa"/>
            <w:shd w:val="clear" w:color="auto" w:fill="auto"/>
            <w:noWrap/>
            <w:tcMar>
              <w:top w:w="15" w:type="dxa"/>
              <w:left w:w="15" w:type="dxa"/>
              <w:right w:w="15" w:type="dxa"/>
            </w:tcMar>
            <w:vAlign w:val="center"/>
          </w:tcPr>
          <w:p w:rsidR="00575D81" w:rsidRDefault="00575D81">
            <w:pPr>
              <w:rPr>
                <w:rFonts w:ascii="仿宋_GB2312" w:eastAsia="仿宋_GB2312" w:hAnsi="宋体" w:cs="仿宋_GB2312"/>
                <w:color w:val="000000"/>
                <w:sz w:val="22"/>
                <w:szCs w:val="22"/>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331</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27</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公司重要基本信息变化</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变更公司名称</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332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变更证券简称</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证券简称更名申请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333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变更证券代码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证券代码变更申请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334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变更注册资本</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335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变更注册地址</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6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336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主要办公地址和联系电话变更</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337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公司章程发生修订</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338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变更会计师事务所</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339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续聘会计师事务所</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340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变更会计政策或者会计估计</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341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变更保荐机构</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342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变更保荐代表人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343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公司董事长/法定代表人辞职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6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344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2714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公司董事、监事、高级管理人员（董事长和董秘除外）辞职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345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2715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董事会秘书辞职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346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其他应披露的基本信息变化</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857"/>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347</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28</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风险警示</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实施其他风险警示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1上市股票实施其他风险警示申请</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857"/>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348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实施退市风险警示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1上市股票实施退市风险警示申请</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349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申请撤销其他风险警示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350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申请撤销退市风险警示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3663"/>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351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撤销其他风险警示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1上市股票撤销其他风险警示申请</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2上市股票撤销其他风险警示及实施退市风险警示申请</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2887"/>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352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撤销退市风险警示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1上市股票撤销退市风险警示申请</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2上市股票撤销退市风险警示及实施其他风险警示通知</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353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撤销申请未获批准</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354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可能被实施退市风险警示的风险提示</w:t>
            </w:r>
          </w:p>
        </w:tc>
        <w:tc>
          <w:tcPr>
            <w:tcW w:w="1009" w:type="dxa"/>
            <w:shd w:val="clear" w:color="auto" w:fill="auto"/>
            <w:tcMar>
              <w:top w:w="15" w:type="dxa"/>
              <w:left w:w="15" w:type="dxa"/>
              <w:right w:w="15" w:type="dxa"/>
            </w:tcMar>
            <w:vAlign w:val="center"/>
          </w:tcPr>
          <w:p w:rsidR="00575D81" w:rsidRDefault="00B83B18">
            <w:pPr>
              <w:jc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355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与风险警示有关的其他事项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noWrap/>
            <w:tcMar>
              <w:top w:w="15" w:type="dxa"/>
              <w:left w:w="15" w:type="dxa"/>
              <w:right w:w="15" w:type="dxa"/>
            </w:tcMar>
            <w:vAlign w:val="center"/>
          </w:tcPr>
          <w:p w:rsidR="00575D81" w:rsidRDefault="00575D81">
            <w:pPr>
              <w:jc w:val="left"/>
              <w:rPr>
                <w:rFonts w:ascii="仿宋_GB2312" w:eastAsia="仿宋_GB2312" w:hAnsi="宋体" w:cs="仿宋_GB2312"/>
                <w:color w:val="000000"/>
                <w:sz w:val="22"/>
                <w:szCs w:val="22"/>
              </w:rPr>
            </w:pPr>
          </w:p>
        </w:tc>
        <w:tc>
          <w:tcPr>
            <w:tcW w:w="747" w:type="dxa"/>
            <w:shd w:val="clear" w:color="auto" w:fill="auto"/>
            <w:noWrap/>
            <w:tcMar>
              <w:top w:w="15" w:type="dxa"/>
              <w:left w:w="15" w:type="dxa"/>
              <w:right w:w="15" w:type="dxa"/>
            </w:tcMar>
            <w:vAlign w:val="center"/>
          </w:tcPr>
          <w:p w:rsidR="00575D81" w:rsidRDefault="00575D81">
            <w:pPr>
              <w:rPr>
                <w:rFonts w:ascii="仿宋_GB2312" w:eastAsia="仿宋_GB2312" w:hAnsi="宋体" w:cs="仿宋_GB2312"/>
                <w:color w:val="000000"/>
                <w:sz w:val="22"/>
                <w:szCs w:val="22"/>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356</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29</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暂停、恢复和终止上市</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暂停上市风险提示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357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因存在暂停上市风险而连续停牌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358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暂停上市公告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上市股票暂停上市申请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359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恢复上市工作进展</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360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终止上市风险提示</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361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终止上市公告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股票终止上市申请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362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申请恢复上市</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363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交易所受理恢复上市申请</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785"/>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364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恢复上市公告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1上市股票恢复上市申请</w:t>
            </w:r>
            <w:r>
              <w:rPr>
                <w:rFonts w:ascii="仿宋_GB2312" w:eastAsia="仿宋_GB2312" w:hAnsi="宋体" w:cs="仿宋_GB2312" w:hint="eastAsia"/>
                <w:color w:val="000000"/>
                <w:kern w:val="0"/>
                <w:sz w:val="20"/>
                <w:szCs w:val="20"/>
              </w:rPr>
              <w:br/>
              <w:t>2停复牌业务申请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365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进入退市整理期公告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1股票进入退市整理期交易申请</w:t>
            </w:r>
            <w:r>
              <w:rPr>
                <w:rFonts w:ascii="仿宋_GB2312" w:eastAsia="仿宋_GB2312" w:hAnsi="宋体" w:cs="仿宋_GB2312" w:hint="eastAsia"/>
                <w:color w:val="000000"/>
                <w:kern w:val="0"/>
                <w:sz w:val="20"/>
                <w:szCs w:val="20"/>
              </w:rPr>
              <w:br/>
              <w:t>2停复牌业务申请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366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退市整理期间提示公告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072"/>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367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终止退市整理期公告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1股票终止上市申请</w:t>
            </w:r>
            <w:r>
              <w:rPr>
                <w:rFonts w:ascii="仿宋_GB2312" w:eastAsia="仿宋_GB2312" w:hAnsi="宋体" w:cs="仿宋_GB2312" w:hint="eastAsia"/>
                <w:color w:val="000000"/>
                <w:kern w:val="0"/>
                <w:sz w:val="20"/>
                <w:szCs w:val="20"/>
              </w:rPr>
              <w:br/>
              <w:t>2停复牌业务申请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30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368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2913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重新上市</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0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369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与暂停、恢复和终止上市相关的其它事项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noWrap/>
            <w:tcMar>
              <w:top w:w="15" w:type="dxa"/>
              <w:left w:w="15" w:type="dxa"/>
              <w:right w:w="15" w:type="dxa"/>
            </w:tcMar>
            <w:vAlign w:val="center"/>
          </w:tcPr>
          <w:p w:rsidR="00575D81" w:rsidRDefault="00575D81">
            <w:pPr>
              <w:jc w:val="left"/>
              <w:rPr>
                <w:rFonts w:ascii="仿宋_GB2312" w:eastAsia="仿宋_GB2312" w:hAnsi="宋体" w:cs="仿宋_GB2312"/>
                <w:color w:val="000000"/>
                <w:sz w:val="22"/>
                <w:szCs w:val="22"/>
              </w:rPr>
            </w:pPr>
          </w:p>
        </w:tc>
        <w:tc>
          <w:tcPr>
            <w:tcW w:w="747" w:type="dxa"/>
            <w:shd w:val="clear" w:color="auto" w:fill="auto"/>
            <w:noWrap/>
            <w:tcMar>
              <w:top w:w="15" w:type="dxa"/>
              <w:left w:w="15" w:type="dxa"/>
              <w:right w:w="15" w:type="dxa"/>
            </w:tcMar>
            <w:vAlign w:val="center"/>
          </w:tcPr>
          <w:p w:rsidR="00575D81" w:rsidRDefault="00575D81">
            <w:pPr>
              <w:rPr>
                <w:rFonts w:ascii="仿宋_GB2312" w:eastAsia="仿宋_GB2312" w:hAnsi="宋体" w:cs="仿宋_GB2312"/>
                <w:color w:val="000000"/>
                <w:sz w:val="22"/>
                <w:szCs w:val="22"/>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370</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30</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补充更正公告</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定期报告的更正</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371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临时公告的更正</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372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定期报告的补充</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373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临时公告的补充</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374</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31</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规范运作</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征集委托投票权</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375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公司治理专项报告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376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收到监管部门函件及回复</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377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监管部门检查报告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378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按监管部门要求的整改报告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379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社会责任报告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380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独立董事述职报告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27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381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内控报告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382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内控审计报告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383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内控实施方案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384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投资者说明会</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385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3112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投资者关系管理</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386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3199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与规范运作有关的其他事项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387</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32</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中介机构报告</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3201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保荐机构报告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388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3205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财务顾问报告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27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389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3206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法律意见</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390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3207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审计或评估机构报告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391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3299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其他中介机构报告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392</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33</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停复牌提示性公告</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3301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停复牌提示性公告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停复牌业务申请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393</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34</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仅上网披露的文件/材料</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3401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股东大会会议资料</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394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3402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H股市场公告</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48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395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3403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XBRL实例文档</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396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3404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定期报告全文修订说明</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2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397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3499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其它仅上网披露的文件/材料</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398</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35</w:t>
            </w:r>
          </w:p>
        </w:tc>
        <w:tc>
          <w:tcPr>
            <w:tcW w:w="964" w:type="dxa"/>
            <w:vMerge w:val="restart"/>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优先股</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优先股发行预案</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b/>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399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3502</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优先股发行募集说明书</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b/>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lastRenderedPageBreak/>
              <w:t>400</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3503</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优先股发行情况报告书</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b/>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401</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3504</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非公开发行优先股挂牌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非公开发行优先股挂牌申请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99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402</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3505</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优先股公开发行</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公开发行优先股定价发行申请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123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403</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3506</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优先股公开发行网下发行结果及网上中签率</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公开发行优先股发行价格及配售情况申请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404</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3507</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优先股公开发行中签结果</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405</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3508</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优先股上市</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公开发行优先股上市申请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2043"/>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406</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3509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优先股股息分派</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B83B18">
            <w:pPr>
              <w:widowControl/>
              <w:jc w:val="left"/>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1优先股股息派发申请</w:t>
            </w:r>
          </w:p>
          <w:p w:rsidR="00575D81" w:rsidRDefault="00B83B1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2*非公开发行优先股红利派发通知</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407</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3510</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优先股赎回</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tcPr>
          <w:p w:rsidR="00575D81" w:rsidRDefault="00B83B18">
            <w:pPr>
              <w:widowControl/>
              <w:jc w:val="left"/>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优先股赎回申请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408</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3511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优先股回售</w:t>
            </w:r>
          </w:p>
        </w:tc>
        <w:tc>
          <w:tcPr>
            <w:tcW w:w="1009" w:type="dxa"/>
            <w:shd w:val="clear" w:color="auto" w:fill="auto"/>
            <w:tcMar>
              <w:top w:w="15" w:type="dxa"/>
              <w:left w:w="15" w:type="dxa"/>
              <w:right w:w="15" w:type="dxa"/>
            </w:tcMar>
          </w:tcPr>
          <w:p w:rsidR="00575D81" w:rsidRDefault="00B83B18">
            <w:pPr>
              <w:widowControl/>
              <w:jc w:val="center"/>
              <w:textAlignment w:val="top"/>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tcPr>
          <w:p w:rsidR="00575D81" w:rsidRDefault="00B83B18">
            <w:pPr>
              <w:widowControl/>
              <w:jc w:val="left"/>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优先股回售申请</w:t>
            </w: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75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409</w:t>
            </w: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vMerge/>
            <w:shd w:val="clear" w:color="auto" w:fill="auto"/>
            <w:tcMar>
              <w:top w:w="15" w:type="dxa"/>
              <w:left w:w="15" w:type="dxa"/>
              <w:right w:w="15" w:type="dxa"/>
            </w:tcMar>
            <w:vAlign w:val="center"/>
          </w:tcPr>
          <w:p w:rsidR="00575D81" w:rsidRDefault="00575D81">
            <w:pPr>
              <w:jc w:val="center"/>
              <w:rPr>
                <w:rFonts w:ascii="仿宋_GB2312" w:eastAsia="仿宋_GB2312" w:hAnsi="宋体" w:cs="仿宋_GB2312"/>
                <w:b/>
                <w:color w:val="000000"/>
                <w:sz w:val="20"/>
                <w:szCs w:val="20"/>
              </w:rPr>
            </w:pP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Cs/>
                <w:color w:val="000000"/>
                <w:sz w:val="20"/>
                <w:szCs w:val="20"/>
              </w:rPr>
            </w:pPr>
            <w:r>
              <w:rPr>
                <w:rFonts w:ascii="仿宋_GB2312" w:eastAsia="仿宋_GB2312" w:hAnsi="宋体" w:cs="仿宋_GB2312" w:hint="eastAsia"/>
                <w:bCs/>
                <w:color w:val="000000"/>
                <w:kern w:val="0"/>
                <w:sz w:val="20"/>
                <w:szCs w:val="20"/>
              </w:rPr>
              <w:t>3599</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与优先股有关的其他事项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bookmarkStart w:id="0" w:name="_GoBack"/>
            <w:bookmarkEnd w:id="0"/>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b/>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r w:rsidR="00575D81">
        <w:trPr>
          <w:trHeight w:val="510"/>
        </w:trPr>
        <w:tc>
          <w:tcPr>
            <w:tcW w:w="96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hint="eastAsia"/>
                <w:b/>
                <w:color w:val="000000"/>
                <w:kern w:val="0"/>
                <w:sz w:val="20"/>
                <w:szCs w:val="20"/>
              </w:rPr>
              <w:t>410</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99</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其他披露事项</w:t>
            </w:r>
          </w:p>
        </w:tc>
        <w:tc>
          <w:tcPr>
            <w:tcW w:w="964"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9901</w:t>
            </w:r>
          </w:p>
        </w:tc>
        <w:tc>
          <w:tcPr>
            <w:tcW w:w="1696"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其他披露事项</w:t>
            </w:r>
          </w:p>
        </w:tc>
        <w:tc>
          <w:tcPr>
            <w:tcW w:w="1009" w:type="dxa"/>
            <w:shd w:val="clear" w:color="auto" w:fill="auto"/>
            <w:tcMar>
              <w:top w:w="15" w:type="dxa"/>
              <w:left w:w="15" w:type="dxa"/>
              <w:right w:w="15" w:type="dxa"/>
            </w:tcMar>
            <w:vAlign w:val="center"/>
          </w:tcPr>
          <w:p w:rsidR="00575D81" w:rsidRDefault="00B83B1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w:t>
            </w:r>
          </w:p>
        </w:tc>
        <w:tc>
          <w:tcPr>
            <w:tcW w:w="1015"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c>
          <w:tcPr>
            <w:tcW w:w="747" w:type="dxa"/>
            <w:shd w:val="clear" w:color="auto" w:fill="auto"/>
            <w:tcMar>
              <w:top w:w="15" w:type="dxa"/>
              <w:left w:w="15" w:type="dxa"/>
              <w:right w:w="15" w:type="dxa"/>
            </w:tcMar>
            <w:vAlign w:val="center"/>
          </w:tcPr>
          <w:p w:rsidR="00575D81" w:rsidRDefault="00575D81">
            <w:pPr>
              <w:jc w:val="left"/>
              <w:rPr>
                <w:rFonts w:ascii="仿宋_GB2312" w:eastAsia="仿宋_GB2312" w:hAnsi="宋体" w:cs="仿宋_GB2312"/>
                <w:color w:val="000000"/>
                <w:sz w:val="20"/>
                <w:szCs w:val="20"/>
              </w:rPr>
            </w:pPr>
          </w:p>
        </w:tc>
      </w:tr>
    </w:tbl>
    <w:p w:rsidR="00575D81" w:rsidRDefault="00575D81">
      <w:pPr>
        <w:rPr>
          <w:rFonts w:ascii="仿宋_GB2312" w:eastAsia="仿宋_GB2312"/>
          <w:sz w:val="28"/>
          <w:szCs w:val="28"/>
        </w:rPr>
      </w:pPr>
    </w:p>
    <w:p w:rsidR="00575D81" w:rsidRDefault="00B83B18">
      <w:pPr>
        <w:widowControl/>
        <w:jc w:val="left"/>
        <w:rPr>
          <w:rFonts w:ascii="仿宋_GB2312" w:eastAsia="仿宋_GB2312"/>
          <w:sz w:val="28"/>
          <w:szCs w:val="28"/>
        </w:rPr>
      </w:pPr>
      <w:r>
        <w:rPr>
          <w:rFonts w:ascii="仿宋_GB2312" w:eastAsia="仿宋_GB2312"/>
          <w:sz w:val="28"/>
          <w:szCs w:val="28"/>
        </w:rPr>
        <w:br w:type="page"/>
      </w:r>
    </w:p>
    <w:p w:rsidR="00575D81" w:rsidRDefault="00B83B18">
      <w:pPr>
        <w:spacing w:line="600" w:lineRule="exact"/>
        <w:rPr>
          <w:rFonts w:ascii="宋体" w:eastAsia="仿宋_GB2312" w:hAnsi="宋体"/>
          <w:b/>
          <w:sz w:val="28"/>
          <w:szCs w:val="28"/>
        </w:rPr>
      </w:pPr>
      <w:r>
        <w:rPr>
          <w:rFonts w:ascii="仿宋_GB2312" w:eastAsia="仿宋_GB2312" w:hAnsi="宋体" w:hint="eastAsia"/>
          <w:b/>
          <w:sz w:val="28"/>
          <w:szCs w:val="28"/>
        </w:rPr>
        <w:lastRenderedPageBreak/>
        <w:t>附件2：</w:t>
      </w:r>
    </w:p>
    <w:p w:rsidR="00575D81" w:rsidRPr="0028167D" w:rsidRDefault="00611514" w:rsidP="0028167D">
      <w:pPr>
        <w:spacing w:line="600" w:lineRule="exact"/>
        <w:jc w:val="center"/>
        <w:rPr>
          <w:rFonts w:ascii="仿宋_GB2312" w:eastAsia="仿宋_GB2312" w:hAnsi="宋体"/>
          <w:sz w:val="28"/>
          <w:szCs w:val="28"/>
        </w:rPr>
      </w:pPr>
      <w:r w:rsidRPr="00611514">
        <w:rPr>
          <w:rFonts w:ascii="仿宋_GB2312" w:eastAsia="仿宋_GB2312" w:hAnsi="宋体" w:hint="eastAsia"/>
          <w:sz w:val="28"/>
          <w:szCs w:val="28"/>
        </w:rPr>
        <w:t>上市公司公告电子文件编制规范</w:t>
      </w:r>
    </w:p>
    <w:p w:rsidR="00611514" w:rsidRDefault="00B83B18">
      <w:pPr>
        <w:spacing w:line="600" w:lineRule="exact"/>
        <w:ind w:firstLine="562"/>
        <w:rPr>
          <w:rFonts w:ascii="仿宋_GB2312" w:eastAsia="仿宋_GB2312" w:hAnsi="宋体"/>
          <w:b/>
          <w:sz w:val="28"/>
          <w:szCs w:val="28"/>
        </w:rPr>
      </w:pPr>
      <w:r>
        <w:rPr>
          <w:rFonts w:ascii="仿宋_GB2312" w:eastAsia="仿宋_GB2312" w:hAnsi="宋体" w:hint="eastAsia"/>
          <w:b/>
          <w:sz w:val="28"/>
          <w:szCs w:val="28"/>
        </w:rPr>
        <w:t>一、临时公告</w:t>
      </w:r>
    </w:p>
    <w:p w:rsidR="00611514" w:rsidRDefault="00B83B18">
      <w:pPr>
        <w:spacing w:line="600" w:lineRule="exact"/>
        <w:ind w:firstLine="560"/>
        <w:rPr>
          <w:rFonts w:ascii="仿宋_GB2312" w:eastAsia="仿宋_GB2312" w:hAnsi="宋体"/>
          <w:sz w:val="28"/>
          <w:szCs w:val="28"/>
        </w:rPr>
      </w:pPr>
      <w:r>
        <w:rPr>
          <w:rFonts w:ascii="仿宋_GB2312" w:eastAsia="仿宋_GB2312" w:hAnsi="宋体" w:hint="eastAsia"/>
          <w:sz w:val="28"/>
          <w:szCs w:val="28"/>
        </w:rPr>
        <w:t>1、公告标题</w:t>
      </w:r>
    </w:p>
    <w:p w:rsidR="00611514" w:rsidRDefault="00B83B18">
      <w:pPr>
        <w:spacing w:line="600" w:lineRule="exact"/>
        <w:ind w:firstLine="560"/>
        <w:rPr>
          <w:rFonts w:ascii="仿宋_GB2312" w:eastAsia="仿宋_GB2312" w:hAnsi="宋体"/>
          <w:sz w:val="28"/>
          <w:szCs w:val="28"/>
        </w:rPr>
      </w:pPr>
      <w:r>
        <w:rPr>
          <w:rFonts w:ascii="仿宋_GB2312" w:eastAsia="仿宋_GB2312" w:hAnsi="宋体" w:hint="eastAsia"/>
          <w:sz w:val="28"/>
          <w:szCs w:val="28"/>
        </w:rPr>
        <w:t>标题居中，字体选择黑体、加粗，建议字体大小为小二号或二号；同时应注意标题上方的证券代码、证券简称准确无误，公告编号保持连续。</w:t>
      </w:r>
    </w:p>
    <w:p w:rsidR="00611514" w:rsidRDefault="00B83B18">
      <w:pPr>
        <w:spacing w:line="600" w:lineRule="exact"/>
        <w:ind w:firstLine="560"/>
        <w:rPr>
          <w:rFonts w:ascii="仿宋_GB2312" w:eastAsia="仿宋_GB2312" w:hAnsi="宋体"/>
          <w:sz w:val="28"/>
          <w:szCs w:val="28"/>
        </w:rPr>
      </w:pPr>
      <w:r>
        <w:rPr>
          <w:rFonts w:ascii="仿宋_GB2312" w:eastAsia="仿宋_GB2312" w:hAnsi="宋体" w:hint="eastAsia"/>
          <w:sz w:val="28"/>
          <w:szCs w:val="28"/>
        </w:rPr>
        <w:t>2、公告正文</w:t>
      </w:r>
    </w:p>
    <w:p w:rsidR="00611514" w:rsidRDefault="00B83B18">
      <w:pPr>
        <w:spacing w:line="600" w:lineRule="exact"/>
        <w:ind w:firstLine="560"/>
        <w:rPr>
          <w:rFonts w:ascii="仿宋_GB2312" w:eastAsia="仿宋_GB2312" w:hAnsi="宋体"/>
          <w:sz w:val="28"/>
          <w:szCs w:val="28"/>
        </w:rPr>
      </w:pPr>
      <w:r>
        <w:rPr>
          <w:rFonts w:ascii="仿宋_GB2312" w:eastAsia="仿宋_GB2312" w:hAnsi="宋体" w:hint="eastAsia"/>
          <w:sz w:val="28"/>
          <w:szCs w:val="28"/>
        </w:rPr>
        <w:t>正文颜色为黑色，字体选择宋体，字体大小为小四号或四号；上传的公告文件必须为最终状态，不可留有修订痕迹。</w:t>
      </w:r>
    </w:p>
    <w:p w:rsidR="00611514" w:rsidRDefault="00B83B18">
      <w:pPr>
        <w:spacing w:line="600" w:lineRule="exact"/>
        <w:ind w:firstLine="560"/>
        <w:rPr>
          <w:rFonts w:ascii="仿宋_GB2312" w:eastAsia="仿宋_GB2312" w:hAnsi="宋体"/>
          <w:sz w:val="28"/>
          <w:szCs w:val="28"/>
        </w:rPr>
      </w:pPr>
      <w:r>
        <w:rPr>
          <w:rFonts w:ascii="仿宋_GB2312" w:eastAsia="仿宋_GB2312" w:hAnsi="宋体" w:hint="eastAsia"/>
          <w:sz w:val="28"/>
          <w:szCs w:val="28"/>
        </w:rPr>
        <w:t>3、公告格式</w:t>
      </w:r>
    </w:p>
    <w:p w:rsidR="00611514" w:rsidRDefault="00B83B18">
      <w:pPr>
        <w:spacing w:line="600" w:lineRule="exact"/>
        <w:ind w:firstLine="560"/>
        <w:rPr>
          <w:rFonts w:ascii="仿宋_GB2312" w:eastAsia="仿宋_GB2312" w:hAnsi="宋体"/>
          <w:sz w:val="28"/>
          <w:szCs w:val="28"/>
        </w:rPr>
      </w:pPr>
      <w:r>
        <w:rPr>
          <w:rFonts w:ascii="仿宋_GB2312" w:eastAsia="仿宋_GB2312" w:hAnsi="宋体" w:hint="eastAsia"/>
          <w:sz w:val="28"/>
          <w:szCs w:val="28"/>
        </w:rPr>
        <w:t>公司公告应主要采用WORD格式，中介机构报告格式仅限于WORD、PDF、TIF和XBRL格式，若有EXCEL格式表格或其他图片格式请粘贴进WORD文档或转换成WORD、PDF格式，不可直接上传EXCEL表格，不可上传影像文件以及WPS、PPT等格式的文件。</w:t>
      </w:r>
    </w:p>
    <w:p w:rsidR="00611514" w:rsidRDefault="00B83B18">
      <w:pPr>
        <w:spacing w:line="600" w:lineRule="exact"/>
        <w:ind w:firstLine="560"/>
        <w:rPr>
          <w:rFonts w:ascii="仿宋_GB2312" w:eastAsia="仿宋_GB2312" w:hAnsi="宋体"/>
          <w:sz w:val="28"/>
          <w:szCs w:val="28"/>
        </w:rPr>
      </w:pPr>
      <w:r>
        <w:rPr>
          <w:rFonts w:ascii="仿宋_GB2312" w:eastAsia="仿宋_GB2312" w:hAnsi="宋体" w:hint="eastAsia"/>
          <w:sz w:val="28"/>
          <w:szCs w:val="28"/>
        </w:rPr>
        <w:t>4、其他</w:t>
      </w:r>
    </w:p>
    <w:p w:rsidR="00611514" w:rsidRDefault="00B83B18">
      <w:pPr>
        <w:spacing w:line="600" w:lineRule="exact"/>
        <w:ind w:firstLine="560"/>
        <w:rPr>
          <w:rFonts w:ascii="仿宋_GB2312" w:eastAsia="仿宋_GB2312" w:hAnsi="宋体"/>
          <w:sz w:val="28"/>
          <w:szCs w:val="28"/>
        </w:rPr>
      </w:pPr>
      <w:r>
        <w:rPr>
          <w:rFonts w:ascii="仿宋_GB2312" w:eastAsia="仿宋_GB2312" w:hAnsi="宋体" w:hint="eastAsia"/>
          <w:sz w:val="28"/>
          <w:szCs w:val="28"/>
        </w:rPr>
        <w:t>公告标题中召开会议的届次和正文的届次表述统一；避免标题中的错别字及文中的年份/日期等错误；注意公告最后落款时间的正确。</w:t>
      </w:r>
    </w:p>
    <w:p w:rsidR="00611514" w:rsidRDefault="00B83B18">
      <w:pPr>
        <w:spacing w:line="600" w:lineRule="exact"/>
        <w:ind w:firstLine="562"/>
        <w:rPr>
          <w:rFonts w:ascii="仿宋_GB2312" w:eastAsia="仿宋_GB2312" w:hAnsi="宋体"/>
          <w:b/>
          <w:sz w:val="28"/>
          <w:szCs w:val="28"/>
        </w:rPr>
      </w:pPr>
      <w:r>
        <w:rPr>
          <w:rFonts w:ascii="仿宋_GB2312" w:eastAsia="仿宋_GB2312" w:hAnsi="宋体" w:hint="eastAsia"/>
          <w:b/>
          <w:sz w:val="28"/>
          <w:szCs w:val="28"/>
        </w:rPr>
        <w:t>二、定期报告</w:t>
      </w:r>
    </w:p>
    <w:p w:rsidR="00611514" w:rsidRDefault="00B83B18">
      <w:pPr>
        <w:spacing w:line="600" w:lineRule="exact"/>
        <w:ind w:firstLine="560"/>
        <w:rPr>
          <w:rFonts w:ascii="仿宋_GB2312" w:eastAsia="仿宋_GB2312" w:hAnsi="宋体"/>
          <w:sz w:val="28"/>
          <w:szCs w:val="28"/>
        </w:rPr>
      </w:pPr>
      <w:r>
        <w:rPr>
          <w:rFonts w:ascii="仿宋_GB2312" w:eastAsia="仿宋_GB2312" w:hAnsi="宋体" w:hint="eastAsia"/>
          <w:sz w:val="28"/>
          <w:szCs w:val="28"/>
        </w:rPr>
        <w:t>定期报告正文中插入的表格较多，应注意每张表格在页面中完整显示，不应超出页边距范围，表格中的数字应避免换行。</w:t>
      </w:r>
    </w:p>
    <w:p w:rsidR="00611514" w:rsidRDefault="00B83B18">
      <w:pPr>
        <w:spacing w:line="600" w:lineRule="exact"/>
        <w:ind w:firstLine="562"/>
        <w:rPr>
          <w:rFonts w:ascii="仿宋_GB2312" w:eastAsia="仿宋_GB2312" w:hAnsi="宋体"/>
          <w:b/>
          <w:sz w:val="28"/>
          <w:szCs w:val="28"/>
        </w:rPr>
      </w:pPr>
      <w:r>
        <w:rPr>
          <w:rFonts w:ascii="仿宋_GB2312" w:eastAsia="仿宋_GB2312" w:hAnsi="宋体" w:hint="eastAsia"/>
          <w:b/>
          <w:sz w:val="28"/>
          <w:szCs w:val="28"/>
        </w:rPr>
        <w:t>三、其他注意事项</w:t>
      </w:r>
    </w:p>
    <w:p w:rsidR="00611514" w:rsidRDefault="00B83B18">
      <w:pPr>
        <w:spacing w:line="600" w:lineRule="exact"/>
        <w:ind w:firstLine="560"/>
        <w:rPr>
          <w:rFonts w:ascii="仿宋_GB2312" w:eastAsia="仿宋_GB2312" w:hAnsi="宋体"/>
          <w:sz w:val="28"/>
          <w:szCs w:val="28"/>
        </w:rPr>
      </w:pPr>
      <w:r>
        <w:rPr>
          <w:rFonts w:ascii="仿宋_GB2312" w:eastAsia="仿宋_GB2312" w:hAnsi="宋体" w:hint="eastAsia"/>
          <w:sz w:val="28"/>
          <w:szCs w:val="28"/>
        </w:rPr>
        <w:t>1、整个公告中不应出现空白页，不可有超链接字符。</w:t>
      </w:r>
    </w:p>
    <w:p w:rsidR="00611514" w:rsidRDefault="00B83B18">
      <w:pPr>
        <w:spacing w:line="600" w:lineRule="exact"/>
        <w:ind w:firstLine="560"/>
        <w:rPr>
          <w:rFonts w:ascii="仿宋_GB2312" w:eastAsia="仿宋_GB2312"/>
          <w:sz w:val="28"/>
          <w:szCs w:val="28"/>
        </w:rPr>
      </w:pPr>
      <w:r>
        <w:rPr>
          <w:rFonts w:ascii="仿宋_GB2312" w:eastAsia="仿宋_GB2312" w:hAnsi="宋体" w:hint="eastAsia"/>
          <w:sz w:val="28"/>
          <w:szCs w:val="28"/>
        </w:rPr>
        <w:lastRenderedPageBreak/>
        <w:t>2、公司治理文件（例如股东大会、董事会及监事会议事规则、董事会专门委员会工作细则等），如无需股东大会审议的，应与董事会决议公告同时提交；如需股东大会审议的，在提交董事会决议时无需单独提交（应写入股东大会会议资料中），待股东大会通过后再提交最终版。</w:t>
      </w:r>
    </w:p>
    <w:p w:rsidR="00611514" w:rsidRDefault="00611514" w:rsidP="00611514">
      <w:pPr>
        <w:spacing w:line="600" w:lineRule="exact"/>
        <w:ind w:firstLineChars="200" w:firstLine="560"/>
        <w:rPr>
          <w:rFonts w:ascii="仿宋_GB2312" w:eastAsia="仿宋_GB2312"/>
          <w:sz w:val="28"/>
          <w:szCs w:val="28"/>
        </w:rPr>
      </w:pPr>
    </w:p>
    <w:p w:rsidR="00575D81" w:rsidRDefault="00575D81">
      <w:pPr>
        <w:widowControl/>
        <w:jc w:val="left"/>
      </w:pPr>
    </w:p>
    <w:sectPr w:rsidR="00575D81" w:rsidSect="00575D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3AC" w:rsidRDefault="009E53AC" w:rsidP="0028167D">
      <w:r>
        <w:separator/>
      </w:r>
    </w:p>
  </w:endnote>
  <w:endnote w:type="continuationSeparator" w:id="0">
    <w:p w:rsidR="009E53AC" w:rsidRDefault="009E53AC" w:rsidP="00281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13485"/>
      <w:docPartObj>
        <w:docPartGallery w:val="Page Numbers (Bottom of Page)"/>
        <w:docPartUnique/>
      </w:docPartObj>
    </w:sdtPr>
    <w:sdtContent>
      <w:p w:rsidR="00730B89" w:rsidRDefault="00E17FBC" w:rsidP="00730B89">
        <w:pPr>
          <w:pStyle w:val="a5"/>
          <w:jc w:val="center"/>
        </w:pPr>
        <w:fldSimple w:instr=" PAGE   \* MERGEFORMAT ">
          <w:r w:rsidR="00274D4F" w:rsidRPr="00274D4F">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3AC" w:rsidRDefault="009E53AC" w:rsidP="0028167D">
      <w:r>
        <w:separator/>
      </w:r>
    </w:p>
  </w:footnote>
  <w:footnote w:type="continuationSeparator" w:id="0">
    <w:p w:rsidR="009E53AC" w:rsidRDefault="009E53AC" w:rsidP="0028167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yhan">
    <w15:presenceInfo w15:providerId="None" w15:userId="wy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9B479C"/>
    <w:rsid w:val="00032428"/>
    <w:rsid w:val="000343D6"/>
    <w:rsid w:val="000A51EA"/>
    <w:rsid w:val="00146177"/>
    <w:rsid w:val="00160F01"/>
    <w:rsid w:val="002015B3"/>
    <w:rsid w:val="00274D4F"/>
    <w:rsid w:val="0028167D"/>
    <w:rsid w:val="00297A57"/>
    <w:rsid w:val="002E5EB2"/>
    <w:rsid w:val="003617E0"/>
    <w:rsid w:val="003C6DD4"/>
    <w:rsid w:val="00575D81"/>
    <w:rsid w:val="00611514"/>
    <w:rsid w:val="00646964"/>
    <w:rsid w:val="006A4149"/>
    <w:rsid w:val="00730B89"/>
    <w:rsid w:val="00916428"/>
    <w:rsid w:val="00977AC4"/>
    <w:rsid w:val="009A7125"/>
    <w:rsid w:val="009E53AC"/>
    <w:rsid w:val="00B04B3C"/>
    <w:rsid w:val="00B83B18"/>
    <w:rsid w:val="00C23E05"/>
    <w:rsid w:val="00CA2CA8"/>
    <w:rsid w:val="00D074F8"/>
    <w:rsid w:val="00D4185F"/>
    <w:rsid w:val="00E17FBC"/>
    <w:rsid w:val="00E33770"/>
    <w:rsid w:val="00E902E9"/>
    <w:rsid w:val="00E92635"/>
    <w:rsid w:val="00F927EF"/>
    <w:rsid w:val="03A539A0"/>
    <w:rsid w:val="08D23791"/>
    <w:rsid w:val="1A9B479C"/>
    <w:rsid w:val="2BA34462"/>
    <w:rsid w:val="3FEE3B61"/>
    <w:rsid w:val="6E6C088A"/>
    <w:rsid w:val="744B6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qFormat="1"/>
    <w:lsdException w:name="footer" w:uiPriority="99" w:qFormat="1"/>
    <w:lsdException w:name="caption" w:semiHidden="1" w:unhideWhenUsed="1" w:qFormat="1"/>
    <w:lsdException w:name="annotation reference"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D8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rsid w:val="00575D81"/>
    <w:pPr>
      <w:jc w:val="left"/>
    </w:pPr>
    <w:rPr>
      <w:rFonts w:ascii="Calibri" w:hAnsi="Calibri"/>
      <w:szCs w:val="22"/>
    </w:rPr>
  </w:style>
  <w:style w:type="paragraph" w:styleId="a4">
    <w:name w:val="Balloon Text"/>
    <w:basedOn w:val="a"/>
    <w:link w:val="Char"/>
    <w:qFormat/>
    <w:rsid w:val="00575D81"/>
    <w:rPr>
      <w:sz w:val="18"/>
      <w:szCs w:val="18"/>
    </w:rPr>
  </w:style>
  <w:style w:type="paragraph" w:styleId="a5">
    <w:name w:val="footer"/>
    <w:basedOn w:val="a"/>
    <w:link w:val="Char0"/>
    <w:uiPriority w:val="99"/>
    <w:qFormat/>
    <w:rsid w:val="00575D81"/>
    <w:pPr>
      <w:tabs>
        <w:tab w:val="center" w:pos="4153"/>
        <w:tab w:val="right" w:pos="8306"/>
      </w:tabs>
      <w:snapToGrid w:val="0"/>
      <w:jc w:val="left"/>
    </w:pPr>
    <w:rPr>
      <w:sz w:val="18"/>
      <w:szCs w:val="18"/>
    </w:rPr>
  </w:style>
  <w:style w:type="paragraph" w:styleId="a6">
    <w:name w:val="header"/>
    <w:basedOn w:val="a"/>
    <w:link w:val="Char1"/>
    <w:qFormat/>
    <w:rsid w:val="00575D81"/>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nhideWhenUsed/>
    <w:qFormat/>
    <w:rsid w:val="00575D81"/>
    <w:rPr>
      <w:sz w:val="21"/>
      <w:szCs w:val="21"/>
    </w:rPr>
  </w:style>
  <w:style w:type="character" w:customStyle="1" w:styleId="Char1">
    <w:name w:val="页眉 Char"/>
    <w:basedOn w:val="a0"/>
    <w:link w:val="a6"/>
    <w:qFormat/>
    <w:rsid w:val="00575D81"/>
    <w:rPr>
      <w:rFonts w:ascii="Times New Roman" w:eastAsia="宋体" w:hAnsi="Times New Roman" w:cs="Times New Roman"/>
      <w:kern w:val="2"/>
      <w:sz w:val="18"/>
      <w:szCs w:val="18"/>
    </w:rPr>
  </w:style>
  <w:style w:type="character" w:customStyle="1" w:styleId="Char0">
    <w:name w:val="页脚 Char"/>
    <w:basedOn w:val="a0"/>
    <w:link w:val="a5"/>
    <w:uiPriority w:val="99"/>
    <w:qFormat/>
    <w:rsid w:val="00575D81"/>
    <w:rPr>
      <w:rFonts w:ascii="Times New Roman" w:eastAsia="宋体" w:hAnsi="Times New Roman" w:cs="Times New Roman"/>
      <w:kern w:val="2"/>
      <w:sz w:val="18"/>
      <w:szCs w:val="18"/>
    </w:rPr>
  </w:style>
  <w:style w:type="character" w:customStyle="1" w:styleId="Char">
    <w:name w:val="批注框文本 Char"/>
    <w:basedOn w:val="a0"/>
    <w:link w:val="a4"/>
    <w:qFormat/>
    <w:rsid w:val="00575D8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2389</Words>
  <Characters>13623</Characters>
  <Application>Microsoft Office Word</Application>
  <DocSecurity>0</DocSecurity>
  <Lines>113</Lines>
  <Paragraphs>31</Paragraphs>
  <ScaleCrop>false</ScaleCrop>
  <LinksUpToDate>false</LinksUpToDate>
  <CharactersWithSpaces>15981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2021-11-25T01:38:00Z</dcterms:created>
  <dcterms:modified xsi:type="dcterms:W3CDTF">2022-01-05T05:52:00Z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460D9CD7890541E580C40F2904921536</vt:lpwstr>
  </property>
</Properties>
</file>