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adjustRightInd w:val="0"/>
        <w:snapToGrid w:val="0"/>
        <w:spacing w:after="468" w:afterLines="150"/>
        <w:ind w:firstLine="0"/>
        <w:jc w:val="center"/>
        <w:rPr>
          <w:rFonts w:ascii="仿宋" w:hAnsi="仿宋" w:eastAsia="仿宋" w:cs="仿宋"/>
          <w:b/>
          <w:bCs/>
          <w:sz w:val="40"/>
          <w:szCs w:val="40"/>
        </w:rPr>
      </w:pPr>
      <w:r>
        <w:rPr>
          <w:rFonts w:hint="eastAsia" w:ascii="仿宋" w:hAnsi="仿宋" w:eastAsia="仿宋" w:cs="仿宋"/>
          <w:b/>
          <w:bCs/>
          <w:sz w:val="40"/>
          <w:szCs w:val="40"/>
        </w:rPr>
        <w:t>南通市殡仪馆紫砂火化骨灰盒代销采购项目</w:t>
      </w:r>
    </w:p>
    <w:p>
      <w:pPr>
        <w:tabs>
          <w:tab w:val="left" w:pos="1050"/>
          <w:tab w:val="right" w:leader="dot" w:pos="9402"/>
        </w:tabs>
        <w:spacing w:line="360" w:lineRule="auto"/>
        <w:jc w:val="center"/>
        <w:rPr>
          <w:rFonts w:ascii="仿宋" w:hAnsi="仿宋" w:eastAsia="仿宋" w:cs="仿宋"/>
          <w:b/>
          <w:bCs/>
          <w:w w:val="80"/>
          <w:sz w:val="52"/>
          <w:szCs w:val="52"/>
        </w:rPr>
      </w:pPr>
    </w:p>
    <w:p>
      <w:pPr>
        <w:jc w:val="center"/>
        <w:rPr>
          <w:rFonts w:ascii="仿宋" w:hAnsi="仿宋" w:eastAsia="仿宋" w:cs="仿宋"/>
          <w:b/>
          <w:w w:val="80"/>
          <w:sz w:val="52"/>
          <w:szCs w:val="52"/>
        </w:rPr>
      </w:pPr>
      <w:r>
        <w:rPr>
          <w:rFonts w:hint="eastAsia" w:ascii="仿宋" w:hAnsi="仿宋" w:eastAsia="仿宋" w:cs="仿宋"/>
          <w:b/>
          <w:w w:val="80"/>
          <w:sz w:val="52"/>
          <w:szCs w:val="52"/>
        </w:rPr>
        <w:t>竞争性磋商采购文件（第三次）</w:t>
      </w:r>
    </w:p>
    <w:p>
      <w:pPr>
        <w:tabs>
          <w:tab w:val="left" w:pos="1050"/>
          <w:tab w:val="right" w:leader="dot" w:pos="9402"/>
        </w:tabs>
        <w:jc w:val="center"/>
        <w:rPr>
          <w:rFonts w:ascii="仿宋" w:hAnsi="仿宋" w:eastAsia="仿宋" w:cs="仿宋"/>
          <w:bCs/>
          <w:w w:val="80"/>
          <w:sz w:val="36"/>
          <w:szCs w:val="36"/>
        </w:rPr>
      </w:pPr>
      <w:r>
        <w:rPr>
          <w:rFonts w:hint="eastAsia" w:ascii="仿宋" w:hAnsi="仿宋" w:eastAsia="仿宋" w:cs="仿宋"/>
          <w:bCs/>
          <w:w w:val="80"/>
          <w:sz w:val="36"/>
          <w:szCs w:val="36"/>
        </w:rPr>
        <w:t>项目编码：ZRNT20220025</w:t>
      </w: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adjustRightInd w:val="0"/>
        <w:snapToGrid w:val="0"/>
        <w:spacing w:line="360" w:lineRule="auto"/>
        <w:jc w:val="center"/>
        <w:rPr>
          <w:rFonts w:ascii="仿宋" w:hAnsi="仿宋" w:eastAsia="仿宋" w:cs="仿宋"/>
          <w:bCs/>
          <w:w w:val="80"/>
          <w:sz w:val="36"/>
          <w:szCs w:val="36"/>
        </w:rPr>
      </w:pPr>
      <w:r>
        <w:rPr>
          <w:rFonts w:hint="eastAsia" w:ascii="仿宋" w:hAnsi="仿宋" w:eastAsia="仿宋" w:cs="仿宋"/>
          <w:bCs/>
          <w:w w:val="80"/>
          <w:sz w:val="36"/>
          <w:szCs w:val="36"/>
        </w:rPr>
        <w:t>（资格后审）</w:t>
      </w: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w w:val="80"/>
          <w:sz w:val="32"/>
          <w:szCs w:val="32"/>
        </w:rPr>
      </w:pPr>
      <w:r>
        <w:rPr>
          <w:rFonts w:hint="eastAsia" w:ascii="仿宋" w:hAnsi="仿宋" w:eastAsia="仿宋" w:cs="仿宋"/>
          <w:w w:val="80"/>
          <w:sz w:val="32"/>
          <w:szCs w:val="32"/>
        </w:rPr>
        <w:t>采   购   人：南通市殡仪馆</w:t>
      </w:r>
    </w:p>
    <w:p>
      <w:pPr>
        <w:spacing w:line="360" w:lineRule="auto"/>
        <w:jc w:val="center"/>
        <w:rPr>
          <w:rFonts w:ascii="仿宋" w:hAnsi="仿宋" w:eastAsia="仿宋" w:cs="仿宋"/>
          <w:w w:val="80"/>
          <w:sz w:val="32"/>
          <w:szCs w:val="32"/>
        </w:rPr>
      </w:pPr>
      <w:r>
        <w:rPr>
          <w:rFonts w:hint="eastAsia" w:ascii="仿宋" w:hAnsi="仿宋" w:eastAsia="仿宋" w:cs="仿宋"/>
          <w:w w:val="80"/>
          <w:sz w:val="32"/>
          <w:szCs w:val="32"/>
        </w:rPr>
        <w:t>二○二二年</w:t>
      </w:r>
      <w:r>
        <w:rPr>
          <w:rFonts w:hint="eastAsia" w:ascii="仿宋" w:hAnsi="仿宋" w:eastAsia="仿宋" w:cs="仿宋"/>
          <w:w w:val="80"/>
          <w:sz w:val="32"/>
          <w:szCs w:val="32"/>
          <w:lang w:val="en-US" w:eastAsia="zh-CN"/>
        </w:rPr>
        <w:t>六</w:t>
      </w:r>
      <w:r>
        <w:rPr>
          <w:rFonts w:hint="eastAsia" w:ascii="仿宋" w:hAnsi="仿宋" w:eastAsia="仿宋" w:cs="仿宋"/>
          <w:w w:val="80"/>
          <w:sz w:val="32"/>
          <w:szCs w:val="32"/>
        </w:rPr>
        <w:t>月</w:t>
      </w:r>
    </w:p>
    <w:p>
      <w:pPr>
        <w:spacing w:line="360" w:lineRule="auto"/>
        <w:jc w:val="center"/>
        <w:rPr>
          <w:rFonts w:ascii="宋体" w:hAnsi="宋体" w:eastAsia="宋体"/>
          <w:w w:val="80"/>
          <w:sz w:val="32"/>
          <w:szCs w:val="32"/>
        </w:rPr>
      </w:pPr>
    </w:p>
    <w:p>
      <w:pPr>
        <w:spacing w:line="360" w:lineRule="auto"/>
        <w:jc w:val="center"/>
        <w:rPr>
          <w:rFonts w:ascii="宋体" w:hAnsi="宋体" w:eastAsia="宋体"/>
          <w:w w:val="80"/>
          <w:sz w:val="32"/>
          <w:szCs w:val="32"/>
        </w:rPr>
        <w:sectPr>
          <w:footerReference r:id="rId3" w:type="default"/>
          <w:pgSz w:w="11850" w:h="16783"/>
          <w:pgMar w:top="1440" w:right="1800" w:bottom="1440" w:left="1800" w:header="851" w:footer="992" w:gutter="0"/>
          <w:cols w:space="720" w:num="1"/>
          <w:docGrid w:type="lines" w:linePitch="312" w:charSpace="0"/>
        </w:sectPr>
      </w:pPr>
    </w:p>
    <w:sdt>
      <w:sdtPr>
        <w:rPr>
          <w:rFonts w:ascii="宋体" w:hAnsi="宋体" w:eastAsia="宋体"/>
        </w:rPr>
        <w:id w:val="147461551"/>
        <w15:color w:val="DBDBDB"/>
        <w:docPartObj>
          <w:docPartGallery w:val="Table of Contents"/>
          <w:docPartUnique/>
        </w:docPartObj>
      </w:sdtPr>
      <w:sdtEndPr>
        <w:rPr>
          <w:rFonts w:ascii="宋体" w:hAnsi="宋体" w:eastAsia="宋体" w:cstheme="minorEastAsia"/>
          <w:szCs w:val="32"/>
        </w:rPr>
      </w:sdtEndPr>
      <w:sdtContent>
        <w:p>
          <w:pPr>
            <w:jc w:val="center"/>
            <w:rPr>
              <w:sz w:val="36"/>
              <w:szCs w:val="40"/>
            </w:rPr>
          </w:pPr>
          <w:r>
            <w:rPr>
              <w:rFonts w:ascii="宋体" w:hAnsi="宋体" w:eastAsia="宋体"/>
              <w:sz w:val="36"/>
              <w:szCs w:val="40"/>
            </w:rPr>
            <w:t>目录</w:t>
          </w:r>
        </w:p>
        <w:p>
          <w:pPr>
            <w:pStyle w:val="41"/>
            <w:tabs>
              <w:tab w:val="right" w:leader="dot" w:pos="8250"/>
            </w:tabs>
            <w:rPr>
              <w:sz w:val="32"/>
              <w:szCs w:val="32"/>
            </w:rPr>
          </w:pPr>
          <w:r>
            <w:rPr>
              <w:rFonts w:ascii="宋体" w:hAnsi="宋体" w:cstheme="minorEastAsia"/>
              <w:sz w:val="52"/>
              <w:szCs w:val="52"/>
            </w:rPr>
            <w:fldChar w:fldCharType="begin"/>
          </w:r>
          <w:r>
            <w:rPr>
              <w:rFonts w:ascii="宋体" w:hAnsi="宋体" w:cstheme="minorEastAsia"/>
              <w:sz w:val="52"/>
              <w:szCs w:val="52"/>
            </w:rPr>
            <w:instrText xml:space="preserve">TOC \o "1-1" \h \u </w:instrText>
          </w:r>
          <w:r>
            <w:rPr>
              <w:rFonts w:ascii="宋体" w:hAnsi="宋体" w:cstheme="minorEastAsia"/>
              <w:sz w:val="52"/>
              <w:szCs w:val="52"/>
            </w:rPr>
            <w:fldChar w:fldCharType="separate"/>
          </w:r>
          <w:r>
            <w:fldChar w:fldCharType="begin"/>
          </w:r>
          <w:r>
            <w:instrText xml:space="preserve"> HYPERLINK \l "_Toc9937" </w:instrText>
          </w:r>
          <w:r>
            <w:fldChar w:fldCharType="separate"/>
          </w:r>
          <w:r>
            <w:rPr>
              <w:rFonts w:hint="eastAsia" w:ascii="仿宋" w:hAnsi="仿宋" w:eastAsia="仿宋" w:cs="仿宋"/>
              <w:sz w:val="32"/>
              <w:szCs w:val="72"/>
            </w:rPr>
            <w:t>第一章  竞争性磋商公告</w:t>
          </w:r>
          <w:r>
            <w:rPr>
              <w:sz w:val="32"/>
              <w:szCs w:val="32"/>
            </w:rPr>
            <w:tab/>
          </w:r>
          <w:r>
            <w:rPr>
              <w:sz w:val="32"/>
              <w:szCs w:val="32"/>
            </w:rPr>
            <w:fldChar w:fldCharType="begin"/>
          </w:r>
          <w:r>
            <w:rPr>
              <w:sz w:val="32"/>
              <w:szCs w:val="32"/>
            </w:rPr>
            <w:instrText xml:space="preserve"> PAGEREF _Toc9937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"_Toc28528" </w:instrText>
          </w:r>
          <w:r>
            <w:fldChar w:fldCharType="separate"/>
          </w:r>
          <w:r>
            <w:rPr>
              <w:rFonts w:hint="eastAsia" w:ascii="仿宋" w:hAnsi="仿宋" w:eastAsia="仿宋" w:cs="仿宋"/>
              <w:sz w:val="32"/>
              <w:szCs w:val="56"/>
            </w:rPr>
            <w:t>第二章  供应商须知</w:t>
          </w:r>
          <w:r>
            <w:rPr>
              <w:sz w:val="32"/>
              <w:szCs w:val="32"/>
            </w:rPr>
            <w:tab/>
          </w:r>
          <w:r>
            <w:rPr>
              <w:sz w:val="32"/>
              <w:szCs w:val="32"/>
            </w:rPr>
            <w:fldChar w:fldCharType="begin"/>
          </w:r>
          <w:r>
            <w:rPr>
              <w:sz w:val="32"/>
              <w:szCs w:val="32"/>
            </w:rPr>
            <w:instrText xml:space="preserve"> PAGEREF _Toc28528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"_Toc23515" </w:instrText>
          </w:r>
          <w:r>
            <w:fldChar w:fldCharType="separate"/>
          </w:r>
          <w:r>
            <w:rPr>
              <w:rFonts w:hint="eastAsia" w:ascii="仿宋" w:hAnsi="仿宋" w:eastAsia="仿宋" w:cs="仿宋"/>
              <w:sz w:val="32"/>
              <w:szCs w:val="56"/>
            </w:rPr>
            <w:t>第三章  项目需求</w:t>
          </w:r>
          <w:r>
            <w:rPr>
              <w:sz w:val="32"/>
              <w:szCs w:val="32"/>
            </w:rPr>
            <w:tab/>
          </w:r>
          <w:r>
            <w:rPr>
              <w:sz w:val="32"/>
              <w:szCs w:val="32"/>
            </w:rPr>
            <w:fldChar w:fldCharType="begin"/>
          </w:r>
          <w:r>
            <w:rPr>
              <w:sz w:val="32"/>
              <w:szCs w:val="32"/>
            </w:rPr>
            <w:instrText xml:space="preserve"> PAGEREF _Toc23515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"_Toc4788" </w:instrText>
          </w:r>
          <w:r>
            <w:fldChar w:fldCharType="separate"/>
          </w:r>
          <w:r>
            <w:rPr>
              <w:rFonts w:hint="eastAsia" w:ascii="仿宋" w:hAnsi="仿宋" w:eastAsia="仿宋" w:cs="仿宋"/>
              <w:sz w:val="32"/>
              <w:szCs w:val="56"/>
            </w:rPr>
            <w:t>第四章  评审方法和程序</w:t>
          </w:r>
          <w:r>
            <w:rPr>
              <w:sz w:val="32"/>
              <w:szCs w:val="32"/>
            </w:rPr>
            <w:tab/>
          </w:r>
          <w:r>
            <w:rPr>
              <w:sz w:val="32"/>
              <w:szCs w:val="32"/>
            </w:rPr>
            <w:fldChar w:fldCharType="begin"/>
          </w:r>
          <w:r>
            <w:rPr>
              <w:sz w:val="32"/>
              <w:szCs w:val="32"/>
            </w:rPr>
            <w:instrText xml:space="preserve"> PAGEREF _Toc4788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"_Toc19720" </w:instrText>
          </w:r>
          <w:r>
            <w:fldChar w:fldCharType="separate"/>
          </w:r>
          <w:r>
            <w:rPr>
              <w:rFonts w:hint="eastAsia" w:ascii="仿宋" w:hAnsi="仿宋" w:eastAsia="仿宋" w:cs="仿宋"/>
              <w:sz w:val="32"/>
              <w:szCs w:val="56"/>
            </w:rPr>
            <w:t>第五章  合同签订与验收付款</w:t>
          </w:r>
          <w:r>
            <w:rPr>
              <w:sz w:val="32"/>
              <w:szCs w:val="32"/>
            </w:rPr>
            <w:tab/>
          </w:r>
          <w:r>
            <w:rPr>
              <w:sz w:val="32"/>
              <w:szCs w:val="32"/>
            </w:rPr>
            <w:fldChar w:fldCharType="begin"/>
          </w:r>
          <w:r>
            <w:rPr>
              <w:sz w:val="32"/>
              <w:szCs w:val="32"/>
            </w:rPr>
            <w:instrText xml:space="preserve"> PAGEREF _Toc19720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"_Toc18400" </w:instrText>
          </w:r>
          <w:r>
            <w:fldChar w:fldCharType="separate"/>
          </w:r>
          <w:r>
            <w:rPr>
              <w:rFonts w:hint="eastAsia" w:ascii="仿宋" w:hAnsi="仿宋" w:eastAsia="仿宋" w:cs="仿宋"/>
              <w:sz w:val="32"/>
              <w:szCs w:val="56"/>
            </w:rPr>
            <w:t>第六章  质疑提出和处理</w:t>
          </w:r>
          <w:r>
            <w:rPr>
              <w:sz w:val="32"/>
              <w:szCs w:val="32"/>
            </w:rPr>
            <w:tab/>
          </w:r>
          <w:r>
            <w:rPr>
              <w:sz w:val="32"/>
              <w:szCs w:val="32"/>
            </w:rPr>
            <w:fldChar w:fldCharType="begin"/>
          </w:r>
          <w:r>
            <w:rPr>
              <w:sz w:val="32"/>
              <w:szCs w:val="32"/>
            </w:rPr>
            <w:instrText xml:space="preserve"> PAGEREF _Toc18400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41"/>
            <w:tabs>
              <w:tab w:val="right" w:leader="dot" w:pos="8250"/>
            </w:tabs>
            <w:rPr>
              <w:sz w:val="32"/>
              <w:szCs w:val="32"/>
            </w:rPr>
          </w:pPr>
          <w:r>
            <w:fldChar w:fldCharType="begin"/>
          </w:r>
          <w:r>
            <w:instrText xml:space="preserve"> HYPERLINK \l "_Toc18061" </w:instrText>
          </w:r>
          <w:r>
            <w:fldChar w:fldCharType="separate"/>
          </w:r>
          <w:r>
            <w:rPr>
              <w:rFonts w:hint="eastAsia" w:ascii="仿宋" w:hAnsi="仿宋" w:eastAsia="仿宋" w:cs="仿宋"/>
              <w:sz w:val="32"/>
              <w:szCs w:val="56"/>
            </w:rPr>
            <w:t>第七章  响应文件组成</w:t>
          </w:r>
          <w:r>
            <w:rPr>
              <w:sz w:val="32"/>
              <w:szCs w:val="32"/>
            </w:rPr>
            <w:tab/>
          </w:r>
          <w:r>
            <w:rPr>
              <w:sz w:val="32"/>
              <w:szCs w:val="32"/>
            </w:rPr>
            <w:fldChar w:fldCharType="begin"/>
          </w:r>
          <w:r>
            <w:rPr>
              <w:sz w:val="32"/>
              <w:szCs w:val="32"/>
            </w:rPr>
            <w:instrText xml:space="preserve"> PAGEREF _Toc18061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5"/>
            <w:tabs>
              <w:tab w:val="right" w:leader="dot" w:pos="8250"/>
            </w:tabs>
            <w:snapToGrid w:val="0"/>
            <w:spacing w:line="480" w:lineRule="auto"/>
            <w:rPr>
              <w:rFonts w:ascii="宋体" w:hAnsi="宋体" w:eastAsia="宋体" w:cstheme="minorEastAsia"/>
              <w:szCs w:val="32"/>
            </w:rPr>
            <w:sectPr>
              <w:footerReference r:id="rId4" w:type="default"/>
              <w:pgSz w:w="11850" w:h="16783"/>
              <w:pgMar w:top="1440" w:right="1800" w:bottom="1440" w:left="1800" w:header="851" w:footer="992" w:gutter="0"/>
              <w:pgNumType w:start="1"/>
              <w:cols w:space="720" w:num="1"/>
              <w:docGrid w:type="lines" w:linePitch="312" w:charSpace="0"/>
            </w:sectPr>
          </w:pPr>
          <w:r>
            <w:rPr>
              <w:rFonts w:ascii="宋体" w:hAnsi="宋体" w:eastAsia="宋体" w:cstheme="minorEastAsia"/>
              <w:sz w:val="36"/>
              <w:szCs w:val="52"/>
            </w:rPr>
            <w:fldChar w:fldCharType="end"/>
          </w:r>
        </w:p>
      </w:sdtContent>
    </w:sdt>
    <w:p>
      <w:pPr>
        <w:wordWrap w:val="0"/>
        <w:snapToGrid w:val="0"/>
        <w:spacing w:line="360" w:lineRule="auto"/>
        <w:rPr>
          <w:rFonts w:ascii="仿宋" w:hAnsi="仿宋" w:eastAsia="仿宋" w:cs="仿宋"/>
          <w:b/>
          <w:sz w:val="28"/>
          <w:szCs w:val="28"/>
        </w:rPr>
      </w:pPr>
      <w:r>
        <w:rPr>
          <w:rFonts w:hint="eastAsia" w:ascii="仿宋" w:hAnsi="仿宋" w:eastAsia="仿宋" w:cs="仿宋"/>
          <w:b/>
          <w:sz w:val="28"/>
          <w:szCs w:val="28"/>
        </w:rPr>
        <w:t>尊敬的磋商响应供应商（以下称供应商）：</w:t>
      </w:r>
    </w:p>
    <w:p>
      <w:pPr>
        <w:wordWrap w:val="0"/>
        <w:snapToGrid w:val="0"/>
        <w:spacing w:line="360" w:lineRule="auto"/>
        <w:ind w:firstLine="562" w:firstLineChars="200"/>
        <w:rPr>
          <w:rFonts w:ascii="宋体" w:hAnsi="宋体" w:eastAsia="宋体" w:cstheme="minorEastAsia"/>
          <w:b/>
          <w:sz w:val="24"/>
          <w:szCs w:val="24"/>
        </w:rPr>
      </w:pPr>
      <w:r>
        <w:rPr>
          <w:rFonts w:hint="eastAsia" w:ascii="仿宋" w:hAnsi="仿宋" w:eastAsia="仿宋" w:cs="仿宋"/>
          <w:b/>
          <w:sz w:val="28"/>
          <w:szCs w:val="28"/>
        </w:rPr>
        <w:t>欢迎参加本采购项目的竞争性磋商。为了保证本次招标顺利进行，请在制作磋商响应文件之前，仔细阅读本竞争性磋商文件的各项条款，并按要求制作和递交磋商响应文件。谢谢合作！</w:t>
      </w:r>
    </w:p>
    <w:p>
      <w:pPr>
        <w:wordWrap w:val="0"/>
        <w:snapToGrid w:val="0"/>
        <w:spacing w:line="360" w:lineRule="auto"/>
        <w:ind w:firstLine="482" w:firstLineChars="200"/>
        <w:rPr>
          <w:rFonts w:ascii="宋体" w:hAnsi="宋体" w:eastAsia="宋体" w:cstheme="minorEastAsia"/>
          <w:b/>
          <w:sz w:val="24"/>
          <w:szCs w:val="24"/>
        </w:rPr>
      </w:pPr>
    </w:p>
    <w:p>
      <w:pPr>
        <w:tabs>
          <w:tab w:val="left" w:pos="1050"/>
          <w:tab w:val="right" w:leader="dot" w:pos="9402"/>
        </w:tabs>
        <w:wordWrap w:val="0"/>
        <w:snapToGrid w:val="0"/>
        <w:spacing w:line="360" w:lineRule="auto"/>
        <w:jc w:val="center"/>
        <w:outlineLvl w:val="0"/>
        <w:rPr>
          <w:rFonts w:ascii="仿宋" w:hAnsi="仿宋" w:eastAsia="仿宋" w:cs="仿宋"/>
          <w:b/>
          <w:w w:val="80"/>
          <w:sz w:val="40"/>
          <w:szCs w:val="40"/>
        </w:rPr>
      </w:pPr>
      <w:bookmarkStart w:id="0" w:name="_Toc363573853"/>
      <w:bookmarkStart w:id="1" w:name="_Toc40780959"/>
      <w:bookmarkStart w:id="2" w:name="_Toc17860"/>
      <w:bookmarkStart w:id="3" w:name="_Toc9937"/>
      <w:r>
        <w:rPr>
          <w:rFonts w:hint="eastAsia" w:ascii="仿宋" w:hAnsi="仿宋" w:eastAsia="仿宋" w:cs="仿宋"/>
          <w:b/>
          <w:sz w:val="40"/>
          <w:szCs w:val="40"/>
        </w:rPr>
        <w:t xml:space="preserve">第一章  </w:t>
      </w:r>
      <w:bookmarkEnd w:id="0"/>
      <w:r>
        <w:rPr>
          <w:rFonts w:hint="eastAsia" w:ascii="仿宋" w:hAnsi="仿宋" w:eastAsia="仿宋" w:cs="仿宋"/>
          <w:b/>
          <w:sz w:val="40"/>
          <w:szCs w:val="40"/>
        </w:rPr>
        <w:t>竞争性磋商</w:t>
      </w:r>
      <w:bookmarkEnd w:id="1"/>
      <w:bookmarkEnd w:id="2"/>
      <w:r>
        <w:rPr>
          <w:rFonts w:hint="eastAsia" w:ascii="仿宋" w:hAnsi="仿宋" w:eastAsia="仿宋" w:cs="仿宋"/>
          <w:b/>
          <w:sz w:val="40"/>
          <w:szCs w:val="40"/>
        </w:rPr>
        <w:t>公告</w:t>
      </w:r>
      <w:bookmarkEnd w:id="3"/>
    </w:p>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u w:val="single"/>
        </w:rPr>
        <w:t>南通市殡仪馆紫砂火化骨灰盒代销采购项目</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 xml:space="preserve"> 南通市民政局网站 </w:t>
      </w:r>
      <w:r>
        <w:rPr>
          <w:rFonts w:hint="eastAsia" w:ascii="仿宋" w:hAnsi="仿宋" w:eastAsia="仿宋"/>
          <w:sz w:val="28"/>
          <w:szCs w:val="28"/>
        </w:rPr>
        <w:t>获取采购文件与采购公告，并于</w:t>
      </w:r>
      <w:r>
        <w:rPr>
          <w:rFonts w:hint="eastAsia" w:ascii="仿宋" w:hAnsi="仿宋" w:eastAsia="仿宋"/>
          <w:sz w:val="28"/>
          <w:szCs w:val="28"/>
          <w:u w:val="single"/>
        </w:rPr>
        <w:t>2022</w:t>
      </w:r>
      <w:r>
        <w:rPr>
          <w:rFonts w:hint="eastAsia" w:ascii="仿宋" w:hAnsi="仿宋" w:eastAsia="仿宋"/>
          <w:bCs/>
          <w:sz w:val="28"/>
          <w:szCs w:val="28"/>
          <w:u w:val="single"/>
        </w:rPr>
        <w:t>年06月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2"/>
        <w:spacing w:line="460" w:lineRule="exact"/>
        <w:rPr>
          <w:rFonts w:ascii="黑体" w:hAnsi="黑体" w:cs="宋体"/>
          <w:b w:val="0"/>
          <w:sz w:val="28"/>
          <w:szCs w:val="28"/>
        </w:rPr>
      </w:pPr>
      <w:bookmarkStart w:id="4" w:name="_Toc28359012"/>
      <w:bookmarkStart w:id="5" w:name="_Toc28359089"/>
      <w:bookmarkStart w:id="6" w:name="_Toc35393798"/>
      <w:bookmarkStart w:id="7" w:name="_Toc35393629"/>
      <w:r>
        <w:rPr>
          <w:rFonts w:hint="eastAsia" w:ascii="黑体" w:hAnsi="黑体" w:cs="宋体"/>
          <w:b w:val="0"/>
          <w:sz w:val="28"/>
          <w:szCs w:val="28"/>
        </w:rPr>
        <w:t>一、项目基本情况</w:t>
      </w:r>
      <w:bookmarkEnd w:id="4"/>
      <w:bookmarkEnd w:id="5"/>
      <w:bookmarkEnd w:id="6"/>
      <w:bookmarkEnd w:id="7"/>
    </w:p>
    <w:p>
      <w:pPr>
        <w:spacing w:line="460" w:lineRule="exact"/>
        <w:ind w:firstLine="560" w:firstLineChars="200"/>
        <w:rPr>
          <w:rFonts w:ascii="仿宋" w:hAnsi="仿宋" w:eastAsia="仿宋"/>
          <w:sz w:val="28"/>
          <w:szCs w:val="28"/>
        </w:rPr>
      </w:pPr>
      <w:r>
        <w:rPr>
          <w:rFonts w:hint="eastAsia" w:ascii="仿宋" w:hAnsi="仿宋" w:eastAsia="仿宋"/>
          <w:sz w:val="28"/>
          <w:szCs w:val="28"/>
        </w:rPr>
        <w:t>项目编号：ZRNT20220025</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项目名称：南通市殡仪馆紫砂火化骨灰盒代销采购项目</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 xml:space="preserve">采购方式：□竞争性谈判 </w:t>
      </w:r>
      <w:r>
        <w:rPr>
          <w:rFonts w:hint="eastAsia" w:ascii="仿宋" w:hAnsi="仿宋" w:eastAsia="仿宋"/>
          <w:sz w:val="28"/>
          <w:szCs w:val="28"/>
        </w:rPr>
        <w:sym w:font="Wingdings 2" w:char="0052"/>
      </w:r>
      <w:r>
        <w:rPr>
          <w:rFonts w:hint="eastAsia" w:ascii="仿宋" w:hAnsi="仿宋" w:eastAsia="仿宋"/>
          <w:sz w:val="28"/>
          <w:szCs w:val="28"/>
        </w:rPr>
        <w:t>竞争性磋商 □询价</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u w:val="single"/>
        </w:rPr>
        <w:t>本项目分为两个标段，且每个标段一款样品，每一标段各提供3个样品，每个样品须提供报价。</w:t>
      </w:r>
    </w:p>
    <w:p>
      <w:pPr>
        <w:spacing w:line="460" w:lineRule="exact"/>
        <w:ind w:firstLine="560" w:firstLineChars="200"/>
        <w:rPr>
          <w:rFonts w:ascii="仿宋" w:hAnsi="仿宋" w:eastAsia="仿宋"/>
          <w:sz w:val="28"/>
          <w:szCs w:val="28"/>
          <w:u w:val="single"/>
        </w:rPr>
      </w:pPr>
      <w:r>
        <w:rPr>
          <w:rFonts w:ascii="仿宋" w:hAnsi="仿宋" w:eastAsia="仿宋"/>
          <w:sz w:val="28"/>
          <w:szCs w:val="28"/>
          <w:u w:val="single"/>
        </w:rPr>
        <w:t>标段1紫砂骨灰盒：：1700-1500元，报价超过投标限价的为无效响应文件；</w:t>
      </w:r>
    </w:p>
    <w:p>
      <w:pPr>
        <w:spacing w:line="460" w:lineRule="exact"/>
        <w:ind w:firstLine="560" w:firstLineChars="200"/>
        <w:rPr>
          <w:rFonts w:ascii="仿宋" w:hAnsi="仿宋" w:eastAsia="仿宋"/>
          <w:sz w:val="28"/>
          <w:szCs w:val="28"/>
          <w:u w:val="single"/>
        </w:rPr>
      </w:pPr>
      <w:r>
        <w:rPr>
          <w:rFonts w:ascii="仿宋" w:hAnsi="仿宋" w:eastAsia="仿宋"/>
          <w:sz w:val="28"/>
          <w:szCs w:val="28"/>
          <w:u w:val="single"/>
        </w:rPr>
        <w:t>标段2紫砂金箔骨灰盒:2900-2600元，报价超过投标限价的为无效响应文件。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采购需求：详见磋商文件，请仔细研究。</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合同履行期限：服务期限为3年。合同一年一签，合同到期后，根据采购方考核情况可续签二次。</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2"/>
        <w:spacing w:line="360" w:lineRule="auto"/>
        <w:rPr>
          <w:rFonts w:ascii="黑体" w:hAnsi="黑体" w:cs="宋体"/>
          <w:b w:val="0"/>
          <w:sz w:val="28"/>
          <w:szCs w:val="28"/>
        </w:rPr>
      </w:pPr>
      <w:bookmarkStart w:id="8" w:name="_Toc28359090"/>
      <w:bookmarkStart w:id="9" w:name="_Toc35393630"/>
      <w:bookmarkStart w:id="10" w:name="_Toc35393799"/>
      <w:bookmarkStart w:id="11" w:name="_Toc28359013"/>
      <w:r>
        <w:rPr>
          <w:rFonts w:hint="eastAsia" w:ascii="黑体" w:hAnsi="黑体" w:cs="宋体"/>
          <w:b w:val="0"/>
          <w:sz w:val="28"/>
          <w:szCs w:val="28"/>
        </w:rPr>
        <w:t>二、申请人的资格要求：</w:t>
      </w:r>
      <w:bookmarkEnd w:id="8"/>
      <w:bookmarkEnd w:id="9"/>
      <w:bookmarkEnd w:id="10"/>
      <w:bookmarkEnd w:id="11"/>
    </w:p>
    <w:p>
      <w:pPr>
        <w:spacing w:line="460" w:lineRule="exact"/>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r>
        <w:rPr>
          <w:rFonts w:hint="eastAsia" w:ascii="仿宋" w:hAnsi="仿宋" w:eastAsia="仿宋" w:cs="仿宋"/>
          <w:sz w:val="28"/>
          <w:szCs w:val="28"/>
        </w:rPr>
        <w:t>具有独立承担民事责任的能力；具有良好的商业信誉和健全的财务会计制度；具有履行合同所必需的设备和专业</w:t>
      </w:r>
      <w:r>
        <w:rPr>
          <w:rFonts w:hint="eastAsia" w:ascii="仿宋" w:hAnsi="仿宋" w:eastAsia="仿宋" w:cs="仿宋"/>
          <w:sz w:val="28"/>
          <w:szCs w:val="28"/>
          <w:lang w:val="zh-CN"/>
        </w:rPr>
        <w:t>技术能力；有依法缴纳税收和社会保障资金的良好记录；参加本次政府采购活动前三年内，在经营活动中没有重大违法记录</w:t>
      </w:r>
      <w:r>
        <w:rPr>
          <w:rFonts w:hint="eastAsia" w:ascii="仿宋" w:hAnsi="仿宋" w:eastAsia="仿宋"/>
          <w:sz w:val="28"/>
          <w:szCs w:val="28"/>
        </w:rPr>
        <w:t>；</w:t>
      </w:r>
    </w:p>
    <w:p>
      <w:pPr>
        <w:spacing w:line="460" w:lineRule="exact"/>
        <w:ind w:firstLine="560" w:firstLineChars="200"/>
        <w:rPr>
          <w:rFonts w:ascii="仿宋" w:hAnsi="仿宋" w:eastAsia="仿宋" w:cs="仿宋"/>
          <w:sz w:val="28"/>
          <w:szCs w:val="28"/>
          <w:lang w:val="zh-CN"/>
        </w:rPr>
      </w:pPr>
      <w:bookmarkStart w:id="12" w:name="_Toc28359091"/>
      <w:bookmarkStart w:id="13" w:name="_Toc35393631"/>
      <w:bookmarkStart w:id="14" w:name="_Toc35393800"/>
      <w:bookmarkStart w:id="15" w:name="_Toc28359014"/>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（1）具有独立承担民事责任的能力（</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（2）投标供应商可以是</w:t>
      </w:r>
      <w:r>
        <w:rPr>
          <w:rFonts w:hint="eastAsia" w:ascii="仿宋" w:hAnsi="仿宋" w:eastAsia="仿宋" w:cs="仿宋"/>
          <w:sz w:val="28"/>
          <w:szCs w:val="28"/>
        </w:rPr>
        <w:t>骨灰盒</w:t>
      </w:r>
      <w:r>
        <w:rPr>
          <w:rFonts w:hint="eastAsia" w:ascii="仿宋" w:hAnsi="仿宋" w:eastAsia="仿宋" w:cs="仿宋"/>
          <w:sz w:val="28"/>
          <w:szCs w:val="28"/>
          <w:lang w:val="zh-CN"/>
        </w:rPr>
        <w:t>生产加工厂家或是代理商（经销商），提供相关证明材料。</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）本项目不接受联合体投标。</w:t>
      </w:r>
    </w:p>
    <w:p>
      <w:pPr>
        <w:spacing w:line="460" w:lineRule="exact"/>
        <w:ind w:firstLine="560" w:firstLineChars="200"/>
        <w:rPr>
          <w:rFonts w:ascii="仿宋" w:hAnsi="仿宋" w:eastAsia="仿宋" w:cs="仿宋"/>
          <w:sz w:val="28"/>
          <w:szCs w:val="28"/>
          <w:u w:val="single"/>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）落实政府采购政策需满足的资格要求：</w:t>
      </w:r>
      <w:r>
        <w:rPr>
          <w:rFonts w:hint="eastAsia" w:ascii="仿宋" w:hAnsi="仿宋" w:eastAsia="仿宋" w:cs="仿宋"/>
          <w:sz w:val="28"/>
          <w:szCs w:val="28"/>
          <w:u w:val="single"/>
        </w:rPr>
        <w:t>无</w:t>
      </w:r>
      <w:r>
        <w:rPr>
          <w:rFonts w:hint="eastAsia" w:ascii="仿宋" w:hAnsi="仿宋" w:eastAsia="仿宋" w:cs="仿宋"/>
          <w:sz w:val="28"/>
          <w:szCs w:val="28"/>
          <w:u w:val="single"/>
          <w:lang w:val="zh-CN"/>
        </w:rPr>
        <w:t>。</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未被“信用中国”网站列入失信被执行人、重大税收违法案件当事人名单、政府采购严重失信行为记录名单。</w:t>
      </w:r>
    </w:p>
    <w:p>
      <w:pPr>
        <w:pStyle w:val="2"/>
        <w:spacing w:line="460" w:lineRule="exact"/>
        <w:rPr>
          <w:rFonts w:ascii="黑体" w:hAnsi="黑体" w:cs="宋体"/>
          <w:b w:val="0"/>
          <w:sz w:val="28"/>
          <w:szCs w:val="28"/>
        </w:rPr>
      </w:pPr>
      <w:r>
        <w:rPr>
          <w:rFonts w:hint="eastAsia" w:ascii="黑体" w:hAnsi="黑体" w:cs="宋体"/>
          <w:b w:val="0"/>
          <w:sz w:val="28"/>
          <w:szCs w:val="28"/>
        </w:rPr>
        <w:t>三、获取采购文件</w:t>
      </w:r>
      <w:bookmarkEnd w:id="12"/>
      <w:bookmarkEnd w:id="13"/>
      <w:bookmarkEnd w:id="14"/>
      <w:bookmarkEnd w:id="15"/>
    </w:p>
    <w:p>
      <w:pPr>
        <w:spacing w:line="460" w:lineRule="exact"/>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2022年0</w:t>
      </w:r>
      <w:r>
        <w:rPr>
          <w:rFonts w:hint="eastAsia" w:ascii="仿宋" w:hAnsi="仿宋" w:eastAsia="仿宋" w:cs="宋体"/>
          <w:sz w:val="28"/>
          <w:szCs w:val="28"/>
          <w:u w:val="single"/>
          <w:lang w:val="en-US" w:eastAsia="zh-CN"/>
        </w:rPr>
        <w:t>6</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2022年06月</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日</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地点：南通市民政局网站。</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方式：自行下载，无需报名。</w:t>
      </w:r>
    </w:p>
    <w:p>
      <w:pPr>
        <w:pStyle w:val="2"/>
        <w:spacing w:line="460" w:lineRule="exact"/>
        <w:rPr>
          <w:rFonts w:ascii="黑体" w:hAnsi="黑体" w:cs="宋体"/>
          <w:b w:val="0"/>
          <w:sz w:val="28"/>
          <w:szCs w:val="28"/>
        </w:rPr>
      </w:pPr>
      <w:bookmarkStart w:id="16" w:name="_Toc28359092"/>
      <w:bookmarkStart w:id="17" w:name="_Toc28359015"/>
      <w:bookmarkStart w:id="18" w:name="_Toc35393632"/>
      <w:bookmarkStart w:id="19" w:name="_Toc35393801"/>
      <w:r>
        <w:rPr>
          <w:rFonts w:hint="eastAsia" w:ascii="黑体" w:hAnsi="黑体" w:cs="宋体"/>
          <w:b w:val="0"/>
          <w:sz w:val="28"/>
          <w:szCs w:val="28"/>
        </w:rPr>
        <w:t>四、响应文件提交</w:t>
      </w:r>
      <w:bookmarkEnd w:id="16"/>
      <w:bookmarkEnd w:id="17"/>
      <w:bookmarkEnd w:id="18"/>
      <w:bookmarkEnd w:id="19"/>
      <w:r>
        <w:rPr>
          <w:rFonts w:hint="eastAsia" w:ascii="黑体" w:hAnsi="黑体" w:cs="宋体"/>
          <w:b w:val="0"/>
          <w:sz w:val="28"/>
          <w:szCs w:val="28"/>
        </w:rPr>
        <w:t>（邮寄或现场送达）</w:t>
      </w:r>
    </w:p>
    <w:p>
      <w:pPr>
        <w:spacing w:line="460" w:lineRule="exact"/>
        <w:ind w:firstLine="560" w:firstLineChars="200"/>
        <w:rPr>
          <w:rFonts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rPr>
        <w:t>2022</w:t>
      </w:r>
      <w:r>
        <w:rPr>
          <w:rFonts w:hint="eastAsia" w:ascii="仿宋" w:hAnsi="仿宋" w:eastAsia="仿宋"/>
          <w:bCs/>
          <w:sz w:val="28"/>
          <w:szCs w:val="28"/>
          <w:u w:val="single"/>
        </w:rPr>
        <w:t>年06月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Style w:val="17"/>
        <w:widowControl/>
        <w:spacing w:before="0" w:beforeAutospacing="0" w:after="76" w:afterAutospacing="0" w:line="525" w:lineRule="atLeast"/>
        <w:ind w:right="450" w:firstLine="420"/>
        <w:rPr>
          <w:rFonts w:ascii="仿宋" w:hAnsi="仿宋" w:eastAsia="仿宋" w:cs="仿宋"/>
          <w:b/>
          <w:bCs/>
          <w:color w:val="000000"/>
          <w:spacing w:val="7"/>
          <w:sz w:val="28"/>
          <w:szCs w:val="28"/>
          <w:u w:val="single"/>
          <w:shd w:val="clear" w:color="auto" w:fill="FFFFFF"/>
        </w:rPr>
      </w:pPr>
      <w:r>
        <w:rPr>
          <w:rFonts w:hint="eastAsia" w:ascii="仿宋" w:hAnsi="仿宋" w:eastAsia="仿宋"/>
          <w:sz w:val="28"/>
          <w:szCs w:val="28"/>
        </w:rPr>
        <w:t>地点：</w:t>
      </w:r>
      <w:r>
        <w:rPr>
          <w:rFonts w:hint="eastAsia" w:ascii="仿宋" w:hAnsi="仿宋" w:eastAsia="仿宋" w:cs="仿宋"/>
          <w:b/>
          <w:bCs/>
          <w:color w:val="000000"/>
          <w:spacing w:val="7"/>
          <w:sz w:val="28"/>
          <w:szCs w:val="28"/>
          <w:u w:val="single"/>
          <w:shd w:val="clear" w:color="auto" w:fill="FFFFFF"/>
        </w:rPr>
        <w:t>崇川区崇川路58号，南通产业技术研究院有限公司九号楼十楼A1003，江苏中润工程建设咨询有限公司开标室，如有变动另行通知。</w:t>
      </w:r>
    </w:p>
    <w:p>
      <w:pPr>
        <w:pStyle w:val="17"/>
        <w:widowControl/>
        <w:spacing w:before="0" w:beforeAutospacing="0" w:after="76" w:afterAutospacing="0" w:line="525" w:lineRule="atLeast"/>
        <w:ind w:right="450" w:firstLine="420"/>
        <w:rPr>
          <w:rFonts w:ascii="仿宋" w:hAnsi="仿宋" w:eastAsia="仿宋"/>
          <w:bCs/>
          <w:sz w:val="28"/>
          <w:szCs w:val="28"/>
          <w:u w:val="single"/>
        </w:rPr>
      </w:pPr>
      <w:r>
        <w:rPr>
          <w:rFonts w:hint="eastAsia" w:ascii="仿宋" w:hAnsi="仿宋" w:eastAsia="仿宋" w:cs="仿宋"/>
          <w:color w:val="333333"/>
          <w:sz w:val="28"/>
          <w:szCs w:val="28"/>
          <w:shd w:val="clear" w:color="auto" w:fill="FFFFFF"/>
        </w:rPr>
        <w:t>样品提交地点及联系方式：</w:t>
      </w:r>
      <w:r>
        <w:rPr>
          <w:rFonts w:hint="eastAsia" w:ascii="仿宋" w:hAnsi="仿宋" w:eastAsia="仿宋" w:cs="仿宋"/>
          <w:b/>
          <w:bCs/>
          <w:sz w:val="28"/>
          <w:szCs w:val="28"/>
          <w:u w:val="single"/>
        </w:rPr>
        <w:t>崇川区崇川路58号，南通产业技术研究院有限公司九号楼十楼A1003；胡工：15950802710</w:t>
      </w:r>
      <w:r>
        <w:rPr>
          <w:rFonts w:hint="eastAsia" w:ascii="仿宋" w:hAnsi="仿宋" w:eastAsia="仿宋" w:cs="仿宋"/>
          <w:b/>
          <w:bCs/>
          <w:color w:val="333333"/>
          <w:sz w:val="28"/>
          <w:szCs w:val="28"/>
          <w:u w:val="single"/>
          <w:shd w:val="clear" w:color="auto" w:fill="FFFFFF"/>
        </w:rPr>
        <w:t>。</w:t>
      </w:r>
    </w:p>
    <w:p>
      <w:pPr>
        <w:pStyle w:val="2"/>
        <w:spacing w:line="460" w:lineRule="exact"/>
        <w:rPr>
          <w:rFonts w:ascii="黑体" w:hAnsi="黑体" w:cs="宋体"/>
          <w:b w:val="0"/>
          <w:sz w:val="28"/>
          <w:szCs w:val="28"/>
        </w:rPr>
      </w:pPr>
      <w:bookmarkStart w:id="20" w:name="_Toc35393633"/>
      <w:bookmarkStart w:id="21" w:name="_Toc28359016"/>
      <w:bookmarkStart w:id="22" w:name="_Toc35393802"/>
      <w:bookmarkStart w:id="23" w:name="_Toc28359093"/>
      <w:r>
        <w:rPr>
          <w:rFonts w:hint="eastAsia" w:ascii="黑体" w:hAnsi="黑体" w:cs="宋体"/>
          <w:b w:val="0"/>
          <w:sz w:val="28"/>
          <w:szCs w:val="28"/>
        </w:rPr>
        <w:t>五、开启</w:t>
      </w:r>
      <w:bookmarkEnd w:id="20"/>
      <w:bookmarkEnd w:id="21"/>
      <w:bookmarkEnd w:id="22"/>
      <w:bookmarkEnd w:id="23"/>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rPr>
        <w:t>2022</w:t>
      </w:r>
      <w:r>
        <w:rPr>
          <w:rFonts w:hint="eastAsia" w:ascii="仿宋" w:hAnsi="仿宋" w:eastAsia="仿宋"/>
          <w:bCs/>
          <w:sz w:val="28"/>
          <w:szCs w:val="28"/>
          <w:u w:val="single"/>
        </w:rPr>
        <w:t>年06月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仿宋"/>
          <w:b/>
          <w:bCs/>
          <w:color w:val="000000"/>
          <w:spacing w:val="7"/>
          <w:sz w:val="28"/>
          <w:szCs w:val="28"/>
          <w:u w:val="single"/>
          <w:shd w:val="clear" w:color="auto" w:fill="FFFFFF"/>
        </w:rPr>
        <w:t>崇川区崇川路58号，南通产业技术研究院有限公司九号楼十楼A1003，江苏中润工程建设咨询有限公司开标室，如有变动另行通知。</w:t>
      </w:r>
    </w:p>
    <w:p>
      <w:pPr>
        <w:pStyle w:val="2"/>
        <w:spacing w:line="460" w:lineRule="exact"/>
        <w:rPr>
          <w:rFonts w:ascii="黑体" w:hAnsi="黑体" w:cs="宋体"/>
          <w:b w:val="0"/>
          <w:sz w:val="28"/>
          <w:szCs w:val="28"/>
        </w:rPr>
      </w:pPr>
      <w:bookmarkStart w:id="24" w:name="_Toc28359094"/>
      <w:bookmarkStart w:id="25" w:name="_Toc35393634"/>
      <w:bookmarkStart w:id="26" w:name="_Toc35393803"/>
      <w:bookmarkStart w:id="27" w:name="_Toc28359017"/>
      <w:r>
        <w:rPr>
          <w:rFonts w:hint="eastAsia" w:ascii="黑体" w:hAnsi="黑体" w:cs="宋体"/>
          <w:b w:val="0"/>
          <w:sz w:val="28"/>
          <w:szCs w:val="28"/>
        </w:rPr>
        <w:t>六、公告期限</w:t>
      </w:r>
      <w:bookmarkEnd w:id="24"/>
      <w:bookmarkEnd w:id="25"/>
      <w:bookmarkEnd w:id="26"/>
      <w:bookmarkEnd w:id="27"/>
    </w:p>
    <w:p>
      <w:pPr>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2"/>
        <w:spacing w:line="360" w:lineRule="auto"/>
        <w:rPr>
          <w:rFonts w:ascii="黑体" w:hAnsi="黑体" w:cs="宋体"/>
          <w:b w:val="0"/>
          <w:sz w:val="28"/>
          <w:szCs w:val="28"/>
        </w:rPr>
      </w:pPr>
      <w:bookmarkStart w:id="28" w:name="_Toc35393804"/>
      <w:bookmarkStart w:id="29" w:name="_Toc35393635"/>
      <w:r>
        <w:rPr>
          <w:rFonts w:hint="eastAsia" w:ascii="黑体" w:hAnsi="黑体" w:cs="宋体"/>
          <w:b w:val="0"/>
          <w:sz w:val="28"/>
          <w:szCs w:val="28"/>
        </w:rPr>
        <w:t>七、其他补充事宜</w:t>
      </w:r>
      <w:bookmarkEnd w:id="28"/>
      <w:bookmarkEnd w:id="29"/>
    </w:p>
    <w:p>
      <w:pPr>
        <w:pStyle w:val="17"/>
        <w:widowControl/>
        <w:spacing w:before="0" w:beforeAutospacing="0" w:after="76" w:afterAutospacing="0" w:line="525" w:lineRule="atLeast"/>
        <w:ind w:right="450" w:firstLine="420"/>
        <w:rPr>
          <w:rFonts w:ascii="仿宋" w:hAnsi="仿宋" w:eastAsia="仿宋" w:cs="仿宋"/>
          <w:color w:val="333333"/>
          <w:sz w:val="28"/>
          <w:szCs w:val="28"/>
          <w:shd w:val="clear" w:color="auto" w:fill="FFFFFF"/>
        </w:rPr>
      </w:pPr>
      <w:bookmarkStart w:id="30" w:name="_Toc28359018"/>
      <w:bookmarkStart w:id="31" w:name="_Toc35393805"/>
      <w:bookmarkStart w:id="32" w:name="_Toc28359095"/>
      <w:bookmarkStart w:id="33" w:name="_Toc35393636"/>
      <w:r>
        <w:rPr>
          <w:rFonts w:hint="eastAsia" w:ascii="仿宋" w:hAnsi="仿宋" w:eastAsia="仿宋" w:cs="仿宋"/>
          <w:color w:val="333333"/>
          <w:sz w:val="28"/>
          <w:szCs w:val="28"/>
          <w:shd w:val="clear" w:color="auto" w:fill="FFFFFF"/>
        </w:rPr>
        <w:t>1.对项目需求部分的询问、质疑请向采购人提出，由采购人负责答复。对其他有关问题请向代理机构提出。</w:t>
      </w:r>
    </w:p>
    <w:p>
      <w:pPr>
        <w:pStyle w:val="17"/>
        <w:widowControl/>
        <w:spacing w:before="0" w:beforeAutospacing="0" w:after="76" w:afterAutospacing="0" w:line="525" w:lineRule="atLeast"/>
        <w:ind w:right="450"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2.</w:t>
      </w:r>
      <w:r>
        <w:rPr>
          <w:rFonts w:hint="eastAsia" w:ascii="仿宋" w:hAnsi="仿宋" w:eastAsia="仿宋" w:cs="仿宋"/>
          <w:sz w:val="28"/>
          <w:szCs w:val="28"/>
        </w:rPr>
        <w:t>本项目为不见面开标，供应商代表无需到达开标现场，但应确保投标文件在开标截止时间前送达或邮寄到达采购代理机构（可以由本项目代理机构联系人签收，</w:t>
      </w:r>
      <w:r>
        <w:rPr>
          <w:rFonts w:hint="eastAsia" w:ascii="仿宋" w:hAnsi="仿宋" w:eastAsia="仿宋" w:cs="仿宋"/>
          <w:b/>
          <w:bCs/>
          <w:sz w:val="28"/>
          <w:szCs w:val="28"/>
        </w:rPr>
        <w:t>邮寄地址：崇川区崇川路58号，南通产业技术研究院有限公司九号楼十楼1004，江苏中润工程建设咨询有限公司，联系人：胡工15950802710）。</w:t>
      </w:r>
      <w:r>
        <w:rPr>
          <w:rFonts w:hint="eastAsia" w:ascii="仿宋" w:hAnsi="仿宋" w:eastAsia="仿宋" w:cs="仿宋"/>
          <w:sz w:val="28"/>
          <w:szCs w:val="28"/>
        </w:rPr>
        <w:t>开标现场由代理机构主持，采购人组织的评标委员会负责投标文件的评审。为确保本项目开标能够顺利进行，各供应商的授权委托人在开标前以</w:t>
      </w:r>
      <w:r>
        <w:rPr>
          <w:rFonts w:hint="eastAsia" w:ascii="仿宋" w:hAnsi="仿宋" w:eastAsia="仿宋" w:cs="仿宋"/>
          <w:b/>
          <w:bCs/>
          <w:sz w:val="28"/>
          <w:szCs w:val="28"/>
          <w:u w:val="single"/>
        </w:rPr>
        <w:t>“采购项目名称（简写）+单位名称（简写）+授权委托人姓名（实名）”</w:t>
      </w:r>
      <w:r>
        <w:rPr>
          <w:rFonts w:hint="eastAsia" w:ascii="仿宋" w:hAnsi="仿宋" w:eastAsia="仿宋" w:cs="仿宋"/>
          <w:b/>
          <w:bCs/>
          <w:sz w:val="28"/>
          <w:szCs w:val="28"/>
        </w:rPr>
        <w:t>的格式申请加入QQ群“江苏中润工程建设咨询有限公司远程开标室，群号：629706481”，招标代理机构在QQ群内公布腾讯会议号。</w:t>
      </w:r>
      <w:r>
        <w:rPr>
          <w:rFonts w:hint="eastAsia" w:ascii="仿宋" w:hAnsi="仿宋" w:eastAsia="仿宋" w:cs="仿宋"/>
          <w:sz w:val="28"/>
          <w:szCs w:val="28"/>
        </w:rPr>
        <w:t>本项目开标过程交互采用“腾讯会议”，投标供应商需自行下载安装“腾讯会议”软件，并学习操作，开标截止前半小时内申请加入采购代理机构指定的腾讯会议室（会议号在QQ群中公布），</w:t>
      </w:r>
      <w:r>
        <w:rPr>
          <w:rFonts w:hint="eastAsia" w:ascii="仿宋" w:hAnsi="仿宋" w:eastAsia="仿宋" w:cs="仿宋"/>
          <w:b/>
          <w:bCs/>
          <w:sz w:val="28"/>
          <w:szCs w:val="28"/>
        </w:rPr>
        <w:t>加入会议时名称修改为“</w:t>
      </w:r>
      <w:r>
        <w:rPr>
          <w:rFonts w:hint="eastAsia" w:ascii="仿宋" w:hAnsi="仿宋" w:eastAsia="仿宋" w:cs="仿宋"/>
          <w:b/>
          <w:bCs/>
          <w:sz w:val="28"/>
          <w:szCs w:val="28"/>
          <w:u w:val="single"/>
        </w:rPr>
        <w:t>投标单位名称（简写）+授权委托人姓名（实名）</w:t>
      </w:r>
      <w:r>
        <w:rPr>
          <w:rFonts w:hint="eastAsia" w:ascii="仿宋" w:hAnsi="仿宋" w:eastAsia="仿宋" w:cs="仿宋"/>
          <w:b/>
          <w:bCs/>
          <w:sz w:val="28"/>
          <w:szCs w:val="28"/>
        </w:rPr>
        <w:t>”</w:t>
      </w:r>
      <w:r>
        <w:rPr>
          <w:rFonts w:hint="eastAsia" w:ascii="仿宋" w:hAnsi="仿宋" w:eastAsia="仿宋" w:cs="仿宋"/>
          <w:sz w:val="28"/>
          <w:szCs w:val="28"/>
        </w:rPr>
        <w:t>，在开评标全过程中，此腾讯会议作为交互工具进行实时交互。开评标全过程中，各参选单位参与远程交互的授权委托人或法定代表人应始终为同一个人</w:t>
      </w:r>
      <w:r>
        <w:rPr>
          <w:rFonts w:hint="eastAsia" w:ascii="仿宋" w:hAnsi="仿宋" w:eastAsia="仿宋" w:cs="仿宋"/>
          <w:sz w:val="28"/>
          <w:szCs w:val="28"/>
          <w:u w:val="single"/>
        </w:rPr>
        <w:t>（打开摄像头、语音）</w:t>
      </w:r>
      <w:r>
        <w:rPr>
          <w:rFonts w:hint="eastAsia" w:ascii="仿宋" w:hAnsi="仿宋" w:eastAsia="仿宋" w:cs="仿宋"/>
          <w:sz w:val="28"/>
          <w:szCs w:val="28"/>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供应商未按要求加入腾讯会议，则视为放弃交互和放弃对开评标全过程提问的权利，并承担由此导致的一切后果。为顺利实现本项目开评标的远程交互，建议投标人配置的硬件设施有：电脑或手机、高速稳定的网络、电源（不间断）、打印机、音视频设备（话筒、耳麦、高清摄像头、音响）等。为保证交互效果，建议投标人选择封闭安静的地点参与远程交互。因投标人自身软硬件问题而导致在交互过程中出现不稳定或中断等情况的，由投标人自身承担一切后果。</w:t>
      </w:r>
    </w:p>
    <w:p>
      <w:pPr>
        <w:pStyle w:val="17"/>
        <w:widowControl/>
        <w:spacing w:before="0" w:beforeAutospacing="0" w:after="76" w:afterAutospacing="0" w:line="525" w:lineRule="atLeast"/>
        <w:ind w:right="450" w:firstLine="420"/>
        <w:rPr>
          <w:rFonts w:ascii="仿宋" w:hAnsi="仿宋" w:eastAsia="仿宋" w:cs="仿宋"/>
          <w:color w:val="333333"/>
          <w:sz w:val="28"/>
          <w:szCs w:val="28"/>
          <w:shd w:val="clear" w:color="auto" w:fill="FFFFFF"/>
        </w:rPr>
      </w:pPr>
      <w:r>
        <w:rPr>
          <w:rFonts w:hint="eastAsia" w:ascii="仿宋" w:hAnsi="仿宋" w:eastAsia="仿宋" w:cs="仿宋"/>
          <w:b/>
          <w:bCs/>
          <w:sz w:val="28"/>
          <w:szCs w:val="28"/>
          <w:u w:val="single"/>
        </w:rPr>
        <w:t>注：因本项目为不见面开标，故样品在邮寄过程中遭遇破损、快递审核不通过、未按时送达等问题由投标供应商承担。</w:t>
      </w:r>
    </w:p>
    <w:p>
      <w:pPr>
        <w:pStyle w:val="2"/>
        <w:spacing w:line="360" w:lineRule="auto"/>
        <w:rPr>
          <w:rFonts w:ascii="黑体" w:hAnsi="黑体" w:cs="宋体"/>
          <w:b w:val="0"/>
          <w:sz w:val="28"/>
          <w:szCs w:val="28"/>
        </w:rPr>
      </w:pPr>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30"/>
      <w:bookmarkEnd w:id="31"/>
      <w:bookmarkEnd w:id="32"/>
      <w:bookmarkEnd w:id="33"/>
    </w:p>
    <w:p>
      <w:pPr>
        <w:pStyle w:val="2"/>
        <w:spacing w:line="360" w:lineRule="auto"/>
        <w:ind w:firstLine="840" w:firstLineChars="300"/>
        <w:rPr>
          <w:rFonts w:ascii="仿宋" w:hAnsi="仿宋" w:eastAsia="仿宋" w:cs="宋体"/>
          <w:b w:val="0"/>
          <w:sz w:val="28"/>
          <w:szCs w:val="28"/>
        </w:rPr>
      </w:pPr>
      <w:bookmarkStart w:id="34" w:name="_Toc35393806"/>
      <w:bookmarkStart w:id="35" w:name="_Toc28359019"/>
      <w:bookmarkStart w:id="36" w:name="_Toc35393637"/>
      <w:bookmarkStart w:id="37" w:name="_Toc28359096"/>
      <w:r>
        <w:rPr>
          <w:rFonts w:hint="eastAsia" w:ascii="仿宋" w:hAnsi="仿宋" w:eastAsia="仿宋" w:cs="宋体"/>
          <w:b w:val="0"/>
          <w:sz w:val="28"/>
          <w:szCs w:val="28"/>
        </w:rPr>
        <w:t>1.采购人信息</w:t>
      </w:r>
      <w:bookmarkEnd w:id="34"/>
      <w:bookmarkEnd w:id="35"/>
      <w:bookmarkEnd w:id="36"/>
      <w:bookmarkEnd w:id="3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南通市殡仪馆</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施先生</w:t>
      </w:r>
      <w:r>
        <w:rPr>
          <w:rFonts w:hint="eastAsia" w:ascii="仿宋" w:hAnsi="仿宋" w:eastAsia="仿宋" w:cs="仿宋"/>
          <w:color w:val="333333"/>
          <w:spacing w:val="7"/>
          <w:sz w:val="28"/>
          <w:szCs w:val="28"/>
          <w:u w:val="single"/>
          <w:shd w:val="clear" w:color="auto" w:fill="FFFFFF"/>
        </w:rPr>
        <w:t>15962956868</w:t>
      </w:r>
    </w:p>
    <w:p>
      <w:pPr>
        <w:pStyle w:val="2"/>
        <w:spacing w:line="360" w:lineRule="auto"/>
        <w:ind w:firstLine="840" w:firstLineChars="300"/>
        <w:rPr>
          <w:rFonts w:ascii="仿宋" w:hAnsi="仿宋" w:eastAsia="仿宋" w:cs="宋体"/>
          <w:b w:val="0"/>
          <w:sz w:val="28"/>
          <w:szCs w:val="28"/>
        </w:rPr>
      </w:pPr>
      <w:bookmarkStart w:id="38" w:name="_Toc35393638"/>
      <w:bookmarkStart w:id="39" w:name="_Toc28359020"/>
      <w:bookmarkStart w:id="40" w:name="_Toc35393807"/>
      <w:bookmarkStart w:id="41" w:name="_Toc28359097"/>
      <w:r>
        <w:rPr>
          <w:rFonts w:hint="eastAsia" w:ascii="仿宋" w:hAnsi="仿宋" w:eastAsia="仿宋" w:cs="宋体"/>
          <w:b w:val="0"/>
          <w:sz w:val="28"/>
          <w:szCs w:val="28"/>
        </w:rPr>
        <w:t>2.采购代理机构信息</w:t>
      </w:r>
      <w:bookmarkEnd w:id="38"/>
      <w:bookmarkEnd w:id="39"/>
      <w:bookmarkEnd w:id="40"/>
      <w:bookmarkEnd w:id="41"/>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江苏中润工程建设咨询有限公司</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南通市崇川区崇川路58号</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0513-55887688</w:t>
      </w:r>
    </w:p>
    <w:p>
      <w:pPr>
        <w:pStyle w:val="2"/>
        <w:spacing w:line="360" w:lineRule="auto"/>
        <w:ind w:firstLine="840" w:firstLineChars="300"/>
        <w:rPr>
          <w:rFonts w:ascii="仿宋" w:hAnsi="仿宋" w:eastAsia="仿宋" w:cs="宋体"/>
          <w:b w:val="0"/>
          <w:sz w:val="28"/>
          <w:szCs w:val="28"/>
        </w:rPr>
      </w:pPr>
      <w:bookmarkStart w:id="42" w:name="_Toc35393639"/>
      <w:bookmarkStart w:id="43" w:name="_Toc28359098"/>
      <w:bookmarkStart w:id="44" w:name="_Toc35393808"/>
      <w:bookmarkStart w:id="45" w:name="_Toc28359021"/>
      <w:r>
        <w:rPr>
          <w:rFonts w:hint="eastAsia" w:ascii="仿宋" w:hAnsi="仿宋" w:eastAsia="仿宋" w:cs="宋体"/>
          <w:b w:val="0"/>
          <w:sz w:val="28"/>
          <w:szCs w:val="28"/>
        </w:rPr>
        <w:t>3.项目联系</w:t>
      </w:r>
      <w:r>
        <w:rPr>
          <w:rFonts w:ascii="仿宋" w:hAnsi="仿宋" w:eastAsia="仿宋" w:cs="宋体"/>
          <w:b w:val="0"/>
          <w:sz w:val="28"/>
          <w:szCs w:val="28"/>
        </w:rPr>
        <w:t>方式</w:t>
      </w:r>
      <w:bookmarkEnd w:id="42"/>
      <w:bookmarkEnd w:id="43"/>
      <w:bookmarkEnd w:id="44"/>
      <w:bookmarkEnd w:id="45"/>
    </w:p>
    <w:p>
      <w:pPr>
        <w:pStyle w:val="10"/>
        <w:spacing w:line="360" w:lineRule="auto"/>
        <w:ind w:firstLine="840" w:firstLineChars="300"/>
        <w:rPr>
          <w:rFonts w:ascii="仿宋" w:hAnsi="仿宋" w:eastAsia="仿宋"/>
          <w:sz w:val="28"/>
          <w:szCs w:val="28"/>
          <w:u w:val="single"/>
        </w:rPr>
      </w:pPr>
      <w:r>
        <w:rPr>
          <w:rFonts w:hint="eastAsia" w:ascii="仿宋" w:hAnsi="仿宋" w:eastAsia="仿宋"/>
          <w:sz w:val="28"/>
          <w:szCs w:val="28"/>
        </w:rPr>
        <w:t>项目联系人：</w:t>
      </w:r>
      <w:r>
        <w:rPr>
          <w:rFonts w:hint="eastAsia" w:ascii="仿宋" w:hAnsi="仿宋" w:eastAsia="仿宋"/>
          <w:sz w:val="28"/>
          <w:szCs w:val="28"/>
          <w:u w:val="single"/>
        </w:rPr>
        <w:t>王工</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0513-55887688</w:t>
      </w:r>
    </w:p>
    <w:p>
      <w:pPr>
        <w:wordWrap w:val="0"/>
        <w:spacing w:line="360" w:lineRule="auto"/>
        <w:ind w:firstLine="480" w:firstLineChars="200"/>
        <w:rPr>
          <w:rFonts w:ascii="宋体" w:hAnsi="宋体" w:eastAsia="宋体" w:cstheme="minorEastAsia"/>
          <w:sz w:val="24"/>
          <w:szCs w:val="24"/>
        </w:rPr>
      </w:pPr>
    </w:p>
    <w:p>
      <w:pPr>
        <w:pStyle w:val="3"/>
        <w:rPr>
          <w:rFonts w:ascii="宋体" w:hAnsi="宋体" w:eastAsia="宋体"/>
        </w:rPr>
        <w:sectPr>
          <w:footerReference r:id="rId5" w:type="default"/>
          <w:pgSz w:w="11907" w:h="16839"/>
          <w:pgMar w:top="1440" w:right="726" w:bottom="873" w:left="1236" w:header="720" w:footer="720" w:gutter="0"/>
          <w:pgNumType w:start="1"/>
          <w:cols w:space="720" w:num="1"/>
          <w:docGrid w:linePitch="286" w:charSpace="0"/>
        </w:sectPr>
      </w:pPr>
    </w:p>
    <w:p>
      <w:pPr>
        <w:tabs>
          <w:tab w:val="left" w:pos="1050"/>
          <w:tab w:val="right" w:leader="dot" w:pos="9402"/>
        </w:tabs>
        <w:wordWrap w:val="0"/>
        <w:snapToGrid w:val="0"/>
        <w:spacing w:line="360" w:lineRule="auto"/>
        <w:jc w:val="center"/>
        <w:outlineLvl w:val="0"/>
        <w:rPr>
          <w:rFonts w:ascii="仿宋" w:hAnsi="仿宋" w:eastAsia="仿宋" w:cs="仿宋"/>
          <w:b/>
          <w:sz w:val="36"/>
          <w:szCs w:val="36"/>
        </w:rPr>
      </w:pPr>
      <w:bookmarkStart w:id="46" w:name="_Toc24106"/>
      <w:bookmarkStart w:id="47" w:name="_Toc40780960"/>
      <w:bookmarkStart w:id="48" w:name="_Toc28528"/>
      <w:r>
        <w:rPr>
          <w:rFonts w:hint="eastAsia" w:ascii="仿宋" w:hAnsi="仿宋" w:eastAsia="仿宋" w:cs="仿宋"/>
          <w:b/>
          <w:sz w:val="36"/>
          <w:szCs w:val="36"/>
        </w:rPr>
        <w:t>第二章  供应商须知</w:t>
      </w:r>
      <w:bookmarkEnd w:id="46"/>
      <w:bookmarkEnd w:id="47"/>
      <w:bookmarkEnd w:id="48"/>
    </w:p>
    <w:p>
      <w:pPr>
        <w:snapToGrid w:val="0"/>
        <w:spacing w:line="360" w:lineRule="auto"/>
        <w:ind w:firstLine="562" w:firstLineChars="200"/>
        <w:outlineLvl w:val="1"/>
        <w:rPr>
          <w:rFonts w:ascii="仿宋" w:hAnsi="仿宋" w:eastAsia="仿宋" w:cs="仿宋"/>
          <w:b/>
          <w:sz w:val="28"/>
          <w:szCs w:val="28"/>
        </w:rPr>
      </w:pPr>
      <w:bookmarkStart w:id="49" w:name="_Toc26121"/>
      <w:bookmarkStart w:id="50" w:name="_Toc7208"/>
      <w:bookmarkStart w:id="51" w:name="_Toc18624"/>
      <w:r>
        <w:rPr>
          <w:rFonts w:hint="eastAsia" w:ascii="仿宋" w:hAnsi="仿宋" w:eastAsia="仿宋" w:cs="仿宋"/>
          <w:b/>
          <w:sz w:val="28"/>
          <w:szCs w:val="28"/>
        </w:rPr>
        <w:t>一、采购文件由采购人解释。</w:t>
      </w:r>
      <w:bookmarkEnd w:id="49"/>
      <w:bookmarkEnd w:id="50"/>
      <w:bookmarkEnd w:id="51"/>
    </w:p>
    <w:p>
      <w:pPr>
        <w:wordWrap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获取采购文件后，应仔细检查采购文件的所有内容，如对政府采购活动事项有疑问的，应在获取采购文件开始之日起3日内以书面形式提出询问或疑问，未在规定期间内提出询问或疑问的，视同供应商理解并接受本采购文件所有内容，并由此引起的投标损失自负。</w:t>
      </w:r>
    </w:p>
    <w:p>
      <w:pPr>
        <w:wordWrap w:val="0"/>
        <w:adjustRightInd w:val="0"/>
        <w:snapToGrid w:val="0"/>
        <w:spacing w:line="360" w:lineRule="auto"/>
        <w:ind w:firstLine="560" w:firstLineChars="200"/>
        <w:rPr>
          <w:rFonts w:ascii="仿宋" w:hAnsi="仿宋" w:eastAsia="仿宋" w:cs="仿宋"/>
          <w:sz w:val="28"/>
          <w:szCs w:val="28"/>
        </w:rPr>
      </w:pPr>
      <w:bookmarkStart w:id="52" w:name="_Toc21167"/>
      <w:bookmarkStart w:id="53" w:name="_Toc7889"/>
      <w:bookmarkStart w:id="54" w:name="_Toc21844"/>
      <w:r>
        <w:rPr>
          <w:rFonts w:hint="eastAsia" w:ascii="仿宋" w:hAnsi="仿宋" w:eastAsia="仿宋" w:cs="仿宋"/>
          <w:sz w:val="28"/>
          <w:szCs w:val="28"/>
        </w:rPr>
        <w:t>2.供应商应认真审阅采购文件中所有的事项、格式、条款和规范要求等，如果供应商没有按照采购文件要求提交磋商响应文件，或者磋商响应文件没有对采购文件做出实质性响应，将被拒绝参与磋商。</w:t>
      </w:r>
      <w:bookmarkEnd w:id="52"/>
      <w:bookmarkEnd w:id="53"/>
      <w:bookmarkEnd w:id="54"/>
    </w:p>
    <w:p>
      <w:pPr>
        <w:snapToGrid w:val="0"/>
        <w:spacing w:line="360" w:lineRule="auto"/>
        <w:ind w:firstLine="562" w:firstLineChars="200"/>
        <w:outlineLvl w:val="1"/>
        <w:rPr>
          <w:rFonts w:ascii="仿宋" w:hAnsi="仿宋" w:eastAsia="仿宋" w:cs="仿宋"/>
          <w:b/>
          <w:sz w:val="28"/>
          <w:szCs w:val="28"/>
        </w:rPr>
      </w:pPr>
      <w:bookmarkStart w:id="55" w:name="_Toc29878"/>
      <w:bookmarkStart w:id="56" w:name="_Toc10843"/>
      <w:bookmarkStart w:id="57" w:name="_Toc19815"/>
      <w:r>
        <w:rPr>
          <w:rFonts w:hint="eastAsia" w:ascii="仿宋" w:hAnsi="仿宋" w:eastAsia="仿宋" w:cs="仿宋"/>
          <w:b/>
          <w:sz w:val="28"/>
          <w:szCs w:val="28"/>
        </w:rPr>
        <w:t>二、采购文件的澄清、修改、答疑</w:t>
      </w:r>
      <w:bookmarkEnd w:id="55"/>
      <w:bookmarkEnd w:id="56"/>
      <w:bookmarkEnd w:id="57"/>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2.采购文件的澄清、修改、补充等内容均以书面明确的形式发布，且以在南通市民政局网站发布的信息为准。</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 补充说明、澄清或修改的内容可能影响到响应文件编制的，代理机构将在首次提交磋商响应文件截止日5天前，发布补充说明、澄清或修改公告。不足5日的，应当顺延首次提交磋商响应文件截止之日。</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4.采购人对采购文件的澄清、修改将构成采购文件的一部分，对供应商具有约束力。</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5.除采购人以书面的形式对采购文件作出澄清、修改及补充，供应商对涉及采购文件的任何推论、理解和结论所造成的结果，均由响应磋商的供应商自负。</w:t>
      </w:r>
    </w:p>
    <w:p>
      <w:pPr>
        <w:wordWrap w:val="0"/>
        <w:snapToGrid w:val="0"/>
        <w:spacing w:line="360" w:lineRule="auto"/>
        <w:ind w:firstLine="560" w:firstLineChars="200"/>
        <w:rPr>
          <w:rFonts w:ascii="仿宋" w:hAnsi="仿宋" w:eastAsia="仿宋" w:cs="仿宋"/>
          <w:sz w:val="28"/>
          <w:szCs w:val="28"/>
        </w:rPr>
      </w:pPr>
      <w:bookmarkStart w:id="58" w:name="_Toc29237"/>
      <w:bookmarkStart w:id="59" w:name="_Toc12508"/>
      <w:bookmarkStart w:id="60" w:name="_Toc8163"/>
      <w:r>
        <w:rPr>
          <w:rFonts w:hint="eastAsia" w:ascii="仿宋" w:hAnsi="仿宋" w:eastAsia="仿宋" w:cs="仿宋"/>
          <w:sz w:val="28"/>
          <w:szCs w:val="28"/>
        </w:rPr>
        <w:t>6.采购单位视情组织答疑会。</w:t>
      </w:r>
      <w:bookmarkEnd w:id="58"/>
      <w:bookmarkEnd w:id="59"/>
      <w:bookmarkEnd w:id="60"/>
    </w:p>
    <w:p>
      <w:pPr>
        <w:snapToGrid w:val="0"/>
        <w:spacing w:line="360" w:lineRule="auto"/>
        <w:ind w:firstLine="562" w:firstLineChars="200"/>
        <w:outlineLvl w:val="1"/>
        <w:rPr>
          <w:rFonts w:ascii="仿宋" w:hAnsi="仿宋" w:eastAsia="仿宋" w:cs="仿宋"/>
          <w:b/>
          <w:sz w:val="28"/>
          <w:szCs w:val="28"/>
        </w:rPr>
      </w:pPr>
      <w:bookmarkStart w:id="61" w:name="_Toc28"/>
      <w:bookmarkStart w:id="62" w:name="_Toc14056"/>
      <w:bookmarkStart w:id="63" w:name="_Toc14413"/>
      <w:r>
        <w:rPr>
          <w:rFonts w:hint="eastAsia" w:ascii="仿宋" w:hAnsi="仿宋" w:eastAsia="仿宋" w:cs="仿宋"/>
          <w:b/>
          <w:sz w:val="28"/>
          <w:szCs w:val="28"/>
        </w:rPr>
        <w:t>三、投标报价</w:t>
      </w:r>
      <w:bookmarkEnd w:id="61"/>
      <w:bookmarkEnd w:id="62"/>
      <w:bookmarkEnd w:id="63"/>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1.一个标的只允许一个报价，不接受任何有选择性的报价。</w:t>
      </w:r>
    </w:p>
    <w:p>
      <w:pPr>
        <w:pStyle w:val="8"/>
        <w:snapToGrid w:val="0"/>
        <w:spacing w:after="0" w:line="360" w:lineRule="auto"/>
        <w:ind w:left="0" w:leftChars="0" w:firstLine="560" w:firstLineChars="200"/>
        <w:jc w:val="left"/>
        <w:rPr>
          <w:rFonts w:ascii="仿宋" w:hAnsi="仿宋" w:eastAsia="仿宋" w:cs="仿宋"/>
          <w:sz w:val="28"/>
          <w:szCs w:val="28"/>
        </w:rPr>
      </w:pPr>
      <w:r>
        <w:rPr>
          <w:rFonts w:hint="eastAsia" w:ascii="仿宋" w:hAnsi="仿宋" w:eastAsia="仿宋" w:cs="仿宋"/>
          <w:sz w:val="28"/>
          <w:szCs w:val="28"/>
          <w:highlight w:val="none"/>
        </w:rPr>
        <w:t>2.最后报价应包括磋商</w:t>
      </w:r>
      <w:r>
        <w:rPr>
          <w:rFonts w:hint="eastAsia" w:ascii="仿宋" w:hAnsi="仿宋" w:eastAsia="仿宋" w:cs="仿宋"/>
          <w:sz w:val="28"/>
          <w:szCs w:val="28"/>
        </w:rPr>
        <w:t>文件所确定的该项目的全部内容，包括响应及完成委托工作所需的一切费用，包含但不限于人工、材料、机械费、制作、安装、税费、运输、售后服务及相关劳务支出等工作所发生的全部费用以及供应商企业利润、税金和政策性文件规定及合同包含的所有风险、责任，即响应本采购文件规定的各项应有费用。</w:t>
      </w:r>
    </w:p>
    <w:p>
      <w:pPr>
        <w:pStyle w:val="8"/>
        <w:snapToGrid w:val="0"/>
        <w:spacing w:after="0" w:line="360" w:lineRule="auto"/>
        <w:ind w:left="0" w:leftChars="0" w:firstLine="560" w:firstLineChars="200"/>
        <w:jc w:val="left"/>
        <w:rPr>
          <w:rFonts w:ascii="仿宋" w:hAnsi="仿宋" w:eastAsia="仿宋" w:cs="仿宋"/>
          <w:b/>
          <w:sz w:val="28"/>
          <w:szCs w:val="28"/>
        </w:rPr>
      </w:pPr>
      <w:r>
        <w:rPr>
          <w:rFonts w:hint="eastAsia" w:ascii="仿宋" w:hAnsi="仿宋" w:eastAsia="仿宋" w:cs="仿宋"/>
          <w:sz w:val="28"/>
          <w:szCs w:val="28"/>
        </w:rPr>
        <w:t>3.最后报价将作为磋商小组评定成交供应商的组成依据。</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四、磋商响应文件的编写、份数和签署</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1.供应商按第七章“响应文件组成”编写磋商响应文件。</w:t>
      </w:r>
      <w:r>
        <w:rPr>
          <w:rFonts w:hint="eastAsia" w:ascii="仿宋" w:hAnsi="仿宋" w:eastAsia="仿宋" w:cs="仿宋"/>
          <w:sz w:val="28"/>
          <w:szCs w:val="28"/>
          <w:lang w:val="zh-CN"/>
        </w:rPr>
        <w:t>磋商响应文件规格幅面</w:t>
      </w:r>
      <w:r>
        <w:rPr>
          <w:rFonts w:hint="eastAsia" w:ascii="仿宋" w:hAnsi="仿宋" w:eastAsia="仿宋" w:cs="仿宋"/>
          <w:sz w:val="28"/>
          <w:szCs w:val="28"/>
        </w:rPr>
        <w:t>A4纸（图纸类等除外）；</w:t>
      </w:r>
      <w:r>
        <w:rPr>
          <w:rFonts w:hint="eastAsia" w:ascii="仿宋" w:hAnsi="仿宋" w:eastAsia="仿宋" w:cs="仿宋"/>
          <w:sz w:val="28"/>
          <w:szCs w:val="28"/>
          <w:lang w:val="zh-CN"/>
        </w:rPr>
        <w:t>按照采购文件所规定的内容顺序，逐页编码，由于编排混乱导致磋商响应文件被误读或查找不到，其责任应当由供应商承担；</w:t>
      </w:r>
      <w:r>
        <w:rPr>
          <w:rFonts w:hint="eastAsia" w:ascii="仿宋" w:hAnsi="仿宋" w:eastAsia="仿宋" w:cs="仿宋"/>
          <w:sz w:val="28"/>
          <w:szCs w:val="28"/>
        </w:rPr>
        <w:t>牢固装订成册，不允许使用活页夹、拉杆夹、文件夹、塑料方便式书脊（插入式或穿孔式）装订；磋商响应文件不得行间插字、涂改、增删，如需修补错漏处，须经磋商响应文件签署人签字并加盖公章。</w:t>
      </w:r>
    </w:p>
    <w:p>
      <w:pPr>
        <w:wordWrap w:val="0"/>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2.磋商响应文件（资格审查文件、商务技术文件、报价文件）封面上明确标注供应商全称、“正本”、“副本”字样。</w:t>
      </w:r>
      <w:r>
        <w:rPr>
          <w:rFonts w:hint="eastAsia" w:ascii="仿宋" w:hAnsi="仿宋" w:eastAsia="仿宋" w:cs="仿宋"/>
          <w:b/>
          <w:sz w:val="28"/>
          <w:szCs w:val="28"/>
        </w:rPr>
        <w:t>正本份数：1份，副本份数：2份。</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3.磋商响应文件正本须打印并由供应商法定代表人或授权人签字并加盖单位印章。副本可复印，但须加盖单位印章。</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五、磋商响应文件的密封及标记</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1.供应商须将本项目磋商响应文件：①资格审查文件、②商务技术文件、③报价文件分别单独密封提交。</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2.密封后，应在每一密封的响应文件密封袋封面上明确标注采购项目名称、对应的磋商响应文件名称、供应商全称及日期。</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3.在边缝处加盖单位骑缝章或骑缝签字。</w:t>
      </w:r>
    </w:p>
    <w:p>
      <w:pPr>
        <w:wordWrap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特别提醒：磋商响应文件中的资格审查文件和商务技术文的“正本”或“副本”中，均不得含有任何报价文件中的报价表（报价单）的内容，否则作无效磋商处理。采购代理机构将拒绝接收未按照磋商文件要求密封的响应文件。</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六、磋商响应文件的递交时间（邮寄或现场递交）</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1.供应商必须在</w:t>
      </w:r>
      <w:r>
        <w:rPr>
          <w:rFonts w:hint="eastAsia" w:ascii="仿宋" w:hAnsi="仿宋" w:eastAsia="仿宋" w:cs="仿宋"/>
          <w:b/>
          <w:bCs/>
          <w:sz w:val="28"/>
          <w:szCs w:val="28"/>
          <w:shd w:val="clear" w:color="auto" w:fill="FFFFFF" w:themeFill="background1"/>
        </w:rPr>
        <w:t>2022年06月</w:t>
      </w:r>
      <w:r>
        <w:rPr>
          <w:rFonts w:hint="eastAsia" w:ascii="仿宋" w:hAnsi="仿宋" w:eastAsia="仿宋" w:cs="仿宋"/>
          <w:b/>
          <w:bCs/>
          <w:sz w:val="28"/>
          <w:szCs w:val="28"/>
          <w:shd w:val="clear" w:color="auto" w:fill="FFFFFF" w:themeFill="background1"/>
          <w:lang w:val="en-US" w:eastAsia="zh-CN"/>
        </w:rPr>
        <w:t>27</w:t>
      </w:r>
      <w:r>
        <w:rPr>
          <w:rFonts w:hint="eastAsia" w:ascii="仿宋" w:hAnsi="仿宋" w:eastAsia="仿宋" w:cs="仿宋"/>
          <w:b/>
          <w:bCs/>
          <w:sz w:val="28"/>
          <w:szCs w:val="28"/>
          <w:shd w:val="clear" w:color="auto" w:fill="FFFFFF" w:themeFill="background1"/>
        </w:rPr>
        <w:t>日</w:t>
      </w:r>
      <w:r>
        <w:rPr>
          <w:rFonts w:hint="eastAsia" w:ascii="仿宋" w:hAnsi="仿宋" w:eastAsia="仿宋" w:cs="仿宋"/>
          <w:b/>
          <w:bCs/>
          <w:sz w:val="28"/>
          <w:szCs w:val="28"/>
          <w:shd w:val="clear" w:color="auto" w:fill="FFFFFF" w:themeFill="background1"/>
          <w:lang w:val="en-US" w:eastAsia="zh-CN"/>
        </w:rPr>
        <w:t>14</w:t>
      </w:r>
      <w:r>
        <w:rPr>
          <w:rFonts w:hint="eastAsia" w:ascii="仿宋" w:hAnsi="仿宋" w:eastAsia="仿宋" w:cs="仿宋"/>
          <w:b/>
          <w:bCs/>
          <w:sz w:val="28"/>
          <w:szCs w:val="28"/>
          <w:shd w:val="clear" w:color="auto" w:fill="FFFFFF" w:themeFill="background1"/>
        </w:rPr>
        <w:t>时</w:t>
      </w:r>
      <w:r>
        <w:rPr>
          <w:rFonts w:hint="eastAsia" w:ascii="仿宋" w:hAnsi="仿宋" w:eastAsia="仿宋" w:cs="仿宋"/>
          <w:b/>
          <w:bCs/>
          <w:sz w:val="28"/>
          <w:szCs w:val="28"/>
          <w:shd w:val="clear" w:color="auto" w:fill="FFFFFF" w:themeFill="background1"/>
          <w:lang w:val="en-US" w:eastAsia="zh-CN"/>
        </w:rPr>
        <w:t>00</w:t>
      </w:r>
      <w:r>
        <w:rPr>
          <w:rFonts w:hint="eastAsia" w:ascii="仿宋" w:hAnsi="仿宋" w:eastAsia="仿宋" w:cs="仿宋"/>
          <w:b/>
          <w:bCs/>
          <w:sz w:val="28"/>
          <w:szCs w:val="28"/>
          <w:shd w:val="clear" w:color="auto" w:fill="FFFFFF" w:themeFill="background1"/>
        </w:rPr>
        <w:t>分</w:t>
      </w:r>
      <w:r>
        <w:rPr>
          <w:rFonts w:hint="eastAsia" w:ascii="仿宋" w:hAnsi="仿宋" w:eastAsia="仿宋" w:cs="仿宋"/>
          <w:b/>
          <w:bCs/>
          <w:sz w:val="28"/>
          <w:szCs w:val="28"/>
        </w:rPr>
        <w:t>前</w:t>
      </w:r>
      <w:r>
        <w:rPr>
          <w:rFonts w:hint="eastAsia" w:ascii="仿宋" w:hAnsi="仿宋" w:eastAsia="仿宋" w:cs="仿宋"/>
          <w:sz w:val="28"/>
          <w:szCs w:val="28"/>
        </w:rPr>
        <w:t>，将磋商响应文件送达指定地点，拒绝接收在截止时间后递交的磋商响应文件。</w:t>
      </w:r>
    </w:p>
    <w:p>
      <w:pPr>
        <w:wordWrap w:val="0"/>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2.地点：</w:t>
      </w:r>
      <w:r>
        <w:rPr>
          <w:rFonts w:hint="eastAsia" w:ascii="仿宋" w:hAnsi="仿宋" w:eastAsia="仿宋" w:cs="仿宋"/>
          <w:b/>
          <w:bCs/>
          <w:color w:val="000000"/>
          <w:spacing w:val="7"/>
          <w:sz w:val="28"/>
          <w:szCs w:val="28"/>
          <w:u w:val="single"/>
          <w:shd w:val="clear" w:color="auto" w:fill="FFFFFF"/>
        </w:rPr>
        <w:t>崇川区崇川路58号，南通产业技术研究院有限公司九号楼十楼A1003，江苏中润工程建设咨询有限公司开标室，如有变动另行通知。</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3.磋商响应文件必须在规定的接收截止时间前送达采购人。采购人将拒绝接收在投标截止时间后递交的磋商响应文件。</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七、磋商保证金</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1.本次项目不收取磋商保证金。</w:t>
      </w:r>
    </w:p>
    <w:p>
      <w:pPr>
        <w:wordWrap w:val="0"/>
        <w:spacing w:line="360" w:lineRule="auto"/>
        <w:ind w:firstLine="562" w:firstLineChars="200"/>
        <w:rPr>
          <w:rFonts w:ascii="仿宋" w:hAnsi="仿宋" w:eastAsia="仿宋" w:cs="仿宋"/>
          <w:sz w:val="28"/>
          <w:szCs w:val="28"/>
        </w:rPr>
      </w:pPr>
      <w:bookmarkStart w:id="64" w:name="_Toc22858"/>
      <w:bookmarkStart w:id="65" w:name="_Toc16234"/>
      <w:bookmarkStart w:id="66" w:name="_Toc28643"/>
      <w:r>
        <w:rPr>
          <w:rFonts w:hint="eastAsia" w:ascii="仿宋" w:hAnsi="仿宋" w:eastAsia="仿宋" w:cs="仿宋"/>
          <w:b/>
          <w:sz w:val="28"/>
          <w:szCs w:val="28"/>
        </w:rPr>
        <w:t>八、付款方式</w:t>
      </w:r>
      <w:bookmarkEnd w:id="64"/>
      <w:bookmarkEnd w:id="65"/>
      <w:bookmarkEnd w:id="66"/>
    </w:p>
    <w:p>
      <w:pPr>
        <w:wordWrap w:val="0"/>
        <w:snapToGrid w:val="0"/>
        <w:spacing w:line="360" w:lineRule="auto"/>
        <w:ind w:firstLine="560" w:firstLineChars="200"/>
        <w:rPr>
          <w:rFonts w:ascii="仿宋" w:hAnsi="仿宋" w:eastAsia="仿宋" w:cs="仿宋"/>
          <w:sz w:val="28"/>
          <w:szCs w:val="28"/>
          <w:lang w:val="zh-CN"/>
        </w:rPr>
      </w:pPr>
      <w:bookmarkStart w:id="67" w:name="_Toc7795"/>
      <w:bookmarkStart w:id="68" w:name="_Toc4357"/>
      <w:bookmarkStart w:id="69" w:name="_Toc26822"/>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）由招标人支付，货款每三个月结算一次，根据订货产品进货价（</w:t>
      </w:r>
      <w:r>
        <w:rPr>
          <w:rFonts w:hint="eastAsia" w:ascii="仿宋" w:hAnsi="仿宋" w:eastAsia="仿宋" w:cs="仿宋"/>
          <w:sz w:val="28"/>
          <w:szCs w:val="28"/>
        </w:rPr>
        <w:t>中标价</w:t>
      </w:r>
      <w:r>
        <w:rPr>
          <w:rFonts w:hint="eastAsia" w:ascii="仿宋" w:hAnsi="仿宋" w:eastAsia="仿宋" w:cs="仿宋"/>
          <w:sz w:val="28"/>
          <w:szCs w:val="28"/>
          <w:lang w:val="zh-CN"/>
        </w:rPr>
        <w:t>）和实际销售数量据实结算。中标人凭</w:t>
      </w:r>
      <w:r>
        <w:rPr>
          <w:rFonts w:hint="eastAsia" w:ascii="仿宋" w:hAnsi="仿宋" w:eastAsia="仿宋" w:cs="仿宋"/>
          <w:sz w:val="28"/>
          <w:szCs w:val="28"/>
        </w:rPr>
        <w:t>有效完税</w:t>
      </w:r>
      <w:r>
        <w:rPr>
          <w:rFonts w:hint="eastAsia" w:ascii="仿宋" w:hAnsi="仿宋" w:eastAsia="仿宋" w:cs="仿宋"/>
          <w:sz w:val="28"/>
          <w:szCs w:val="28"/>
          <w:lang w:val="zh-CN"/>
        </w:rPr>
        <w:t>发票和招标人</w:t>
      </w:r>
      <w:r>
        <w:rPr>
          <w:rFonts w:hint="eastAsia" w:ascii="仿宋" w:hAnsi="仿宋" w:eastAsia="仿宋" w:cs="仿宋"/>
          <w:sz w:val="28"/>
          <w:szCs w:val="28"/>
        </w:rPr>
        <w:t>确认的</w:t>
      </w:r>
      <w:r>
        <w:rPr>
          <w:rFonts w:hint="eastAsia" w:ascii="仿宋" w:hAnsi="仿宋" w:eastAsia="仿宋" w:cs="仿宋"/>
          <w:sz w:val="28"/>
          <w:szCs w:val="28"/>
          <w:lang w:val="zh-CN"/>
        </w:rPr>
        <w:t>销售清单结算。</w:t>
      </w:r>
    </w:p>
    <w:p>
      <w:pPr>
        <w:wordWrap w:val="0"/>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）最终以双方签订的采购合同内确定的条款为准执行。</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九、投标费用</w:t>
      </w:r>
      <w:bookmarkEnd w:id="67"/>
      <w:bookmarkEnd w:id="68"/>
      <w:bookmarkEnd w:id="69"/>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无论</w:t>
      </w:r>
      <w:r>
        <w:rPr>
          <w:rFonts w:hint="eastAsia" w:ascii="仿宋" w:hAnsi="仿宋" w:eastAsia="仿宋" w:cs="仿宋"/>
          <w:sz w:val="28"/>
          <w:szCs w:val="28"/>
        </w:rPr>
        <w:t>磋商</w:t>
      </w:r>
      <w:r>
        <w:rPr>
          <w:rFonts w:hint="eastAsia" w:ascii="仿宋" w:hAnsi="仿宋" w:eastAsia="仿宋" w:cs="仿宋"/>
          <w:sz w:val="28"/>
          <w:szCs w:val="28"/>
          <w:lang w:val="zh-CN"/>
        </w:rPr>
        <w:t>过程和结果如何，参加询价的响应人自行承担与本次项目</w:t>
      </w:r>
      <w:r>
        <w:rPr>
          <w:rFonts w:hint="eastAsia" w:ascii="仿宋" w:hAnsi="仿宋" w:eastAsia="仿宋" w:cs="仿宋"/>
          <w:sz w:val="28"/>
          <w:szCs w:val="28"/>
        </w:rPr>
        <w:t>磋商</w:t>
      </w:r>
      <w:r>
        <w:rPr>
          <w:rFonts w:hint="eastAsia" w:ascii="仿宋" w:hAnsi="仿宋" w:eastAsia="仿宋" w:cs="仿宋"/>
          <w:sz w:val="28"/>
          <w:szCs w:val="28"/>
          <w:lang w:val="zh-CN"/>
        </w:rPr>
        <w:t>有关的全部费用。</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本项目</w:t>
      </w:r>
      <w:r>
        <w:rPr>
          <w:rFonts w:hint="eastAsia" w:ascii="仿宋" w:hAnsi="仿宋" w:eastAsia="仿宋" w:cs="仿宋"/>
          <w:sz w:val="28"/>
          <w:szCs w:val="28"/>
        </w:rPr>
        <w:t>磋商</w:t>
      </w:r>
      <w:r>
        <w:rPr>
          <w:rFonts w:hint="eastAsia" w:ascii="仿宋" w:hAnsi="仿宋" w:eastAsia="仿宋" w:cs="仿宋"/>
          <w:sz w:val="28"/>
          <w:szCs w:val="28"/>
          <w:lang w:val="zh-CN"/>
        </w:rPr>
        <w:t>文件费</w:t>
      </w:r>
      <w:r>
        <w:rPr>
          <w:rFonts w:hint="eastAsia" w:ascii="仿宋" w:hAnsi="仿宋" w:eastAsia="仿宋" w:cs="仿宋"/>
          <w:sz w:val="28"/>
          <w:szCs w:val="28"/>
        </w:rPr>
        <w:t>300</w:t>
      </w:r>
      <w:r>
        <w:rPr>
          <w:rFonts w:hint="eastAsia" w:ascii="仿宋" w:hAnsi="仿宋" w:eastAsia="仿宋" w:cs="仿宋"/>
          <w:sz w:val="28"/>
          <w:szCs w:val="28"/>
          <w:lang w:val="zh-CN"/>
        </w:rPr>
        <w:t>元</w:t>
      </w:r>
      <w:r>
        <w:rPr>
          <w:rFonts w:hint="eastAsia" w:ascii="仿宋" w:hAnsi="仿宋" w:eastAsia="仿宋" w:cs="仿宋"/>
          <w:sz w:val="28"/>
          <w:szCs w:val="28"/>
        </w:rPr>
        <w:t>/份</w:t>
      </w:r>
      <w:r>
        <w:rPr>
          <w:rFonts w:hint="eastAsia" w:ascii="仿宋" w:hAnsi="仿宋" w:eastAsia="仿宋" w:cs="仿宋"/>
          <w:sz w:val="28"/>
          <w:szCs w:val="28"/>
          <w:lang w:val="zh-CN"/>
        </w:rPr>
        <w:t>，</w:t>
      </w:r>
      <w:r>
        <w:rPr>
          <w:rFonts w:hint="eastAsia" w:ascii="仿宋" w:hAnsi="仿宋" w:eastAsia="仿宋" w:cs="仿宋"/>
          <w:sz w:val="28"/>
          <w:szCs w:val="28"/>
        </w:rPr>
        <w:t>开标时以微信转账的形式</w:t>
      </w:r>
      <w:r>
        <w:rPr>
          <w:rFonts w:hint="eastAsia" w:ascii="仿宋" w:hAnsi="仿宋" w:eastAsia="仿宋" w:cs="仿宋"/>
          <w:sz w:val="28"/>
          <w:szCs w:val="28"/>
          <w:lang w:val="zh-CN"/>
        </w:rPr>
        <w:t>支付给代理机构，无论成交与否不予退还。</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3.本项目采购代理费按照发改价格[2</w:t>
      </w:r>
      <w:r>
        <w:rPr>
          <w:rFonts w:hint="eastAsia" w:ascii="仿宋" w:hAnsi="仿宋" w:eastAsia="仿宋" w:cs="仿宋"/>
          <w:sz w:val="28"/>
          <w:szCs w:val="28"/>
          <w:lang w:val="en-US" w:eastAsia="zh-CN"/>
        </w:rPr>
        <w:t>011</w:t>
      </w:r>
      <w:r>
        <w:rPr>
          <w:rFonts w:hint="eastAsia" w:ascii="仿宋" w:hAnsi="仿宋" w:eastAsia="仿宋" w:cs="仿宋"/>
          <w:sz w:val="28"/>
          <w:szCs w:val="28"/>
        </w:rPr>
        <w:t>]</w:t>
      </w:r>
      <w:r>
        <w:rPr>
          <w:rFonts w:hint="eastAsia" w:ascii="仿宋" w:hAnsi="仿宋" w:eastAsia="仿宋" w:cs="仿宋"/>
          <w:sz w:val="28"/>
          <w:szCs w:val="28"/>
          <w:lang w:val="en-US" w:eastAsia="zh-CN"/>
        </w:rPr>
        <w:t>534</w:t>
      </w:r>
      <w:r>
        <w:rPr>
          <w:rFonts w:hint="eastAsia" w:ascii="仿宋" w:hAnsi="仿宋" w:eastAsia="仿宋" w:cs="仿宋"/>
          <w:sz w:val="28"/>
          <w:szCs w:val="28"/>
        </w:rPr>
        <w:t>号文68%标准计收，不足1000元的按1000元收取。评委费按南通市财政局通财购[2018]18号文标准，按实收取。</w:t>
      </w:r>
      <w:r>
        <w:rPr>
          <w:rFonts w:hint="eastAsia" w:ascii="仿宋" w:hAnsi="仿宋" w:eastAsia="仿宋" w:cs="仿宋"/>
          <w:sz w:val="28"/>
          <w:szCs w:val="28"/>
          <w:lang w:val="zh-CN"/>
        </w:rPr>
        <w:t>投标供应商在投标报价时须考虑此费用的支出，采购人</w:t>
      </w:r>
      <w:bookmarkStart w:id="98" w:name="_GoBack"/>
      <w:bookmarkEnd w:id="98"/>
      <w:r>
        <w:rPr>
          <w:rFonts w:hint="eastAsia" w:ascii="仿宋" w:hAnsi="仿宋" w:eastAsia="仿宋" w:cs="仿宋"/>
          <w:sz w:val="28"/>
          <w:szCs w:val="28"/>
          <w:lang w:val="zh-CN"/>
        </w:rPr>
        <w:t>不另行支付此部分费用（</w:t>
      </w:r>
      <w:r>
        <w:rPr>
          <w:rFonts w:hint="eastAsia" w:ascii="仿宋" w:hAnsi="仿宋" w:eastAsia="仿宋" w:cs="仿宋"/>
          <w:sz w:val="28"/>
          <w:szCs w:val="28"/>
        </w:rPr>
        <w:t>不单列</w:t>
      </w:r>
      <w:r>
        <w:rPr>
          <w:rFonts w:hint="eastAsia" w:ascii="仿宋" w:hAnsi="仿宋" w:eastAsia="仿宋" w:cs="仿宋"/>
          <w:sz w:val="28"/>
          <w:szCs w:val="28"/>
          <w:lang w:val="zh-CN"/>
        </w:rPr>
        <w:t>）。</w:t>
      </w:r>
    </w:p>
    <w:p>
      <w:pPr>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代理费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评委费</w:t>
      </w:r>
      <w:r>
        <w:rPr>
          <w:rFonts w:hint="eastAsia" w:ascii="仿宋" w:hAnsi="仿宋" w:eastAsia="仿宋" w:cs="仿宋"/>
          <w:sz w:val="28"/>
          <w:szCs w:val="28"/>
        </w:rPr>
        <w:t>定标后由中标候选人以微信转账的形式支付给代理机构。</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4.磋商</w:t>
      </w:r>
      <w:r>
        <w:rPr>
          <w:rFonts w:hint="eastAsia" w:ascii="仿宋" w:hAnsi="仿宋" w:eastAsia="仿宋" w:cs="仿宋"/>
          <w:sz w:val="28"/>
          <w:szCs w:val="28"/>
          <w:lang w:val="zh-CN"/>
        </w:rPr>
        <w:t>文件未列明，而投标供应商认为必需的费用也需列入报价。</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十、未尽事宜</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按《中华人民共和国政府采购法》及《政府采购竞争性磋商采购方式管理暂行办法》与其他有关法律法规的规定执行。</w:t>
      </w:r>
    </w:p>
    <w:p>
      <w:pPr>
        <w:wordWrap w:val="0"/>
        <w:spacing w:line="360" w:lineRule="auto"/>
        <w:ind w:firstLine="480" w:firstLineChars="200"/>
        <w:rPr>
          <w:rFonts w:ascii="宋体" w:hAnsi="宋体" w:eastAsia="宋体" w:cstheme="minorEastAsia"/>
          <w:sz w:val="24"/>
          <w:szCs w:val="24"/>
        </w:rPr>
      </w:pPr>
    </w:p>
    <w:p>
      <w:pPr>
        <w:wordWrap w:val="0"/>
        <w:spacing w:line="360" w:lineRule="auto"/>
        <w:ind w:firstLine="480" w:firstLineChars="200"/>
        <w:rPr>
          <w:rFonts w:ascii="宋体" w:hAnsi="宋体" w:eastAsia="宋体" w:cstheme="minorEastAsia"/>
          <w:sz w:val="24"/>
          <w:szCs w:val="24"/>
        </w:rPr>
      </w:pPr>
    </w:p>
    <w:p>
      <w:pPr>
        <w:wordWrap w:val="0"/>
        <w:spacing w:line="360" w:lineRule="auto"/>
        <w:ind w:firstLine="480" w:firstLineChars="200"/>
        <w:rPr>
          <w:rFonts w:ascii="宋体" w:hAnsi="宋体" w:eastAsia="宋体" w:cstheme="minorEastAsia"/>
          <w:sz w:val="24"/>
          <w:szCs w:val="24"/>
        </w:rPr>
        <w:sectPr>
          <w:headerReference r:id="rId6" w:type="default"/>
          <w:footerReference r:id="rId7" w:type="default"/>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Fonts w:ascii="仿宋" w:hAnsi="仿宋" w:eastAsia="仿宋" w:cs="仿宋"/>
          <w:b/>
          <w:sz w:val="36"/>
          <w:szCs w:val="36"/>
        </w:rPr>
      </w:pPr>
      <w:bookmarkStart w:id="70" w:name="_Toc23515"/>
      <w:bookmarkStart w:id="71" w:name="_Toc40780961"/>
      <w:bookmarkStart w:id="72" w:name="_Toc6107"/>
      <w:r>
        <w:rPr>
          <w:rFonts w:hint="eastAsia" w:ascii="仿宋" w:hAnsi="仿宋" w:eastAsia="仿宋" w:cs="仿宋"/>
          <w:b/>
          <w:sz w:val="36"/>
          <w:szCs w:val="36"/>
        </w:rPr>
        <w:t>第三章  项目需求</w:t>
      </w:r>
      <w:bookmarkEnd w:id="70"/>
      <w:bookmarkEnd w:id="71"/>
      <w:bookmarkEnd w:id="72"/>
    </w:p>
    <w:p>
      <w:pPr>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一、项目需求：</w:t>
      </w:r>
    </w:p>
    <w:p>
      <w:pPr>
        <w:spacing w:line="540" w:lineRule="exact"/>
        <w:ind w:firstLine="562" w:firstLineChars="200"/>
        <w:rPr>
          <w:rFonts w:ascii="仿宋" w:hAnsi="仿宋" w:eastAsia="仿宋" w:cs="仿宋"/>
          <w:b/>
          <w:bCs/>
          <w:sz w:val="28"/>
          <w:szCs w:val="28"/>
        </w:rPr>
      </w:pPr>
      <w:bookmarkStart w:id="73" w:name="_Toc4788"/>
      <w:bookmarkStart w:id="74" w:name="_Toc6451"/>
      <w:bookmarkStart w:id="75" w:name="_Toc40780962"/>
      <w:r>
        <w:rPr>
          <w:rFonts w:hint="eastAsia" w:ascii="仿宋" w:hAnsi="仿宋" w:eastAsia="仿宋" w:cs="仿宋"/>
          <w:b/>
          <w:bCs/>
          <w:sz w:val="28"/>
          <w:szCs w:val="28"/>
        </w:rPr>
        <w:t>本项目分为两个标段：</w:t>
      </w:r>
    </w:p>
    <w:p>
      <w:pPr>
        <w:spacing w:line="540" w:lineRule="exact"/>
        <w:ind w:firstLine="562" w:firstLineChars="200"/>
        <w:rPr>
          <w:rFonts w:ascii="仿宋" w:hAnsi="仿宋" w:eastAsia="仿宋" w:cs="仿宋"/>
          <w:sz w:val="28"/>
          <w:szCs w:val="28"/>
        </w:rPr>
      </w:pPr>
      <w:r>
        <w:rPr>
          <w:rFonts w:hint="eastAsia" w:ascii="仿宋" w:hAnsi="仿宋" w:eastAsia="仿宋" w:cs="仿宋"/>
          <w:b/>
          <w:bCs/>
          <w:sz w:val="28"/>
          <w:szCs w:val="28"/>
        </w:rPr>
        <w:t>标段1：紫砂骨灰盒：</w:t>
      </w:r>
      <w:r>
        <w:rPr>
          <w:rFonts w:hint="eastAsia" w:ascii="仿宋" w:hAnsi="仿宋" w:eastAsia="仿宋" w:cs="仿宋"/>
          <w:sz w:val="28"/>
          <w:szCs w:val="28"/>
        </w:rPr>
        <w:t>取材于紫砂陶土，经1200℃高温烧制，具红、黄、紫、兰、青等天然颜色。其产品具有透气性，静置期内会自动包浆，存放越久越光鲜。不龟裂，不变形，不褪色。</w:t>
      </w:r>
    </w:p>
    <w:p>
      <w:pPr>
        <w:spacing w:line="540" w:lineRule="exact"/>
        <w:ind w:firstLine="562" w:firstLineChars="200"/>
        <w:rPr>
          <w:rFonts w:ascii="仿宋" w:hAnsi="仿宋" w:eastAsia="仿宋" w:cs="仿宋"/>
          <w:sz w:val="28"/>
          <w:szCs w:val="28"/>
        </w:rPr>
      </w:pPr>
      <w:r>
        <w:rPr>
          <w:rFonts w:hint="eastAsia" w:ascii="仿宋" w:hAnsi="仿宋" w:eastAsia="仿宋" w:cs="仿宋"/>
          <w:b/>
          <w:bCs/>
          <w:sz w:val="28"/>
          <w:szCs w:val="28"/>
        </w:rPr>
        <w:t>标段2：紫砂金箔骨灰盒：</w:t>
      </w:r>
      <w:r>
        <w:rPr>
          <w:rFonts w:hint="eastAsia" w:ascii="仿宋" w:hAnsi="仿宋" w:eastAsia="仿宋" w:cs="仿宋"/>
          <w:sz w:val="28"/>
          <w:szCs w:val="28"/>
        </w:rPr>
        <w:t>紫砂陶土，经高温烧制，以含量98%以上（需提供权威部门的检验检测报告）的金箔进行外表装饰。图案应均匀清晰、层次分明、形象美观、表面光滑，对称部位应对称，</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每件产品均应经本厂检验部门检验合格后方可出厂，出厂时应附有证明产品质量合格的文件。</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1.吸水率：应在2.5%-6.0%</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2.抗热震性：180℃至20℃水中热交换一次裂。</w:t>
      </w:r>
    </w:p>
    <w:p>
      <w:pPr>
        <w:spacing w:line="54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3.紫砂骨灰盒产品的尺寸：</w:t>
      </w:r>
      <w:r>
        <w:rPr>
          <w:rFonts w:hint="eastAsia" w:ascii="仿宋" w:hAnsi="仿宋" w:eastAsia="仿宋" w:cs="仿宋"/>
          <w:sz w:val="28"/>
          <w:szCs w:val="28"/>
          <w:lang w:val="zh-CN"/>
        </w:rPr>
        <w:t>外径：长≤300 mm *宽≤200mm*高≤210mm</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4.紫砂骨灰盒的上盖与盒体的上口应吻合，口盖比例协调，平整不翘，口盖之间有0.1至0.2公分的来去。</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5.紫砂骨灰盒重量4.5公斤左右。</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6.成套产品的色泽应基本一致。</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7.紫砂骨灰盒产品不许有渗漏磕碰缺陷。</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8.所有产品的表面装饰雕刻图案清晰，部位对称，雕刻后不应降低雕刻面使用强度，不影响其使用性能。</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9.产品的外观质量按表1规定的缺陷范围分级，并须符合下列规定：</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优等品每件产品不得超过二种缺陷；</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合格品每件产品不得超过三种缺陷。</w:t>
      </w:r>
    </w:p>
    <w:tbl>
      <w:tblPr>
        <w:tblStyle w:val="19"/>
        <w:tblpPr w:leftFromText="180" w:rightFromText="180" w:vertAnchor="text" w:horzAnchor="page" w:tblpX="1147" w:tblpY="127"/>
        <w:tblOverlap w:val="never"/>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275"/>
        <w:gridCol w:w="1301"/>
        <w:gridCol w:w="3650"/>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缺陷名称</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测定单位</w:t>
            </w:r>
          </w:p>
        </w:tc>
        <w:tc>
          <w:tcPr>
            <w:tcW w:w="365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优等品</w:t>
            </w:r>
          </w:p>
        </w:tc>
        <w:tc>
          <w:tcPr>
            <w:tcW w:w="2922"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变形</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小于2.5</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斑点</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小于1.5限3个</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小于1.5限4个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3</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坯爆</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不允许</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小于1.0限4个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4</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溶洞</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不允许</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小于1.0限4个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5</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裂纹</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不允许</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显见面不允许，非显见面小于6.0限1条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6</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疙瘩</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小于3.0限1个</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小于4.0限2个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7</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磕碰</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显见面不允许，非显见面8.0限1个</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显见面不允许，非显见面小于10.0限1个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8</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烟熏</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mm²</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不允许</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7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9</w:t>
            </w:r>
          </w:p>
        </w:tc>
        <w:tc>
          <w:tcPr>
            <w:tcW w:w="1275"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色脏</w:t>
            </w:r>
          </w:p>
        </w:tc>
        <w:tc>
          <w:tcPr>
            <w:tcW w:w="1301"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mm²</w:t>
            </w:r>
          </w:p>
        </w:tc>
        <w:tc>
          <w:tcPr>
            <w:tcW w:w="3650"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显见面小于3.0限1个；非显见面小于6.0限1个</w:t>
            </w:r>
          </w:p>
        </w:tc>
        <w:tc>
          <w:tcPr>
            <w:tcW w:w="2922" w:type="dxa"/>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显见面小于4.0限1个；非显见面小于8.0限1个</w:t>
            </w:r>
          </w:p>
        </w:tc>
      </w:tr>
    </w:tbl>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10</w:t>
      </w:r>
      <w:r>
        <w:rPr>
          <w:rFonts w:hint="eastAsia" w:ascii="仿宋" w:hAnsi="仿宋" w:eastAsia="仿宋" w:cs="仿宋"/>
          <w:sz w:val="28"/>
          <w:szCs w:val="28"/>
          <w:lang w:val="zh-CN"/>
        </w:rPr>
        <w:t>.其他要求：</w:t>
      </w:r>
    </w:p>
    <w:p>
      <w:pPr>
        <w:spacing w:line="460" w:lineRule="exact"/>
        <w:ind w:firstLine="560" w:firstLineChars="200"/>
        <w:rPr>
          <w:rFonts w:ascii="仿宋" w:hAnsi="仿宋" w:eastAsia="仿宋" w:cs="仿宋"/>
          <w:b/>
          <w:bCs/>
          <w:sz w:val="28"/>
          <w:szCs w:val="28"/>
        </w:rPr>
      </w:pPr>
      <w:r>
        <w:rPr>
          <w:rFonts w:hint="eastAsia" w:ascii="仿宋" w:hAnsi="仿宋" w:eastAsia="仿宋" w:cs="仿宋"/>
          <w:sz w:val="28"/>
          <w:szCs w:val="28"/>
          <w:lang w:val="zh-CN"/>
        </w:rPr>
        <w:t>保证骨灰能装完,规格尺寸可按招标人要求调整。</w:t>
      </w:r>
    </w:p>
    <w:p>
      <w:pPr>
        <w:pStyle w:val="3"/>
        <w:spacing w:line="460" w:lineRule="exact"/>
        <w:ind w:firstLine="281" w:firstLineChars="100"/>
        <w:jc w:val="both"/>
        <w:outlineLvl w:val="0"/>
        <w:rPr>
          <w:rFonts w:ascii="仿宋" w:hAnsi="仿宋" w:eastAsia="仿宋" w:cs="仿宋"/>
          <w:b/>
          <w:sz w:val="36"/>
          <w:szCs w:val="36"/>
        </w:rPr>
      </w:pPr>
      <w:r>
        <w:rPr>
          <w:rFonts w:hint="eastAsia" w:ascii="仿宋" w:hAnsi="仿宋" w:eastAsia="仿宋" w:cs="仿宋"/>
          <w:b/>
          <w:bCs/>
          <w:sz w:val="28"/>
          <w:szCs w:val="28"/>
        </w:rPr>
        <w:t>二、供货方式：</w:t>
      </w:r>
      <w:r>
        <w:rPr>
          <w:rFonts w:hint="eastAsia" w:ascii="仿宋" w:hAnsi="仿宋" w:eastAsia="仿宋" w:cs="仿宋"/>
          <w:sz w:val="28"/>
          <w:szCs w:val="28"/>
        </w:rPr>
        <w:t>采购货物为招标人代销制，招标人不保证成交的最低采购量；合同到期后未售货物，无条件退回中标人，招标人不支付任何费用。</w:t>
      </w:r>
    </w:p>
    <w:p>
      <w:pPr>
        <w:pStyle w:val="3"/>
        <w:spacing w:line="460" w:lineRule="exact"/>
        <w:ind w:firstLine="281" w:firstLineChars="100"/>
        <w:jc w:val="both"/>
        <w:outlineLvl w:val="0"/>
        <w:rPr>
          <w:rFonts w:ascii="仿宋" w:hAnsi="仿宋" w:eastAsia="仿宋" w:cs="仿宋"/>
          <w:sz w:val="28"/>
          <w:szCs w:val="28"/>
        </w:rPr>
      </w:pPr>
      <w:r>
        <w:rPr>
          <w:rFonts w:hint="eastAsia" w:ascii="仿宋" w:hAnsi="仿宋" w:eastAsia="仿宋" w:cs="仿宋"/>
          <w:b/>
          <w:bCs/>
          <w:sz w:val="28"/>
          <w:szCs w:val="28"/>
        </w:rPr>
        <w:t>三.质保期限（自交货之日起计）：</w:t>
      </w:r>
      <w:r>
        <w:rPr>
          <w:rFonts w:hint="eastAsia" w:ascii="仿宋" w:hAnsi="仿宋" w:eastAsia="仿宋" w:cs="仿宋"/>
          <w:sz w:val="28"/>
          <w:szCs w:val="28"/>
        </w:rPr>
        <w:t>自验收合格之日起至少1年。</w:t>
      </w:r>
    </w:p>
    <w:p>
      <w:pPr>
        <w:spacing w:line="540" w:lineRule="exact"/>
        <w:ind w:firstLine="281" w:firstLineChars="100"/>
        <w:rPr>
          <w:rFonts w:ascii="仿宋" w:hAnsi="仿宋" w:eastAsia="仿宋" w:cs="仿宋"/>
          <w:b/>
          <w:bCs/>
          <w:sz w:val="28"/>
          <w:szCs w:val="28"/>
        </w:rPr>
      </w:pPr>
      <w:r>
        <w:rPr>
          <w:rFonts w:hint="eastAsia" w:ascii="仿宋" w:hAnsi="仿宋" w:eastAsia="仿宋" w:cs="仿宋"/>
          <w:b/>
          <w:bCs/>
          <w:sz w:val="28"/>
          <w:szCs w:val="28"/>
        </w:rPr>
        <w:t>四.采购标的需满足的服务标准、期限、效率等要求</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1.货物到达现场后，中标人应在使用单位人员在场情况下当面开箱，共同清点、检查外观，作出开箱记录，双方签字确认，招标人在送货单签字并留存一份。</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2.中标人应保证货物到达招标人所在地完好无损，如有缺漏、损坏，由中标人负责调换、补齐或赔偿。</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3.中标人保证所供货物全新、正宗、原包装，并提供使用说明书、合格证等相关资料。</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4.中标人提供的货物未达到招标文件规定要求，且对招标人造成损失的，由中标人承担一切责任，并赔偿所造成的损失。</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5.招标人需要制造商对中标人交付的产品（包括质量、技术参数等）进行确认的，制造商应予以配合，并出具书面意见。</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6.产品包装材料归招标人所有。</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五、其他</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1.中标人不得将中标项目转包他人，一经发现，招标人有权解除合同并且不承担赔偿责任。</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2.中标人承诺不干涉招标人的销售价。</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3.中标人在任何情况下不得向任何有关人员行贿。</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4.中标人有责任对自己的产品进行宣传，可根据招标人要求提供照片或动态视频等。</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5.中标人货物存在质量问题引起纠纷或产生争议的，由招标人负责处理赔偿和处理争议，由此产生的所有费用由中标人负责，同时保留对中标人索赔的权利。</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6.因货物滞销引起的质量问题或非人为因素造成的损坏由中标人负责。</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7.如招标人在验货检查及对未售货物的日常检查中，发现质量不合格的，承诺退货。</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8.招标人有权对中标人所提供产品不定期抽检，通过破坏性试验或交由第三方检测，抽检时所产生的一切费用由中标人承担。</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9.合同期满后，中标人在收到招标人通知后10个日历日内办理清退手续，逾期不办的则视为放弃，招标人有权自行处理。</w:t>
      </w:r>
    </w:p>
    <w:p>
      <w:pPr>
        <w:spacing w:line="54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10.响应报价</w:t>
      </w:r>
      <w:r>
        <w:rPr>
          <w:rFonts w:hint="eastAsia" w:ascii="仿宋" w:hAnsi="仿宋" w:eastAsia="仿宋" w:cs="仿宋"/>
          <w:sz w:val="28"/>
          <w:szCs w:val="28"/>
          <w:lang w:val="zh-CN"/>
        </w:rPr>
        <w:t>应包括</w:t>
      </w:r>
      <w:r>
        <w:rPr>
          <w:rFonts w:hint="eastAsia" w:ascii="仿宋" w:hAnsi="仿宋" w:eastAsia="仿宋" w:cs="仿宋"/>
          <w:sz w:val="28"/>
          <w:szCs w:val="28"/>
        </w:rPr>
        <w:t>磋商</w:t>
      </w:r>
      <w:r>
        <w:rPr>
          <w:rFonts w:hint="eastAsia" w:ascii="仿宋" w:hAnsi="仿宋" w:eastAsia="仿宋" w:cs="仿宋"/>
          <w:sz w:val="28"/>
          <w:szCs w:val="28"/>
          <w:lang w:val="zh-CN"/>
        </w:rPr>
        <w:t>文件所确定的该项目的全部内容，包括响应及完成委托工作所需的一切费用，包含但不限于如人工、</w:t>
      </w:r>
      <w:r>
        <w:rPr>
          <w:rFonts w:hint="eastAsia" w:ascii="仿宋" w:hAnsi="仿宋" w:eastAsia="仿宋" w:cs="仿宋"/>
          <w:sz w:val="28"/>
          <w:szCs w:val="28"/>
        </w:rPr>
        <w:t>材料、机械费、制作</w:t>
      </w:r>
      <w:r>
        <w:rPr>
          <w:rFonts w:hint="eastAsia" w:ascii="仿宋" w:hAnsi="仿宋" w:eastAsia="仿宋" w:cs="仿宋"/>
          <w:sz w:val="28"/>
          <w:szCs w:val="28"/>
          <w:lang w:val="zh-CN"/>
        </w:rPr>
        <w:t>、</w:t>
      </w:r>
      <w:r>
        <w:rPr>
          <w:rFonts w:hint="eastAsia" w:ascii="仿宋" w:hAnsi="仿宋" w:eastAsia="仿宋" w:cs="仿宋"/>
          <w:sz w:val="28"/>
          <w:szCs w:val="28"/>
        </w:rPr>
        <w:t>安装、</w:t>
      </w:r>
      <w:r>
        <w:rPr>
          <w:rFonts w:hint="eastAsia" w:ascii="仿宋" w:hAnsi="仿宋" w:eastAsia="仿宋" w:cs="仿宋"/>
          <w:sz w:val="28"/>
          <w:szCs w:val="28"/>
          <w:lang w:val="zh-CN"/>
        </w:rPr>
        <w:t>税费、运输、售后服务及相关劳务支出等工作所发生的全部费用以及供应商企业利润、税金和政策性文件规定及合同包含的所有风险、责任，即响应本采购文件规定的各项应有费用。</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五、付款方式</w:t>
      </w:r>
    </w:p>
    <w:p>
      <w:pPr>
        <w:spacing w:line="54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）由招标人支付，货款每三个月结算一次，根据订货产品进货价（</w:t>
      </w:r>
      <w:r>
        <w:rPr>
          <w:rFonts w:hint="eastAsia" w:ascii="仿宋" w:hAnsi="仿宋" w:eastAsia="仿宋" w:cs="仿宋"/>
          <w:sz w:val="28"/>
          <w:szCs w:val="28"/>
        </w:rPr>
        <w:t>中标价</w:t>
      </w:r>
      <w:r>
        <w:rPr>
          <w:rFonts w:hint="eastAsia" w:ascii="仿宋" w:hAnsi="仿宋" w:eastAsia="仿宋" w:cs="仿宋"/>
          <w:sz w:val="28"/>
          <w:szCs w:val="28"/>
          <w:lang w:val="zh-CN"/>
        </w:rPr>
        <w:t>）和实际销售数量据实结算。中标人凭</w:t>
      </w:r>
      <w:r>
        <w:rPr>
          <w:rFonts w:hint="eastAsia" w:ascii="仿宋" w:hAnsi="仿宋" w:eastAsia="仿宋" w:cs="仿宋"/>
          <w:sz w:val="28"/>
          <w:szCs w:val="28"/>
        </w:rPr>
        <w:t>有效完税</w:t>
      </w:r>
      <w:r>
        <w:rPr>
          <w:rFonts w:hint="eastAsia" w:ascii="仿宋" w:hAnsi="仿宋" w:eastAsia="仿宋" w:cs="仿宋"/>
          <w:sz w:val="28"/>
          <w:szCs w:val="28"/>
          <w:lang w:val="zh-CN"/>
        </w:rPr>
        <w:t>发票和招标人</w:t>
      </w:r>
      <w:r>
        <w:rPr>
          <w:rFonts w:hint="eastAsia" w:ascii="仿宋" w:hAnsi="仿宋" w:eastAsia="仿宋" w:cs="仿宋"/>
          <w:sz w:val="28"/>
          <w:szCs w:val="28"/>
        </w:rPr>
        <w:t>确认的</w:t>
      </w:r>
      <w:r>
        <w:rPr>
          <w:rFonts w:hint="eastAsia" w:ascii="仿宋" w:hAnsi="仿宋" w:eastAsia="仿宋" w:cs="仿宋"/>
          <w:sz w:val="28"/>
          <w:szCs w:val="28"/>
          <w:lang w:val="zh-CN"/>
        </w:rPr>
        <w:t>销售清单结算。</w:t>
      </w:r>
    </w:p>
    <w:p>
      <w:pPr>
        <w:spacing w:line="54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）最终以双方签订的采购合同内确定的条款为准执行。</w:t>
      </w:r>
    </w:p>
    <w:p>
      <w:pPr>
        <w:pStyle w:val="3"/>
        <w:spacing w:line="360" w:lineRule="auto"/>
        <w:ind w:firstLine="0"/>
        <w:jc w:val="center"/>
        <w:outlineLvl w:val="0"/>
        <w:rPr>
          <w:rFonts w:ascii="仿宋" w:hAnsi="仿宋" w:eastAsia="仿宋" w:cs="仿宋"/>
          <w:b/>
          <w:sz w:val="36"/>
          <w:szCs w:val="36"/>
        </w:rPr>
      </w:pPr>
    </w:p>
    <w:p>
      <w:pPr>
        <w:pStyle w:val="3"/>
        <w:spacing w:line="360" w:lineRule="auto"/>
        <w:ind w:firstLine="0"/>
        <w:jc w:val="both"/>
        <w:outlineLvl w:val="0"/>
        <w:rPr>
          <w:rFonts w:ascii="仿宋" w:hAnsi="仿宋" w:eastAsia="仿宋" w:cs="仿宋"/>
          <w:b/>
          <w:sz w:val="36"/>
          <w:szCs w:val="36"/>
        </w:rPr>
      </w:pPr>
    </w:p>
    <w:p>
      <w:pPr>
        <w:pStyle w:val="3"/>
        <w:spacing w:line="360" w:lineRule="auto"/>
        <w:ind w:firstLine="0"/>
        <w:jc w:val="center"/>
        <w:outlineLvl w:val="0"/>
        <w:rPr>
          <w:rFonts w:ascii="仿宋" w:hAnsi="仿宋" w:eastAsia="仿宋" w:cs="仿宋"/>
          <w:b/>
          <w:sz w:val="36"/>
          <w:szCs w:val="36"/>
        </w:rPr>
      </w:pPr>
      <w:r>
        <w:rPr>
          <w:rFonts w:hint="eastAsia" w:ascii="仿宋" w:hAnsi="仿宋" w:eastAsia="仿宋" w:cs="仿宋"/>
          <w:b/>
          <w:sz w:val="36"/>
          <w:szCs w:val="36"/>
        </w:rPr>
        <w:t>第四章  评审方法和程序</w:t>
      </w:r>
      <w:bookmarkEnd w:id="73"/>
      <w:bookmarkEnd w:id="74"/>
      <w:bookmarkEnd w:id="75"/>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一、采购人组织磋商活动</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1.本次竞争性磋商依据《中华人民共和国政府采购法》、《政府采购竞争性磋商采购方式管理暂行办法》及有关法规成立磋商小组。</w:t>
      </w:r>
      <w:r>
        <w:rPr>
          <w:rFonts w:hint="eastAsia" w:ascii="仿宋" w:hAnsi="仿宋" w:eastAsia="仿宋" w:cs="仿宋"/>
          <w:sz w:val="28"/>
          <w:szCs w:val="28"/>
          <w:shd w:val="clear" w:color="000000" w:fill="FFFFFF"/>
          <w:lang w:val="zh-CN"/>
        </w:rPr>
        <w:t>竞争性磋商小组由采购人代表和评审专家共3人以上单数组成，其中评审专家人数不得少于竞争性磋商小组成员总数的2/3。采购人不得以评审专家身份参加本单位采购项目的评审。采购代理机构人员不得参加本机构代理的采购项目的评审。</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2.竞争性磋商小组的职责：</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评审专家应当遵守评审工作纪律，不得泄露评审情况和评审中获悉的商业秘密。</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磋商小组在评审过程中发现供应商有行贿、提供虚假材料或者串通等违法行为的，应当及时向采购人报告。</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评审专家在评审过程中受到非法干涉的，应当及时向纪检、监察等部门举报。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shd w:val="clear" w:color="000000" w:fill="FFFFFF"/>
        </w:rPr>
        <w:t>磋商小组成员应当按照客观、公正、审慎的原则，根据磋商文件规定的评审程序、评审方法和评审标准进行独立评审。未实质性响应磋商文件的响应文件按无效响应处理，磋商小组应当告</w:t>
      </w:r>
      <w:r>
        <w:rPr>
          <w:rFonts w:hint="eastAsia" w:ascii="仿宋" w:hAnsi="仿宋" w:eastAsia="仿宋" w:cs="仿宋"/>
          <w:sz w:val="28"/>
          <w:szCs w:val="28"/>
        </w:rPr>
        <w:t>知提交响应文件的供应商。</w:t>
      </w:r>
    </w:p>
    <w:p>
      <w:pPr>
        <w:pStyle w:val="26"/>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磋商文件内容违反国家有关强制性规定的，磋商小组应当停止评审并向采购人或者采购代理机构说明情况。</w:t>
      </w:r>
    </w:p>
    <w:p>
      <w:pPr>
        <w:pStyle w:val="26"/>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3.竞争性磋商小组成员的义务：</w:t>
      </w:r>
    </w:p>
    <w:p>
      <w:pPr>
        <w:pStyle w:val="26"/>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遵纪守法，客观、公正、廉洁地履行职责；根据采购文件的规定独立进行评审，对个人的评审意见承担法律责任；参与评审报告的起草；配合采购人、采购代理机构答复供应商提出的质疑；配合财政部门的投诉处理和监督检查工作。</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二、供应商的法定代表人或授权人须持本人身份证原件准时参加磋商。</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三、评审程序、内容</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2.磋商小组所有成员应当集中与单一供应商分别进行磋商，并给予所有参加磋商的供应商平等的磋商机会。-+</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对磋商文件作出的实质性变动是磋商文件的有效组成部分，磋商小组应当及时以书面形式同时通知所有参加磋商的供应商。</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供应商的现场第一轮报价不得高于其磋商响应文件中的书面报价且下一轮报价不得高于上一轮报价。否则，磋商小组有权拒绝该谈判报价并不再给予报价补救机会。</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5.最后报价是供应商响应文件的有效组成部分。</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6.已提交响应文件的供应商，在提交最后报价之前，可以根据磋商情况退出磋商。</w:t>
      </w:r>
    </w:p>
    <w:p>
      <w:pPr>
        <w:pStyle w:val="26"/>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7.磋商时间由磋商小组掌握。</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四、评审方法(综合评分法)</w:t>
      </w:r>
    </w:p>
    <w:p>
      <w:pPr>
        <w:pStyle w:val="26"/>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经磋商确定最终采购需求和提交最后报价的供应商后，由磋商小组采用综合评分法对提交最后报价的供应商的响应文件和最后报价进行综合评分。</w:t>
      </w:r>
    </w:p>
    <w:p>
      <w:pPr>
        <w:pStyle w:val="26"/>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综合评分法，是指响应文件满足磋商文件全部实质性要求且按评审因素的量化指标评审得分最高的供应商为成交候选供应商的评审方法。</w:t>
      </w:r>
    </w:p>
    <w:p>
      <w:pPr>
        <w:pStyle w:val="26"/>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评审时，磋商小组各成员应当独立对每个有效响应的文件进行评价、打分，然后汇总每个供应商每项评分因素的得分。</w:t>
      </w:r>
    </w:p>
    <w:p>
      <w:pPr>
        <w:pStyle w:val="26"/>
        <w:tabs>
          <w:tab w:val="left" w:pos="312"/>
        </w:tabs>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（一）审查响应文件的有效性、完整性、响应程度。</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1.要求的保证金是否已提供；</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2.供应商资格是否符合;</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3.响应文件是否完整；</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4.响应文件是否恰当地签署；</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5.是否作出实质性响应（是否有实质性响应，只根据响应文件本身，而不寻求外部证据）；</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6.是否有计算错误。</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(二)误差纠正</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1.如果单价汇总金额与总价金额有出入，以单价金额计算结果为准；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(三)出现下列情形之一的，作无效响应处理：</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1.未提供原件备查；</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2.未按照磋商文件规定要求装订、密封、签署、盖章的；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3.不具备磋商文件中规定的资格要求的；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4.响应报价超出预算的；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5.不符合法律、法规和磋商文件中规定的其他实质性要求的。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(四)出现下列情形之一的，磋商失败：</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1.出现影响采购公正的违法违规行为的；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.供应商的最后报价均超过了采购预算，采购人不能支付的；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.因重大变故，采购任务取消的。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除资格性检查认定错误、分值汇总计算错误、分项评分超出评分标准范围、客观分评分不一致、经磋商小组一致认定评分畸高、畸低的情形外，采购人不以任何理由组织重新评审。</w:t>
      </w:r>
    </w:p>
    <w:p>
      <w:pPr>
        <w:snapToGrid w:val="0"/>
        <w:spacing w:line="360" w:lineRule="auto"/>
        <w:ind w:firstLine="562" w:firstLineChars="200"/>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本项目如实质性响应供应商不足3家，采购单位报经领导同意后，可采取其他谈判方式。</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五、评审标准</w:t>
      </w:r>
    </w:p>
    <w:p>
      <w:pPr>
        <w:snapToGrid w:val="0"/>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商务技术部分评审结束后，再开启最后报价计算分值。总分值为100分，加分和减分因素除外。</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（1）商务技术标评分标准：（70分）</w:t>
      </w:r>
    </w:p>
    <w:p>
      <w:pPr>
        <w:autoSpaceDE w:val="0"/>
        <w:autoSpaceDN w:val="0"/>
        <w:snapToGrid w:val="0"/>
        <w:spacing w:line="360" w:lineRule="auto"/>
        <w:ind w:firstLine="560" w:firstLineChars="200"/>
        <w:rPr>
          <w:rFonts w:ascii="宋体" w:hAnsi="宋体" w:eastAsia="宋体" w:cstheme="minorEastAsia"/>
          <w:sz w:val="24"/>
          <w:szCs w:val="24"/>
        </w:rPr>
      </w:pPr>
      <w:r>
        <w:rPr>
          <w:rFonts w:hint="eastAsia" w:ascii="仿宋" w:hAnsi="仿宋" w:eastAsia="仿宋" w:cs="仿宋"/>
          <w:sz w:val="28"/>
          <w:szCs w:val="28"/>
        </w:rPr>
        <w:t>供应商得分为磋商小组成员的平均分，请评委根据各条评分内容在设分值区间内评审打分，得分四舍五入保留两位小数。</w:t>
      </w:r>
    </w:p>
    <w:tbl>
      <w:tblPr>
        <w:tblStyle w:val="19"/>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048"/>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仿宋" w:hAnsi="仿宋" w:eastAsia="仿宋" w:cs="仿宋"/>
                <w:sz w:val="24"/>
              </w:rPr>
            </w:pPr>
            <w:r>
              <w:rPr>
                <w:rFonts w:hint="eastAsia" w:ascii="仿宋" w:hAnsi="仿宋" w:eastAsia="仿宋" w:cs="仿宋"/>
                <w:sz w:val="24"/>
              </w:rPr>
              <w:t>评审项目</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仿宋" w:hAnsi="仿宋" w:eastAsia="仿宋" w:cs="仿宋"/>
                <w:sz w:val="24"/>
              </w:rPr>
            </w:pPr>
            <w:r>
              <w:rPr>
                <w:rFonts w:hint="eastAsia" w:ascii="仿宋" w:hAnsi="仿宋" w:eastAsia="仿宋" w:cs="仿宋"/>
                <w:sz w:val="24"/>
              </w:rPr>
              <w:t>分 值</w:t>
            </w:r>
          </w:p>
        </w:tc>
        <w:tc>
          <w:tcPr>
            <w:tcW w:w="7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投标企业实力及资信状况</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6分</w:t>
            </w:r>
          </w:p>
        </w:tc>
        <w:tc>
          <w:tcPr>
            <w:tcW w:w="73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rPr>
              <w:t>投标人获得国家专利证书的，每获得一项可得1分，最高得3分（须提供相关证明材料）；</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rPr>
              <w:t>投标人提供管理体系方面认证证书的，每提供一个得1分，最高得3分。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投标人类似项目</w:t>
            </w:r>
          </w:p>
          <w:p>
            <w:pPr>
              <w:adjustRightInd w:val="0"/>
              <w:spacing w:line="360" w:lineRule="auto"/>
              <w:jc w:val="center"/>
              <w:rPr>
                <w:rFonts w:ascii="仿宋" w:hAnsi="仿宋" w:eastAsia="仿宋" w:cs="仿宋"/>
                <w:sz w:val="24"/>
              </w:rPr>
            </w:pPr>
            <w:r>
              <w:rPr>
                <w:rFonts w:hint="eastAsia" w:ascii="仿宋" w:hAnsi="仿宋" w:eastAsia="仿宋" w:cs="仿宋"/>
                <w:sz w:val="24"/>
              </w:rPr>
              <w:t>业绩</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8分</w:t>
            </w:r>
          </w:p>
        </w:tc>
        <w:tc>
          <w:tcPr>
            <w:tcW w:w="731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仿宋" w:hAnsi="仿宋" w:eastAsia="仿宋" w:cs="仿宋"/>
                <w:sz w:val="24"/>
              </w:rPr>
            </w:pPr>
            <w:r>
              <w:rPr>
                <w:rFonts w:hint="eastAsia" w:ascii="仿宋" w:hAnsi="仿宋" w:eastAsia="仿宋" w:cs="仿宋"/>
                <w:sz w:val="24"/>
              </w:rPr>
              <w:t>签订合同时间为自开标之日起上推两年内，承担过类似合同业绩的，有一例加2分，加满8分为止（以合同复印件和中标通知书为准，合同复印件及中标通知书应能清晰辨识单位公章、时间、金额等相关信息，复印件须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产品技术参数（需列表注明每个投标样品的技术参数）</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24分</w:t>
            </w:r>
          </w:p>
        </w:tc>
        <w:tc>
          <w:tcPr>
            <w:tcW w:w="7316" w:type="dxa"/>
            <w:tcBorders>
              <w:top w:val="single" w:color="auto" w:sz="4" w:space="0"/>
              <w:left w:val="single" w:color="auto" w:sz="4" w:space="0"/>
              <w:bottom w:val="single" w:color="auto" w:sz="4" w:space="0"/>
              <w:right w:val="single" w:color="auto" w:sz="4" w:space="0"/>
            </w:tcBorders>
          </w:tcPr>
          <w:p>
            <w:pPr>
              <w:pStyle w:val="28"/>
              <w:numPr>
                <w:ilvl w:val="0"/>
                <w:numId w:val="1"/>
              </w:numPr>
              <w:adjustRightInd w:val="0"/>
              <w:spacing w:line="360" w:lineRule="auto"/>
              <w:rPr>
                <w:rFonts w:ascii="仿宋" w:hAnsi="仿宋" w:eastAsia="仿宋" w:cs="仿宋"/>
                <w:sz w:val="24"/>
              </w:rPr>
            </w:pPr>
            <w:r>
              <w:rPr>
                <w:rFonts w:hint="eastAsia" w:ascii="仿宋" w:hAnsi="仿宋" w:eastAsia="仿宋" w:cs="仿宋"/>
                <w:sz w:val="24"/>
              </w:rPr>
              <w:t>主材：根据选用主材优劣酌情打分，材质优秀得6-8分，一般得3-5分，较差得0-2分。</w:t>
            </w:r>
          </w:p>
          <w:p>
            <w:pPr>
              <w:pStyle w:val="28"/>
              <w:numPr>
                <w:ilvl w:val="0"/>
                <w:numId w:val="1"/>
              </w:numPr>
              <w:adjustRightInd w:val="0"/>
              <w:spacing w:line="360" w:lineRule="auto"/>
              <w:rPr>
                <w:rFonts w:ascii="仿宋" w:hAnsi="仿宋" w:eastAsia="仿宋" w:cs="仿宋"/>
              </w:rPr>
            </w:pPr>
            <w:r>
              <w:rPr>
                <w:rFonts w:hint="eastAsia" w:ascii="仿宋" w:hAnsi="仿宋" w:eastAsia="仿宋" w:cs="仿宋"/>
                <w:sz w:val="24"/>
              </w:rPr>
              <w:t>辅材：优秀得3-4分，一般得2分，较差的得0-1分。</w:t>
            </w:r>
          </w:p>
          <w:p>
            <w:pPr>
              <w:adjustRightInd w:val="0"/>
              <w:spacing w:line="360" w:lineRule="auto"/>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highlight w:val="none"/>
              </w:rPr>
              <w:t>釉饰面：</w:t>
            </w:r>
            <w:r>
              <w:rPr>
                <w:rFonts w:hint="eastAsia" w:ascii="仿宋" w:hAnsi="仿宋" w:eastAsia="仿宋" w:cs="仿宋"/>
                <w:sz w:val="24"/>
              </w:rPr>
              <w:t xml:space="preserve"> 优秀得3-4分，一般得2分，较差的得0-1分。</w:t>
            </w:r>
          </w:p>
          <w:p>
            <w:pPr>
              <w:adjustRightInd w:val="0"/>
              <w:spacing w:line="360" w:lineRule="auto"/>
              <w:rPr>
                <w:rFonts w:ascii="仿宋" w:hAnsi="仿宋" w:eastAsia="仿宋" w:cs="仿宋"/>
                <w:sz w:val="24"/>
              </w:rPr>
            </w:pPr>
            <w:r>
              <w:rPr>
                <w:rFonts w:hint="eastAsia" w:ascii="仿宋" w:hAnsi="仿宋" w:eastAsia="仿宋" w:cs="仿宋"/>
                <w:sz w:val="24"/>
              </w:rPr>
              <w:t>4、制作工艺：优秀得3-4分，一般得2分，较差的得0-1分。</w:t>
            </w:r>
          </w:p>
          <w:p>
            <w:pPr>
              <w:adjustRightInd w:val="0"/>
              <w:spacing w:line="360" w:lineRule="auto"/>
              <w:rPr>
                <w:rFonts w:hint="eastAsia" w:ascii="仿宋" w:hAnsi="仿宋" w:eastAsia="仿宋" w:cs="仿宋"/>
                <w:b/>
                <w:lang w:eastAsia="zh-CN"/>
              </w:rPr>
            </w:pPr>
            <w:r>
              <w:rPr>
                <w:rFonts w:hint="eastAsia" w:ascii="仿宋" w:hAnsi="仿宋" w:eastAsia="仿宋" w:cs="仿宋"/>
                <w:sz w:val="24"/>
              </w:rPr>
              <w:t>5、防蛀、防潮、防裂及耐用性：优秀得3-4分，一般得2分，较差的得0-1分</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售后服务</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4分</w:t>
            </w:r>
          </w:p>
        </w:tc>
        <w:tc>
          <w:tcPr>
            <w:tcW w:w="731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仿宋" w:hAnsi="仿宋" w:eastAsia="仿宋" w:cs="仿宋"/>
                <w:sz w:val="24"/>
                <w:highlight w:val="red"/>
              </w:rPr>
            </w:pPr>
            <w:r>
              <w:rPr>
                <w:rFonts w:hint="eastAsia" w:ascii="仿宋" w:hAnsi="仿宋" w:eastAsia="仿宋" w:cs="仿宋"/>
                <w:color w:val="000000"/>
                <w:sz w:val="24"/>
              </w:rPr>
              <w:t>供应商根据本项目的实际需求编制售后服务方案，包括但不限于人员的配备、紧急故障处理预案等，根据方案的全面性、可行性、合理性等内容进行综合打分，优秀得3-4分，一般得2分，较差的得0-1分。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37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仿宋" w:hAnsi="仿宋" w:eastAsia="仿宋" w:cs="仿宋"/>
                <w:sz w:val="24"/>
              </w:rPr>
            </w:pPr>
            <w:r>
              <w:rPr>
                <w:rFonts w:hint="eastAsia" w:ascii="仿宋" w:hAnsi="仿宋" w:eastAsia="仿宋" w:cs="仿宋"/>
                <w:sz w:val="24"/>
              </w:rPr>
              <w:t>样品评审（暗标）</w:t>
            </w:r>
          </w:p>
        </w:tc>
        <w:tc>
          <w:tcPr>
            <w:tcW w:w="1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仿宋" w:hAnsi="仿宋" w:eastAsia="仿宋" w:cs="仿宋"/>
                <w:sz w:val="24"/>
              </w:rPr>
            </w:pPr>
            <w:r>
              <w:rPr>
                <w:rFonts w:hint="eastAsia" w:ascii="仿宋" w:hAnsi="仿宋" w:eastAsia="仿宋" w:cs="仿宋"/>
                <w:sz w:val="24"/>
              </w:rPr>
              <w:t>28分</w:t>
            </w:r>
          </w:p>
        </w:tc>
        <w:tc>
          <w:tcPr>
            <w:tcW w:w="731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仿宋" w:hAnsi="仿宋" w:eastAsia="仿宋" w:cs="仿宋"/>
                <w:color w:val="000000"/>
                <w:sz w:val="24"/>
              </w:rPr>
            </w:pPr>
            <w:r>
              <w:rPr>
                <w:rFonts w:hint="eastAsia" w:ascii="仿宋" w:hAnsi="仿宋" w:eastAsia="仿宋" w:cs="仿宋"/>
                <w:color w:val="000000"/>
                <w:sz w:val="24"/>
                <w:highlight w:val="none"/>
              </w:rPr>
              <w:t>对投标样品的外观形象设计、材质、表面或装饰面有无节疤，工艺等</w:t>
            </w:r>
            <w:r>
              <w:rPr>
                <w:rFonts w:hint="eastAsia" w:ascii="仿宋" w:hAnsi="仿宋" w:eastAsia="仿宋" w:cs="仿宋"/>
                <w:color w:val="000000"/>
                <w:sz w:val="24"/>
              </w:rPr>
              <w:t>方面进行综合考量，评委酌情打分, 优秀得20-28分，一般得10-19分，较差的得0-9分。</w:t>
            </w:r>
          </w:p>
          <w:p>
            <w:pPr>
              <w:adjustRightInd w:val="0"/>
              <w:spacing w:line="360" w:lineRule="auto"/>
            </w:pPr>
            <w:r>
              <w:rPr>
                <w:rFonts w:hint="eastAsia" w:ascii="仿宋" w:hAnsi="仿宋" w:eastAsia="仿宋" w:cs="仿宋"/>
                <w:b/>
                <w:bCs/>
                <w:color w:val="000000"/>
                <w:sz w:val="24"/>
              </w:rPr>
              <w:t>每一标段各提供3个样品。</w:t>
            </w:r>
          </w:p>
        </w:tc>
      </w:tr>
    </w:tbl>
    <w:p>
      <w:pPr>
        <w:autoSpaceDE w:val="0"/>
        <w:autoSpaceDN w:val="0"/>
        <w:snapToGrid w:val="0"/>
        <w:spacing w:line="360" w:lineRule="auto"/>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w:t>
      </w:r>
      <w:r>
        <w:rPr>
          <w:rFonts w:hint="eastAsia" w:ascii="仿宋" w:hAnsi="仿宋" w:eastAsia="仿宋" w:cs="仿宋"/>
          <w:b/>
          <w:sz w:val="28"/>
          <w:szCs w:val="28"/>
        </w:rPr>
        <w:t>2）价格分：（30分）</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价格标评标基准分为30分，满足招标文件要求且最后磋商报价最低的投标报价为磋商基准价，其价格分为满分（30分），其他供应商的价格分统一按照下列公式计算：</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磋商报价得分=(磋商基准价／最后磋商报价)×30×100%。</w:t>
      </w:r>
    </w:p>
    <w:p>
      <w:pPr>
        <w:spacing w:line="360" w:lineRule="auto"/>
        <w:ind w:firstLine="546" w:firstLineChars="200"/>
        <w:rPr>
          <w:rFonts w:ascii="仿宋" w:hAnsi="仿宋" w:eastAsia="仿宋" w:cs="仿宋"/>
          <w:b/>
          <w:sz w:val="28"/>
          <w:szCs w:val="28"/>
        </w:rPr>
      </w:pPr>
      <w:r>
        <w:rPr>
          <w:rFonts w:hint="eastAsia" w:ascii="仿宋" w:hAnsi="仿宋" w:eastAsia="仿宋" w:cs="仿宋"/>
          <w:b/>
          <w:spacing w:val="-4"/>
          <w:sz w:val="28"/>
          <w:szCs w:val="28"/>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根据上述评分标准，由评委进行综合打分，最终得分最高的为第一成交候选人，在分数相同的情况下由供应商代表抽签确定成交候选人。若第一成交候选人弃标的，则由第二成交候选人成交，第一成交候选人的投标保证金不予退还（本项目不涉及投标保证金）。若第二成交候选人弃标的，则由第三成交候选人成交，依次类推。成交价对应各供应商最后报价。</w:t>
      </w:r>
    </w:p>
    <w:p>
      <w:pPr>
        <w:spacing w:line="360" w:lineRule="auto"/>
        <w:ind w:firstLine="544" w:firstLineChars="200"/>
        <w:rPr>
          <w:rFonts w:ascii="仿宋" w:hAnsi="仿宋" w:eastAsia="仿宋" w:cs="仿宋"/>
          <w:sz w:val="28"/>
          <w:szCs w:val="28"/>
        </w:rPr>
      </w:pPr>
      <w:r>
        <w:rPr>
          <w:rFonts w:hint="eastAsia" w:ascii="仿宋" w:hAnsi="仿宋" w:eastAsia="仿宋" w:cs="仿宋"/>
          <w:spacing w:val="-4"/>
          <w:sz w:val="28"/>
          <w:szCs w:val="28"/>
        </w:rPr>
        <w:t>（4）磋商小组在磋商工作完成后，当场宣布磋商结果，采购人将视情况对成交候选人进行进一步核实，核实结束后，在</w:t>
      </w:r>
      <w:r>
        <w:rPr>
          <w:rFonts w:hint="eastAsia" w:ascii="仿宋" w:hAnsi="仿宋" w:eastAsia="仿宋" w:cs="仿宋"/>
          <w:sz w:val="28"/>
          <w:szCs w:val="28"/>
        </w:rPr>
        <w:t>南通市民政局网站</w:t>
      </w:r>
      <w:r>
        <w:rPr>
          <w:rFonts w:hint="eastAsia" w:ascii="仿宋" w:hAnsi="仿宋" w:eastAsia="仿宋" w:cs="仿宋"/>
          <w:spacing w:val="-4"/>
          <w:sz w:val="28"/>
          <w:szCs w:val="28"/>
        </w:rPr>
        <w:t>上对成交候</w:t>
      </w:r>
      <w:r>
        <w:rPr>
          <w:rFonts w:hint="eastAsia" w:ascii="仿宋" w:hAnsi="仿宋" w:eastAsia="仿宋" w:cs="仿宋"/>
          <w:sz w:val="28"/>
          <w:szCs w:val="28"/>
        </w:rPr>
        <w:t>选人进行公示，时间为一个工作日。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（6）采购人将在公示结束后的3个工作日内，向成交人发出成交通知书。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（7）成交人在收到成交通知书后，应按采购人的安排，与采购人签订合同。</w:t>
      </w:r>
    </w:p>
    <w:p>
      <w:pPr>
        <w:pStyle w:val="39"/>
        <w:spacing w:line="0" w:lineRule="atLeast"/>
        <w:ind w:firstLine="546" w:firstLineChars="200"/>
        <w:jc w:val="both"/>
        <w:rPr>
          <w:rFonts w:ascii="仿宋" w:hAnsi="仿宋" w:eastAsia="仿宋" w:cs="仿宋"/>
          <w:b/>
          <w:bCs/>
          <w:spacing w:val="-4"/>
          <w:kern w:val="2"/>
          <w:sz w:val="28"/>
          <w:szCs w:val="28"/>
        </w:rPr>
      </w:pPr>
      <w:r>
        <w:rPr>
          <w:rFonts w:hint="eastAsia" w:ascii="仿宋" w:hAnsi="仿宋" w:eastAsia="仿宋" w:cs="仿宋"/>
          <w:b/>
          <w:bCs/>
          <w:spacing w:val="-4"/>
          <w:kern w:val="2"/>
          <w:sz w:val="28"/>
          <w:szCs w:val="28"/>
        </w:rPr>
        <w:t>六、政府采购政策功能落实</w:t>
      </w:r>
    </w:p>
    <w:p>
      <w:pPr>
        <w:snapToGrid w:val="0"/>
        <w:spacing w:line="360" w:lineRule="auto"/>
        <w:ind w:firstLine="565"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（1）根据《政府采购促进中小企业发展管理办法》（财库﹝2020﹞46 号）的第四条，</w:t>
      </w:r>
      <w:r>
        <w:rPr>
          <w:rFonts w:hint="eastAsia" w:ascii="仿宋" w:hAnsi="仿宋" w:eastAsia="仿宋" w:cs="仿宋"/>
          <w:b/>
          <w:bCs/>
          <w:color w:val="000000" w:themeColor="text1"/>
          <w:sz w:val="28"/>
          <w:szCs w:val="28"/>
          <w14:textFill>
            <w14:solidFill>
              <w14:schemeClr w14:val="tx1"/>
            </w14:solidFill>
          </w14:textFill>
        </w:rPr>
        <w:t>本次采购的项目，其响应供应商提供的</w:t>
      </w:r>
      <w:r>
        <w:rPr>
          <w:rFonts w:hint="eastAsia" w:ascii="仿宋" w:hAnsi="仿宋" w:eastAsia="仿宋" w:cs="仿宋"/>
          <w:b/>
          <w:bCs/>
          <w:color w:val="000000" w:themeColor="text1"/>
          <w:sz w:val="28"/>
          <w:szCs w:val="28"/>
          <w:u w:val="thick" w:color="FF0000"/>
          <w14:textFill>
            <w14:solidFill>
              <w14:schemeClr w14:val="tx1"/>
            </w14:solidFill>
          </w14:textFill>
        </w:rPr>
        <w:t xml:space="preserve"> 全部货物产品的制造商 </w:t>
      </w:r>
      <w:r>
        <w:rPr>
          <w:rFonts w:hint="eastAsia" w:ascii="仿宋" w:hAnsi="仿宋" w:eastAsia="仿宋" w:cs="仿宋"/>
          <w:b/>
          <w:bCs/>
          <w:color w:val="000000" w:themeColor="text1"/>
          <w:sz w:val="28"/>
          <w:szCs w:val="28"/>
          <w14:textFill>
            <w14:solidFill>
              <w14:schemeClr w14:val="tx1"/>
            </w14:solidFill>
          </w14:textFill>
        </w:rPr>
        <w:t>符合：工信部联企业〔2011〕300号《关于印发中小企业划型标准规定的通知》中的中小企业</w:t>
      </w:r>
      <w:bookmarkStart w:id="76" w:name="_Hlk67153790"/>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u w:val="thick" w:color="FF0000"/>
          <w14:textFill>
            <w14:solidFill>
              <w14:schemeClr w14:val="tx1"/>
            </w14:solidFill>
          </w14:textFill>
        </w:rPr>
        <w:t>工业</w:t>
      </w:r>
      <w:r>
        <w:rPr>
          <w:rFonts w:hint="eastAsia" w:ascii="仿宋" w:hAnsi="仿宋" w:eastAsia="仿宋" w:cs="仿宋"/>
          <w:b/>
          <w:bCs/>
          <w:color w:val="000000" w:themeColor="text1"/>
          <w:sz w:val="28"/>
          <w:szCs w:val="28"/>
          <w14:textFill>
            <w14:solidFill>
              <w14:schemeClr w14:val="tx1"/>
            </w14:solidFill>
          </w14:textFill>
        </w:rPr>
        <w:t>”类</w:t>
      </w:r>
      <w:bookmarkEnd w:id="76"/>
      <w:r>
        <w:rPr>
          <w:rFonts w:hint="eastAsia" w:ascii="仿宋" w:hAnsi="仿宋" w:eastAsia="仿宋" w:cs="仿宋"/>
          <w:b/>
          <w:bCs/>
          <w:color w:val="000000" w:themeColor="text1"/>
          <w:sz w:val="28"/>
          <w:szCs w:val="28"/>
          <w14:textFill>
            <w14:solidFill>
              <w14:schemeClr w14:val="tx1"/>
            </w14:solidFill>
          </w14:textFill>
        </w:rPr>
        <w:t>的划型标准规定的，将享受中小企业扶持政策。</w:t>
      </w:r>
    </w:p>
    <w:p>
      <w:pPr>
        <w:snapToGrid w:val="0"/>
        <w:spacing w:line="360" w:lineRule="auto"/>
        <w:ind w:firstLine="568"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u w:val="thick" w:color="FF0000"/>
          <w14:textFill>
            <w14:solidFill>
              <w14:schemeClr w14:val="tx1"/>
            </w14:solidFill>
          </w14:textFill>
        </w:rPr>
        <w:t>工业</w:t>
      </w:r>
      <w:r>
        <w:rPr>
          <w:rFonts w:hint="eastAsia" w:ascii="仿宋" w:hAnsi="仿宋" w:eastAsia="仿宋" w:cs="仿宋"/>
          <w:b/>
          <w:bCs/>
          <w:color w:val="000000" w:themeColor="text1"/>
          <w:sz w:val="28"/>
          <w:szCs w:val="28"/>
          <w14:textFill>
            <w14:solidFill>
              <w14:schemeClr w14:val="tx1"/>
            </w14:solidFill>
          </w14:textFill>
        </w:rPr>
        <w:t>”类中小企业划型标准</w:t>
      </w:r>
      <w:r>
        <w:rPr>
          <w:rFonts w:hint="eastAsia" w:ascii="仿宋" w:hAnsi="仿宋" w:eastAsia="仿宋" w:cs="仿宋"/>
          <w:color w:val="000000" w:themeColor="text1"/>
          <w:sz w:val="28"/>
          <w:szCs w:val="28"/>
          <w14:textFill>
            <w14:solidFill>
              <w14:schemeClr w14:val="tx1"/>
            </w14:solidFill>
          </w14:textFill>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60" w:lineRule="auto"/>
        <w:ind w:firstLine="565"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（2）根据《政府采购促进中小企业发展管理办法》（财库﹝2020﹞46 号）的第九条规定，</w:t>
      </w:r>
      <w:r>
        <w:rPr>
          <w:rFonts w:hint="eastAsia" w:ascii="仿宋" w:hAnsi="仿宋" w:eastAsia="仿宋" w:cs="仿宋"/>
          <w:b/>
          <w:bCs/>
          <w:color w:val="000000" w:themeColor="text1"/>
          <w:sz w:val="28"/>
          <w:szCs w:val="28"/>
          <w:u w:val="thick" w:color="FF0000"/>
          <w14:textFill>
            <w14:solidFill>
              <w14:schemeClr w14:val="tx1"/>
            </w14:solidFill>
          </w14:textFill>
        </w:rPr>
        <w:t>响应供应商提供的全部货物是由小型、微型企业制造的</w:t>
      </w:r>
      <w:r>
        <w:rPr>
          <w:rFonts w:hint="eastAsia" w:ascii="仿宋" w:hAnsi="仿宋" w:eastAsia="仿宋" w:cs="仿宋"/>
          <w:color w:val="000000" w:themeColor="text1"/>
          <w:sz w:val="28"/>
          <w:szCs w:val="28"/>
          <w14:textFill>
            <w14:solidFill>
              <w14:schemeClr w14:val="tx1"/>
            </w14:solidFill>
          </w14:textFill>
        </w:rPr>
        <w:t>，该响应供应商的报价将给予评审价格调整，具体方法如下：</w:t>
      </w:r>
    </w:p>
    <w:p>
      <w:p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①  按照《关于进一步促进政府采购公平竞争优化营商环境的通知》（通财购〔2020〕39号）文件要求，对符合要求的小微企业报价给予10%的扣除，用扣除后的价格参与评审，如果成交，则以其询价响应报价作为成交价。</w:t>
      </w:r>
    </w:p>
    <w:p>
      <w:p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② 参加本次政府采购活动，符合要求的响应供应商须严格按《政府采购促进中小企业发展管理办法》（财库﹝2020﹞46 号）的文件要求，出具填报“中小企业声明函”</w:t>
      </w:r>
      <w:r>
        <w:rPr>
          <w:rFonts w:hint="eastAsia" w:ascii="仿宋" w:hAnsi="仿宋" w:eastAsia="仿宋" w:cs="仿宋"/>
          <w:b/>
          <w:bCs/>
          <w:color w:val="000000" w:themeColor="text1"/>
          <w:sz w:val="28"/>
          <w:szCs w:val="28"/>
          <w14:textFill>
            <w14:solidFill>
              <w14:schemeClr w14:val="tx1"/>
            </w14:solidFill>
          </w14:textFill>
        </w:rPr>
        <w:t>（格式见附件）</w:t>
      </w:r>
      <w:r>
        <w:rPr>
          <w:rFonts w:hint="eastAsia" w:ascii="仿宋" w:hAnsi="仿宋" w:eastAsia="仿宋" w:cs="仿宋"/>
          <w:color w:val="000000" w:themeColor="text1"/>
          <w:sz w:val="28"/>
          <w:szCs w:val="28"/>
          <w14:textFill>
            <w14:solidFill>
              <w14:schemeClr w14:val="tx1"/>
            </w14:solidFill>
          </w14:textFill>
        </w:rPr>
        <w:t>；</w:t>
      </w:r>
    </w:p>
    <w:p>
      <w:pPr>
        <w:snapToGrid w:val="0"/>
        <w:spacing w:line="360" w:lineRule="auto"/>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③ 本项目享受中小企业扶持政策的响应供应商一旦成交，因提供“中小企业声明函”的行为引发争议和影响本项目采购执行效率，应当按本项目采购人或采购代理机构的通知，在2个工作日内提供货物制造商注册登记所在地的县级以上人民政府中小企业主管部门认定是小型、微型企业的证明原件，用以核对，逾期未提供的则视作提供的 “中小企业声明函”内容不实。</w:t>
      </w:r>
    </w:p>
    <w:p>
      <w:p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④ 若响应供应商提供的 “中小企业声明函”内容不实的，属于提供虚假材料谋取成交；响应供应商的该行为将报请政府采购监管的财政部门按《中华人民共和国政府采购法》第七十七条的规定处理并给予行政处罚。</w:t>
      </w:r>
    </w:p>
    <w:p>
      <w:pPr>
        <w:pStyle w:val="18"/>
        <w:snapToGrid w:val="0"/>
        <w:spacing w:after="0" w:line="360" w:lineRule="auto"/>
        <w:ind w:left="0" w:leftChars="0" w:firstLine="560" w:firstLineChars="200"/>
        <w:textAlignment w:val="baseline"/>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（3）在本次货物采购项目中，响应供应商提供的货物既有中小企业制造货物，也有大型企业制造货物的，将不享受《政府采购促进中小企业发展管理办法》（财库﹝2020﹞46 号）规定的中小企业扶持政策。</w:t>
      </w:r>
    </w:p>
    <w:p>
      <w:pPr>
        <w:pStyle w:val="18"/>
        <w:snapToGrid w:val="0"/>
        <w:spacing w:after="0" w:line="360" w:lineRule="auto"/>
        <w:ind w:left="0" w:leftChars="0"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b/>
          <w:bCs/>
          <w:color w:val="000000" w:themeColor="text1"/>
          <w:sz w:val="28"/>
          <w:szCs w:val="28"/>
          <w:u w:val="thick" w:color="FF0000"/>
          <w14:textFill>
            <w14:solidFill>
              <w14:schemeClr w14:val="tx1"/>
            </w14:solidFill>
          </w14:textFill>
        </w:rPr>
        <w:t>不符合上述要求的磋商供应商，无须提供“中小企业声明函”</w:t>
      </w:r>
      <w:r>
        <w:rPr>
          <w:rFonts w:hint="eastAsia" w:ascii="仿宋" w:hAnsi="仿宋" w:eastAsia="仿宋" w:cs="仿宋"/>
          <w:color w:val="000000" w:themeColor="text1"/>
          <w:sz w:val="28"/>
          <w:szCs w:val="28"/>
          <w14:textFill>
            <w14:solidFill>
              <w14:schemeClr w14:val="tx1"/>
            </w14:solidFill>
          </w14:textFill>
        </w:rPr>
        <w:t>。</w:t>
      </w:r>
    </w:p>
    <w:p>
      <w:pPr>
        <w:snapToGrid w:val="0"/>
        <w:spacing w:line="360" w:lineRule="auto"/>
        <w:ind w:firstLine="562" w:firstLineChars="200"/>
        <w:outlineLvl w:val="1"/>
        <w:rPr>
          <w:rFonts w:ascii="仿宋" w:hAnsi="仿宋" w:eastAsia="仿宋" w:cs="仿宋"/>
          <w:sz w:val="28"/>
          <w:szCs w:val="28"/>
        </w:rPr>
      </w:pPr>
      <w:r>
        <w:rPr>
          <w:rFonts w:hint="eastAsia" w:ascii="仿宋" w:hAnsi="仿宋" w:eastAsia="仿宋" w:cs="仿宋"/>
          <w:b/>
          <w:sz w:val="28"/>
          <w:szCs w:val="28"/>
        </w:rPr>
        <w:t>七、有下列情形之一的，视为供应商串通投标，其投标无效：</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（一）不同供应商的磋商响应文件由同一单位或者个人编制；</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（二）不同供应商委托同一单位或者个人办理投标事宜；</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（三）不同供应商的磋商响应文件载明的项目管理成员或者联系人员为同一人；</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（四）不同供应商的磋商响应文件异常一致或者投标报价呈规律性差异；</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（五）不同供应商的磋商响应文件相互混装；</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（六）不同供应商的投标保证金从同一单位或者个人的账户转出。</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八、其他注意事项</w:t>
      </w:r>
    </w:p>
    <w:p>
      <w:pPr>
        <w:spacing w:line="360" w:lineRule="auto"/>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1</w:t>
      </w:r>
      <w:r>
        <w:rPr>
          <w:rStyle w:val="27"/>
          <w:rFonts w:hint="eastAsia" w:ascii="仿宋" w:hAnsi="仿宋" w:eastAsia="仿宋" w:cs="仿宋"/>
          <w:sz w:val="28"/>
          <w:szCs w:val="28"/>
          <w:lang w:val="en-US" w:eastAsia="zh-CN"/>
        </w:rPr>
        <w:t>.</w:t>
      </w:r>
      <w:r>
        <w:rPr>
          <w:rStyle w:val="27"/>
          <w:rFonts w:hint="eastAsia" w:ascii="仿宋" w:hAnsi="仿宋" w:eastAsia="仿宋" w:cs="仿宋"/>
          <w:sz w:val="28"/>
          <w:szCs w:val="28"/>
        </w:rPr>
        <w:t>磋商小组不向未</w:t>
      </w:r>
      <w:r>
        <w:rPr>
          <w:rStyle w:val="27"/>
          <w:rFonts w:hint="eastAsia" w:ascii="仿宋" w:hAnsi="仿宋" w:eastAsia="仿宋" w:cs="仿宋"/>
          <w:sz w:val="28"/>
          <w:szCs w:val="28"/>
          <w:lang w:eastAsia="zh-CN"/>
        </w:rPr>
        <w:t>成交</w:t>
      </w:r>
      <w:r>
        <w:rPr>
          <w:rStyle w:val="27"/>
          <w:rFonts w:hint="eastAsia" w:ascii="仿宋" w:hAnsi="仿宋" w:eastAsia="仿宋" w:cs="仿宋"/>
          <w:sz w:val="28"/>
          <w:szCs w:val="28"/>
        </w:rPr>
        <w:t>方解释未</w:t>
      </w:r>
      <w:r>
        <w:rPr>
          <w:rStyle w:val="27"/>
          <w:rFonts w:hint="eastAsia" w:ascii="仿宋" w:hAnsi="仿宋" w:eastAsia="仿宋" w:cs="仿宋"/>
          <w:sz w:val="28"/>
          <w:szCs w:val="28"/>
          <w:lang w:eastAsia="zh-CN"/>
        </w:rPr>
        <w:t>成交</w:t>
      </w:r>
      <w:r>
        <w:rPr>
          <w:rStyle w:val="27"/>
          <w:rFonts w:hint="eastAsia" w:ascii="仿宋" w:hAnsi="仿宋" w:eastAsia="仿宋" w:cs="仿宋"/>
          <w:sz w:val="28"/>
          <w:szCs w:val="28"/>
        </w:rPr>
        <w:t>原因，不退还</w:t>
      </w:r>
      <w:r>
        <w:rPr>
          <w:rStyle w:val="27"/>
          <w:rFonts w:hint="eastAsia" w:ascii="仿宋" w:hAnsi="仿宋" w:eastAsia="仿宋" w:cs="仿宋"/>
          <w:sz w:val="28"/>
          <w:szCs w:val="28"/>
          <w:lang w:eastAsia="zh-CN"/>
        </w:rPr>
        <w:t>磋商响应文件</w:t>
      </w:r>
      <w:r>
        <w:rPr>
          <w:rStyle w:val="27"/>
          <w:rFonts w:hint="eastAsia" w:ascii="仿宋" w:hAnsi="仿宋" w:eastAsia="仿宋" w:cs="仿宋"/>
          <w:sz w:val="28"/>
          <w:szCs w:val="28"/>
        </w:rPr>
        <w:t>。</w:t>
      </w:r>
    </w:p>
    <w:p>
      <w:pPr>
        <w:spacing w:line="360" w:lineRule="auto"/>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2</w:t>
      </w:r>
      <w:r>
        <w:rPr>
          <w:rStyle w:val="27"/>
          <w:rFonts w:hint="eastAsia" w:ascii="仿宋" w:hAnsi="仿宋" w:eastAsia="仿宋" w:cs="仿宋"/>
          <w:sz w:val="28"/>
          <w:szCs w:val="28"/>
          <w:lang w:val="en-US" w:eastAsia="zh-CN"/>
        </w:rPr>
        <w:t>.</w:t>
      </w:r>
      <w:r>
        <w:rPr>
          <w:rStyle w:val="27"/>
          <w:rFonts w:hint="eastAsia" w:ascii="仿宋" w:hAnsi="仿宋" w:eastAsia="仿宋" w:cs="仿宋"/>
          <w:sz w:val="28"/>
          <w:szCs w:val="28"/>
        </w:rPr>
        <w:t>若出现少于三家</w:t>
      </w:r>
      <w:r>
        <w:rPr>
          <w:rStyle w:val="27"/>
          <w:rFonts w:hint="eastAsia" w:ascii="仿宋" w:hAnsi="仿宋" w:eastAsia="仿宋" w:cs="仿宋"/>
          <w:sz w:val="28"/>
          <w:szCs w:val="28"/>
          <w:lang w:eastAsia="zh-CN"/>
        </w:rPr>
        <w:t>供应商</w:t>
      </w:r>
      <w:r>
        <w:rPr>
          <w:rStyle w:val="27"/>
          <w:rFonts w:hint="eastAsia" w:ascii="仿宋" w:hAnsi="仿宋" w:eastAsia="仿宋" w:cs="仿宋"/>
          <w:sz w:val="28"/>
          <w:szCs w:val="28"/>
        </w:rPr>
        <w:t>进行</w:t>
      </w:r>
      <w:r>
        <w:rPr>
          <w:rStyle w:val="27"/>
          <w:rFonts w:hint="eastAsia" w:ascii="仿宋" w:hAnsi="仿宋" w:eastAsia="仿宋" w:cs="仿宋"/>
          <w:sz w:val="28"/>
          <w:szCs w:val="28"/>
          <w:lang w:eastAsia="zh-CN"/>
        </w:rPr>
        <w:t>磋商</w:t>
      </w:r>
      <w:r>
        <w:rPr>
          <w:rStyle w:val="27"/>
          <w:rFonts w:hint="eastAsia" w:ascii="仿宋" w:hAnsi="仿宋" w:eastAsia="仿宋" w:cs="仿宋"/>
          <w:sz w:val="28"/>
          <w:szCs w:val="28"/>
        </w:rPr>
        <w:t>需要的或有效投标供应商不足三家的，将重新采购。</w:t>
      </w:r>
    </w:p>
    <w:p>
      <w:pPr>
        <w:spacing w:line="360" w:lineRule="auto"/>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3</w:t>
      </w:r>
      <w:r>
        <w:rPr>
          <w:rStyle w:val="27"/>
          <w:rFonts w:hint="eastAsia" w:ascii="仿宋" w:hAnsi="仿宋" w:eastAsia="仿宋" w:cs="仿宋"/>
          <w:sz w:val="28"/>
          <w:szCs w:val="28"/>
          <w:lang w:val="en-US" w:eastAsia="zh-CN"/>
        </w:rPr>
        <w:t>.</w:t>
      </w:r>
      <w:r>
        <w:rPr>
          <w:rStyle w:val="27"/>
          <w:rFonts w:hint="eastAsia" w:ascii="仿宋" w:hAnsi="仿宋" w:eastAsia="仿宋" w:cs="仿宋"/>
          <w:sz w:val="28"/>
          <w:szCs w:val="28"/>
          <w:lang w:eastAsia="zh-CN"/>
        </w:rPr>
        <w:t>供应商</w:t>
      </w:r>
      <w:r>
        <w:rPr>
          <w:rStyle w:val="27"/>
          <w:rFonts w:hint="eastAsia" w:ascii="仿宋" w:hAnsi="仿宋" w:eastAsia="仿宋" w:cs="仿宋"/>
          <w:sz w:val="28"/>
          <w:szCs w:val="28"/>
        </w:rPr>
        <w:t>应承担所有与准备和参加</w:t>
      </w:r>
      <w:r>
        <w:rPr>
          <w:rStyle w:val="27"/>
          <w:rFonts w:hint="eastAsia" w:ascii="仿宋" w:hAnsi="仿宋" w:eastAsia="仿宋" w:cs="仿宋"/>
          <w:sz w:val="28"/>
          <w:szCs w:val="28"/>
          <w:lang w:eastAsia="zh-CN"/>
        </w:rPr>
        <w:t>磋商</w:t>
      </w:r>
      <w:r>
        <w:rPr>
          <w:rStyle w:val="27"/>
          <w:rFonts w:hint="eastAsia" w:ascii="仿宋" w:hAnsi="仿宋" w:eastAsia="仿宋" w:cs="仿宋"/>
          <w:sz w:val="28"/>
          <w:szCs w:val="28"/>
        </w:rPr>
        <w:t>响应有关的费用，不论</w:t>
      </w:r>
      <w:r>
        <w:rPr>
          <w:rStyle w:val="27"/>
          <w:rFonts w:hint="eastAsia" w:ascii="仿宋" w:hAnsi="仿宋" w:eastAsia="仿宋" w:cs="仿宋"/>
          <w:sz w:val="28"/>
          <w:szCs w:val="28"/>
          <w:lang w:eastAsia="zh-CN"/>
        </w:rPr>
        <w:t>磋商</w:t>
      </w:r>
      <w:r>
        <w:rPr>
          <w:rStyle w:val="27"/>
          <w:rFonts w:hint="eastAsia" w:ascii="仿宋" w:hAnsi="仿宋" w:eastAsia="仿宋" w:cs="仿宋"/>
          <w:sz w:val="28"/>
          <w:szCs w:val="28"/>
        </w:rPr>
        <w:t>的结果如何，</w:t>
      </w:r>
      <w:r>
        <w:rPr>
          <w:rStyle w:val="27"/>
          <w:rFonts w:hint="eastAsia" w:ascii="仿宋" w:hAnsi="仿宋" w:eastAsia="仿宋" w:cs="仿宋"/>
          <w:sz w:val="28"/>
          <w:szCs w:val="28"/>
          <w:lang w:eastAsia="zh-CN"/>
        </w:rPr>
        <w:t>采购人</w:t>
      </w:r>
      <w:r>
        <w:rPr>
          <w:rStyle w:val="27"/>
          <w:rFonts w:hint="eastAsia" w:ascii="仿宋" w:hAnsi="仿宋" w:eastAsia="仿宋" w:cs="仿宋"/>
          <w:sz w:val="28"/>
          <w:szCs w:val="28"/>
        </w:rPr>
        <w:t>均无义务和责任承担相关费用。</w:t>
      </w:r>
    </w:p>
    <w:p>
      <w:pPr>
        <w:spacing w:line="360" w:lineRule="auto"/>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4</w:t>
      </w:r>
      <w:r>
        <w:rPr>
          <w:rStyle w:val="27"/>
          <w:rFonts w:hint="eastAsia" w:ascii="仿宋" w:hAnsi="仿宋" w:eastAsia="仿宋" w:cs="仿宋"/>
          <w:sz w:val="28"/>
          <w:szCs w:val="28"/>
          <w:lang w:val="en-US" w:eastAsia="zh-CN"/>
        </w:rPr>
        <w:t>.</w:t>
      </w:r>
      <w:r>
        <w:rPr>
          <w:rStyle w:val="27"/>
          <w:rFonts w:hint="eastAsia" w:ascii="仿宋" w:hAnsi="仿宋" w:eastAsia="仿宋" w:cs="仿宋"/>
          <w:sz w:val="28"/>
          <w:szCs w:val="28"/>
        </w:rPr>
        <w:t>不符合</w:t>
      </w:r>
      <w:r>
        <w:rPr>
          <w:rStyle w:val="27"/>
          <w:rFonts w:hint="eastAsia" w:ascii="仿宋" w:hAnsi="仿宋" w:eastAsia="仿宋" w:cs="仿宋"/>
          <w:sz w:val="28"/>
          <w:szCs w:val="28"/>
          <w:lang w:eastAsia="zh-CN"/>
        </w:rPr>
        <w:t>磋商</w:t>
      </w:r>
      <w:r>
        <w:rPr>
          <w:rStyle w:val="27"/>
          <w:rFonts w:hint="eastAsia" w:ascii="仿宋" w:hAnsi="仿宋" w:eastAsia="仿宋" w:cs="仿宋"/>
          <w:sz w:val="28"/>
          <w:szCs w:val="28"/>
        </w:rPr>
        <w:t>文件中规定的实质性要求，作</w:t>
      </w:r>
      <w:r>
        <w:rPr>
          <w:rStyle w:val="27"/>
          <w:rFonts w:hint="eastAsia" w:ascii="仿宋" w:hAnsi="仿宋" w:eastAsia="仿宋" w:cs="仿宋"/>
          <w:sz w:val="28"/>
          <w:szCs w:val="28"/>
          <w:lang w:eastAsia="zh-CN"/>
        </w:rPr>
        <w:t>无效</w:t>
      </w:r>
      <w:r>
        <w:rPr>
          <w:rStyle w:val="27"/>
          <w:rFonts w:hint="eastAsia" w:ascii="仿宋" w:hAnsi="仿宋" w:eastAsia="仿宋" w:cs="仿宋"/>
          <w:sz w:val="28"/>
          <w:szCs w:val="28"/>
        </w:rPr>
        <w:t>磋商响应处理。</w:t>
      </w:r>
    </w:p>
    <w:p>
      <w:pPr>
        <w:spacing w:line="360" w:lineRule="auto"/>
        <w:ind w:firstLine="560" w:firstLineChars="200"/>
        <w:rPr>
          <w:rStyle w:val="27"/>
          <w:rFonts w:cstheme="minorEastAsia"/>
          <w:lang w:val="en-US" w:eastAsia="zh-CN"/>
        </w:rPr>
      </w:pPr>
      <w:r>
        <w:rPr>
          <w:rStyle w:val="27"/>
          <w:rFonts w:hint="eastAsia" w:ascii="仿宋" w:hAnsi="仿宋" w:eastAsia="仿宋" w:cs="仿宋"/>
          <w:sz w:val="28"/>
          <w:szCs w:val="28"/>
          <w:lang w:val="en-US" w:eastAsia="zh-CN"/>
        </w:rPr>
        <w:t>5.</w:t>
      </w:r>
      <w:r>
        <w:rPr>
          <w:rStyle w:val="27"/>
          <w:rFonts w:hint="eastAsia" w:ascii="仿宋" w:hAnsi="仿宋" w:eastAsia="仿宋" w:cs="仿宋"/>
          <w:sz w:val="28"/>
          <w:szCs w:val="28"/>
        </w:rPr>
        <w:t>供应商不遵守《中华人民共和国招标投标法》、《中华人民共和国招标投标法实施条例》、《政府采购货物和服务招投标管理办法》有关规定，或有串通投标、弄虚作假行为的，其投标一律无效。</w:t>
      </w:r>
    </w:p>
    <w:p>
      <w:pPr>
        <w:spacing w:line="360" w:lineRule="auto"/>
        <w:rPr>
          <w:rStyle w:val="27"/>
          <w:rFonts w:cstheme="minorEastAsia"/>
          <w:lang w:val="en-US" w:eastAsia="zh-CN"/>
        </w:rPr>
        <w:sectPr>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Style w:val="27"/>
          <w:rFonts w:ascii="仿宋" w:hAnsi="仿宋" w:eastAsia="仿宋" w:cs="仿宋"/>
          <w:sz w:val="28"/>
          <w:szCs w:val="28"/>
          <w:lang w:val="en-US"/>
        </w:rPr>
      </w:pPr>
      <w:bookmarkStart w:id="77" w:name="_Toc13261"/>
      <w:bookmarkStart w:id="78" w:name="_Toc40780963"/>
      <w:bookmarkStart w:id="79" w:name="_Toc19720"/>
      <w:r>
        <w:rPr>
          <w:rFonts w:hint="eastAsia" w:ascii="仿宋" w:hAnsi="仿宋" w:eastAsia="仿宋" w:cs="仿宋"/>
          <w:b/>
          <w:sz w:val="36"/>
          <w:szCs w:val="36"/>
        </w:rPr>
        <w:t>第五章  合同签订与验收付款</w:t>
      </w:r>
      <w:bookmarkEnd w:id="77"/>
      <w:bookmarkEnd w:id="78"/>
      <w:bookmarkEnd w:id="79"/>
    </w:p>
    <w:p>
      <w:pPr>
        <w:pStyle w:val="26"/>
        <w:snapToGrid w:val="0"/>
        <w:spacing w:line="460" w:lineRule="exact"/>
        <w:ind w:firstLine="560" w:firstLineChars="200"/>
        <w:contextualSpacing/>
        <w:rPr>
          <w:rStyle w:val="27"/>
          <w:rFonts w:ascii="仿宋" w:hAnsi="仿宋" w:eastAsia="仿宋" w:cs="仿宋"/>
          <w:sz w:val="28"/>
          <w:szCs w:val="28"/>
        </w:rPr>
      </w:pPr>
      <w:r>
        <w:rPr>
          <w:rStyle w:val="27"/>
          <w:rFonts w:hint="eastAsia" w:ascii="仿宋" w:hAnsi="仿宋" w:eastAsia="仿宋" w:cs="仿宋"/>
          <w:sz w:val="28"/>
          <w:szCs w:val="28"/>
        </w:rPr>
        <w:t>一、成交供应商和采购人在接到《成交通知书》后</w:t>
      </w:r>
      <w:r>
        <w:rPr>
          <w:rStyle w:val="27"/>
          <w:rFonts w:hint="eastAsia" w:ascii="仿宋" w:hAnsi="仿宋" w:eastAsia="仿宋" w:cs="仿宋"/>
          <w:sz w:val="28"/>
          <w:szCs w:val="28"/>
          <w:lang w:val="en-US" w:eastAsia="zh-CN"/>
        </w:rPr>
        <w:t>15</w:t>
      </w:r>
      <w:r>
        <w:rPr>
          <w:rStyle w:val="27"/>
          <w:rFonts w:hint="eastAsia" w:ascii="仿宋" w:hAnsi="仿宋" w:eastAsia="仿宋" w:cs="仿宋"/>
          <w:sz w:val="28"/>
          <w:szCs w:val="28"/>
        </w:rPr>
        <w:t>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bookmarkStart w:id="80" w:name="_Toc363573858"/>
      <w:bookmarkStart w:id="81" w:name="_Toc94585343"/>
    </w:p>
    <w:p>
      <w:pPr>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二、磋商文件、成交人的磋商响应文件及评审过程中有关书面澄清、承诺等均应作为合同附件，具有同等的法律效力。</w:t>
      </w:r>
    </w:p>
    <w:p>
      <w:pPr>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三、成交人不得采用转包、分包的形式履行合同，否则，采购人有权终止合同，造成采购人损失的，成交人应承担相应赔偿责任。</w:t>
      </w:r>
      <w:bookmarkEnd w:id="80"/>
      <w:bookmarkEnd w:id="81"/>
    </w:p>
    <w:p>
      <w:pPr>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四、采购人和成交人应相互配合，按采购合同约定积极组织本项目的实施。</w:t>
      </w:r>
    </w:p>
    <w:p>
      <w:pPr>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五、成交人履约到位后，应以书面形式向采购人提出验收申请。采购人接到申请后应及时组织验收。</w:t>
      </w:r>
    </w:p>
    <w:p>
      <w:pPr>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spacing w:line="460" w:lineRule="exact"/>
        <w:ind w:firstLine="560" w:firstLineChars="200"/>
        <w:rPr>
          <w:rStyle w:val="27"/>
          <w:rFonts w:ascii="仿宋" w:hAnsi="仿宋" w:eastAsia="仿宋" w:cs="仿宋"/>
          <w:sz w:val="28"/>
          <w:szCs w:val="28"/>
        </w:rPr>
      </w:pPr>
      <w:r>
        <w:rPr>
          <w:rStyle w:val="27"/>
          <w:rFonts w:hint="eastAsia" w:ascii="仿宋" w:hAnsi="仿宋" w:eastAsia="仿宋" w:cs="仿宋"/>
          <w:sz w:val="28"/>
          <w:szCs w:val="28"/>
        </w:rPr>
        <w:t>七、按采购合同约定支付的项目合同价款。</w:t>
      </w:r>
    </w:p>
    <w:p>
      <w:pPr>
        <w:spacing w:line="360" w:lineRule="auto"/>
        <w:ind w:firstLine="480" w:firstLineChars="200"/>
        <w:rPr>
          <w:rStyle w:val="27"/>
          <w:rFonts w:cstheme="minorEastAsia"/>
        </w:rPr>
      </w:pPr>
    </w:p>
    <w:p>
      <w:pPr>
        <w:spacing w:line="360" w:lineRule="auto"/>
        <w:ind w:firstLine="480" w:firstLineChars="200"/>
        <w:rPr>
          <w:rStyle w:val="27"/>
          <w:rFonts w:eastAsia="PMingLiU" w:cstheme="minorEastAsia"/>
        </w:rPr>
      </w:pPr>
    </w:p>
    <w:p>
      <w:pPr>
        <w:spacing w:line="360" w:lineRule="auto"/>
        <w:ind w:firstLine="480" w:firstLineChars="200"/>
        <w:rPr>
          <w:rStyle w:val="27"/>
          <w:rFonts w:eastAsia="PMingLiU" w:cstheme="minorEastAsia"/>
        </w:rPr>
      </w:pPr>
    </w:p>
    <w:p>
      <w:pPr>
        <w:spacing w:line="440" w:lineRule="atLeast"/>
        <w:rPr>
          <w:rFonts w:ascii="宋体" w:hAnsi="宋体" w:eastAsia="宋体" w:cs="宋体"/>
          <w:b/>
          <w:sz w:val="36"/>
          <w:szCs w:val="36"/>
        </w:rPr>
        <w:sectPr>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Fonts w:ascii="仿宋" w:hAnsi="仿宋" w:eastAsia="仿宋" w:cs="仿宋"/>
          <w:b/>
          <w:sz w:val="36"/>
          <w:szCs w:val="36"/>
        </w:rPr>
      </w:pPr>
      <w:bookmarkStart w:id="82" w:name="_Toc18400"/>
      <w:bookmarkStart w:id="83" w:name="_Toc40780964"/>
      <w:bookmarkStart w:id="84" w:name="_Toc10123"/>
      <w:r>
        <w:rPr>
          <w:rFonts w:hint="eastAsia" w:ascii="仿宋" w:hAnsi="仿宋" w:eastAsia="仿宋" w:cs="仿宋"/>
          <w:b/>
          <w:sz w:val="36"/>
          <w:szCs w:val="36"/>
        </w:rPr>
        <w:t>第六章  质疑提出和处理</w:t>
      </w:r>
      <w:bookmarkEnd w:id="82"/>
      <w:bookmarkEnd w:id="83"/>
      <w:bookmarkEnd w:id="84"/>
    </w:p>
    <w:p>
      <w:pPr>
        <w:pStyle w:val="8"/>
        <w:snapToGrid w:val="0"/>
        <w:spacing w:after="0" w:line="460" w:lineRule="exact"/>
        <w:ind w:left="0" w:leftChars="0" w:firstLine="640" w:firstLineChars="200"/>
        <w:contextualSpacing/>
        <w:rPr>
          <w:rFonts w:ascii="仿宋" w:hAnsi="仿宋" w:eastAsia="仿宋" w:cs="仿宋"/>
          <w:sz w:val="32"/>
          <w:szCs w:val="32"/>
        </w:rPr>
      </w:pPr>
      <w:r>
        <w:rPr>
          <w:rStyle w:val="27"/>
          <w:rFonts w:hint="eastAsia" w:ascii="仿宋" w:hAnsi="仿宋" w:eastAsia="仿宋" w:cs="仿宋"/>
          <w:sz w:val="32"/>
          <w:szCs w:val="32"/>
        </w:rPr>
        <w:t>格式请在南通公共资源交易平台“办事指南-下载专区-有关质疑资料”下载</w:t>
      </w:r>
    </w:p>
    <w:p>
      <w:pPr>
        <w:autoSpaceDE w:val="0"/>
        <w:autoSpaceDN w:val="0"/>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一、质疑的提出</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1</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质疑人必须是直接参加本次磋商活动的当事人。</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bookmarkStart w:id="85" w:name="_Toc25436"/>
      <w:bookmarkStart w:id="86" w:name="_Toc17927"/>
      <w:r>
        <w:rPr>
          <w:rStyle w:val="27"/>
          <w:rFonts w:hint="eastAsia" w:ascii="仿宋" w:hAnsi="仿宋" w:eastAsia="仿宋" w:cs="仿宋"/>
          <w:sz w:val="32"/>
          <w:szCs w:val="32"/>
          <w:lang w:val="zh-CN"/>
        </w:rPr>
        <w:t>2</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下载磋商文件的供应商应根据第二部分“磋商须知”中第一点第1项的约定提出疑问；质疑提出的有效时限，见《中华人民共和国政府采购法实施条例》第五十三条。</w:t>
      </w:r>
      <w:bookmarkEnd w:id="85"/>
      <w:bookmarkEnd w:id="86"/>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bookmarkStart w:id="87" w:name="_Toc3689"/>
      <w:bookmarkStart w:id="88" w:name="_Toc1469"/>
      <w:r>
        <w:rPr>
          <w:rStyle w:val="27"/>
          <w:rFonts w:hint="eastAsia" w:ascii="仿宋" w:hAnsi="仿宋" w:eastAsia="仿宋" w:cs="仿宋"/>
          <w:sz w:val="32"/>
          <w:szCs w:val="32"/>
          <w:lang w:val="zh-CN"/>
        </w:rPr>
        <w:t>在磋商过程中，凡主持人或磋商小组明确提出须由供应商确认的事项，供应商当场无异议的，事后不得提出质疑。</w:t>
      </w:r>
      <w:bookmarkEnd w:id="87"/>
      <w:bookmarkEnd w:id="88"/>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rPr>
        <w:t>3</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和代理机构不具有法定调查、认定权限。</w:t>
      </w:r>
    </w:p>
    <w:p>
      <w:pPr>
        <w:snapToGrid w:val="0"/>
        <w:spacing w:line="460" w:lineRule="exact"/>
        <w:ind w:firstLine="640" w:firstLineChars="200"/>
        <w:contextualSpacing/>
        <w:rPr>
          <w:rStyle w:val="27"/>
          <w:rFonts w:ascii="仿宋" w:hAnsi="仿宋" w:eastAsia="仿宋" w:cs="仿宋"/>
          <w:sz w:val="32"/>
          <w:szCs w:val="32"/>
        </w:rPr>
      </w:pPr>
      <w:r>
        <w:rPr>
          <w:rStyle w:val="27"/>
          <w:rFonts w:hint="eastAsia" w:ascii="仿宋" w:hAnsi="仿宋" w:eastAsia="仿宋" w:cs="仿宋"/>
          <w:sz w:val="32"/>
          <w:szCs w:val="32"/>
        </w:rPr>
        <w:t>4</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rPr>
        <w:t>对本次磋商有质疑的，实行实名制，不得进行虚假、恶意质疑。质疑人应在质疑有效期内以书面形式</w:t>
      </w:r>
      <w:r>
        <w:rPr>
          <w:rStyle w:val="27"/>
          <w:rFonts w:hint="eastAsia" w:ascii="仿宋" w:hAnsi="仿宋" w:eastAsia="仿宋" w:cs="仿宋"/>
          <w:sz w:val="32"/>
          <w:szCs w:val="32"/>
          <w:lang w:val="zh-CN"/>
        </w:rPr>
        <w:t>提出《质疑函》（格式请下载）</w:t>
      </w:r>
      <w:r>
        <w:rPr>
          <w:rStyle w:val="27"/>
          <w:rFonts w:hint="eastAsia" w:ascii="仿宋" w:hAnsi="仿宋" w:eastAsia="仿宋" w:cs="仿宋"/>
          <w:sz w:val="32"/>
          <w:szCs w:val="32"/>
        </w:rPr>
        <w:t>，《质疑函》内容应</w:t>
      </w:r>
      <w:r>
        <w:rPr>
          <w:rStyle w:val="27"/>
          <w:rFonts w:hint="eastAsia" w:ascii="仿宋" w:hAnsi="仿宋" w:eastAsia="仿宋" w:cs="仿宋"/>
          <w:sz w:val="32"/>
          <w:szCs w:val="32"/>
          <w:lang w:val="zh-CN"/>
        </w:rPr>
        <w:t>包括</w:t>
      </w:r>
      <w:r>
        <w:rPr>
          <w:rStyle w:val="27"/>
          <w:rFonts w:hint="eastAsia" w:ascii="仿宋" w:hAnsi="仿宋" w:eastAsia="仿宋" w:cs="仿宋"/>
          <w:sz w:val="32"/>
          <w:szCs w:val="32"/>
        </w:rPr>
        <w:t>质疑事项、主要内容、事实依据、适应法规条款、佐证材料等。同时，质疑人应保证其提出的质疑内容及相关佐证材料的真实性及来源的合法性，并承担相应的法律责任。</w:t>
      </w:r>
    </w:p>
    <w:p>
      <w:pPr>
        <w:snapToGrid w:val="0"/>
        <w:spacing w:line="460" w:lineRule="exact"/>
        <w:ind w:firstLine="640" w:firstLineChars="200"/>
        <w:contextualSpacing/>
        <w:rPr>
          <w:rStyle w:val="27"/>
          <w:rFonts w:ascii="仿宋" w:hAnsi="仿宋" w:eastAsia="仿宋" w:cs="仿宋"/>
          <w:sz w:val="32"/>
          <w:szCs w:val="32"/>
        </w:rPr>
      </w:pPr>
      <w:r>
        <w:rPr>
          <w:rStyle w:val="27"/>
          <w:rFonts w:hint="eastAsia" w:ascii="仿宋" w:hAnsi="仿宋" w:eastAsia="仿宋" w:cs="仿宋"/>
          <w:sz w:val="32"/>
          <w:szCs w:val="32"/>
          <w:lang w:val="zh-CN"/>
        </w:rPr>
        <w:t>对不能提供</w:t>
      </w:r>
      <w:r>
        <w:rPr>
          <w:rStyle w:val="27"/>
          <w:rFonts w:hint="eastAsia" w:ascii="仿宋" w:hAnsi="仿宋" w:eastAsia="仿宋" w:cs="仿宋"/>
          <w:sz w:val="32"/>
          <w:szCs w:val="32"/>
        </w:rPr>
        <w:t>相关佐证材料的、涉及商业秘密的、非书面形式的、非送达的、匿名的《质疑函》将不予受理。</w:t>
      </w:r>
    </w:p>
    <w:p>
      <w:pPr>
        <w:snapToGrid w:val="0"/>
        <w:spacing w:line="460" w:lineRule="exact"/>
        <w:ind w:firstLine="640" w:firstLineChars="200"/>
        <w:contextualSpacing/>
        <w:rPr>
          <w:rStyle w:val="27"/>
          <w:rFonts w:ascii="仿宋" w:hAnsi="仿宋" w:eastAsia="仿宋" w:cs="仿宋"/>
          <w:sz w:val="32"/>
          <w:szCs w:val="32"/>
        </w:rPr>
      </w:pPr>
      <w:r>
        <w:rPr>
          <w:rStyle w:val="27"/>
          <w:rFonts w:hint="eastAsia" w:ascii="仿宋" w:hAnsi="仿宋" w:eastAsia="仿宋" w:cs="仿宋"/>
          <w:sz w:val="32"/>
          <w:szCs w:val="32"/>
        </w:rPr>
        <w:t>相关佐证材料要具备客观性、关联性、合法性，无法查实的（如宣传册、媒体报道、猜测、推理等）不能作为佐证材料。</w:t>
      </w:r>
    </w:p>
    <w:p>
      <w:pPr>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采购代理机构、采购人不负责搜集相关佐证材料等工作。</w:t>
      </w:r>
    </w:p>
    <w:p>
      <w:pPr>
        <w:autoSpaceDE w:val="0"/>
        <w:autoSpaceDN w:val="0"/>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二、《质疑函》的受理和回复</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1</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《质疑函》须由质疑人的法定代表人或参加本次磋商授权人送达采购人和代理机构。</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2</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对符合提出质疑要求的，采购人和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3</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对不符合提出质疑要求的，出具《质疑退回通知书》并提出相关补充材料要求，质疑人未在规定的时间内提供补充佐证材料的，视同放弃质疑。</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4</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采购人、采购代理机构负责将质疑人提出的质疑相关材料提供给相关专家或磋商小组审核，并将审核意见回复质疑人。</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5</w:t>
      </w:r>
      <w:r>
        <w:rPr>
          <w:rStyle w:val="27"/>
          <w:rFonts w:hint="eastAsia" w:ascii="仿宋" w:hAnsi="仿宋" w:eastAsia="仿宋" w:cs="仿宋"/>
          <w:sz w:val="32"/>
          <w:szCs w:val="32"/>
          <w:lang w:val="en-US" w:eastAsia="zh-CN"/>
        </w:rPr>
        <w:t>.</w:t>
      </w:r>
      <w:r>
        <w:rPr>
          <w:rStyle w:val="27"/>
          <w:rFonts w:hint="eastAsia" w:ascii="仿宋" w:hAnsi="仿宋" w:eastAsia="仿宋" w:cs="仿宋"/>
          <w:sz w:val="32"/>
          <w:szCs w:val="32"/>
          <w:lang w:val="zh-CN"/>
        </w:rPr>
        <w:t>因质疑情况复杂，组织论证或审查时间较长的，采购人、代理机构以书面形式通知质疑人，可适当延长质疑回复处理时间。</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三、质疑处理</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1</w:t>
      </w:r>
      <w:r>
        <w:rPr>
          <w:rFonts w:hint="eastAsia" w:ascii="仿宋" w:hAnsi="仿宋" w:eastAsia="仿宋" w:cs="仿宋"/>
          <w:b/>
          <w:sz w:val="32"/>
          <w:szCs w:val="32"/>
        </w:rPr>
        <w:t>.</w:t>
      </w:r>
      <w:r>
        <w:rPr>
          <w:rFonts w:hint="eastAsia" w:ascii="仿宋" w:hAnsi="仿宋" w:eastAsia="仿宋" w:cs="仿宋"/>
          <w:b/>
          <w:sz w:val="32"/>
          <w:szCs w:val="32"/>
          <w:lang w:val="zh-CN"/>
        </w:rPr>
        <w:t>质疑成立的处理</w:t>
      </w:r>
    </w:p>
    <w:p>
      <w:pPr>
        <w:autoSpaceDE w:val="0"/>
        <w:autoSpaceDN w:val="0"/>
        <w:snapToGrid w:val="0"/>
        <w:spacing w:line="460" w:lineRule="exact"/>
        <w:ind w:firstLine="640" w:firstLineChars="200"/>
        <w:contextualSpacing/>
        <w:rPr>
          <w:rFonts w:ascii="仿宋" w:hAnsi="仿宋" w:eastAsia="仿宋" w:cs="仿宋"/>
          <w:sz w:val="32"/>
          <w:szCs w:val="32"/>
          <w:lang w:val="zh-CN"/>
        </w:rPr>
      </w:pPr>
      <w:r>
        <w:rPr>
          <w:rStyle w:val="27"/>
          <w:rFonts w:hint="eastAsia" w:ascii="仿宋" w:hAnsi="仿宋" w:eastAsia="仿宋" w:cs="仿宋"/>
          <w:sz w:val="32"/>
          <w:szCs w:val="32"/>
          <w:lang w:val="zh-CN"/>
        </w:rPr>
        <w:t>采购人终止采购，并建议有关部门给相关当事人予以处理。</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2、质疑不成立的处理</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1）质疑人书面《申请撤回质疑函》的，不作违约处理。</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2）质疑人在规定的时间内不配合进行质疑调查处理的，按自动撤回《质疑函》处理。</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3）质疑人不按《质疑函》格式就提出质疑的，作违约处理。</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4）质疑人虽提供了相关佐证材料，但不能证明其质疑成立的，采购人请质疑人补充相关佐证材料，仍不能证明其质疑成立的，作违约处理。采购人有权将其列入不良供应商名单。</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5）质疑人不能提供相关佐证材料的，采购人已指出，质疑人仍然坚持提出质疑的，作违约处理。</w:t>
      </w:r>
    </w:p>
    <w:p>
      <w:pPr>
        <w:autoSpaceDE w:val="0"/>
        <w:autoSpaceDN w:val="0"/>
        <w:snapToGrid w:val="0"/>
        <w:spacing w:line="460" w:lineRule="exact"/>
        <w:ind w:firstLine="640" w:firstLineChars="200"/>
        <w:contextualSpacing/>
        <w:rPr>
          <w:rStyle w:val="27"/>
          <w:rFonts w:ascii="仿宋" w:hAnsi="仿宋" w:eastAsia="仿宋" w:cs="仿宋"/>
          <w:sz w:val="32"/>
          <w:szCs w:val="32"/>
          <w:lang w:val="zh-CN"/>
        </w:rPr>
      </w:pPr>
      <w:r>
        <w:rPr>
          <w:rStyle w:val="27"/>
          <w:rFonts w:hint="eastAsia" w:ascii="仿宋" w:hAnsi="仿宋" w:eastAsia="仿宋" w:cs="仿宋"/>
          <w:sz w:val="32"/>
          <w:szCs w:val="32"/>
          <w:lang w:val="zh-CN"/>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pPr>
        <w:autoSpaceDE w:val="0"/>
        <w:autoSpaceDN w:val="0"/>
        <w:snapToGrid w:val="0"/>
        <w:spacing w:line="460" w:lineRule="exact"/>
        <w:ind w:firstLine="640" w:firstLineChars="200"/>
        <w:contextualSpacing/>
        <w:rPr>
          <w:rFonts w:ascii="仿宋" w:hAnsi="仿宋" w:eastAsia="仿宋" w:cs="仿宋"/>
          <w:sz w:val="32"/>
          <w:szCs w:val="32"/>
          <w:lang w:val="zh-CN"/>
        </w:rPr>
      </w:pPr>
      <w:r>
        <w:rPr>
          <w:rStyle w:val="27"/>
          <w:rFonts w:hint="eastAsia" w:ascii="仿宋" w:hAnsi="仿宋" w:eastAsia="仿宋" w:cs="仿宋"/>
          <w:sz w:val="32"/>
          <w:szCs w:val="32"/>
          <w:lang w:val="zh-CN"/>
        </w:rPr>
        <w:t>7）质疑人承担使用虚假材料或恶意方式质疑的法律责任。</w:t>
      </w:r>
    </w:p>
    <w:p>
      <w:pPr>
        <w:autoSpaceDE w:val="0"/>
        <w:autoSpaceDN w:val="0"/>
        <w:snapToGrid w:val="0"/>
        <w:spacing w:line="460" w:lineRule="exact"/>
        <w:ind w:firstLine="643" w:firstLineChars="200"/>
        <w:contextualSpacing/>
        <w:rPr>
          <w:rStyle w:val="27"/>
          <w:rFonts w:ascii="仿宋" w:hAnsi="仿宋" w:eastAsia="仿宋" w:cs="仿宋"/>
          <w:sz w:val="32"/>
          <w:szCs w:val="32"/>
          <w:lang w:val="zh-CN"/>
        </w:rPr>
      </w:pPr>
      <w:r>
        <w:rPr>
          <w:rFonts w:hint="eastAsia" w:ascii="仿宋" w:hAnsi="仿宋" w:eastAsia="仿宋" w:cs="仿宋"/>
          <w:b/>
          <w:sz w:val="32"/>
          <w:szCs w:val="32"/>
          <w:lang w:val="zh-CN"/>
        </w:rPr>
        <w:t>四、无佐证材料的举报作违约处理。</w:t>
      </w:r>
      <w:r>
        <w:rPr>
          <w:rStyle w:val="27"/>
          <w:rFonts w:hint="eastAsia" w:ascii="仿宋" w:hAnsi="仿宋" w:eastAsia="仿宋" w:cs="仿宋"/>
          <w:sz w:val="32"/>
          <w:szCs w:val="32"/>
          <w:lang w:val="zh-CN"/>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pPr>
        <w:snapToGrid w:val="0"/>
        <w:spacing w:line="460" w:lineRule="exact"/>
        <w:ind w:firstLine="643" w:firstLineChars="200"/>
        <w:contextualSpacing/>
        <w:rPr>
          <w:rStyle w:val="27"/>
          <w:rFonts w:ascii="仿宋" w:hAnsi="仿宋" w:eastAsia="仿宋" w:cs="仿宋"/>
          <w:sz w:val="32"/>
          <w:szCs w:val="32"/>
          <w:lang w:val="zh-CN"/>
        </w:rPr>
      </w:pPr>
      <w:r>
        <w:rPr>
          <w:rFonts w:hint="eastAsia" w:ascii="仿宋" w:hAnsi="仿宋" w:eastAsia="仿宋" w:cs="仿宋"/>
          <w:b/>
          <w:sz w:val="32"/>
          <w:szCs w:val="32"/>
          <w:lang w:val="zh-CN"/>
        </w:rPr>
        <w:t>五、投诉不成立的作违约处理</w:t>
      </w:r>
      <w:r>
        <w:rPr>
          <w:rFonts w:hint="eastAsia" w:ascii="仿宋" w:hAnsi="仿宋" w:eastAsia="仿宋" w:cs="仿宋"/>
          <w:b/>
          <w:sz w:val="32"/>
          <w:szCs w:val="32"/>
        </w:rPr>
        <w:t>。</w:t>
      </w:r>
      <w:r>
        <w:rPr>
          <w:rStyle w:val="27"/>
          <w:rFonts w:hint="eastAsia" w:ascii="仿宋" w:hAnsi="仿宋" w:eastAsia="仿宋" w:cs="仿宋"/>
          <w:sz w:val="32"/>
          <w:szCs w:val="32"/>
          <w:lang w:val="zh-CN"/>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pPr>
        <w:snapToGrid w:val="0"/>
        <w:spacing w:line="460" w:lineRule="exact"/>
        <w:ind w:firstLine="643" w:firstLineChars="200"/>
        <w:contextualSpacing/>
        <w:rPr>
          <w:rStyle w:val="27"/>
          <w:rFonts w:ascii="仿宋" w:hAnsi="仿宋" w:eastAsia="仿宋" w:cs="仿宋"/>
          <w:sz w:val="32"/>
          <w:szCs w:val="32"/>
          <w:lang w:val="zh-CN"/>
        </w:rPr>
      </w:pPr>
      <w:r>
        <w:rPr>
          <w:rFonts w:hint="eastAsia" w:ascii="仿宋" w:hAnsi="仿宋" w:eastAsia="仿宋" w:cs="仿宋"/>
          <w:b/>
          <w:sz w:val="32"/>
          <w:szCs w:val="32"/>
          <w:lang w:val="zh-CN"/>
        </w:rPr>
        <w:t>六、《质疑函》、《质疑回复函》，质疑、举报、投诉不成立的</w:t>
      </w:r>
      <w:r>
        <w:rPr>
          <w:rStyle w:val="27"/>
          <w:rFonts w:hint="eastAsia" w:ascii="仿宋" w:hAnsi="仿宋" w:eastAsia="仿宋" w:cs="仿宋"/>
          <w:sz w:val="32"/>
          <w:szCs w:val="32"/>
          <w:lang w:val="zh-CN"/>
        </w:rPr>
        <w:t>等相关情况，视情在相关媒体予以披露。并建议相关政府采购机构对该供应商同步实施1至3年内禁入。</w:t>
      </w:r>
    </w:p>
    <w:p>
      <w:pPr>
        <w:autoSpaceDE w:val="0"/>
        <w:autoSpaceDN w:val="0"/>
        <w:snapToGrid w:val="0"/>
        <w:spacing w:line="360" w:lineRule="auto"/>
        <w:ind w:firstLine="480" w:firstLineChars="200"/>
        <w:contextualSpacing/>
        <w:rPr>
          <w:rStyle w:val="27"/>
          <w:rFonts w:cstheme="minorEastAsia"/>
          <w:lang w:val="zh-CN"/>
        </w:rPr>
      </w:pPr>
    </w:p>
    <w:p>
      <w:pPr>
        <w:autoSpaceDE w:val="0"/>
        <w:autoSpaceDN w:val="0"/>
        <w:snapToGrid w:val="0"/>
        <w:spacing w:line="360" w:lineRule="auto"/>
        <w:ind w:firstLine="480" w:firstLineChars="200"/>
        <w:contextualSpacing/>
        <w:rPr>
          <w:rStyle w:val="27"/>
          <w:rFonts w:cstheme="minorEastAsia"/>
          <w:lang w:val="zh-CN"/>
        </w:rPr>
      </w:pPr>
      <w:bookmarkStart w:id="89" w:name="_Toc3155"/>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24"/>
        <w:rPr>
          <w:rStyle w:val="27"/>
          <w:rFonts w:cstheme="minorEastAsia"/>
          <w:lang w:val="zh-CN"/>
        </w:rPr>
      </w:pPr>
    </w:p>
    <w:p>
      <w:pPr>
        <w:pStyle w:val="3"/>
        <w:spacing w:line="360" w:lineRule="auto"/>
        <w:ind w:firstLine="0"/>
        <w:jc w:val="center"/>
        <w:outlineLvl w:val="0"/>
        <w:rPr>
          <w:rFonts w:ascii="仿宋" w:hAnsi="仿宋" w:eastAsia="仿宋" w:cs="仿宋"/>
          <w:b/>
          <w:sz w:val="36"/>
          <w:szCs w:val="36"/>
        </w:rPr>
      </w:pPr>
      <w:bookmarkStart w:id="90" w:name="_Toc18061"/>
      <w:bookmarkStart w:id="91" w:name="_Toc40780965"/>
      <w:r>
        <w:rPr>
          <w:rFonts w:hint="eastAsia" w:ascii="仿宋" w:hAnsi="仿宋" w:eastAsia="仿宋" w:cs="仿宋"/>
          <w:b/>
          <w:sz w:val="36"/>
          <w:szCs w:val="36"/>
        </w:rPr>
        <w:t>第七章  响应文件组成</w:t>
      </w:r>
      <w:bookmarkEnd w:id="89"/>
      <w:bookmarkEnd w:id="90"/>
      <w:bookmarkEnd w:id="91"/>
    </w:p>
    <w:p>
      <w:pPr>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响应文件由资格审查证明材料、商务技术响应文件、价格响应文件三部分组成。</w:t>
      </w:r>
    </w:p>
    <w:p>
      <w:pPr>
        <w:snapToGrid w:val="0"/>
        <w:spacing w:line="46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一、资格审查证明材料（一正两副，单独密封并牢固装订）：</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1.关于资格的声明函（格式参见第七章）；</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2.法定代表人身份证明书原件（格式参见第七章）；</w:t>
      </w:r>
    </w:p>
    <w:p>
      <w:pPr>
        <w:snapToGrid w:val="0"/>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法定代表人授权委托书原件（格式参见第七章），磋商代理人本人身份证复印件；</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4.法定代表人或者其他组织有效的营业执照副本复印件；</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5.供应商为具有履行采购项目所需的必要设备和专业技术能力的生产型企业或经销商，提供证明文件；</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6.符合22条规定的声明函（格式参见第七章）；</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7.参加政府采购活动前3年内在经营活动中没有重大违法记录的书面声明（格式参见第七章）；</w:t>
      </w:r>
    </w:p>
    <w:p>
      <w:pPr>
        <w:wordWrap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8.其它需要提交的资格审查证明材料。</w:t>
      </w:r>
    </w:p>
    <w:p>
      <w:pPr>
        <w:pStyle w:val="3"/>
        <w:wordWrap w:val="0"/>
        <w:spacing w:line="460" w:lineRule="exact"/>
        <w:ind w:firstLine="562" w:firstLineChars="200"/>
        <w:rPr>
          <w:rFonts w:ascii="仿宋" w:hAnsi="仿宋" w:eastAsia="仿宋" w:cs="仿宋"/>
          <w:b/>
          <w:sz w:val="28"/>
          <w:szCs w:val="28"/>
          <w:u w:val="single"/>
        </w:rPr>
      </w:pPr>
      <w:r>
        <w:rPr>
          <w:rFonts w:hint="eastAsia" w:ascii="仿宋" w:hAnsi="仿宋" w:eastAsia="仿宋" w:cs="仿宋"/>
          <w:b/>
          <w:sz w:val="28"/>
          <w:szCs w:val="28"/>
          <w:u w:val="single"/>
        </w:rPr>
        <w:t>上述资料复印件须加盖公章，带原件（含商务技术响应文件涉及的原件）备查，磋商响应时一次性递交，不接受补充资料。</w:t>
      </w:r>
      <w:r>
        <w:rPr>
          <w:rFonts w:hint="eastAsia" w:ascii="仿宋" w:hAnsi="仿宋" w:eastAsia="仿宋" w:cs="仿宋"/>
          <w:b/>
          <w:bCs/>
          <w:sz w:val="28"/>
          <w:szCs w:val="28"/>
        </w:rPr>
        <w:t>（本项目为不见面开标，因此不涉及。原件后期核查）</w:t>
      </w:r>
    </w:p>
    <w:p>
      <w:pPr>
        <w:pStyle w:val="26"/>
        <w:snapToGrid w:val="0"/>
        <w:spacing w:line="460" w:lineRule="exact"/>
        <w:ind w:firstLine="562" w:firstLineChars="200"/>
        <w:rPr>
          <w:rFonts w:ascii="仿宋" w:hAnsi="仿宋" w:eastAsia="仿宋" w:cs="仿宋"/>
          <w:sz w:val="28"/>
          <w:szCs w:val="28"/>
        </w:rPr>
      </w:pPr>
      <w:r>
        <w:rPr>
          <w:rFonts w:hint="eastAsia" w:ascii="仿宋" w:hAnsi="仿宋" w:eastAsia="仿宋" w:cs="仿宋"/>
          <w:b/>
          <w:sz w:val="28"/>
          <w:szCs w:val="28"/>
        </w:rPr>
        <w:t>二、商务技术响应文件（不能出现报价；一正两副，单独密封并牢固装订）：</w:t>
      </w:r>
    </w:p>
    <w:p>
      <w:pPr>
        <w:pStyle w:val="26"/>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1.根据商务技术评审因素中涉及的事项提供相应材料；如服务方案、承诺等。</w:t>
      </w:r>
    </w:p>
    <w:p>
      <w:pPr>
        <w:pStyle w:val="26"/>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2.商务技术评审因素中未涉及的事项，供应商认为需要提交的其他资料。</w:t>
      </w:r>
    </w:p>
    <w:p>
      <w:pPr>
        <w:pStyle w:val="26"/>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为方便磋商评审，请供应商按磋商评审办法中所涉及的事项顺序进行编制，可以补充相关材料。</w:t>
      </w:r>
    </w:p>
    <w:p>
      <w:pPr>
        <w:pStyle w:val="26"/>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三、价格响应文件（一正两副，单独密封并牢固装订），不得出现在商务技术响应文件部分：</w:t>
      </w:r>
    </w:p>
    <w:p>
      <w:pPr>
        <w:pStyle w:val="26"/>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1.竞争性磋商响应函（格式参见第七章）；</w:t>
      </w:r>
    </w:p>
    <w:p>
      <w:pPr>
        <w:pStyle w:val="26"/>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2.报价总表（格式参见第七章）；</w:t>
      </w:r>
    </w:p>
    <w:p>
      <w:pPr>
        <w:pStyle w:val="26"/>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3.小微企业声明（如有）。</w:t>
      </w:r>
    </w:p>
    <w:p>
      <w:pPr>
        <w:pStyle w:val="26"/>
        <w:snapToGrid w:val="0"/>
        <w:spacing w:line="360" w:lineRule="auto"/>
        <w:ind w:firstLine="480" w:firstLineChars="200"/>
        <w:rPr>
          <w:rFonts w:ascii="宋体" w:eastAsia="宋体" w:cstheme="minorEastAsia"/>
          <w:sz w:val="24"/>
          <w:szCs w:val="24"/>
        </w:rPr>
        <w:sectPr>
          <w:pgSz w:w="11907" w:h="16839"/>
          <w:pgMar w:top="1440" w:right="726" w:bottom="873" w:left="1236" w:header="720" w:footer="720" w:gutter="0"/>
          <w:cols w:space="720" w:num="1"/>
          <w:docGrid w:linePitch="286" w:charSpace="0"/>
        </w:sectPr>
      </w:pPr>
    </w:p>
    <w:p>
      <w:pPr>
        <w:pStyle w:val="26"/>
        <w:snapToGrid w:val="0"/>
        <w:spacing w:line="300" w:lineRule="auto"/>
        <w:ind w:firstLine="0"/>
        <w:contextualSpacing/>
        <w:rPr>
          <w:rFonts w:ascii="宋体" w:eastAsia="宋体" w:cstheme="minorEastAsia"/>
          <w:b/>
          <w:sz w:val="28"/>
          <w:szCs w:val="28"/>
        </w:rPr>
      </w:pPr>
      <w:bookmarkStart w:id="92" w:name="_Toc27640"/>
      <w:bookmarkStart w:id="93" w:name="_Toc12666"/>
    </w:p>
    <w:p>
      <w:pPr>
        <w:pStyle w:val="26"/>
        <w:snapToGrid w:val="0"/>
        <w:spacing w:line="300" w:lineRule="auto"/>
        <w:ind w:firstLine="0"/>
        <w:contextualSpacing/>
        <w:rPr>
          <w:rFonts w:ascii="仿宋" w:hAnsi="仿宋" w:eastAsia="仿宋" w:cs="仿宋"/>
          <w:b/>
          <w:sz w:val="28"/>
          <w:szCs w:val="28"/>
        </w:rPr>
      </w:pPr>
      <w:r>
        <w:rPr>
          <w:rFonts w:hint="eastAsia" w:ascii="仿宋" w:hAnsi="仿宋" w:eastAsia="仿宋" w:cs="仿宋"/>
          <w:b/>
          <w:sz w:val="28"/>
          <w:szCs w:val="28"/>
        </w:rPr>
        <w:t>A、资格审查文件（一个密封包，含一正两副文件）</w:t>
      </w:r>
    </w:p>
    <w:p>
      <w:pPr>
        <w:pStyle w:val="26"/>
        <w:snapToGrid w:val="0"/>
        <w:spacing w:line="300" w:lineRule="auto"/>
        <w:ind w:firstLine="0"/>
        <w:contextualSpacing/>
        <w:jc w:val="center"/>
        <w:rPr>
          <w:rFonts w:ascii="仿宋" w:hAnsi="仿宋" w:eastAsia="仿宋" w:cs="仿宋"/>
          <w:b/>
          <w:sz w:val="28"/>
          <w:szCs w:val="28"/>
        </w:rPr>
      </w:pPr>
    </w:p>
    <w:p>
      <w:pPr>
        <w:spacing w:line="360" w:lineRule="auto"/>
        <w:jc w:val="center"/>
        <w:outlineLvl w:val="2"/>
        <w:rPr>
          <w:rFonts w:ascii="仿宋" w:hAnsi="仿宋" w:eastAsia="仿宋" w:cs="仿宋"/>
          <w:b/>
          <w:sz w:val="24"/>
          <w:szCs w:val="24"/>
        </w:rPr>
      </w:pPr>
      <w:r>
        <w:rPr>
          <w:rFonts w:hint="eastAsia" w:ascii="仿宋" w:hAnsi="仿宋" w:eastAsia="仿宋" w:cs="仿宋"/>
          <w:b/>
          <w:sz w:val="28"/>
          <w:szCs w:val="24"/>
        </w:rPr>
        <w:t>一、关于资格的声明函</w:t>
      </w: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南通市殡仪馆：</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我公司认真对照磋商公告，符合贵方提出的资格要求，自愿参加磋商响应，并保证提供的资料文件是准确的和真实的。提供虚假材料的愿意承担相应的法律责任。</w:t>
      </w:r>
    </w:p>
    <w:p>
      <w:pPr>
        <w:pStyle w:val="10"/>
        <w:snapToGrid w:val="0"/>
        <w:spacing w:line="360" w:lineRule="auto"/>
        <w:ind w:firstLine="560" w:firstLineChars="200"/>
        <w:contextualSpacing/>
        <w:jc w:val="left"/>
        <w:rPr>
          <w:rFonts w:ascii="仿宋" w:hAnsi="仿宋" w:eastAsia="仿宋" w:cs="仿宋"/>
          <w:sz w:val="28"/>
          <w:szCs w:val="28"/>
        </w:rPr>
      </w:pPr>
      <w:r>
        <w:rPr>
          <w:rFonts w:hint="eastAsia" w:ascii="仿宋" w:hAnsi="仿宋" w:eastAsia="仿宋" w:cs="仿宋"/>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3"/>
        <w:snapToGrid w:val="0"/>
        <w:spacing w:line="300" w:lineRule="auto"/>
        <w:contextualSpacing/>
        <w:rPr>
          <w:rFonts w:ascii="仿宋" w:hAnsi="仿宋" w:eastAsia="仿宋" w:cs="仿宋"/>
        </w:rPr>
      </w:pPr>
    </w:p>
    <w:tbl>
      <w:tblPr>
        <w:tblStyle w:val="19"/>
        <w:tblW w:w="8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2874"/>
        <w:gridCol w:w="287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5" w:hRule="atLeast"/>
          <w:jc w:val="center"/>
        </w:trPr>
        <w:tc>
          <w:tcPr>
            <w:tcW w:w="1198"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时 间</w:t>
            </w:r>
          </w:p>
        </w:tc>
        <w:tc>
          <w:tcPr>
            <w:tcW w:w="2874"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受处理的原因</w:t>
            </w:r>
          </w:p>
          <w:p>
            <w:pPr>
              <w:pStyle w:val="3"/>
              <w:snapToGrid w:val="0"/>
              <w:spacing w:line="300" w:lineRule="auto"/>
              <w:ind w:firstLine="0"/>
              <w:contextualSpacing/>
              <w:jc w:val="center"/>
              <w:rPr>
                <w:rFonts w:ascii="仿宋" w:hAnsi="仿宋" w:eastAsia="仿宋" w:cs="仿宋"/>
                <w:sz w:val="28"/>
                <w:szCs w:val="28"/>
              </w:rPr>
            </w:pPr>
            <w:r>
              <w:rPr>
                <w:rFonts w:hint="eastAsia" w:ascii="仿宋" w:hAnsi="仿宋" w:eastAsia="仿宋" w:cs="仿宋"/>
                <w:sz w:val="28"/>
                <w:szCs w:val="28"/>
              </w:rPr>
              <w:t>（如在政府采购活动中受处理的，注明采购项目名称及处理原因）</w:t>
            </w:r>
          </w:p>
        </w:tc>
        <w:tc>
          <w:tcPr>
            <w:tcW w:w="2874" w:type="dxa"/>
            <w:vAlign w:val="center"/>
          </w:tcPr>
          <w:p>
            <w:pPr>
              <w:pStyle w:val="3"/>
              <w:snapToGrid w:val="0"/>
              <w:spacing w:line="300" w:lineRule="auto"/>
              <w:ind w:firstLine="0"/>
              <w:contextualSpacing/>
              <w:jc w:val="both"/>
              <w:rPr>
                <w:rFonts w:ascii="仿宋" w:hAnsi="仿宋" w:eastAsia="仿宋" w:cs="仿宋"/>
                <w:b/>
                <w:sz w:val="28"/>
                <w:szCs w:val="28"/>
              </w:rPr>
            </w:pPr>
            <w:r>
              <w:rPr>
                <w:rFonts w:hint="eastAsia" w:ascii="仿宋" w:hAnsi="仿宋" w:eastAsia="仿宋" w:cs="仿宋"/>
                <w:b/>
                <w:sz w:val="28"/>
                <w:szCs w:val="28"/>
              </w:rPr>
              <w:t>处理的内容</w:t>
            </w:r>
          </w:p>
          <w:p>
            <w:pPr>
              <w:pStyle w:val="3"/>
              <w:snapToGrid w:val="0"/>
              <w:spacing w:line="300" w:lineRule="auto"/>
              <w:ind w:firstLine="0"/>
              <w:contextualSpacing/>
              <w:jc w:val="center"/>
              <w:rPr>
                <w:rFonts w:ascii="仿宋" w:hAnsi="仿宋" w:eastAsia="仿宋" w:cs="仿宋"/>
                <w:sz w:val="28"/>
                <w:szCs w:val="28"/>
              </w:rPr>
            </w:pPr>
            <w:r>
              <w:rPr>
                <w:rFonts w:hint="eastAsia" w:ascii="仿宋" w:hAnsi="仿宋" w:eastAsia="仿宋" w:cs="仿宋"/>
                <w:sz w:val="28"/>
                <w:szCs w:val="28"/>
              </w:rPr>
              <w:t>（如受到禁止一段时期参加某种项目的政府采购活动的，要说明解禁时间）</w:t>
            </w:r>
          </w:p>
        </w:tc>
        <w:tc>
          <w:tcPr>
            <w:tcW w:w="1232"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jc w:val="center"/>
        </w:trPr>
        <w:tc>
          <w:tcPr>
            <w:tcW w:w="1198" w:type="dxa"/>
          </w:tcPr>
          <w:p>
            <w:pPr>
              <w:pStyle w:val="3"/>
              <w:snapToGrid w:val="0"/>
              <w:spacing w:line="300" w:lineRule="auto"/>
              <w:ind w:firstLine="0"/>
              <w:contextualSpacing/>
              <w:rPr>
                <w:rFonts w:ascii="宋体" w:hAnsi="宋体" w:eastAsia="宋体" w:cstheme="minorEastAsia"/>
              </w:rPr>
            </w:pPr>
          </w:p>
        </w:tc>
        <w:tc>
          <w:tcPr>
            <w:tcW w:w="2874" w:type="dxa"/>
          </w:tcPr>
          <w:p>
            <w:pPr>
              <w:pStyle w:val="3"/>
              <w:snapToGrid w:val="0"/>
              <w:spacing w:line="300" w:lineRule="auto"/>
              <w:ind w:firstLine="0"/>
              <w:contextualSpacing/>
              <w:rPr>
                <w:rFonts w:ascii="宋体" w:hAnsi="宋体" w:eastAsia="宋体" w:cstheme="minorEastAsia"/>
              </w:rPr>
            </w:pPr>
          </w:p>
        </w:tc>
        <w:tc>
          <w:tcPr>
            <w:tcW w:w="2874" w:type="dxa"/>
          </w:tcPr>
          <w:p>
            <w:pPr>
              <w:pStyle w:val="3"/>
              <w:snapToGrid w:val="0"/>
              <w:spacing w:line="300" w:lineRule="auto"/>
              <w:ind w:firstLine="0"/>
              <w:contextualSpacing/>
              <w:rPr>
                <w:rFonts w:ascii="宋体" w:hAnsi="宋体" w:eastAsia="宋体" w:cstheme="minorEastAsia"/>
              </w:rPr>
            </w:pPr>
          </w:p>
        </w:tc>
        <w:tc>
          <w:tcPr>
            <w:tcW w:w="1232" w:type="dxa"/>
          </w:tcPr>
          <w:p>
            <w:pPr>
              <w:pStyle w:val="3"/>
              <w:snapToGrid w:val="0"/>
              <w:spacing w:line="300" w:lineRule="auto"/>
              <w:ind w:firstLine="0"/>
              <w:contextualSpacing/>
              <w:rPr>
                <w:rFonts w:ascii="宋体" w:hAnsi="宋体" w:eastAsia="宋体" w:cstheme="minorEastAsia"/>
              </w:rPr>
            </w:pPr>
          </w:p>
        </w:tc>
      </w:tr>
    </w:tbl>
    <w:p>
      <w:pPr>
        <w:snapToGrid w:val="0"/>
        <w:spacing w:line="360" w:lineRule="auto"/>
        <w:contextualSpacing/>
        <w:rPr>
          <w:rFonts w:ascii="宋体" w:hAnsi="宋体" w:eastAsia="宋体" w:cstheme="minorEastAsia"/>
          <w:sz w:val="24"/>
          <w:szCs w:val="24"/>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360" w:lineRule="auto"/>
        <w:ind w:firstLine="480" w:firstLineChars="200"/>
        <w:contextualSpacing/>
        <w:rPr>
          <w:rFonts w:ascii="宋体" w:hAnsi="宋体" w:eastAsia="宋体" w:cstheme="minorEastAsia"/>
          <w:sz w:val="24"/>
          <w:szCs w:val="24"/>
        </w:rPr>
      </w:pPr>
    </w:p>
    <w:p>
      <w:pPr>
        <w:snapToGrid w:val="0"/>
        <w:spacing w:line="360" w:lineRule="auto"/>
        <w:ind w:firstLine="480" w:firstLineChars="200"/>
        <w:contextualSpacing/>
        <w:rPr>
          <w:rFonts w:ascii="宋体" w:hAnsi="宋体" w:eastAsia="宋体" w:cstheme="minorEastAsia"/>
          <w:sz w:val="24"/>
          <w:szCs w:val="24"/>
        </w:rPr>
      </w:pPr>
    </w:p>
    <w:p>
      <w:pPr>
        <w:snapToGrid w:val="0"/>
        <w:spacing w:line="360" w:lineRule="auto"/>
        <w:ind w:firstLine="560" w:firstLineChars="200"/>
        <w:contextualSpacing/>
        <w:rPr>
          <w:rFonts w:ascii="仿宋" w:hAnsi="仿宋" w:eastAsia="仿宋" w:cs="仿宋"/>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二、法定代表人身份证明书</w:t>
      </w:r>
    </w:p>
    <w:p>
      <w:pPr>
        <w:snapToGrid w:val="0"/>
        <w:spacing w:line="360" w:lineRule="auto"/>
        <w:ind w:firstLine="560" w:firstLineChars="200"/>
        <w:contextualSpacing/>
        <w:rPr>
          <w:rFonts w:ascii="仿宋" w:hAnsi="仿宋" w:eastAsia="仿宋" w:cs="仿宋"/>
          <w:sz w:val="28"/>
          <w:szCs w:val="28"/>
        </w:rPr>
      </w:pPr>
    </w:p>
    <w:p>
      <w:pPr>
        <w:pStyle w:val="40"/>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40"/>
        <w:adjustRightInd/>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单位性质：</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40"/>
        <w:adjustRightInd/>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40"/>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40"/>
        <w:adjustRightInd/>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p>
    <w:p>
      <w:pPr>
        <w:pStyle w:val="40"/>
        <w:adjustRightInd/>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w:t>
      </w:r>
      <w:r>
        <w:rPr>
          <w:rFonts w:hint="eastAsia" w:ascii="仿宋" w:hAnsi="仿宋" w:eastAsia="仿宋" w:cs="仿宋"/>
          <w:sz w:val="28"/>
          <w:szCs w:val="28"/>
          <w:u w:val="single"/>
        </w:rPr>
        <w:t xml:space="preserve">       </w:t>
      </w:r>
    </w:p>
    <w:p>
      <w:pPr>
        <w:pStyle w:val="40"/>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（供应商单位名称）       </w:t>
      </w:r>
      <w:r>
        <w:rPr>
          <w:rFonts w:hint="eastAsia" w:ascii="仿宋" w:hAnsi="仿宋" w:eastAsia="仿宋" w:cs="仿宋"/>
          <w:sz w:val="28"/>
          <w:szCs w:val="28"/>
        </w:rPr>
        <w:t>的法定代表人。</w:t>
      </w:r>
    </w:p>
    <w:p>
      <w:pPr>
        <w:snapToGrid w:val="0"/>
        <w:spacing w:line="360" w:lineRule="auto"/>
        <w:ind w:firstLine="562" w:firstLineChars="200"/>
        <w:contextualSpacing/>
        <w:rPr>
          <w:rFonts w:ascii="仿宋" w:hAnsi="仿宋" w:eastAsia="仿宋" w:cs="仿宋"/>
          <w:b/>
          <w:sz w:val="28"/>
          <w:szCs w:val="28"/>
        </w:rPr>
      </w:pPr>
    </w:p>
    <w:p>
      <w:pPr>
        <w:snapToGrid w:val="0"/>
        <w:spacing w:line="360" w:lineRule="auto"/>
        <w:ind w:firstLine="562" w:firstLineChars="200"/>
        <w:contextualSpacing/>
        <w:rPr>
          <w:rFonts w:ascii="仿宋" w:hAnsi="仿宋" w:eastAsia="仿宋" w:cs="仿宋"/>
          <w:b/>
          <w:sz w:val="28"/>
          <w:szCs w:val="28"/>
        </w:rPr>
      </w:pPr>
    </w:p>
    <w:p>
      <w:pPr>
        <w:snapToGrid w:val="0"/>
        <w:spacing w:line="360" w:lineRule="auto"/>
        <w:ind w:firstLine="562" w:firstLineChars="200"/>
        <w:contextualSpacing/>
        <w:rPr>
          <w:rFonts w:ascii="仿宋" w:hAnsi="仿宋" w:eastAsia="仿宋" w:cs="仿宋"/>
          <w:b/>
          <w:sz w:val="28"/>
          <w:szCs w:val="28"/>
        </w:rPr>
      </w:pPr>
      <w:r>
        <w:rPr>
          <w:rFonts w:hint="eastAsia" w:ascii="仿宋" w:hAnsi="仿宋" w:eastAsia="仿宋" w:cs="仿宋"/>
          <w:b/>
          <w:sz w:val="28"/>
          <w:szCs w:val="28"/>
        </w:rPr>
        <w:t>注：提供法定代表人的身份证复印件盖公章</w:t>
      </w:r>
    </w:p>
    <w:tbl>
      <w:tblPr>
        <w:tblStyle w:val="1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8505" w:type="dxa"/>
          </w:tcPr>
          <w:p>
            <w:pPr>
              <w:snapToGrid w:val="0"/>
              <w:spacing w:line="420" w:lineRule="exact"/>
              <w:ind w:left="193" w:firstLine="424" w:firstLineChars="202"/>
              <w:jc w:val="left"/>
              <w:rPr>
                <w:rFonts w:eastAsia="宋体"/>
              </w:rPr>
            </w:pPr>
          </w:p>
          <w:p>
            <w:pPr>
              <w:snapToGrid w:val="0"/>
              <w:spacing w:line="420" w:lineRule="exact"/>
              <w:ind w:left="193" w:firstLine="1054" w:firstLineChars="500"/>
              <w:jc w:val="left"/>
              <w:rPr>
                <w:rFonts w:eastAsia="宋体"/>
                <w:b/>
                <w:bCs/>
              </w:rPr>
            </w:pPr>
            <w:r>
              <w:rPr>
                <w:rFonts w:hint="eastAsia" w:eastAsia="宋体" w:cs="宋体"/>
                <w:b/>
                <w:bCs/>
              </w:rPr>
              <w:t>法定代表人身份证（正、反面）复印件或扫描打印件</w:t>
            </w:r>
          </w:p>
          <w:p>
            <w:pPr>
              <w:snapToGrid w:val="0"/>
              <w:spacing w:line="420" w:lineRule="exact"/>
              <w:ind w:left="193"/>
              <w:jc w:val="left"/>
              <w:rPr>
                <w:rFonts w:eastAsia="宋体"/>
                <w:b/>
                <w:bCs/>
              </w:rPr>
            </w:pPr>
          </w:p>
          <w:p>
            <w:pPr>
              <w:snapToGrid w:val="0"/>
              <w:spacing w:line="420" w:lineRule="exact"/>
              <w:ind w:left="193"/>
              <w:jc w:val="left"/>
              <w:rPr>
                <w:rFonts w:eastAsia="宋体"/>
                <w:b/>
                <w:bCs/>
              </w:rPr>
            </w:pPr>
          </w:p>
          <w:p>
            <w:pPr>
              <w:snapToGrid w:val="0"/>
              <w:spacing w:line="420" w:lineRule="exact"/>
              <w:ind w:left="193"/>
              <w:jc w:val="left"/>
              <w:rPr>
                <w:rFonts w:eastAsia="宋体"/>
                <w:b/>
                <w:bCs/>
              </w:rPr>
            </w:pPr>
          </w:p>
          <w:p>
            <w:pPr>
              <w:snapToGrid w:val="0"/>
              <w:spacing w:line="420" w:lineRule="exact"/>
              <w:ind w:left="193" w:firstLine="424" w:firstLineChars="202"/>
              <w:jc w:val="left"/>
              <w:rPr>
                <w:rFonts w:eastAsia="宋体"/>
              </w:rPr>
            </w:pPr>
          </w:p>
        </w:tc>
      </w:tr>
    </w:tbl>
    <w:p>
      <w:pPr>
        <w:pStyle w:val="23"/>
        <w:spacing w:line="360" w:lineRule="auto"/>
        <w:ind w:firstLine="562" w:firstLineChars="200"/>
        <w:jc w:val="both"/>
        <w:rPr>
          <w:rFonts w:ascii="仿宋" w:hAnsi="仿宋" w:eastAsia="仿宋" w:cs="仿宋"/>
          <w:b/>
          <w:sz w:val="28"/>
          <w:szCs w:val="28"/>
        </w:rPr>
      </w:pPr>
    </w:p>
    <w:p>
      <w:pPr>
        <w:pStyle w:val="23"/>
        <w:spacing w:line="360" w:lineRule="auto"/>
        <w:ind w:firstLine="562" w:firstLineChars="200"/>
        <w:jc w:val="both"/>
        <w:rPr>
          <w:rFonts w:ascii="仿宋" w:hAnsi="仿宋" w:eastAsia="仿宋" w:cs="仿宋"/>
          <w:b/>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日期：  年  月  日</w:t>
      </w:r>
    </w:p>
    <w:p>
      <w:pPr>
        <w:pStyle w:val="23"/>
        <w:spacing w:line="360" w:lineRule="auto"/>
        <w:ind w:firstLine="482" w:firstLineChars="200"/>
        <w:jc w:val="both"/>
        <w:rPr>
          <w:rFonts w:ascii="宋体" w:hAnsi="宋体" w:eastAsia="宋体" w:cstheme="minorEastAsia"/>
          <w:b/>
        </w:rPr>
      </w:pPr>
    </w:p>
    <w:p>
      <w:pPr>
        <w:pStyle w:val="23"/>
        <w:spacing w:line="360" w:lineRule="auto"/>
        <w:ind w:firstLine="482" w:firstLineChars="200"/>
        <w:jc w:val="both"/>
        <w:rPr>
          <w:rFonts w:ascii="宋体" w:hAnsi="宋体" w:eastAsia="宋体" w:cstheme="minorEastAsia"/>
          <w:b/>
        </w:rPr>
      </w:pPr>
    </w:p>
    <w:p>
      <w:pPr>
        <w:pStyle w:val="23"/>
        <w:spacing w:line="360" w:lineRule="auto"/>
        <w:ind w:firstLine="482" w:firstLineChars="200"/>
        <w:jc w:val="both"/>
        <w:rPr>
          <w:rFonts w:ascii="宋体" w:hAnsi="宋体" w:eastAsia="宋体" w:cstheme="minorEastAsia"/>
          <w:b/>
        </w:rPr>
      </w:pPr>
    </w:p>
    <w:p>
      <w:pPr>
        <w:snapToGrid w:val="0"/>
        <w:spacing w:line="300" w:lineRule="auto"/>
        <w:contextualSpacing/>
        <w:jc w:val="center"/>
        <w:rPr>
          <w:rFonts w:ascii="宋体" w:hAnsi="宋体" w:eastAsia="宋体" w:cstheme="minorEastAsia"/>
          <w:b/>
          <w:sz w:val="24"/>
          <w:szCs w:val="24"/>
        </w:rPr>
        <w:sectPr>
          <w:pgSz w:w="11906" w:h="16838"/>
          <w:pgMar w:top="1134" w:right="1134" w:bottom="1134" w:left="1621" w:header="851" w:footer="992" w:gutter="0"/>
          <w:cols w:space="720" w:num="1"/>
          <w:docGrid w:linePitch="312" w:charSpace="0"/>
        </w:sectPr>
      </w:pPr>
    </w:p>
    <w:p>
      <w:pPr>
        <w:pStyle w:val="26"/>
        <w:snapToGrid w:val="0"/>
        <w:spacing w:line="300" w:lineRule="auto"/>
        <w:ind w:firstLine="0"/>
        <w:contextualSpacing/>
        <w:jc w:val="center"/>
        <w:rPr>
          <w:rFonts w:ascii="宋体" w:eastAsia="宋体" w:cstheme="minorEastAsia"/>
          <w:b/>
          <w:sz w:val="24"/>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三、授权委托书</w:t>
      </w:r>
    </w:p>
    <w:p>
      <w:pPr>
        <w:snapToGrid w:val="0"/>
        <w:spacing w:line="300" w:lineRule="auto"/>
        <w:ind w:firstLine="245"/>
        <w:contextualSpacing/>
        <w:jc w:val="center"/>
        <w:rPr>
          <w:rFonts w:ascii="仿宋" w:hAnsi="仿宋" w:eastAsia="仿宋" w:cs="仿宋"/>
          <w:b/>
          <w:sz w:val="28"/>
          <w:szCs w:val="28"/>
        </w:rPr>
      </w:pP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南通市殡仪馆：</w:t>
      </w:r>
    </w:p>
    <w:p>
      <w:pPr>
        <w:pStyle w:val="1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w:t>
      </w:r>
      <w:r>
        <w:rPr>
          <w:rFonts w:hint="eastAsia" w:ascii="仿宋" w:hAnsi="仿宋" w:eastAsia="仿宋" w:cs="仿宋"/>
          <w:sz w:val="28"/>
          <w:szCs w:val="28"/>
        </w:rPr>
        <w:t>（姓名）系</w:t>
      </w:r>
      <w:r>
        <w:rPr>
          <w:rFonts w:hint="eastAsia" w:ascii="仿宋" w:hAnsi="仿宋" w:eastAsia="仿宋" w:cs="仿宋"/>
          <w:sz w:val="28"/>
          <w:szCs w:val="28"/>
          <w:u w:val="single"/>
        </w:rPr>
        <w:t>　　  　</w:t>
      </w:r>
      <w:r>
        <w:rPr>
          <w:rFonts w:hint="eastAsia" w:ascii="仿宋" w:hAnsi="仿宋" w:eastAsia="仿宋" w:cs="仿宋"/>
          <w:sz w:val="28"/>
          <w:szCs w:val="28"/>
        </w:rPr>
        <w:t>（响应人名称）的法定代表人，现授权委托</w:t>
      </w:r>
      <w:r>
        <w:rPr>
          <w:rFonts w:hint="eastAsia" w:ascii="仿宋" w:hAnsi="仿宋" w:eastAsia="仿宋" w:cs="仿宋"/>
          <w:sz w:val="28"/>
          <w:szCs w:val="28"/>
          <w:u w:val="single"/>
        </w:rPr>
        <w:t>　　   （</w:t>
      </w:r>
      <w:r>
        <w:rPr>
          <w:rFonts w:hint="eastAsia" w:ascii="仿宋" w:hAnsi="仿宋" w:eastAsia="仿宋" w:cs="仿宋"/>
          <w:sz w:val="28"/>
          <w:szCs w:val="28"/>
        </w:rPr>
        <w:t>姓名）为我公司代理人，以本公司的名义参加本项目的响应活动。代理人在开标、评审、合同谈判过程中所签署的一切文件和处理与之有关的一切事务，我均予以承认。</w:t>
      </w:r>
    </w:p>
    <w:p>
      <w:pPr>
        <w:pStyle w:val="1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委托授权人无转委权。特此委托。</w:t>
      </w:r>
    </w:p>
    <w:p>
      <w:pPr>
        <w:pStyle w:val="10"/>
        <w:snapToGrid w:val="0"/>
        <w:spacing w:line="360" w:lineRule="auto"/>
        <w:ind w:firstLine="560" w:firstLineChars="200"/>
        <w:contextualSpacing/>
        <w:rPr>
          <w:rFonts w:ascii="仿宋" w:hAnsi="仿宋" w:eastAsia="仿宋" w:cs="仿宋"/>
          <w:sz w:val="28"/>
          <w:szCs w:val="28"/>
        </w:rPr>
      </w:pPr>
    </w:p>
    <w:p>
      <w:pPr>
        <w:pStyle w:val="1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委托授权人身份证号：</w:t>
      </w:r>
    </w:p>
    <w:p>
      <w:pPr>
        <w:snapToGrid w:val="0"/>
        <w:spacing w:line="360" w:lineRule="auto"/>
        <w:ind w:firstLine="560" w:firstLineChars="200"/>
        <w:contextualSpacing/>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授权委托人签字：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日期：  年  月  日</w:t>
      </w:r>
    </w:p>
    <w:p>
      <w:pPr>
        <w:pStyle w:val="10"/>
        <w:snapToGrid w:val="0"/>
        <w:spacing w:line="300" w:lineRule="auto"/>
        <w:ind w:firstLine="420"/>
        <w:contextualSpacing/>
        <w:rPr>
          <w:rFonts w:ascii="仿宋" w:hAnsi="仿宋" w:eastAsia="仿宋" w:cs="仿宋"/>
          <w:b/>
          <w:sz w:val="28"/>
          <w:szCs w:val="28"/>
        </w:rPr>
      </w:pPr>
      <w:r>
        <w:rPr>
          <w:rFonts w:hint="eastAsia" w:ascii="仿宋" w:hAnsi="仿宋" w:eastAsia="仿宋" w:cs="仿宋"/>
          <w:b/>
          <w:sz w:val="28"/>
          <w:szCs w:val="28"/>
        </w:rPr>
        <w:t>注：提供被委托授权人的身份证复印件盖公章</w:t>
      </w:r>
    </w:p>
    <w:tbl>
      <w:tblPr>
        <w:tblStyle w:val="1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8505" w:type="dxa"/>
          </w:tcPr>
          <w:p>
            <w:pPr>
              <w:snapToGrid w:val="0"/>
              <w:spacing w:line="420" w:lineRule="exact"/>
              <w:ind w:firstLine="424" w:firstLineChars="202"/>
              <w:jc w:val="left"/>
              <w:rPr>
                <w:rFonts w:eastAsia="宋体"/>
              </w:rPr>
            </w:pPr>
          </w:p>
          <w:p>
            <w:pPr>
              <w:snapToGrid w:val="0"/>
              <w:spacing w:line="420" w:lineRule="exact"/>
              <w:jc w:val="center"/>
              <w:rPr>
                <w:rFonts w:eastAsia="宋体"/>
                <w:b/>
                <w:bCs/>
              </w:rPr>
            </w:pPr>
            <w:r>
              <w:rPr>
                <w:rFonts w:hint="eastAsia" w:eastAsia="宋体" w:cs="宋体"/>
                <w:b/>
                <w:bCs/>
              </w:rPr>
              <w:t>被委托受权人身份证（正、反面）复印件或扫描打印件</w:t>
            </w: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rPr>
            </w:pPr>
          </w:p>
          <w:p>
            <w:pPr>
              <w:snapToGrid w:val="0"/>
              <w:spacing w:line="420" w:lineRule="exact"/>
              <w:jc w:val="center"/>
              <w:rPr>
                <w:rFonts w:eastAsia="宋体"/>
              </w:rPr>
            </w:pPr>
          </w:p>
        </w:tc>
      </w:tr>
    </w:tbl>
    <w:p>
      <w:pPr>
        <w:pStyle w:val="10"/>
        <w:snapToGrid w:val="0"/>
        <w:spacing w:line="300" w:lineRule="auto"/>
        <w:ind w:firstLine="420"/>
        <w:contextualSpacing/>
        <w:rPr>
          <w:rFonts w:ascii="仿宋" w:hAnsi="仿宋" w:eastAsia="仿宋" w:cs="仿宋"/>
          <w:b/>
          <w:sz w:val="28"/>
          <w:szCs w:val="28"/>
        </w:rPr>
      </w:pPr>
    </w:p>
    <w:p>
      <w:pPr>
        <w:pStyle w:val="10"/>
        <w:snapToGrid w:val="0"/>
        <w:spacing w:line="300" w:lineRule="auto"/>
        <w:ind w:firstLine="420"/>
        <w:contextualSpacing/>
        <w:rPr>
          <w:rFonts w:hAnsi="宋体" w:eastAsia="宋体" w:cstheme="minorEastAsia"/>
          <w:b/>
          <w:sz w:val="24"/>
          <w:szCs w:val="24"/>
        </w:rPr>
      </w:pPr>
    </w:p>
    <w:p>
      <w:pPr>
        <w:pStyle w:val="10"/>
        <w:snapToGrid w:val="0"/>
        <w:spacing w:line="300" w:lineRule="auto"/>
        <w:ind w:firstLine="420"/>
        <w:contextualSpacing/>
        <w:rPr>
          <w:rFonts w:hAnsi="宋体" w:eastAsia="宋体" w:cstheme="minorEastAsia"/>
          <w:b/>
          <w:sz w:val="24"/>
          <w:szCs w:val="24"/>
        </w:rPr>
      </w:pPr>
    </w:p>
    <w:p>
      <w:pPr>
        <w:snapToGrid w:val="0"/>
        <w:spacing w:line="420" w:lineRule="exact"/>
        <w:jc w:val="center"/>
        <w:rPr>
          <w:rFonts w:ascii="宋体" w:hAnsi="宋体" w:eastAsia="宋体" w:cstheme="minorEastAsia"/>
          <w:b/>
          <w:sz w:val="24"/>
          <w:szCs w:val="24"/>
        </w:rPr>
        <w:sectPr>
          <w:pgSz w:w="11906" w:h="16838"/>
          <w:pgMar w:top="1134" w:right="1134" w:bottom="1134" w:left="1621" w:header="851" w:footer="992" w:gutter="0"/>
          <w:cols w:space="720" w:num="1"/>
          <w:docGrid w:linePitch="312" w:charSpace="0"/>
        </w:sectPr>
      </w:pPr>
      <w:r>
        <w:rPr>
          <w:rFonts w:hint="eastAsia" w:ascii="宋体" w:hAnsi="宋体" w:eastAsia="宋体" w:cstheme="minorEastAsia"/>
          <w:b/>
          <w:sz w:val="24"/>
          <w:szCs w:val="24"/>
        </w:rPr>
        <w:t xml:space="preserve"> </w:t>
      </w: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四、符合政府采购法二十二条的书面声明</w:t>
      </w:r>
    </w:p>
    <w:p>
      <w:pPr>
        <w:snapToGrid w:val="0"/>
        <w:spacing w:line="360" w:lineRule="auto"/>
        <w:ind w:firstLine="480" w:firstLineChars="200"/>
        <w:rPr>
          <w:rFonts w:ascii="宋体" w:hAnsi="宋体" w:eastAsia="宋体" w:cstheme="minorEastAsia"/>
          <w:sz w:val="24"/>
          <w:szCs w:val="24"/>
        </w:rPr>
      </w:pP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南通市殡仪馆：</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供应商（盖章）：</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360" w:lineRule="auto"/>
        <w:ind w:firstLine="560" w:firstLineChars="200"/>
        <w:rPr>
          <w:rFonts w:ascii="宋体" w:hAnsi="宋体" w:eastAsia="宋体" w:cstheme="minorEastAsia"/>
          <w:sz w:val="28"/>
          <w:szCs w:val="28"/>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jc w:val="center"/>
        <w:rPr>
          <w:rFonts w:ascii="宋体" w:hAnsi="宋体" w:eastAsia="宋体" w:cstheme="minorEastAsia"/>
          <w:b/>
          <w:sz w:val="28"/>
          <w:szCs w:val="24"/>
        </w:rPr>
      </w:pPr>
    </w:p>
    <w:p>
      <w:pPr>
        <w:spacing w:line="360" w:lineRule="auto"/>
        <w:rPr>
          <w:rFonts w:ascii="宋体" w:hAnsi="宋体" w:eastAsia="宋体" w:cstheme="minorEastAsia"/>
          <w:b/>
          <w:sz w:val="28"/>
          <w:szCs w:val="24"/>
        </w:rPr>
      </w:pPr>
    </w:p>
    <w:p>
      <w:pPr>
        <w:spacing w:line="360" w:lineRule="auto"/>
        <w:jc w:val="center"/>
        <w:outlineLvl w:val="2"/>
        <w:rPr>
          <w:rFonts w:ascii="仿宋" w:hAnsi="仿宋" w:eastAsia="仿宋" w:cs="仿宋"/>
          <w:b/>
          <w:sz w:val="28"/>
          <w:szCs w:val="24"/>
        </w:rPr>
      </w:pPr>
      <w:r>
        <w:rPr>
          <w:rFonts w:hint="eastAsia" w:ascii="仿宋" w:hAnsi="仿宋" w:eastAsia="仿宋" w:cs="仿宋"/>
          <w:b/>
          <w:sz w:val="28"/>
          <w:szCs w:val="24"/>
        </w:rPr>
        <w:t>五、无重大违法记录声明</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480" w:lineRule="auto"/>
        <w:ind w:right="720" w:firstLine="560" w:firstLineChars="200"/>
        <w:contextualSpacing/>
        <w:jc w:val="center"/>
        <w:rPr>
          <w:rFonts w:ascii="仿宋" w:hAnsi="仿宋" w:eastAsia="仿宋" w:cs="仿宋"/>
          <w:sz w:val="28"/>
          <w:szCs w:val="28"/>
        </w:rPr>
      </w:pPr>
    </w:p>
    <w:p>
      <w:pPr>
        <w:snapToGrid w:val="0"/>
        <w:spacing w:line="360" w:lineRule="auto"/>
        <w:ind w:firstLine="480" w:firstLineChars="200"/>
        <w:rPr>
          <w:rFonts w:ascii="宋体" w:hAnsi="宋体" w:eastAsia="宋体" w:cstheme="minorEastAsia"/>
          <w:sz w:val="24"/>
          <w:szCs w:val="24"/>
        </w:rPr>
      </w:pPr>
    </w:p>
    <w:p>
      <w:pPr>
        <w:snapToGrid w:val="0"/>
        <w:spacing w:line="360" w:lineRule="auto"/>
        <w:ind w:firstLine="480" w:firstLineChars="200"/>
        <w:rPr>
          <w:rFonts w:ascii="宋体" w:hAnsi="宋体" w:eastAsia="宋体" w:cstheme="minorEastAsia"/>
          <w:sz w:val="24"/>
          <w:szCs w:val="24"/>
        </w:rPr>
        <w:sectPr>
          <w:pgSz w:w="11906" w:h="16838"/>
          <w:pgMar w:top="1440" w:right="1274" w:bottom="1402" w:left="1800" w:header="851" w:footer="992" w:gutter="0"/>
          <w:cols w:space="720" w:num="1"/>
          <w:docGrid w:type="lines" w:linePitch="312" w:charSpace="0"/>
        </w:sectPr>
      </w:pPr>
    </w:p>
    <w:p>
      <w:pPr>
        <w:pStyle w:val="26"/>
        <w:snapToGrid w:val="0"/>
        <w:spacing w:line="300" w:lineRule="auto"/>
        <w:ind w:firstLine="0"/>
        <w:contextualSpacing/>
        <w:rPr>
          <w:rFonts w:ascii="宋体" w:eastAsia="宋体" w:cstheme="minorEastAsia"/>
          <w:b/>
          <w:sz w:val="24"/>
          <w:szCs w:val="24"/>
        </w:rPr>
      </w:pPr>
      <w:r>
        <w:rPr>
          <w:rFonts w:hint="eastAsia" w:ascii="仿宋" w:hAnsi="仿宋" w:eastAsia="仿宋" w:cs="仿宋"/>
          <w:b/>
          <w:sz w:val="28"/>
          <w:szCs w:val="28"/>
        </w:rPr>
        <w:t>B、价格响应文件（一个密封包，含一正两副文件）</w:t>
      </w: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一、竞争性磋商响应函（格式不得变动）</w:t>
      </w: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南通市殡仪馆：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依据贵单位委托代理机构组织的</w:t>
      </w:r>
      <w:r>
        <w:rPr>
          <w:rFonts w:hint="eastAsia" w:ascii="仿宋" w:hAnsi="仿宋" w:eastAsia="仿宋" w:cs="仿宋"/>
          <w:sz w:val="28"/>
          <w:szCs w:val="28"/>
          <w:u w:val="single"/>
        </w:rPr>
        <w:t xml:space="preserve">               </w:t>
      </w:r>
      <w:r>
        <w:rPr>
          <w:rFonts w:hint="eastAsia" w:ascii="仿宋" w:hAnsi="仿宋" w:eastAsia="仿宋" w:cs="仿宋"/>
          <w:sz w:val="28"/>
          <w:szCs w:val="28"/>
        </w:rPr>
        <w:t>（磋商项目名称)项目竞争性磋商的邀请，我方授权</w:t>
      </w:r>
      <w:r>
        <w:rPr>
          <w:rFonts w:hint="eastAsia" w:ascii="仿宋" w:hAnsi="仿宋" w:eastAsia="仿宋" w:cs="仿宋"/>
          <w:sz w:val="28"/>
          <w:szCs w:val="28"/>
          <w:u w:val="single"/>
        </w:rPr>
        <w:t xml:space="preserve">    </w:t>
      </w: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（职务）为全权代表参加该项目的磋商工作，全权处理本次竞争性磋商的有关事宜。同时，我公司声明如下：</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1.同意并接受竞争性磋商文件的各项要求，遵守竞争性磋商文件中的各项规定，按竞争性磋商文件的要求提供报价。</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我公司尊重磋商小组所作的评定结果，同时清楚理解到报价最低并非意味着必定获得成交资格。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一旦成交，我方将根据竞争性磋商文件的规定，严格履行合同规定的责任和义务，并保证在竞争性磋商文件中规定的时间期限内完成合同项目。</w:t>
      </w:r>
    </w:p>
    <w:bookmarkEnd w:id="92"/>
    <w:bookmarkEnd w:id="93"/>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360" w:lineRule="auto"/>
        <w:jc w:val="right"/>
        <w:rPr>
          <w:rFonts w:ascii="宋体" w:hAnsi="宋体" w:eastAsia="宋体"/>
          <w:sz w:val="24"/>
          <w:szCs w:val="24"/>
        </w:rPr>
        <w:sectPr>
          <w:pgSz w:w="11906" w:h="16838"/>
          <w:pgMar w:top="1440" w:right="1274" w:bottom="1402" w:left="1800" w:header="851" w:footer="992" w:gutter="0"/>
          <w:cols w:space="720" w:num="1"/>
          <w:docGrid w:type="lines" w:linePitch="312" w:charSpace="0"/>
        </w:sectPr>
      </w:pPr>
    </w:p>
    <w:p>
      <w:pPr>
        <w:snapToGrid w:val="0"/>
        <w:spacing w:line="440" w:lineRule="atLeast"/>
        <w:rPr>
          <w:rFonts w:ascii="宋体" w:hAnsi="宋体" w:eastAsia="宋体" w:cstheme="minorEastAsia"/>
          <w:b/>
          <w:sz w:val="24"/>
          <w:szCs w:val="24"/>
        </w:rPr>
      </w:pPr>
    </w:p>
    <w:p>
      <w:pPr>
        <w:spacing w:line="360" w:lineRule="auto"/>
        <w:jc w:val="center"/>
        <w:outlineLvl w:val="2"/>
        <w:rPr>
          <w:rFonts w:ascii="仿宋" w:hAnsi="仿宋" w:eastAsia="仿宋" w:cs="仿宋"/>
          <w:b/>
          <w:sz w:val="28"/>
          <w:szCs w:val="28"/>
        </w:rPr>
      </w:pPr>
      <w:bookmarkStart w:id="94" w:name="_Toc8658"/>
      <w:bookmarkStart w:id="95" w:name="_Toc23749"/>
      <w:r>
        <w:rPr>
          <w:rFonts w:hint="eastAsia" w:ascii="仿宋" w:hAnsi="仿宋" w:eastAsia="仿宋" w:cs="仿宋"/>
          <w:b/>
          <w:sz w:val="28"/>
          <w:szCs w:val="28"/>
        </w:rPr>
        <w:t>二、磋商响应报价总表（开标一览表）</w:t>
      </w:r>
      <w:bookmarkEnd w:id="94"/>
      <w:bookmarkEnd w:id="95"/>
    </w:p>
    <w:tbl>
      <w:tblPr>
        <w:tblStyle w:val="19"/>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3341"/>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项目编号</w:t>
            </w:r>
          </w:p>
        </w:tc>
        <w:tc>
          <w:tcPr>
            <w:tcW w:w="76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ZRNT20220110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76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南通市殡仪馆紫砂火化骨灰盒代销采购项目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磋商报价</w:t>
            </w:r>
          </w:p>
          <w:p>
            <w:pPr>
              <w:spacing w:line="360" w:lineRule="auto"/>
              <w:jc w:val="center"/>
              <w:rPr>
                <w:rFonts w:ascii="仿宋" w:hAnsi="仿宋" w:eastAsia="仿宋" w:cs="仿宋"/>
                <w:sz w:val="28"/>
                <w:szCs w:val="28"/>
              </w:rPr>
            </w:pPr>
            <w:r>
              <w:rPr>
                <w:rFonts w:hint="eastAsia" w:ascii="仿宋" w:hAnsi="仿宋" w:eastAsia="仿宋" w:cs="仿宋"/>
                <w:sz w:val="28"/>
                <w:szCs w:val="28"/>
              </w:rPr>
              <w:t>（首次）</w:t>
            </w:r>
          </w:p>
        </w:tc>
        <w:tc>
          <w:tcPr>
            <w:tcW w:w="3341" w:type="dxa"/>
            <w:tcBorders>
              <w:top w:val="single" w:color="auto" w:sz="4" w:space="0"/>
              <w:left w:val="single" w:color="auto" w:sz="4" w:space="0"/>
              <w:bottom w:val="single" w:color="auto" w:sz="4" w:space="0"/>
              <w:right w:val="single" w:color="auto" w:sz="4" w:space="0"/>
            </w:tcBorders>
            <w:vAlign w:val="center"/>
          </w:tcPr>
          <w:p>
            <w:pPr>
              <w:pStyle w:val="5"/>
              <w:tabs>
                <w:tab w:val="center" w:pos="3838"/>
              </w:tabs>
              <w:spacing w:line="240" w:lineRule="auto"/>
              <w:rPr>
                <w:rFonts w:ascii="仿宋" w:hAnsi="仿宋" w:eastAsia="仿宋" w:cs="仿宋"/>
              </w:rPr>
            </w:pPr>
            <w:r>
              <w:rPr>
                <w:rFonts w:hint="eastAsia" w:ascii="仿宋" w:hAnsi="仿宋" w:eastAsia="仿宋" w:cs="仿宋"/>
              </w:rPr>
              <w:t>标段1</w:t>
            </w:r>
          </w:p>
          <w:p>
            <w:pPr>
              <w:pStyle w:val="5"/>
              <w:spacing w:line="240" w:lineRule="auto"/>
              <w:rPr>
                <w:rFonts w:ascii="仿宋" w:hAnsi="仿宋" w:eastAsia="仿宋" w:cs="仿宋"/>
              </w:rPr>
            </w:pPr>
            <w:r>
              <w:rPr>
                <w:rFonts w:hint="eastAsia" w:ascii="仿宋" w:hAnsi="仿宋" w:eastAsia="仿宋" w:cs="仿宋"/>
              </w:rPr>
              <w:t xml:space="preserve">大写：   </w:t>
            </w:r>
          </w:p>
          <w:p>
            <w:pPr>
              <w:spacing w:line="480" w:lineRule="exact"/>
              <w:rPr>
                <w:rFonts w:ascii="仿宋" w:hAnsi="仿宋" w:eastAsia="仿宋" w:cs="仿宋"/>
                <w:sz w:val="28"/>
                <w:szCs w:val="28"/>
              </w:rPr>
            </w:pPr>
            <w:r>
              <w:rPr>
                <w:rFonts w:hint="eastAsia" w:ascii="仿宋" w:hAnsi="仿宋" w:eastAsia="仿宋" w:cs="仿宋"/>
                <w:sz w:val="28"/>
                <w:szCs w:val="28"/>
              </w:rPr>
              <w:t>小写：    （人民币）</w:t>
            </w:r>
          </w:p>
        </w:tc>
        <w:tc>
          <w:tcPr>
            <w:tcW w:w="4281" w:type="dxa"/>
            <w:tcBorders>
              <w:top w:val="single" w:color="auto" w:sz="4" w:space="0"/>
              <w:left w:val="single" w:color="auto" w:sz="4" w:space="0"/>
              <w:bottom w:val="single" w:color="auto" w:sz="4" w:space="0"/>
              <w:right w:val="single" w:color="auto" w:sz="4" w:space="0"/>
            </w:tcBorders>
            <w:vAlign w:val="center"/>
          </w:tcPr>
          <w:p>
            <w:pPr>
              <w:pStyle w:val="5"/>
              <w:tabs>
                <w:tab w:val="center" w:pos="3838"/>
              </w:tabs>
              <w:spacing w:line="240" w:lineRule="auto"/>
              <w:rPr>
                <w:rFonts w:ascii="仿宋" w:hAnsi="仿宋" w:eastAsia="仿宋" w:cs="仿宋"/>
              </w:rPr>
            </w:pPr>
            <w:r>
              <w:rPr>
                <w:rFonts w:hint="eastAsia" w:ascii="仿宋" w:hAnsi="仿宋" w:eastAsia="仿宋" w:cs="仿宋"/>
              </w:rPr>
              <w:t>标段2</w:t>
            </w:r>
          </w:p>
          <w:p>
            <w:pPr>
              <w:pStyle w:val="5"/>
              <w:spacing w:line="240" w:lineRule="auto"/>
              <w:rPr>
                <w:rFonts w:ascii="仿宋" w:hAnsi="仿宋" w:eastAsia="仿宋" w:cs="仿宋"/>
              </w:rPr>
            </w:pPr>
            <w:r>
              <w:rPr>
                <w:rFonts w:hint="eastAsia" w:ascii="仿宋" w:hAnsi="仿宋" w:eastAsia="仿宋" w:cs="仿宋"/>
              </w:rPr>
              <w:t xml:space="preserve">大写：   </w:t>
            </w:r>
          </w:p>
          <w:p>
            <w:pPr>
              <w:spacing w:line="480" w:lineRule="exact"/>
              <w:rPr>
                <w:rFonts w:ascii="仿宋" w:hAnsi="仿宋" w:eastAsia="仿宋" w:cs="仿宋"/>
                <w:sz w:val="28"/>
                <w:szCs w:val="28"/>
              </w:rPr>
            </w:pPr>
            <w:r>
              <w:rPr>
                <w:rFonts w:hint="eastAsia" w:ascii="仿宋" w:hAnsi="仿宋" w:eastAsia="仿宋" w:cs="仿宋"/>
                <w:sz w:val="28"/>
                <w:szCs w:val="28"/>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磋商报价</w:t>
            </w:r>
          </w:p>
          <w:p>
            <w:pPr>
              <w:spacing w:line="480" w:lineRule="exact"/>
              <w:jc w:val="center"/>
              <w:rPr>
                <w:rFonts w:ascii="仿宋" w:hAnsi="仿宋" w:eastAsia="仿宋" w:cs="仿宋"/>
                <w:sz w:val="28"/>
                <w:szCs w:val="28"/>
              </w:rPr>
            </w:pPr>
            <w:r>
              <w:rPr>
                <w:rFonts w:hint="eastAsia" w:ascii="仿宋" w:hAnsi="仿宋" w:eastAsia="仿宋" w:cs="仿宋"/>
                <w:sz w:val="28"/>
                <w:szCs w:val="28"/>
              </w:rPr>
              <w:t>（二次）</w:t>
            </w:r>
          </w:p>
        </w:tc>
        <w:tc>
          <w:tcPr>
            <w:tcW w:w="3341" w:type="dxa"/>
            <w:tcBorders>
              <w:top w:val="single" w:color="auto" w:sz="4" w:space="0"/>
              <w:left w:val="single" w:color="auto" w:sz="4" w:space="0"/>
              <w:bottom w:val="single" w:color="auto" w:sz="4" w:space="0"/>
              <w:right w:val="single" w:color="auto" w:sz="4" w:space="0"/>
            </w:tcBorders>
            <w:vAlign w:val="center"/>
          </w:tcPr>
          <w:p>
            <w:pPr>
              <w:pStyle w:val="5"/>
              <w:tabs>
                <w:tab w:val="center" w:pos="3838"/>
              </w:tabs>
              <w:spacing w:line="240" w:lineRule="auto"/>
              <w:rPr>
                <w:rFonts w:ascii="仿宋" w:hAnsi="仿宋" w:eastAsia="仿宋" w:cs="仿宋"/>
              </w:rPr>
            </w:pPr>
            <w:r>
              <w:rPr>
                <w:rFonts w:hint="eastAsia" w:ascii="仿宋" w:hAnsi="仿宋" w:eastAsia="仿宋" w:cs="仿宋"/>
              </w:rPr>
              <w:t>标段1</w:t>
            </w:r>
          </w:p>
          <w:p>
            <w:pPr>
              <w:pStyle w:val="5"/>
              <w:spacing w:line="240" w:lineRule="auto"/>
              <w:rPr>
                <w:rFonts w:ascii="仿宋" w:hAnsi="仿宋" w:eastAsia="仿宋" w:cs="仿宋"/>
              </w:rPr>
            </w:pPr>
            <w:r>
              <w:rPr>
                <w:rFonts w:hint="eastAsia" w:ascii="仿宋" w:hAnsi="仿宋" w:eastAsia="仿宋" w:cs="仿宋"/>
              </w:rPr>
              <w:t xml:space="preserve">大写：   </w:t>
            </w:r>
          </w:p>
          <w:p>
            <w:pPr>
              <w:spacing w:line="480" w:lineRule="exact"/>
              <w:ind w:left="3360" w:hanging="3360" w:hangingChars="1200"/>
              <w:rPr>
                <w:rFonts w:eastAsia="仿宋"/>
              </w:rPr>
            </w:pPr>
            <w:r>
              <w:rPr>
                <w:rFonts w:hint="eastAsia" w:ascii="仿宋" w:hAnsi="仿宋" w:eastAsia="仿宋" w:cs="仿宋"/>
                <w:sz w:val="28"/>
                <w:szCs w:val="28"/>
              </w:rPr>
              <w:t>小写：    （人民币）</w:t>
            </w:r>
          </w:p>
        </w:tc>
        <w:tc>
          <w:tcPr>
            <w:tcW w:w="4281" w:type="dxa"/>
            <w:tcBorders>
              <w:top w:val="single" w:color="auto" w:sz="4" w:space="0"/>
              <w:left w:val="single" w:color="auto" w:sz="4" w:space="0"/>
              <w:bottom w:val="single" w:color="auto" w:sz="4" w:space="0"/>
              <w:right w:val="single" w:color="auto" w:sz="4" w:space="0"/>
            </w:tcBorders>
            <w:vAlign w:val="center"/>
          </w:tcPr>
          <w:p>
            <w:pPr>
              <w:pStyle w:val="5"/>
              <w:tabs>
                <w:tab w:val="center" w:pos="3838"/>
              </w:tabs>
              <w:spacing w:line="240" w:lineRule="auto"/>
              <w:rPr>
                <w:rFonts w:ascii="仿宋" w:hAnsi="仿宋" w:eastAsia="仿宋" w:cs="仿宋"/>
              </w:rPr>
            </w:pPr>
            <w:r>
              <w:rPr>
                <w:rFonts w:hint="eastAsia" w:ascii="仿宋" w:hAnsi="仿宋" w:eastAsia="仿宋" w:cs="仿宋"/>
              </w:rPr>
              <w:t>标段2</w:t>
            </w:r>
          </w:p>
          <w:p>
            <w:pPr>
              <w:pStyle w:val="5"/>
              <w:spacing w:line="240" w:lineRule="auto"/>
              <w:rPr>
                <w:rFonts w:ascii="仿宋" w:hAnsi="仿宋" w:eastAsia="仿宋" w:cs="仿宋"/>
              </w:rPr>
            </w:pPr>
            <w:r>
              <w:rPr>
                <w:rFonts w:hint="eastAsia" w:ascii="仿宋" w:hAnsi="仿宋" w:eastAsia="仿宋" w:cs="仿宋"/>
              </w:rPr>
              <w:t xml:space="preserve">大写：   </w:t>
            </w:r>
          </w:p>
          <w:p>
            <w:pPr>
              <w:spacing w:line="480" w:lineRule="exact"/>
              <w:ind w:left="3360" w:hanging="3360" w:hangingChars="1200"/>
              <w:rPr>
                <w:rFonts w:ascii="仿宋" w:hAnsi="仿宋" w:eastAsia="仿宋" w:cs="仿宋"/>
                <w:sz w:val="28"/>
                <w:szCs w:val="28"/>
              </w:rPr>
            </w:pPr>
            <w:r>
              <w:rPr>
                <w:rFonts w:hint="eastAsia" w:ascii="仿宋" w:hAnsi="仿宋" w:eastAsia="仿宋" w:cs="仿宋"/>
                <w:sz w:val="28"/>
                <w:szCs w:val="28"/>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项目完成时间</w:t>
            </w:r>
          </w:p>
        </w:tc>
        <w:tc>
          <w:tcPr>
            <w:tcW w:w="76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完全响应磋商文件要求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付款方式</w:t>
            </w:r>
          </w:p>
        </w:tc>
        <w:tc>
          <w:tcPr>
            <w:tcW w:w="76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完全响应磋商文件要求的付款方式</w:t>
            </w:r>
          </w:p>
        </w:tc>
      </w:tr>
    </w:tbl>
    <w:p>
      <w:pPr>
        <w:pStyle w:val="18"/>
        <w:ind w:left="882"/>
      </w:pP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日期：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w:t>
      </w:r>
    </w:p>
    <w:p>
      <w:pPr>
        <w:pStyle w:val="28"/>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（1）本表为格式表，不得自行改动，必须提供，否则视为未实质性响应磋商采购文件。</w:t>
      </w:r>
    </w:p>
    <w:p>
      <w:pPr>
        <w:pStyle w:val="17"/>
        <w:widowControl/>
        <w:spacing w:before="0" w:beforeAutospacing="0" w:after="76" w:afterAutospacing="0" w:line="525" w:lineRule="atLeast"/>
        <w:ind w:right="450" w:firstLine="420"/>
        <w:rPr>
          <w:rFonts w:ascii="仿宋" w:hAnsi="仿宋" w:eastAsia="仿宋" w:cs="仿宋"/>
          <w:sz w:val="28"/>
          <w:szCs w:val="28"/>
        </w:rPr>
      </w:pPr>
      <w:r>
        <w:rPr>
          <w:rFonts w:hint="eastAsia" w:ascii="仿宋" w:hAnsi="仿宋" w:eastAsia="仿宋" w:cs="仿宋"/>
          <w:sz w:val="28"/>
          <w:szCs w:val="28"/>
        </w:rPr>
        <w:t>（2）说明：</w:t>
      </w:r>
    </w:p>
    <w:p>
      <w:pPr>
        <w:pStyle w:val="17"/>
        <w:widowControl/>
        <w:spacing w:before="0" w:beforeAutospacing="0" w:after="76" w:afterAutospacing="0" w:line="525" w:lineRule="atLeast"/>
        <w:ind w:right="450" w:firstLine="42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标段1紫砂骨灰盒：：</w:t>
      </w:r>
      <w:r>
        <w:rPr>
          <w:rFonts w:ascii="仿宋" w:hAnsi="仿宋" w:eastAsia="仿宋" w:cs="仿宋"/>
          <w:color w:val="333333"/>
          <w:sz w:val="28"/>
          <w:szCs w:val="28"/>
          <w:shd w:val="clear" w:color="auto" w:fill="FFFFFF"/>
        </w:rPr>
        <w:t>1700-</w:t>
      </w:r>
      <w:r>
        <w:rPr>
          <w:rFonts w:hint="eastAsia" w:ascii="仿宋" w:hAnsi="仿宋" w:eastAsia="仿宋" w:cs="仿宋"/>
          <w:color w:val="333333"/>
          <w:sz w:val="28"/>
          <w:szCs w:val="28"/>
          <w:shd w:val="clear" w:color="auto" w:fill="FFFFFF"/>
        </w:rPr>
        <w:t>1</w:t>
      </w:r>
      <w:r>
        <w:rPr>
          <w:rFonts w:ascii="仿宋" w:hAnsi="仿宋" w:eastAsia="仿宋" w:cs="仿宋"/>
          <w:color w:val="333333"/>
          <w:sz w:val="28"/>
          <w:szCs w:val="28"/>
          <w:shd w:val="clear" w:color="auto" w:fill="FFFFFF"/>
        </w:rPr>
        <w:t>5</w:t>
      </w:r>
      <w:r>
        <w:rPr>
          <w:rFonts w:hint="eastAsia" w:ascii="仿宋" w:hAnsi="仿宋" w:eastAsia="仿宋" w:cs="仿宋"/>
          <w:color w:val="333333"/>
          <w:sz w:val="28"/>
          <w:szCs w:val="28"/>
          <w:shd w:val="clear" w:color="auto" w:fill="FFFFFF"/>
        </w:rPr>
        <w:t>00元，报价超过投标限价的为无效响应文件；</w:t>
      </w:r>
    </w:p>
    <w:p>
      <w:pPr>
        <w:pStyle w:val="17"/>
        <w:widowControl/>
        <w:spacing w:before="0" w:beforeAutospacing="0" w:after="76" w:afterAutospacing="0" w:line="525" w:lineRule="atLeast"/>
        <w:ind w:right="450"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标段2紫砂金箔骨灰盒:</w:t>
      </w:r>
      <w:r>
        <w:rPr>
          <w:rFonts w:ascii="仿宋" w:hAnsi="仿宋" w:eastAsia="仿宋" w:cs="仿宋"/>
          <w:color w:val="333333"/>
          <w:sz w:val="28"/>
          <w:szCs w:val="28"/>
          <w:shd w:val="clear" w:color="auto" w:fill="FFFFFF"/>
        </w:rPr>
        <w:t>2900-</w:t>
      </w:r>
      <w:r>
        <w:rPr>
          <w:rFonts w:hint="eastAsia" w:ascii="仿宋" w:hAnsi="仿宋" w:eastAsia="仿宋" w:cs="仿宋"/>
          <w:color w:val="333333"/>
          <w:sz w:val="28"/>
          <w:szCs w:val="28"/>
          <w:shd w:val="clear" w:color="auto" w:fill="FFFFFF"/>
        </w:rPr>
        <w:t>2600元，报价超过投标限价的为无效响应文件。</w:t>
      </w:r>
    </w:p>
    <w:p>
      <w:pPr>
        <w:pStyle w:val="28"/>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w:t>
      </w:r>
      <w:bookmarkStart w:id="96" w:name="_Toc20031"/>
      <w:r>
        <w:rPr>
          <w:rFonts w:hint="eastAsia" w:ascii="仿宋" w:hAnsi="仿宋" w:eastAsia="仿宋" w:cs="仿宋"/>
          <w:sz w:val="28"/>
          <w:szCs w:val="28"/>
        </w:rPr>
        <w:t>响应报价应包括磋商文件所确定的该项目的全部内容，包括响应及完成委托工作所需的一切费用，包含但不限于人工、材料、机械费、制作、安装、税费、运输、售后服务及相关劳务支出等工作所发生的全部费用以及供应商企业利润、税金和政策性文件规定及合同包含的所有风险、责任，即响应本采购文件规定的各项应有费用。</w:t>
      </w:r>
    </w:p>
    <w:p>
      <w:pPr>
        <w:pStyle w:val="28"/>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（4）因本项目为不见面开标，第二次报价单在腾讯会议室里发送，磋商响应文件密封提交时只需填写首次磋商报价。</w:t>
      </w:r>
    </w:p>
    <w:p>
      <w:pPr>
        <w:pStyle w:val="28"/>
        <w:snapToGrid w:val="0"/>
        <w:spacing w:line="360" w:lineRule="auto"/>
        <w:ind w:firstLine="480" w:firstLineChars="200"/>
        <w:rPr>
          <w:rFonts w:ascii="宋体" w:hAnsi="宋体" w:cstheme="minorEastAsia"/>
          <w:sz w:val="24"/>
          <w:szCs w:val="24"/>
        </w:rPr>
      </w:pPr>
    </w:p>
    <w:bookmarkEnd w:id="96"/>
    <w:p>
      <w:pPr>
        <w:spacing w:line="360" w:lineRule="auto"/>
        <w:jc w:val="center"/>
        <w:rPr>
          <w:rFonts w:ascii="宋体" w:hAnsi="宋体" w:eastAsia="宋体" w:cstheme="minorEastAsia"/>
          <w:b/>
          <w:sz w:val="28"/>
          <w:szCs w:val="24"/>
        </w:rPr>
      </w:pPr>
      <w:bookmarkStart w:id="97" w:name="_Toc31033"/>
      <w:bookmarkEnd w:id="97"/>
    </w:p>
    <w:p>
      <w:pPr>
        <w:pStyle w:val="23"/>
        <w:rPr>
          <w:rFonts w:ascii="宋体" w:hAnsi="宋体" w:eastAsia="宋体" w:cstheme="minorEastAsia"/>
          <w:b/>
          <w:sz w:val="28"/>
        </w:rPr>
      </w:pPr>
    </w:p>
    <w:p>
      <w:pPr>
        <w:pStyle w:val="23"/>
        <w:rPr>
          <w:rFonts w:ascii="宋体" w:hAnsi="宋体" w:eastAsia="宋体" w:cstheme="minorEastAsia"/>
          <w:b/>
          <w:sz w:val="28"/>
        </w:rPr>
      </w:pPr>
    </w:p>
    <w:p>
      <w:pPr>
        <w:spacing w:line="360" w:lineRule="auto"/>
        <w:jc w:val="center"/>
        <w:rPr>
          <w:rFonts w:ascii="宋体" w:hAnsi="宋体" w:eastAsia="宋体" w:cstheme="minorEastAsia"/>
          <w:b/>
          <w:sz w:val="28"/>
          <w:szCs w:val="24"/>
        </w:rPr>
      </w:pPr>
    </w:p>
    <w:p>
      <w:pPr>
        <w:pStyle w:val="18"/>
        <w:ind w:left="882"/>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rPr>
          <w:rFonts w:ascii="宋体" w:hAnsi="宋体" w:eastAsia="宋体" w:cstheme="minorEastAsia"/>
          <w:b/>
          <w:sz w:val="28"/>
          <w:szCs w:val="24"/>
        </w:rPr>
      </w:pPr>
    </w:p>
    <w:p>
      <w:pPr>
        <w:pStyle w:val="16"/>
        <w:ind w:left="0" w:leftChars="0"/>
        <w:rPr>
          <w:rFonts w:ascii="宋体" w:hAnsi="宋体" w:eastAsia="宋体" w:cstheme="minorEastAsia"/>
          <w:b/>
          <w:sz w:val="28"/>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三、小、微企业声明函（如有）</w:t>
      </w:r>
    </w:p>
    <w:p>
      <w:pPr>
        <w:widowControl/>
        <w:ind w:firstLine="560" w:firstLineChars="200"/>
        <w:jc w:val="left"/>
        <w:rPr>
          <w:rFonts w:ascii="仿宋" w:hAnsi="仿宋" w:eastAsia="仿宋" w:cs="仿宋"/>
          <w:kern w:val="0"/>
          <w:sz w:val="28"/>
          <w:szCs w:val="28"/>
          <w:lang w:bidi="ar"/>
        </w:rPr>
      </w:pPr>
    </w:p>
    <w:p>
      <w:pPr>
        <w:widowControl/>
        <w:ind w:firstLine="560" w:firstLineChars="200"/>
        <w:jc w:val="left"/>
        <w:rPr>
          <w:rFonts w:ascii="仿宋" w:hAnsi="仿宋" w:eastAsia="仿宋" w:cs="仿宋"/>
          <w:kern w:val="0"/>
          <w:sz w:val="28"/>
          <w:szCs w:val="28"/>
          <w:lang w:bidi="ar"/>
        </w:rPr>
      </w:pPr>
      <w:r>
        <w:rPr>
          <w:rFonts w:hint="eastAsia" w:ascii="仿宋" w:hAnsi="仿宋" w:eastAsia="仿宋" w:cs="仿宋"/>
          <w:kern w:val="0"/>
          <w:sz w:val="28"/>
          <w:szCs w:val="28"/>
          <w:lang w:bidi="ar"/>
        </w:rPr>
        <w:t>本公司（联合体）郑重声明，根据《政府采购促进中小企业发展管理办法》（财库﹝2020﹞46 号）的规定，本公司参加（单位名称）的（项目名称）采购活动，</w:t>
      </w:r>
      <w:r>
        <w:rPr>
          <w:rFonts w:hint="eastAsia" w:ascii="仿宋" w:hAnsi="仿宋" w:eastAsia="仿宋" w:cs="仿宋"/>
          <w:kern w:val="0"/>
          <w:sz w:val="28"/>
          <w:szCs w:val="28"/>
          <w:u w:val="single"/>
          <w:lang w:bidi="ar"/>
        </w:rPr>
        <w:t>提供的货物全部由符合政策要求的中小企业制造。</w:t>
      </w:r>
      <w:r>
        <w:rPr>
          <w:rFonts w:hint="eastAsia" w:ascii="仿宋" w:hAnsi="仿宋" w:eastAsia="仿宋" w:cs="仿宋"/>
          <w:kern w:val="0"/>
          <w:sz w:val="28"/>
          <w:szCs w:val="28"/>
          <w:lang w:bidi="ar"/>
        </w:rPr>
        <w:t>相关企业的具体情况如下：</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u w:val="single"/>
          <w:lang w:bidi="ar"/>
        </w:rPr>
        <w:t xml:space="preserve"> </w:t>
      </w:r>
      <w:r>
        <w:rPr>
          <w:rFonts w:hint="eastAsia" w:ascii="仿宋" w:hAnsi="仿宋" w:eastAsia="仿宋" w:cs="仿宋"/>
          <w:i/>
          <w:kern w:val="0"/>
          <w:sz w:val="28"/>
          <w:szCs w:val="28"/>
          <w:u w:val="single"/>
          <w:lang w:bidi="ar"/>
        </w:rPr>
        <w:t xml:space="preserve">（标的名称） </w:t>
      </w:r>
      <w:r>
        <w:rPr>
          <w:rFonts w:hint="eastAsia" w:ascii="仿宋" w:hAnsi="仿宋" w:eastAsia="仿宋" w:cs="仿宋"/>
          <w:kern w:val="0"/>
          <w:sz w:val="28"/>
          <w:szCs w:val="28"/>
          <w:lang w:bidi="ar"/>
        </w:rPr>
        <w:t>，属于</w:t>
      </w:r>
      <w:r>
        <w:rPr>
          <w:rFonts w:hint="eastAsia" w:ascii="仿宋" w:hAnsi="仿宋" w:eastAsia="仿宋" w:cs="仿宋"/>
          <w:i/>
          <w:kern w:val="0"/>
          <w:sz w:val="28"/>
          <w:szCs w:val="28"/>
          <w:u w:val="single"/>
          <w:lang w:bidi="ar"/>
        </w:rPr>
        <w:t>（采购文件中明确的所属行业）</w:t>
      </w:r>
      <w:r>
        <w:rPr>
          <w:rFonts w:hint="eastAsia" w:ascii="仿宋" w:hAnsi="仿宋" w:eastAsia="仿宋" w:cs="仿宋"/>
          <w:i/>
          <w:kern w:val="0"/>
          <w:sz w:val="28"/>
          <w:szCs w:val="28"/>
          <w:lang w:bidi="ar"/>
        </w:rPr>
        <w:t>行业</w:t>
      </w:r>
      <w:r>
        <w:rPr>
          <w:rFonts w:hint="eastAsia" w:ascii="仿宋" w:hAnsi="仿宋" w:eastAsia="仿宋" w:cs="仿宋"/>
          <w:kern w:val="0"/>
          <w:sz w:val="28"/>
          <w:szCs w:val="28"/>
          <w:lang w:bidi="ar"/>
        </w:rPr>
        <w:t>；承接企业为</w:t>
      </w:r>
      <w:r>
        <w:rPr>
          <w:rFonts w:hint="eastAsia" w:ascii="仿宋" w:hAnsi="仿宋" w:eastAsia="仿宋" w:cs="仿宋"/>
          <w:i/>
          <w:kern w:val="0"/>
          <w:sz w:val="28"/>
          <w:szCs w:val="28"/>
          <w:u w:val="single"/>
          <w:lang w:bidi="ar"/>
        </w:rPr>
        <w:t>（企业名称）</w:t>
      </w:r>
      <w:r>
        <w:rPr>
          <w:rFonts w:hint="eastAsia" w:ascii="仿宋" w:hAnsi="仿宋" w:eastAsia="仿宋" w:cs="仿宋"/>
          <w:kern w:val="0"/>
          <w:sz w:val="28"/>
          <w:szCs w:val="28"/>
          <w:lang w:bidi="ar"/>
        </w:rPr>
        <w:t>，从业人员</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人，营业收入为</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万元，资产总额为</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万元</w:t>
      </w:r>
      <w:r>
        <w:rPr>
          <w:rFonts w:hint="eastAsia" w:ascii="仿宋" w:hAnsi="仿宋" w:eastAsia="仿宋" w:cs="仿宋"/>
          <w:kern w:val="0"/>
          <w:sz w:val="28"/>
          <w:szCs w:val="28"/>
          <w:vertAlign w:val="superscript"/>
          <w:lang w:bidi="ar"/>
        </w:rPr>
        <w:t>1</w:t>
      </w:r>
      <w:r>
        <w:rPr>
          <w:rFonts w:hint="eastAsia" w:ascii="仿宋" w:hAnsi="仿宋" w:eastAsia="仿宋" w:cs="仿宋"/>
          <w:kern w:val="0"/>
          <w:sz w:val="28"/>
          <w:szCs w:val="28"/>
          <w:lang w:bidi="ar"/>
        </w:rPr>
        <w:t>，属于</w:t>
      </w:r>
      <w:r>
        <w:rPr>
          <w:rFonts w:hint="eastAsia" w:ascii="仿宋" w:hAnsi="仿宋" w:eastAsia="仿宋" w:cs="仿宋"/>
          <w:i/>
          <w:kern w:val="0"/>
          <w:sz w:val="28"/>
          <w:szCs w:val="28"/>
          <w:u w:val="single"/>
          <w:lang w:bidi="ar"/>
        </w:rPr>
        <w:t>（小型企业、微型企业）</w:t>
      </w:r>
      <w:r>
        <w:rPr>
          <w:rFonts w:hint="eastAsia" w:ascii="仿宋" w:hAnsi="仿宋" w:eastAsia="仿宋" w:cs="仿宋"/>
          <w:kern w:val="0"/>
          <w:sz w:val="28"/>
          <w:szCs w:val="28"/>
          <w:lang w:bidi="ar"/>
        </w:rPr>
        <w:t xml:space="preserve">； </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lang w:bidi="ar"/>
        </w:rPr>
        <w:t>本企业不属于大企业的分支机构，不存在控股股东为大企业的情形，也不存在与大企业的负责人为同一人的情形。</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lang w:bidi="ar"/>
        </w:rPr>
        <w:t xml:space="preserve">本企业对上述声明内容的真实性负责。如有虚假，将依法承担相应责任。 </w:t>
      </w:r>
    </w:p>
    <w:p>
      <w:pPr>
        <w:widowControl/>
        <w:ind w:firstLine="5040" w:firstLineChars="1800"/>
        <w:jc w:val="left"/>
        <w:rPr>
          <w:rFonts w:ascii="仿宋" w:hAnsi="仿宋" w:eastAsia="仿宋" w:cs="仿宋"/>
          <w:sz w:val="28"/>
          <w:szCs w:val="28"/>
        </w:rPr>
      </w:pPr>
      <w:r>
        <w:rPr>
          <w:rFonts w:hint="eastAsia" w:ascii="仿宋" w:hAnsi="仿宋" w:eastAsia="仿宋" w:cs="仿宋"/>
          <w:kern w:val="0"/>
          <w:sz w:val="28"/>
          <w:szCs w:val="28"/>
          <w:lang w:bidi="ar"/>
        </w:rPr>
        <w:t xml:space="preserve">企业名称（盖章）： </w:t>
      </w:r>
    </w:p>
    <w:p>
      <w:pPr>
        <w:widowControl/>
        <w:ind w:firstLine="5040" w:firstLineChars="1800"/>
        <w:jc w:val="left"/>
        <w:rPr>
          <w:rFonts w:ascii="仿宋" w:hAnsi="仿宋" w:eastAsia="仿宋" w:cs="仿宋"/>
          <w:kern w:val="0"/>
          <w:sz w:val="28"/>
          <w:szCs w:val="28"/>
          <w:lang w:bidi="ar"/>
        </w:rPr>
      </w:pPr>
      <w:r>
        <w:rPr>
          <w:rFonts w:hint="eastAsia" w:ascii="仿宋" w:hAnsi="仿宋" w:eastAsia="仿宋" w:cs="仿宋"/>
          <w:kern w:val="0"/>
          <w:sz w:val="28"/>
          <w:szCs w:val="28"/>
          <w:lang w:bidi="ar"/>
        </w:rPr>
        <w:t xml:space="preserve">日 期： </w:t>
      </w:r>
    </w:p>
    <w:p>
      <w:pPr>
        <w:pStyle w:val="24"/>
        <w:rPr>
          <w:rFonts w:ascii="仿宋" w:hAnsi="仿宋" w:eastAsia="仿宋" w:cs="仿宋"/>
          <w:sz w:val="28"/>
          <w:szCs w:val="28"/>
          <w:lang w:bidi="ar"/>
        </w:rPr>
      </w:pPr>
    </w:p>
    <w:p>
      <w:pPr>
        <w:pStyle w:val="24"/>
        <w:rPr>
          <w:rFonts w:ascii="仿宋" w:hAnsi="仿宋" w:eastAsia="仿宋" w:cs="仿宋"/>
          <w:sz w:val="28"/>
          <w:szCs w:val="28"/>
          <w:lang w:bidi="ar"/>
        </w:rPr>
      </w:pPr>
    </w:p>
    <w:p>
      <w:pPr>
        <w:pStyle w:val="24"/>
        <w:rPr>
          <w:rFonts w:ascii="仿宋" w:hAnsi="仿宋" w:eastAsia="仿宋" w:cs="仿宋"/>
          <w:sz w:val="28"/>
          <w:szCs w:val="28"/>
          <w:lang w:bidi="ar"/>
        </w:rPr>
      </w:pPr>
    </w:p>
    <w:p>
      <w:pPr>
        <w:pStyle w:val="24"/>
        <w:rPr>
          <w:rFonts w:ascii="仿宋" w:hAnsi="仿宋" w:eastAsia="仿宋" w:cs="仿宋"/>
          <w:sz w:val="28"/>
          <w:szCs w:val="28"/>
          <w:lang w:bidi="ar"/>
        </w:rPr>
      </w:pPr>
    </w:p>
    <w:p>
      <w:pPr>
        <w:widowControl/>
        <w:jc w:val="left"/>
        <w:rPr>
          <w:rFonts w:ascii="仿宋" w:hAnsi="仿宋" w:eastAsia="仿宋" w:cs="仿宋"/>
          <w:kern w:val="0"/>
          <w:sz w:val="28"/>
          <w:szCs w:val="28"/>
          <w:u w:val="single"/>
          <w:lang w:bidi="ar"/>
        </w:rPr>
      </w:pPr>
      <w:r>
        <w:rPr>
          <w:rFonts w:hint="eastAsia" w:ascii="仿宋" w:hAnsi="仿宋" w:eastAsia="仿宋" w:cs="仿宋"/>
          <w:kern w:val="0"/>
          <w:sz w:val="28"/>
          <w:szCs w:val="28"/>
          <w:u w:val="single"/>
          <w:lang w:bidi="ar"/>
        </w:rPr>
        <w:t xml:space="preserve">                                                                                 </w:t>
      </w:r>
    </w:p>
    <w:p>
      <w:pPr>
        <w:widowControl/>
        <w:jc w:val="left"/>
        <w:rPr>
          <w:rFonts w:ascii="仿宋" w:hAnsi="仿宋" w:eastAsia="仿宋" w:cs="仿宋"/>
          <w:kern w:val="0"/>
          <w:sz w:val="18"/>
          <w:szCs w:val="18"/>
          <w:lang w:bidi="ar"/>
        </w:rPr>
      </w:pPr>
      <w:r>
        <w:rPr>
          <w:rFonts w:hint="eastAsia" w:ascii="仿宋" w:hAnsi="仿宋" w:eastAsia="仿宋" w:cs="仿宋"/>
          <w:kern w:val="0"/>
          <w:sz w:val="18"/>
          <w:szCs w:val="18"/>
          <w:lang w:bidi="ar"/>
        </w:rPr>
        <w:t>（1）从业人员、营业收入、资产总额填报上一年度数据，无上一年度数据的新成立企业可不填报。</w:t>
      </w:r>
    </w:p>
    <w:p>
      <w:pPr>
        <w:widowControl/>
        <w:jc w:val="left"/>
        <w:rPr>
          <w:rFonts w:ascii="仿宋" w:hAnsi="仿宋" w:eastAsia="仿宋" w:cs="仿宋"/>
          <w:b/>
          <w:bCs/>
          <w:kern w:val="0"/>
          <w:sz w:val="36"/>
          <w:szCs w:val="36"/>
          <w:vertAlign w:val="superscript"/>
          <w:lang w:bidi="ar"/>
        </w:rPr>
      </w:pPr>
      <w:r>
        <w:rPr>
          <w:rFonts w:hint="eastAsia" w:ascii="仿宋" w:hAnsi="仿宋" w:eastAsia="仿宋" w:cs="仿宋"/>
          <w:b/>
          <w:bCs/>
          <w:kern w:val="0"/>
          <w:sz w:val="36"/>
          <w:szCs w:val="36"/>
          <w:vertAlign w:val="superscript"/>
          <w:lang w:bidi="ar"/>
        </w:rPr>
        <w:t>（2）本项目不享受中小企业扶持政策的响应供应商，无须提供“中小企业声明函”。</w:t>
      </w:r>
    </w:p>
    <w:p>
      <w:pPr>
        <w:pStyle w:val="23"/>
        <w:rPr>
          <w:rFonts w:ascii="宋体" w:hAnsi="宋体" w:eastAsia="宋体" w:cstheme="minor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774185"/>
    </w:sdtPr>
    <w:sdtContent>
      <w:p>
        <w:pPr>
          <w:pStyle w:val="1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5</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E0A14"/>
    <w:multiLevelType w:val="multilevel"/>
    <w:tmpl w:val="105E0A14"/>
    <w:lvl w:ilvl="0" w:tentative="0">
      <w:start w:val="1"/>
      <w:numFmt w:val="decimal"/>
      <w:lvlText w:val="%1、"/>
      <w:lvlJc w:val="left"/>
      <w:pPr>
        <w:ind w:left="360" w:hanging="360"/>
      </w:pPr>
      <w:rPr>
        <w:rFonts w:hint="default"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linkStyl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F2737C4"/>
    <w:rsid w:val="000115A6"/>
    <w:rsid w:val="00046CE2"/>
    <w:rsid w:val="00072254"/>
    <w:rsid w:val="0009382C"/>
    <w:rsid w:val="000D3F05"/>
    <w:rsid w:val="000F28E9"/>
    <w:rsid w:val="00140766"/>
    <w:rsid w:val="001713DC"/>
    <w:rsid w:val="00190C3C"/>
    <w:rsid w:val="00194872"/>
    <w:rsid w:val="001E1581"/>
    <w:rsid w:val="00214AAC"/>
    <w:rsid w:val="00214F39"/>
    <w:rsid w:val="00243777"/>
    <w:rsid w:val="00266ED4"/>
    <w:rsid w:val="00271F92"/>
    <w:rsid w:val="002A723A"/>
    <w:rsid w:val="002B0EE4"/>
    <w:rsid w:val="002D072F"/>
    <w:rsid w:val="002F3516"/>
    <w:rsid w:val="0030101A"/>
    <w:rsid w:val="00305ACF"/>
    <w:rsid w:val="003337B2"/>
    <w:rsid w:val="0033425A"/>
    <w:rsid w:val="00354606"/>
    <w:rsid w:val="00373BF9"/>
    <w:rsid w:val="00380D01"/>
    <w:rsid w:val="003A4998"/>
    <w:rsid w:val="003E4007"/>
    <w:rsid w:val="004272E4"/>
    <w:rsid w:val="00430D60"/>
    <w:rsid w:val="0043794A"/>
    <w:rsid w:val="00443010"/>
    <w:rsid w:val="0045053F"/>
    <w:rsid w:val="00477C39"/>
    <w:rsid w:val="004A5F78"/>
    <w:rsid w:val="004D0866"/>
    <w:rsid w:val="004D3BD6"/>
    <w:rsid w:val="004E7FE9"/>
    <w:rsid w:val="00516C39"/>
    <w:rsid w:val="00527DDC"/>
    <w:rsid w:val="00527E1C"/>
    <w:rsid w:val="00561A87"/>
    <w:rsid w:val="00565072"/>
    <w:rsid w:val="005804BD"/>
    <w:rsid w:val="00590D36"/>
    <w:rsid w:val="005A2105"/>
    <w:rsid w:val="005B2C7D"/>
    <w:rsid w:val="00601C86"/>
    <w:rsid w:val="006028F7"/>
    <w:rsid w:val="006178BF"/>
    <w:rsid w:val="006404D0"/>
    <w:rsid w:val="006876D7"/>
    <w:rsid w:val="006A6F7A"/>
    <w:rsid w:val="006C29F6"/>
    <w:rsid w:val="00701544"/>
    <w:rsid w:val="007029C4"/>
    <w:rsid w:val="00705232"/>
    <w:rsid w:val="00712873"/>
    <w:rsid w:val="00757EFE"/>
    <w:rsid w:val="0078275D"/>
    <w:rsid w:val="00791A4C"/>
    <w:rsid w:val="007E279D"/>
    <w:rsid w:val="007F69CA"/>
    <w:rsid w:val="00832925"/>
    <w:rsid w:val="00845DB0"/>
    <w:rsid w:val="0085347E"/>
    <w:rsid w:val="00863AB7"/>
    <w:rsid w:val="00894450"/>
    <w:rsid w:val="008B6E7F"/>
    <w:rsid w:val="008C3646"/>
    <w:rsid w:val="008F2617"/>
    <w:rsid w:val="00903AC5"/>
    <w:rsid w:val="0091537B"/>
    <w:rsid w:val="009262CD"/>
    <w:rsid w:val="009271CB"/>
    <w:rsid w:val="00934F80"/>
    <w:rsid w:val="00957180"/>
    <w:rsid w:val="00962079"/>
    <w:rsid w:val="009A3ADC"/>
    <w:rsid w:val="009B33B7"/>
    <w:rsid w:val="009C104E"/>
    <w:rsid w:val="009F076D"/>
    <w:rsid w:val="009F566C"/>
    <w:rsid w:val="00A166DD"/>
    <w:rsid w:val="00A268A3"/>
    <w:rsid w:val="00A71A69"/>
    <w:rsid w:val="00A735D4"/>
    <w:rsid w:val="00AA0068"/>
    <w:rsid w:val="00AE5F2A"/>
    <w:rsid w:val="00B7359D"/>
    <w:rsid w:val="00B84C1C"/>
    <w:rsid w:val="00B906D2"/>
    <w:rsid w:val="00BC107C"/>
    <w:rsid w:val="00C008F9"/>
    <w:rsid w:val="00C34F5C"/>
    <w:rsid w:val="00C3555E"/>
    <w:rsid w:val="00C639E6"/>
    <w:rsid w:val="00C85B8E"/>
    <w:rsid w:val="00C86C0A"/>
    <w:rsid w:val="00C92273"/>
    <w:rsid w:val="00CF4B0D"/>
    <w:rsid w:val="00D052A2"/>
    <w:rsid w:val="00D250D2"/>
    <w:rsid w:val="00D60FC0"/>
    <w:rsid w:val="00D80951"/>
    <w:rsid w:val="00D843AF"/>
    <w:rsid w:val="00DF1AD0"/>
    <w:rsid w:val="00E026B7"/>
    <w:rsid w:val="00EE1856"/>
    <w:rsid w:val="00EE2077"/>
    <w:rsid w:val="00EE5D3C"/>
    <w:rsid w:val="00F14B66"/>
    <w:rsid w:val="00F36523"/>
    <w:rsid w:val="00F54EFD"/>
    <w:rsid w:val="00F66928"/>
    <w:rsid w:val="00FA0D0C"/>
    <w:rsid w:val="00FB013C"/>
    <w:rsid w:val="00FB4A03"/>
    <w:rsid w:val="00FD5921"/>
    <w:rsid w:val="01276951"/>
    <w:rsid w:val="03031491"/>
    <w:rsid w:val="03F422BD"/>
    <w:rsid w:val="05CC7355"/>
    <w:rsid w:val="06ED64CB"/>
    <w:rsid w:val="095403A1"/>
    <w:rsid w:val="097906FF"/>
    <w:rsid w:val="097B1CEE"/>
    <w:rsid w:val="0AAE6186"/>
    <w:rsid w:val="0B8B4CD2"/>
    <w:rsid w:val="0C634BE0"/>
    <w:rsid w:val="0DE87C01"/>
    <w:rsid w:val="0F2737C4"/>
    <w:rsid w:val="0F59068B"/>
    <w:rsid w:val="0F690CF3"/>
    <w:rsid w:val="122C2A04"/>
    <w:rsid w:val="12696E37"/>
    <w:rsid w:val="13CA0EE9"/>
    <w:rsid w:val="145C02B7"/>
    <w:rsid w:val="14C14CE5"/>
    <w:rsid w:val="161643C5"/>
    <w:rsid w:val="16686502"/>
    <w:rsid w:val="192B12EA"/>
    <w:rsid w:val="1A572AAA"/>
    <w:rsid w:val="1B0C13D8"/>
    <w:rsid w:val="1BAE5A03"/>
    <w:rsid w:val="1C6360EC"/>
    <w:rsid w:val="1CAE2016"/>
    <w:rsid w:val="1E4852D2"/>
    <w:rsid w:val="1FCB263B"/>
    <w:rsid w:val="21AF1A2F"/>
    <w:rsid w:val="21E604A4"/>
    <w:rsid w:val="231D6147"/>
    <w:rsid w:val="26920FE2"/>
    <w:rsid w:val="26F61189"/>
    <w:rsid w:val="270B604C"/>
    <w:rsid w:val="287F12EC"/>
    <w:rsid w:val="290C3747"/>
    <w:rsid w:val="291A54F4"/>
    <w:rsid w:val="2AD46062"/>
    <w:rsid w:val="2B64520E"/>
    <w:rsid w:val="2C1F4CDE"/>
    <w:rsid w:val="2DDB4C35"/>
    <w:rsid w:val="2E9D6A08"/>
    <w:rsid w:val="2F6D160E"/>
    <w:rsid w:val="2F8F2570"/>
    <w:rsid w:val="315E7AC7"/>
    <w:rsid w:val="31ED4611"/>
    <w:rsid w:val="327A6417"/>
    <w:rsid w:val="34F73383"/>
    <w:rsid w:val="36CF48A3"/>
    <w:rsid w:val="36F54E5A"/>
    <w:rsid w:val="3816278E"/>
    <w:rsid w:val="39853A63"/>
    <w:rsid w:val="3986014B"/>
    <w:rsid w:val="3F4A5D03"/>
    <w:rsid w:val="44834C5C"/>
    <w:rsid w:val="44AF459F"/>
    <w:rsid w:val="44C8229A"/>
    <w:rsid w:val="45F96148"/>
    <w:rsid w:val="4760213D"/>
    <w:rsid w:val="48055B3F"/>
    <w:rsid w:val="48E87F8A"/>
    <w:rsid w:val="4EF80779"/>
    <w:rsid w:val="50B97C12"/>
    <w:rsid w:val="511527FF"/>
    <w:rsid w:val="5386726D"/>
    <w:rsid w:val="53952C60"/>
    <w:rsid w:val="53BC7729"/>
    <w:rsid w:val="53C41D0E"/>
    <w:rsid w:val="54E3249D"/>
    <w:rsid w:val="552503C0"/>
    <w:rsid w:val="560069AF"/>
    <w:rsid w:val="575D6537"/>
    <w:rsid w:val="5846413C"/>
    <w:rsid w:val="58C83877"/>
    <w:rsid w:val="593C03CE"/>
    <w:rsid w:val="59643040"/>
    <w:rsid w:val="5B1B23FA"/>
    <w:rsid w:val="5B6B1127"/>
    <w:rsid w:val="5D806F33"/>
    <w:rsid w:val="5DA24743"/>
    <w:rsid w:val="5E0841D8"/>
    <w:rsid w:val="5E5A635D"/>
    <w:rsid w:val="5F882F3E"/>
    <w:rsid w:val="6070722D"/>
    <w:rsid w:val="61F44EE5"/>
    <w:rsid w:val="62285994"/>
    <w:rsid w:val="625549A9"/>
    <w:rsid w:val="62976475"/>
    <w:rsid w:val="62BC67E1"/>
    <w:rsid w:val="631F6D97"/>
    <w:rsid w:val="66C8504F"/>
    <w:rsid w:val="67795C15"/>
    <w:rsid w:val="697F3EB1"/>
    <w:rsid w:val="69A42C94"/>
    <w:rsid w:val="6DB0362D"/>
    <w:rsid w:val="6E2F0E6E"/>
    <w:rsid w:val="70E6077F"/>
    <w:rsid w:val="711E4D19"/>
    <w:rsid w:val="713E697B"/>
    <w:rsid w:val="722B095D"/>
    <w:rsid w:val="727300C1"/>
    <w:rsid w:val="73C0454C"/>
    <w:rsid w:val="742321DC"/>
    <w:rsid w:val="769B35DD"/>
    <w:rsid w:val="76A77317"/>
    <w:rsid w:val="7947574E"/>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jc w:val="left"/>
    </w:pPr>
    <w:rPr>
      <w:rFonts w:ascii="Calibri" w:hAnsi="Calibri" w:eastAsia="楷体_GB2312"/>
      <w:sz w:val="24"/>
      <w:szCs w:val="24"/>
    </w:rPr>
  </w:style>
  <w:style w:type="paragraph" w:styleId="4">
    <w:name w:val="Document Map"/>
    <w:basedOn w:val="1"/>
    <w:link w:val="30"/>
    <w:qFormat/>
    <w:uiPriority w:val="0"/>
    <w:rPr>
      <w:rFonts w:ascii="宋体" w:eastAsia="宋体"/>
      <w:sz w:val="18"/>
      <w:szCs w:val="18"/>
    </w:rPr>
  </w:style>
  <w:style w:type="paragraph" w:styleId="5">
    <w:name w:val="Body Text"/>
    <w:basedOn w:val="1"/>
    <w:next w:val="6"/>
    <w:link w:val="37"/>
    <w:qFormat/>
    <w:uiPriority w:val="0"/>
    <w:pPr>
      <w:spacing w:line="400" w:lineRule="exact"/>
    </w:pPr>
    <w:rPr>
      <w:rFonts w:ascii="楷体_GB2312" w:hAnsi="Times New Roman" w:eastAsia="宋体"/>
      <w:sz w:val="28"/>
      <w:szCs w:val="28"/>
    </w:rPr>
  </w:style>
  <w:style w:type="paragraph" w:customStyle="1" w:styleId="6">
    <w:name w:val="style4"/>
    <w:basedOn w:val="1"/>
    <w:next w:val="7"/>
    <w:qFormat/>
    <w:uiPriority w:val="0"/>
    <w:pPr>
      <w:widowControl/>
      <w:spacing w:before="280" w:after="280"/>
    </w:pPr>
    <w:rPr>
      <w:rFonts w:ascii="宋体"/>
      <w:sz w:val="18"/>
    </w:rPr>
  </w:style>
  <w:style w:type="paragraph" w:customStyle="1" w:styleId="7">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8">
    <w:name w:val="Body Text Indent"/>
    <w:basedOn w:val="1"/>
    <w:next w:val="9"/>
    <w:qFormat/>
    <w:uiPriority w:val="0"/>
    <w:pPr>
      <w:spacing w:after="120"/>
      <w:ind w:left="420" w:leftChars="420"/>
    </w:p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rPr>
  </w:style>
  <w:style w:type="paragraph" w:styleId="11">
    <w:name w:val="Body Text Indent 2"/>
    <w:basedOn w:val="1"/>
    <w:qFormat/>
    <w:uiPriority w:val="0"/>
    <w:pPr>
      <w:ind w:firstLine="630"/>
    </w:pPr>
    <w:rPr>
      <w:sz w:val="32"/>
      <w:szCs w:val="32"/>
    </w:rPr>
  </w:style>
  <w:style w:type="paragraph" w:styleId="12">
    <w:name w:val="Balloon Text"/>
    <w:basedOn w:val="1"/>
    <w:link w:val="35"/>
    <w:semiHidden/>
    <w:unhideWhenUsed/>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link w:val="34"/>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kern w:val="0"/>
      <w:sz w:val="16"/>
      <w:szCs w:val="16"/>
    </w:rPr>
  </w:style>
  <w:style w:type="paragraph" w:styleId="1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18">
    <w:name w:val="Body Text First Indent 2"/>
    <w:basedOn w:val="8"/>
    <w:next w:val="16"/>
    <w:unhideWhenUsed/>
    <w:qFormat/>
    <w:uiPriority w:val="0"/>
    <w:pPr>
      <w:ind w:firstLine="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000FF"/>
      <w:u w:val="single"/>
    </w:rPr>
  </w:style>
  <w:style w:type="paragraph" w:customStyle="1" w:styleId="23">
    <w:name w:val="无间隔1"/>
    <w:qFormat/>
    <w:uiPriority w:val="0"/>
    <w:pPr>
      <w:spacing w:line="300" w:lineRule="auto"/>
    </w:pPr>
    <w:rPr>
      <w:rFonts w:ascii="Times New Roman" w:hAnsi="Times New Roman" w:eastAsia="华文仿宋" w:cs="Times New Roman"/>
      <w:sz w:val="24"/>
      <w:szCs w:val="24"/>
      <w:lang w:val="en-US" w:eastAsia="zh-CN" w:bidi="ar-SA"/>
    </w:rPr>
  </w:style>
  <w:style w:type="paragraph" w:customStyle="1" w:styleId="24">
    <w:name w:val="正文缩进1"/>
    <w:basedOn w:val="1"/>
    <w:qFormat/>
    <w:uiPriority w:val="0"/>
    <w:pPr>
      <w:widowControl/>
      <w:ind w:firstLine="420"/>
      <w:jc w:val="left"/>
    </w:pPr>
    <w:rPr>
      <w:kern w:val="0"/>
    </w:rPr>
  </w:style>
  <w:style w:type="paragraph" w:customStyle="1" w:styleId="25">
    <w:name w:val="章正文"/>
    <w:basedOn w:val="1"/>
    <w:qFormat/>
    <w:uiPriority w:val="0"/>
    <w:pPr>
      <w:spacing w:before="120" w:after="120" w:line="300" w:lineRule="auto"/>
      <w:ind w:firstLine="480"/>
    </w:pPr>
    <w:rPr>
      <w:rFonts w:ascii="Helvetica" w:hAnsi="Helvetica"/>
      <w:sz w:val="24"/>
      <w:szCs w:val="24"/>
    </w:rPr>
  </w:style>
  <w:style w:type="paragraph" w:customStyle="1" w:styleId="26">
    <w:name w:val="正文缩进2格"/>
    <w:basedOn w:val="1"/>
    <w:qFormat/>
    <w:uiPriority w:val="0"/>
    <w:pPr>
      <w:spacing w:line="600" w:lineRule="exact"/>
      <w:ind w:firstLine="206"/>
    </w:pPr>
    <w:rPr>
      <w:rFonts w:ascii="仿宋_GB2312" w:hAnsi="宋体" w:eastAsia="仿宋_GB2312"/>
      <w:sz w:val="31"/>
      <w:szCs w:val="31"/>
    </w:rPr>
  </w:style>
  <w:style w:type="character" w:customStyle="1" w:styleId="27">
    <w:name w:val="Hyperlink.0"/>
    <w:qFormat/>
    <w:uiPriority w:val="0"/>
    <w:rPr>
      <w:rFonts w:ascii="宋体" w:hAnsi="宋体" w:eastAsia="宋体" w:cs="宋体"/>
      <w:sz w:val="24"/>
      <w:szCs w:val="24"/>
      <w:lang w:val="zh-TW" w:eastAsia="zh-TW"/>
    </w:rPr>
  </w:style>
  <w:style w:type="paragraph" w:styleId="28">
    <w:name w:val="List Paragraph"/>
    <w:basedOn w:val="1"/>
    <w:qFormat/>
    <w:uiPriority w:val="26"/>
    <w:pPr>
      <w:ind w:firstLine="200"/>
    </w:pPr>
    <w:rPr>
      <w:rFonts w:ascii="Times New Roman" w:hAnsi="Times New Roman" w:eastAsia="宋体"/>
      <w:szCs w:val="21"/>
    </w:rPr>
  </w:style>
  <w:style w:type="paragraph" w:customStyle="1" w:styleId="29">
    <w:name w:val="Default"/>
    <w:qFormat/>
    <w:uiPriority w:val="0"/>
    <w:pPr>
      <w:autoSpaceDE w:val="0"/>
      <w:autoSpaceDN w:val="0"/>
    </w:pPr>
    <w:rPr>
      <w:rFonts w:ascii="Arial,Bold" w:hAnsi="Arial,Bold" w:eastAsia="PMingLiU" w:cs="Times New Roman"/>
      <w:lang w:val="en-US" w:eastAsia="en-US" w:bidi="ar-SA"/>
    </w:rPr>
  </w:style>
  <w:style w:type="character" w:customStyle="1" w:styleId="30">
    <w:name w:val="文档结构图 字符"/>
    <w:basedOn w:val="21"/>
    <w:link w:val="4"/>
    <w:qFormat/>
    <w:uiPriority w:val="0"/>
    <w:rPr>
      <w:rFonts w:ascii="宋体" w:hAnsi="Times New Roman"/>
      <w:sz w:val="18"/>
      <w:szCs w:val="18"/>
    </w:rPr>
  </w:style>
  <w:style w:type="character" w:customStyle="1" w:styleId="31">
    <w:name w:val="页脚 字符"/>
    <w:basedOn w:val="21"/>
    <w:link w:val="13"/>
    <w:qFormat/>
    <w:uiPriority w:val="99"/>
    <w:rPr>
      <w:rFonts w:asciiTheme="minorHAnsi" w:hAnsiTheme="minorHAnsi" w:eastAsiaTheme="minorEastAsia" w:cstheme="minorBidi"/>
      <w:kern w:val="2"/>
      <w:sz w:val="18"/>
      <w:szCs w:val="18"/>
    </w:rPr>
  </w:style>
  <w:style w:type="paragraph" w:customStyle="1" w:styleId="32">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msonormal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4">
    <w:name w:val="页眉 字符"/>
    <w:link w:val="14"/>
    <w:qFormat/>
    <w:uiPriority w:val="0"/>
    <w:rPr>
      <w:rFonts w:asciiTheme="minorHAnsi" w:hAnsiTheme="minorHAnsi" w:eastAsiaTheme="minorEastAsia" w:cstheme="minorBidi"/>
      <w:kern w:val="2"/>
      <w:sz w:val="18"/>
      <w:szCs w:val="18"/>
    </w:rPr>
  </w:style>
  <w:style w:type="character" w:customStyle="1" w:styleId="35">
    <w:name w:val="批注框文本 字符"/>
    <w:basedOn w:val="21"/>
    <w:link w:val="12"/>
    <w:semiHidden/>
    <w:qFormat/>
    <w:uiPriority w:val="0"/>
    <w:rPr>
      <w:rFonts w:asciiTheme="minorHAnsi" w:hAnsiTheme="minorHAnsi" w:eastAsiaTheme="minorEastAsia" w:cstheme="minorBidi"/>
      <w:kern w:val="2"/>
      <w:sz w:val="18"/>
      <w:szCs w:val="18"/>
    </w:rPr>
  </w:style>
  <w:style w:type="character" w:customStyle="1" w:styleId="36">
    <w:name w:val="未处理的提及1"/>
    <w:basedOn w:val="21"/>
    <w:semiHidden/>
    <w:unhideWhenUsed/>
    <w:qFormat/>
    <w:uiPriority w:val="99"/>
    <w:rPr>
      <w:color w:val="605E5C"/>
      <w:shd w:val="clear" w:color="auto" w:fill="E1DFDD"/>
    </w:rPr>
  </w:style>
  <w:style w:type="character" w:customStyle="1" w:styleId="37">
    <w:name w:val="正文文本 字符"/>
    <w:basedOn w:val="21"/>
    <w:link w:val="5"/>
    <w:qFormat/>
    <w:uiPriority w:val="0"/>
    <w:rPr>
      <w:rFonts w:ascii="楷体_GB2312" w:cstheme="minorBidi"/>
      <w:kern w:val="2"/>
      <w:sz w:val="28"/>
      <w:szCs w:val="28"/>
    </w:rPr>
  </w:style>
  <w:style w:type="character" w:customStyle="1" w:styleId="38">
    <w:name w:val="标题 2 字符"/>
    <w:basedOn w:val="21"/>
    <w:link w:val="2"/>
    <w:qFormat/>
    <w:uiPriority w:val="0"/>
    <w:rPr>
      <w:rFonts w:ascii="Arial" w:hAnsi="Arial" w:eastAsia="黑体" w:cstheme="minorBidi"/>
      <w:b/>
      <w:bCs/>
      <w:kern w:val="2"/>
      <w:sz w:val="32"/>
      <w:szCs w:val="32"/>
    </w:rPr>
  </w:style>
  <w:style w:type="paragraph" w:customStyle="1" w:styleId="39">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40">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customStyle="1" w:styleId="4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B06B-E565-4EA5-8E8A-E22D1CC4325A}">
  <ds:schemaRefs/>
</ds:datastoreItem>
</file>

<file path=docProps/app.xml><?xml version="1.0" encoding="utf-8"?>
<Properties xmlns="http://schemas.openxmlformats.org/officeDocument/2006/extended-properties" xmlns:vt="http://schemas.openxmlformats.org/officeDocument/2006/docPropsVTypes">
  <Template>Normal</Template>
  <Pages>34</Pages>
  <Words>15928</Words>
  <Characters>16507</Characters>
  <Lines>127</Lines>
  <Paragraphs>36</Paragraphs>
  <TotalTime>9</TotalTime>
  <ScaleCrop>false</ScaleCrop>
  <LinksUpToDate>false</LinksUpToDate>
  <CharactersWithSpaces>17017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2021-07-07T08:19:00Z</dcterms:created>
  <dc:creator>Administrator</dc:creator>
  <cp:lastModifiedBy>孙妍</cp:lastModifiedBy>
  <dcterms:modified xsi:type="dcterms:W3CDTF">2022-06-16T08:10:39Z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EA5DF89C278D4572B125A6262245969F</vt:lpwstr>
  </property>
</Properties>
</file>