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distribute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武汉网锐检测科技有限公司</w:t>
      </w:r>
    </w:p>
    <w:p>
      <w:pPr>
        <w:tabs>
          <w:tab w:val="left" w:pos="2543"/>
          <w:tab w:val="center" w:pos="4844"/>
        </w:tabs>
        <w:ind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招</w:t>
      </w: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标</w:t>
      </w: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文</w:t>
      </w:r>
      <w:r>
        <w:rPr>
          <w:rFonts w:ascii="宋体" w:hAnsi="宋体"/>
          <w:b/>
          <w:bCs/>
          <w:sz w:val="36"/>
          <w:szCs w:val="36"/>
        </w:rPr>
        <w:t xml:space="preserve"> </w:t>
      </w:r>
      <w:r>
        <w:rPr>
          <w:rFonts w:hint="eastAsia" w:ascii="宋体" w:hAnsi="宋体"/>
          <w:b/>
          <w:bCs/>
          <w:sz w:val="36"/>
          <w:szCs w:val="36"/>
        </w:rPr>
        <w:t>件（附件）</w:t>
      </w:r>
    </w:p>
    <w:p>
      <w:pPr>
        <w:spacing w:before="381" w:beforeLines="100"/>
        <w:ind w:firstLine="1044"/>
        <w:jc w:val="center"/>
        <w:rPr>
          <w:rFonts w:ascii="宋体" w:hAnsi="宋体"/>
          <w:b/>
          <w:sz w:val="52"/>
          <w:szCs w:val="52"/>
        </w:rPr>
      </w:pPr>
    </w:p>
    <w:p>
      <w:pPr>
        <w:spacing w:before="381" w:beforeLines="100"/>
        <w:ind w:firstLine="1044"/>
        <w:jc w:val="center"/>
        <w:rPr>
          <w:rFonts w:ascii="宋体" w:hAnsi="宋体"/>
          <w:b/>
          <w:sz w:val="52"/>
          <w:szCs w:val="52"/>
        </w:rPr>
      </w:pPr>
    </w:p>
    <w:p>
      <w:pPr>
        <w:spacing w:before="381" w:beforeLines="100"/>
        <w:ind w:firstLine="1040"/>
        <w:jc w:val="center"/>
        <w:rPr>
          <w:rFonts w:ascii="宋体" w:hAnsi="宋体"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办公家具及会议设备</w:t>
      </w:r>
    </w:p>
    <w:p>
      <w:pPr>
        <w:spacing w:before="381" w:beforeLines="100"/>
        <w:ind w:firstLine="1040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sz w:val="52"/>
          <w:szCs w:val="52"/>
        </w:rPr>
        <w:t>技术规范书</w:t>
      </w: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3935" w:firstLineChars="1400"/>
        <w:rPr>
          <w:rFonts w:ascii="宋体" w:hAnsi="宋体"/>
          <w:b/>
          <w:szCs w:val="28"/>
        </w:rPr>
      </w:pPr>
      <w:r>
        <w:rPr>
          <w:rFonts w:hint="eastAsia" w:ascii="宋体" w:hAnsi="宋体"/>
          <w:b/>
          <w:szCs w:val="28"/>
        </w:rPr>
        <w:t>202</w:t>
      </w:r>
      <w:r>
        <w:rPr>
          <w:rFonts w:ascii="宋体" w:hAnsi="宋体"/>
          <w:b/>
          <w:szCs w:val="28"/>
        </w:rPr>
        <w:t>3</w:t>
      </w:r>
      <w:r>
        <w:rPr>
          <w:rFonts w:hint="eastAsia" w:ascii="宋体" w:hAnsi="宋体"/>
          <w:b/>
          <w:szCs w:val="28"/>
        </w:rPr>
        <w:t>年9月</w:t>
      </w: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ind w:firstLine="562"/>
        <w:jc w:val="center"/>
        <w:rPr>
          <w:rFonts w:ascii="宋体" w:hAnsi="宋体"/>
          <w:b/>
          <w:szCs w:val="28"/>
        </w:rPr>
      </w:pPr>
    </w:p>
    <w:p>
      <w:pPr>
        <w:autoSpaceDE w:val="0"/>
        <w:autoSpaceDN w:val="0"/>
        <w:adjustRightInd w:val="0"/>
        <w:ind w:firstLine="562"/>
        <w:jc w:val="left"/>
        <w:rPr>
          <w:rFonts w:ascii="仿宋" w:hAnsi="仿宋"/>
          <w:b/>
          <w:bCs/>
        </w:rPr>
      </w:pPr>
      <w:r>
        <w:rPr>
          <w:rFonts w:hint="eastAsia" w:ascii="仿宋" w:hAnsi="仿宋"/>
          <w:b/>
          <w:bCs/>
        </w:rPr>
        <w:t>本文件为本次采购项目的基本技术要求，所有加★号项为不可偏离项目，应满足或优于条款要求。如不满足★条款，则废标。</w:t>
      </w:r>
    </w:p>
    <w:p>
      <w:pPr>
        <w:ind w:firstLine="0" w:firstLineChars="0"/>
        <w:jc w:val="left"/>
        <w:rPr>
          <w:rFonts w:ascii="宋体" w:hAnsi="宋体" w:eastAsia="宋体"/>
          <w:sz w:val="24"/>
        </w:rPr>
      </w:pPr>
    </w:p>
    <w:p>
      <w:pPr>
        <w:pStyle w:val="4"/>
        <w:ind w:firstLine="643"/>
      </w:pPr>
      <w:bookmarkStart w:id="0" w:name="_Toc260775433"/>
      <w:bookmarkStart w:id="1" w:name="_Toc183879586"/>
      <w:bookmarkStart w:id="2" w:name="_Toc268114106"/>
      <w:r>
        <w:t xml:space="preserve">1  </w:t>
      </w:r>
      <w:r>
        <w:rPr>
          <w:rFonts w:hint="eastAsia"/>
        </w:rPr>
        <w:t>总则</w:t>
      </w:r>
      <w:bookmarkEnd w:id="0"/>
      <w:bookmarkEnd w:id="1"/>
      <w:bookmarkEnd w:id="2"/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1.1 投标人为生产厂家的必须具备</w:t>
      </w:r>
      <w:r>
        <w:rPr>
          <w:rFonts w:hint="eastAsia" w:ascii="仿宋" w:hAnsi="仿宋" w:cs="仿宋"/>
          <w:sz w:val="24"/>
        </w:rPr>
        <w:t>办公家具和会议设备</w:t>
      </w:r>
      <w:r>
        <w:rPr>
          <w:rFonts w:hint="eastAsia" w:ascii="仿宋" w:hAnsi="仿宋" w:cs="仿宋"/>
          <w:sz w:val="24"/>
          <w:lang w:val="zh-CN"/>
        </w:rPr>
        <w:t>的设计、制造经验，</w:t>
      </w:r>
      <w:r>
        <w:rPr>
          <w:rFonts w:hint="eastAsia" w:ascii="仿宋" w:hAnsi="仿宋" w:cs="仿宋"/>
          <w:sz w:val="24"/>
        </w:rPr>
        <w:t>产品满足相应的国家或行业标准要求，生产厂家具备</w:t>
      </w:r>
      <w:r>
        <w:rPr>
          <w:rFonts w:hint="eastAsia" w:ascii="仿宋" w:hAnsi="仿宋" w:cs="仿宋"/>
          <w:sz w:val="24"/>
          <w:lang w:val="zh-CN"/>
        </w:rPr>
        <w:t>生产许可证（</w:t>
      </w:r>
      <w:r>
        <w:rPr>
          <w:rFonts w:hint="eastAsia" w:ascii="仿宋" w:hAnsi="仿宋" w:cs="仿宋"/>
          <w:sz w:val="24"/>
        </w:rPr>
        <w:t>如需</w:t>
      </w:r>
      <w:r>
        <w:rPr>
          <w:rFonts w:hint="eastAsia" w:ascii="仿宋" w:hAnsi="仿宋" w:cs="仿宋"/>
          <w:sz w:val="24"/>
          <w:lang w:val="zh-CN"/>
        </w:rPr>
        <w:t>）。投标的设备</w:t>
      </w:r>
      <w:r>
        <w:rPr>
          <w:rFonts w:hint="eastAsia" w:ascii="仿宋" w:hAnsi="仿宋" w:cs="仿宋"/>
          <w:sz w:val="24"/>
        </w:rPr>
        <w:t>或服务</w:t>
      </w:r>
      <w:r>
        <w:rPr>
          <w:rFonts w:hint="eastAsia" w:ascii="仿宋" w:hAnsi="仿宋" w:cs="仿宋"/>
          <w:sz w:val="24"/>
          <w:lang w:val="zh-CN"/>
        </w:rPr>
        <w:t>必须提供商业运行的良好记录。代理商、经销商等投标人应提供营业执照等证明文件。</w:t>
      </w:r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1.2本</w:t>
      </w:r>
      <w:r>
        <w:rPr>
          <w:rFonts w:hint="eastAsia" w:ascii="仿宋" w:hAnsi="仿宋" w:cs="仿宋"/>
          <w:sz w:val="24"/>
        </w:rPr>
        <w:t>技术规范提出了办公家具</w:t>
      </w:r>
      <w:r>
        <w:rPr>
          <w:rFonts w:hint="eastAsia" w:ascii="仿宋" w:hAnsi="仿宋" w:cs="仿宋"/>
          <w:sz w:val="24"/>
          <w:lang w:val="en-US" w:eastAsia="zh-CN"/>
        </w:rPr>
        <w:t>和会议设备的</w:t>
      </w:r>
      <w:r>
        <w:rPr>
          <w:rFonts w:hint="eastAsia" w:ascii="仿宋" w:hAnsi="仿宋" w:cs="仿宋"/>
          <w:sz w:val="24"/>
        </w:rPr>
        <w:t>主要技术参数、结构、性能、试验、包装、运输及所需技术资料等方面的技术要求</w:t>
      </w:r>
      <w:r>
        <w:rPr>
          <w:rFonts w:hint="eastAsia" w:ascii="仿宋" w:hAnsi="仿宋" w:cs="仿宋"/>
          <w:sz w:val="24"/>
          <w:lang w:eastAsia="zh-CN"/>
        </w:rPr>
        <w:t>。</w:t>
      </w:r>
      <w:r>
        <w:rPr>
          <w:rFonts w:hint="eastAsia" w:ascii="仿宋" w:hAnsi="仿宋" w:cs="仿宋"/>
          <w:sz w:val="24"/>
          <w:lang w:val="en-US" w:eastAsia="zh-CN"/>
        </w:rPr>
        <w:t>涉及</w:t>
      </w:r>
      <w:r>
        <w:rPr>
          <w:rFonts w:hint="eastAsia" w:ascii="仿宋" w:hAnsi="仿宋" w:cs="仿宋"/>
          <w:sz w:val="24"/>
        </w:rPr>
        <w:t>技术规范书中第3部分中</w:t>
      </w:r>
      <w:r>
        <w:rPr>
          <w:rFonts w:hint="eastAsia" w:ascii="仿宋" w:hAnsi="仿宋" w:cs="仿宋"/>
          <w:sz w:val="24"/>
          <w:lang w:val="en-US" w:eastAsia="zh-CN"/>
        </w:rPr>
        <w:t>的</w:t>
      </w:r>
      <w:r>
        <w:rPr>
          <w:rFonts w:hint="eastAsia" w:ascii="仿宋" w:hAnsi="仿宋" w:cs="仿宋"/>
          <w:sz w:val="24"/>
        </w:rPr>
        <w:t>尺寸</w:t>
      </w:r>
      <w:r>
        <w:rPr>
          <w:rFonts w:hint="eastAsia" w:ascii="仿宋" w:hAnsi="仿宋" w:cs="仿宋"/>
          <w:sz w:val="24"/>
          <w:lang w:val="en-US" w:eastAsia="zh-CN"/>
        </w:rPr>
        <w:t>如</w:t>
      </w:r>
      <w:r>
        <w:rPr>
          <w:rFonts w:hint="eastAsia" w:ascii="仿宋" w:hAnsi="仿宋" w:cs="仿宋"/>
          <w:sz w:val="24"/>
        </w:rPr>
        <w:t>需要确认的可上门踏勘。</w:t>
      </w:r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1.3本技术规范书提出的是最低限度的技术要求，并未对一切技术细节作出规定，也未充分引述有关标准和规范的条文，投标人应提供符合本规范书和工业标准的优质产品。</w:t>
      </w:r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1.4如果投标人没有以书面形式对本规范书的条文提出异议，则意味着投标人提供的</w:t>
      </w:r>
      <w:r>
        <w:rPr>
          <w:rFonts w:hint="eastAsia" w:ascii="仿宋" w:hAnsi="仿宋" w:cs="仿宋"/>
          <w:sz w:val="24"/>
        </w:rPr>
        <w:t>标的</w:t>
      </w:r>
      <w:r>
        <w:rPr>
          <w:rFonts w:hint="eastAsia" w:ascii="仿宋" w:hAnsi="仿宋" w:cs="仿宋"/>
          <w:sz w:val="24"/>
          <w:lang w:val="zh-CN"/>
        </w:rPr>
        <w:t>完全符合本技术规范书的要求。如有异议, 不管是多么微小, 都应在投标文件中以“同规范书的差异”为标题的专门章节中加以详细描述。</w:t>
      </w:r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</w:t>
      </w:r>
      <w:r>
        <w:rPr>
          <w:rFonts w:hint="eastAsia" w:ascii="仿宋" w:hAnsi="仿宋" w:cs="仿宋"/>
          <w:sz w:val="24"/>
        </w:rPr>
        <w:t>5</w:t>
      </w:r>
      <w:r>
        <w:rPr>
          <w:rFonts w:hint="eastAsia" w:ascii="仿宋" w:hAnsi="仿宋" w:cs="仿宋"/>
          <w:sz w:val="24"/>
          <w:lang w:val="zh-CN"/>
        </w:rPr>
        <w:t>本</w:t>
      </w:r>
      <w:r>
        <w:rPr>
          <w:rFonts w:hint="eastAsia" w:ascii="仿宋" w:hAnsi="仿宋" w:cs="仿宋"/>
          <w:sz w:val="24"/>
        </w:rPr>
        <w:t>技术</w:t>
      </w:r>
      <w:r>
        <w:rPr>
          <w:rFonts w:hint="eastAsia" w:ascii="仿宋" w:hAnsi="仿宋" w:cs="仿宋"/>
          <w:sz w:val="24"/>
          <w:lang w:val="zh-CN"/>
        </w:rPr>
        <w:t>规范书未尽事宜，由招投标双方协商确定。</w:t>
      </w:r>
    </w:p>
    <w:p>
      <w:pPr>
        <w:ind w:firstLine="480"/>
        <w:rPr>
          <w:rFonts w:ascii="仿宋" w:hAnsi="仿宋" w:cs="仿宋"/>
          <w:sz w:val="24"/>
          <w:lang w:val="zh-CN"/>
        </w:rPr>
      </w:pPr>
      <w:r>
        <w:rPr>
          <w:rFonts w:hint="eastAsia" w:ascii="仿宋" w:hAnsi="仿宋" w:cs="仿宋"/>
          <w:sz w:val="24"/>
          <w:lang w:val="zh-CN"/>
        </w:rPr>
        <w:t>1.</w:t>
      </w:r>
      <w:r>
        <w:rPr>
          <w:rFonts w:hint="eastAsia" w:ascii="仿宋" w:hAnsi="仿宋" w:cs="仿宋"/>
          <w:sz w:val="24"/>
        </w:rPr>
        <w:t>6</w:t>
      </w:r>
      <w:r>
        <w:rPr>
          <w:rFonts w:hint="eastAsia" w:ascii="仿宋" w:hAnsi="仿宋" w:cs="仿宋"/>
          <w:sz w:val="24"/>
          <w:lang w:val="zh-CN"/>
        </w:rPr>
        <w:t>投标方应按本规范书顺序逐条应答，并简要描述。</w:t>
      </w:r>
    </w:p>
    <w:p>
      <w:pPr>
        <w:autoSpaceDE w:val="0"/>
        <w:autoSpaceDN w:val="0"/>
        <w:adjustRightInd w:val="0"/>
        <w:ind w:firstLine="0" w:firstLineChars="0"/>
        <w:jc w:val="left"/>
        <w:rPr>
          <w:rFonts w:ascii="宋体" w:hAnsi="宋体"/>
          <w:b/>
          <w:bCs/>
          <w:sz w:val="24"/>
          <w:lang w:val="zh-CN"/>
        </w:rPr>
      </w:pPr>
    </w:p>
    <w:p>
      <w:pPr>
        <w:pStyle w:val="4"/>
        <w:ind w:firstLine="643"/>
      </w:pPr>
      <w:bookmarkStart w:id="3" w:name="_Toc301859879"/>
      <w:r>
        <w:rPr>
          <w:rFonts w:hint="eastAsia"/>
        </w:rPr>
        <w:t>2 需求简介</w:t>
      </w:r>
      <w:bookmarkEnd w:id="3"/>
    </w:p>
    <w:p>
      <w:pPr>
        <w:ind w:firstLine="560"/>
        <w:rPr>
          <w:rFonts w:ascii="仿宋" w:hAnsi="仿宋" w:cs="仿宋"/>
          <w:sz w:val="24"/>
          <w:lang w:val="zh-CN"/>
        </w:rPr>
      </w:pPr>
      <w:r>
        <w:rPr>
          <w:rFonts w:ascii="仿宋" w:hAnsi="仿宋" w:cs="华文宋体"/>
        </w:rPr>
        <w:t xml:space="preserve"> </w:t>
      </w:r>
      <w:r>
        <w:rPr>
          <w:rFonts w:hint="eastAsia" w:ascii="仿宋" w:hAnsi="仿宋" w:cs="仿宋"/>
          <w:sz w:val="24"/>
          <w:lang w:val="zh-CN"/>
        </w:rPr>
        <w:t>本次采购的</w:t>
      </w:r>
      <w:r>
        <w:rPr>
          <w:rFonts w:hint="eastAsia" w:ascii="仿宋" w:hAnsi="仿宋" w:cs="仿宋"/>
          <w:sz w:val="24"/>
        </w:rPr>
        <w:t>办公家具和会议设备</w:t>
      </w:r>
      <w:r>
        <w:rPr>
          <w:rFonts w:hint="eastAsia" w:ascii="仿宋" w:hAnsi="仿宋" w:cs="仿宋"/>
          <w:sz w:val="24"/>
          <w:lang w:val="zh-CN"/>
        </w:rPr>
        <w:t>主要用于</w:t>
      </w:r>
      <w:r>
        <w:rPr>
          <w:rFonts w:hint="eastAsia" w:ascii="仿宋" w:hAnsi="仿宋" w:cs="仿宋"/>
          <w:sz w:val="24"/>
        </w:rPr>
        <w:t>公司日常会议中使用，须满足会议使用中的各项功能</w:t>
      </w:r>
      <w:r>
        <w:rPr>
          <w:rFonts w:hint="eastAsia" w:ascii="仿宋" w:hAnsi="仿宋" w:cs="仿宋"/>
          <w:sz w:val="24"/>
          <w:lang w:val="en-US" w:eastAsia="zh-CN"/>
        </w:rPr>
        <w:t>需求</w:t>
      </w:r>
      <w:r>
        <w:rPr>
          <w:rFonts w:hint="eastAsia" w:ascii="仿宋" w:hAnsi="仿宋" w:cs="仿宋"/>
          <w:sz w:val="24"/>
        </w:rPr>
        <w:t>（具体见3技术要求部分）</w:t>
      </w:r>
      <w:r>
        <w:rPr>
          <w:rFonts w:hint="eastAsia" w:ascii="仿宋" w:hAnsi="仿宋" w:cs="仿宋"/>
          <w:sz w:val="24"/>
          <w:lang w:val="zh-CN"/>
        </w:rPr>
        <w:t>。</w:t>
      </w:r>
    </w:p>
    <w:p>
      <w:pPr>
        <w:pStyle w:val="4"/>
        <w:ind w:firstLine="482"/>
      </w:pPr>
      <w:r>
        <w:rPr>
          <w:rFonts w:hint="eastAsia" w:ascii="仿宋" w:hAnsi="仿宋" w:cs="仿宋"/>
          <w:sz w:val="24"/>
          <w:szCs w:val="24"/>
          <w:lang w:val="zh-CN"/>
        </w:rPr>
        <w:t>★</w:t>
      </w:r>
      <w:r>
        <w:rPr>
          <w:rFonts w:hint="eastAsia"/>
        </w:rPr>
        <w:t>3、技术要求</w:t>
      </w:r>
    </w:p>
    <w:p>
      <w:pPr>
        <w:ind w:firstLine="560"/>
      </w:pPr>
      <w:r>
        <w:rPr>
          <w:rFonts w:hint="eastAsia"/>
        </w:rPr>
        <w:t>3.1 办公家具（会议室使用）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16"/>
        <w:gridCol w:w="814"/>
        <w:gridCol w:w="862"/>
        <w:gridCol w:w="5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6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4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5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30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6A6A6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技术要求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3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会议桌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个</w:t>
            </w:r>
          </w:p>
        </w:tc>
        <w:tc>
          <w:tcPr>
            <w:tcW w:w="3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颜色：红木色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尺寸：7200W*2000D*760H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结构：两边可安放9个工位，顶端1个工位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 台面开孔：预开11个升降器孔（可安装17寸宽屏，16:9）, 两边各5个，顶端1个；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 配置双翻线盒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yellow"/>
              </w:rPr>
              <w:t>（6套）：电源孔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3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会议椅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把</w:t>
            </w:r>
          </w:p>
        </w:tc>
        <w:tc>
          <w:tcPr>
            <w:tcW w:w="3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1.颜色：黑色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2.材质：椅面皮质、椅架铁质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或钢制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（表面镀铬）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3.形制：弓形椅，无扶手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3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条桌（围）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</w:t>
            </w:r>
          </w:p>
        </w:tc>
        <w:tc>
          <w:tcPr>
            <w:tcW w:w="3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1.颜色：红木色（同会议桌）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2.尺寸：1400W*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yellow"/>
              </w:rPr>
              <w:t>450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yellow"/>
              </w:rPr>
              <w:t>D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*750H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34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220" w:firstLineChars="1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6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培训桌</w:t>
            </w:r>
          </w:p>
        </w:tc>
        <w:tc>
          <w:tcPr>
            <w:tcW w:w="4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张</w:t>
            </w:r>
          </w:p>
        </w:tc>
        <w:tc>
          <w:tcPr>
            <w:tcW w:w="30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1.颜色：原木色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2.尺寸：1200W*</w:t>
            </w:r>
            <w:r>
              <w:rPr>
                <w:rFonts w:ascii="宋体" w:hAnsi="宋体" w:eastAsia="宋体" w:cs="宋体"/>
                <w:kern w:val="0"/>
                <w:sz w:val="22"/>
                <w:szCs w:val="22"/>
                <w:highlight w:val="yellow"/>
              </w:rPr>
              <w:t>450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highlight w:val="yellow"/>
              </w:rPr>
              <w:t>D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*750H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3.可折叠</w:t>
            </w:r>
          </w:p>
        </w:tc>
      </w:tr>
    </w:tbl>
    <w:p>
      <w:pPr>
        <w:ind w:firstLine="560"/>
      </w:pPr>
    </w:p>
    <w:p>
      <w:pPr>
        <w:ind w:firstLine="560"/>
      </w:pPr>
      <w:r>
        <w:rPr>
          <w:rFonts w:hint="eastAsia"/>
        </w:rPr>
        <w:t>3.2 会议设备</w:t>
      </w:r>
    </w:p>
    <w:tbl>
      <w:tblPr>
        <w:tblStyle w:val="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160"/>
        <w:gridCol w:w="5643"/>
        <w:gridCol w:w="656"/>
        <w:gridCol w:w="656"/>
        <w:gridCol w:w="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材料或设备名称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技术参数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0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17寸超薄液晶屏升降器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1、显示屏尺寸：17.3寸（窄边框）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显示屏分辨率：1920×1080（全高清）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可视角度：85/85/85/85 (Typ.)(CR≥10)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屏幕比例：16:9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黑白响应时间：5毫秒，升降器单程时间少于50S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屏幕亮度：250/㎡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点距：（mm）0.264mm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仰角角度：0-30°，完全符合人体工程学原理，又不遮挡视线和人脸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控制方式中控、遥控、手控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遥控距离：50米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2、面板尺寸：560*80*5mm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机箱尺寸：544*75*630mm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机箱接口主机开关/高清/VGA/网络/输入/出接口/数据传输/电源接口/中控接口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面板按键菜单键/开关键/下降键/暂停键/上升键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电机2个(控制上升下降、前仰后仰)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3、具有电源保护功能：液晶屏上升后自动供电；液晶屏下降时自动断电，减少电能损耗，免除每次开关显示屏的繁琐，并延长显示屏寿命。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4、支持HDMI和VGA两路信号输入，当只有一路信号输入时，屏幕会自动识别信号，当两路信号同时输入时，可通过面板按键手动切换，当无信号输入时，屏幕自动进入省电模式。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5、升降噪音小于30分贝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6、设备可通过中控软件进行集中控制，通过主机进行控制，一键可让室内所有的设备都上升或下降。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7、面板带USB接口，通过连接U盘可浏览文件或上传文件。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桌面供与会人员观看资料的显示设备，连接有线或无线鼠标键盘，会议结束时可升降至桌下隐藏。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无纸化电脑终端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1. Intel CORE i5 处理器，4GB DDR3 内存,64GB 固态硬盘,千兆有线网卡,VGA接口输出和HDMI高清接口输出；显示分辨率1920*1080，有线网卡：1000Mbps以太网卡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2. 无纸化终端安装调试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高清分配器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1、 HDMI分配器连接线：HDMI线转换器：HDMI分配器线长：其他屏蔽类型：其他类别：切换器一分十六出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2、一路输入信号源信号送到11台显示终端上，实现11台同屏效果。主席位可操作电脑，其它10台当显示作用，同时可连接大屏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5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会议主机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电源电压：AC220V/50Hz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最大电流消耗：1A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频率响应：50Hz-20KHz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信噪比：81dB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灵敏度：-15dB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中央连接控制器：232串口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7、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主席/代表单元接口：8P-DIN插座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8、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视频切换器接口：232串口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音频输出：RCA插座　6.3插座 XLR卡侬插座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10、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音频输入输出(TEL): RCA插座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云台通讯口：485/232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LINE输出电平：LINE输出11dB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平衡输出电平：平衡输出11dB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音频输入电平：TEL输入-15dB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连接方式：8芯手拉手电缆连接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16、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电源电压：DC24V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17、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最大电流消耗：60mA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18、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信噪比：70dB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19、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灵敏度：-50dB/Pa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20、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频率响应：100Hz-15KHz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有线会议系统主席单元</w:t>
            </w:r>
          </w:p>
        </w:tc>
        <w:tc>
          <w:tcPr>
            <w:tcW w:w="2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带耳机输出口，当插入耳机时自动断开内置扬声器。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带音量调节按钮，可以调节耳机和内置扬声器音量。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主席单元带控制按钮，可以断开其它单元发言，方便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进行会议控制。抗手机、电磁干扰。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有效拾音距离40-80cm(视搭配的设备与声场而定)。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长杆选用16MM金膜音头咪杆，方杆采用阵列式两只中口径16mm镀金膜咪芯。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长杆为400mm,方杆管长度190mm，蜂窝式方管。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有线会议系统代表单元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带耳机输出口，当插入耳机时自动断开内置扬声器。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带音量调节按钮，可以调节耳机和内置扬声器音量。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主席单元带控制按钮，可以断开其它单元发言，方便进行会议控制。抗手机、电磁干扰。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有效拾音距离40-80cm(视搭配的设备与声场而定)。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长杆选用16MM金膜音头咪杆，方杆采用阵列式两只中口径16mm镀</w:t>
            </w:r>
            <w:bookmarkStart w:id="4" w:name="_GoBack"/>
            <w:bookmarkEnd w:id="4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金膜咪芯。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长杆为400mm,方杆管长度190mm，蜂窝式方管。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6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一拖二无线手持</w:t>
            </w:r>
          </w:p>
        </w:tc>
        <w:tc>
          <w:tcPr>
            <w:tcW w:w="2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射频范围:640.25 --690.00MHz   (A通道：640.25MHZ---665.25MHZ，B通道：665.50MHZ---690.00MHZ）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可用带宽:每通道25MHz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调制方式:FM调频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信道数目:红外线自动对频200信道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使用温度: 摄氏零下18度到摄氏50度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静噪方式：自动噪声检测及数字ID码静噪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偏移度:45KHz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动太范围:&gt;110dB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音频响应:60Hz-18KHz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综合信噪比:&gt;105dB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综合失真:&lt;0.5%                                                         接收机指标: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接收方式:二次变频超外差,双调谐真分集接收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振荡方式:PLL锁相环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中频频率:第一中频:110MHz,第二中频:10.7MHz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天线接口:TNC座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显示方式: LCD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灵敏度:-100dBm(40dB S/N)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杂散抑制:&gt;80dB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音频输出:非平衡:+4dB(1.25V)/5KΩ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平衡:+10dB(1.5V)/600Ω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供电电压:DC12V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供电电流:450mA                                                        发射机指标:(908发射）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振荡方式:PLL锁相环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输出功率:3dBm-10dBm(LO/HI转换)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电池:2节"1.5V5号"电池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电流:&lt;100mA(HF),&lt;80mA(LF)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使用时间(碱性电池):大功率时约8小时.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3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2 </w:t>
            </w:r>
          </w:p>
        </w:tc>
        <w:tc>
          <w:tcPr>
            <w:tcW w:w="42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0" w:hRule="atLeast"/>
        </w:trPr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反馈抑制器</w:t>
            </w:r>
          </w:p>
        </w:tc>
        <w:tc>
          <w:tcPr>
            <w:tcW w:w="2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会议系统中防啸叫的完美解决方案；                           2.中英文可选；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3.反馈加移频设计方案，移频4档可选；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4.每通道设12个陷波器,工作频率20-20KHZ，自动扫描啸叫点并抑制；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5.独特的噪声门功能可抑制系统微弱噪声干扰；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6.输入压缩功能，消除反馈同时更可扩展人声动态；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7.响应时间快中慢3速可定，更具人性化；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8.配有专业的PC调试软件，USB免驱动即插即用，方便快捷；      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模拟输入：2CH-XLR和1/4“TRS(母)输入,电子平衡/不平衡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输入阻抗：平衡47Ω,不平衡20KΩ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最大线路电平输入：+18dBu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模拟输出：2CH-XLR和1/4“TRS(母)输入,电子平衡/不平衡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输出阻抗：平衡&gt;120Ω,不平衡&gt;60Ω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最大输出电平：+20dBu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频率响应：20Hz-20KHz,±0.3db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信噪比：&gt;105db(A)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动态范围：103db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总谐波失真+噪声0.005％,1KHz;20Hz-10KH,&lt;0.01％;10KHz-20KHz,&lt;0.025％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工作电压：110V/220V/AC 50Hz/60Hz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接口：输入3芯XLR母插座/6.3插咀 输出3芯XLR公插座/6.3插咀 USB接口 电源插口 3芯IEC 插座 电源90至240V 50/60Hz，                         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耗电量：&lt;30瓦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Cs w:val="28"/>
              </w:rPr>
              <w:t>12路调音台</w:t>
            </w:r>
          </w:p>
        </w:tc>
        <w:tc>
          <w:tcPr>
            <w:tcW w:w="2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1.MG12U调音台 8路话筒输入，4路（2组）立体声输入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2.带48V幻像电源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3.话筒输入高中低3段均衡，立体声高低2段均衡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4.一个AUX发送，一个FX发送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5.输入每路带PFL按键，方便监听推子前信号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6.毎路带信号指示灯和峰值指示灯，共用可变色指示灯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7.带蓝牙,USB播放和录音功能，支持多种格式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8.内置效果器，延时和重复比例可调，组合各种模式，音色优美，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9.两主输出，带卡龙和RCA两种输出口，两个推子独立控制，60mm进口推子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10.立体声监听输出，可以耳机监听，也可以外接音箱监听，透明发光按键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11.立体声辅助返回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12.外置电源，静噪第，信噪比好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13.标准双12段光柱电平表，精确指示电平大小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14.独特的外观设计,SMT表面贴片工艺，性能可靠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15.话筒输入可以选择卡龙或6.35接口，立体声输入可以选择RCA或6.35接口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16.可选配支架，直接装在标准机柜上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台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342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布线安装及调试</w:t>
            </w:r>
          </w:p>
        </w:tc>
        <w:tc>
          <w:tcPr>
            <w:tcW w:w="29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音响线重新布置，无纸化及原设备线材布置及会议系统调试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</w:t>
            </w:r>
          </w:p>
        </w:tc>
        <w:tc>
          <w:tcPr>
            <w:tcW w:w="3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1 </w:t>
            </w:r>
          </w:p>
        </w:tc>
        <w:tc>
          <w:tcPr>
            <w:tcW w:w="42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ind w:firstLine="560"/>
      </w:pPr>
    </w:p>
    <w:p>
      <w:pPr>
        <w:pStyle w:val="4"/>
        <w:ind w:firstLine="643"/>
      </w:pPr>
      <w:r>
        <w:rPr>
          <w:rFonts w:hint="eastAsia"/>
        </w:rPr>
        <w:t>4、同类产品或服务案例（须提供合同证明）</w:t>
      </w:r>
    </w:p>
    <w:p>
      <w:pPr>
        <w:pStyle w:val="4"/>
        <w:ind w:firstLine="643"/>
      </w:pPr>
      <w:r>
        <w:rPr>
          <w:rFonts w:hint="eastAsia"/>
        </w:rPr>
        <w:t>5、售后服务承诺、供货周期承诺（格式不限，需签字盖章）</w:t>
      </w:r>
    </w:p>
    <w:p>
      <w:pPr>
        <w:pStyle w:val="4"/>
        <w:ind w:firstLine="643"/>
      </w:pPr>
      <w:r>
        <w:rPr>
          <w:rFonts w:hint="eastAsia"/>
        </w:rPr>
        <w:t>6、其他说明（格式不限</w:t>
      </w:r>
      <w:r>
        <w:rPr>
          <w:rFonts w:hint="eastAsia"/>
          <w:lang w:eastAsia="zh-CN"/>
        </w:rPr>
        <w:t>，</w:t>
      </w:r>
      <w:r>
        <w:rPr>
          <w:rFonts w:hint="eastAsia"/>
        </w:rPr>
        <w:t xml:space="preserve"> 如有则填）</w:t>
      </w:r>
    </w:p>
    <w:p>
      <w:pPr>
        <w:ind w:firstLine="0" w:firstLineChars="0"/>
        <w:jc w:val="left"/>
        <w:rPr>
          <w:rFonts w:ascii="仿宋" w:hAnsi="仿宋" w:cs="华文宋体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247" w:right="1287" w:bottom="936" w:left="1259" w:header="737" w:footer="992" w:gutter="0"/>
      <w:cols w:space="720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774C2"/>
    <w:multiLevelType w:val="singleLevel"/>
    <w:tmpl w:val="948774C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2B03D61"/>
    <w:multiLevelType w:val="singleLevel"/>
    <w:tmpl w:val="12B03D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zODNjMGI2OGMwMmM2YzkyODdiNmY1OTY5ZGEzZmEifQ=="/>
  </w:docVars>
  <w:rsids>
    <w:rsidRoot w:val="003A74C4"/>
    <w:rsid w:val="0007393D"/>
    <w:rsid w:val="000A3B70"/>
    <w:rsid w:val="00121419"/>
    <w:rsid w:val="001666E3"/>
    <w:rsid w:val="00236400"/>
    <w:rsid w:val="002A7D70"/>
    <w:rsid w:val="0033684D"/>
    <w:rsid w:val="00355BBA"/>
    <w:rsid w:val="003645D2"/>
    <w:rsid w:val="003A74C4"/>
    <w:rsid w:val="003D6DC0"/>
    <w:rsid w:val="00463E26"/>
    <w:rsid w:val="004648F4"/>
    <w:rsid w:val="00591F52"/>
    <w:rsid w:val="006248C5"/>
    <w:rsid w:val="00655A3E"/>
    <w:rsid w:val="0070544C"/>
    <w:rsid w:val="00807F73"/>
    <w:rsid w:val="00817948"/>
    <w:rsid w:val="00867578"/>
    <w:rsid w:val="00872772"/>
    <w:rsid w:val="00AC602C"/>
    <w:rsid w:val="00B55BF7"/>
    <w:rsid w:val="00BC635B"/>
    <w:rsid w:val="00C43A9A"/>
    <w:rsid w:val="00CC0C47"/>
    <w:rsid w:val="00E209C0"/>
    <w:rsid w:val="00F13933"/>
    <w:rsid w:val="00FC182A"/>
    <w:rsid w:val="1EAD1A79"/>
    <w:rsid w:val="22013237"/>
    <w:rsid w:val="30C615E1"/>
    <w:rsid w:val="6E3D5EFA"/>
    <w:rsid w:val="7C7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0"/>
    <w:pPr>
      <w:keepNext/>
      <w:keepLines/>
      <w:outlineLvl w:val="1"/>
    </w:pPr>
    <w:rPr>
      <w:rFonts w:ascii="等线 Light" w:hAnsi="等线 Light"/>
      <w:b/>
      <w:bCs/>
      <w:szCs w:val="32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2 Char"/>
    <w:basedOn w:val="9"/>
    <w:link w:val="3"/>
    <w:qFormat/>
    <w:uiPriority w:val="0"/>
    <w:rPr>
      <w:rFonts w:ascii="等线 Light" w:hAnsi="等线 Light" w:eastAsia="仿宋" w:cs="Times New Roman"/>
      <w:b/>
      <w:bCs/>
      <w:sz w:val="28"/>
      <w:szCs w:val="32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Char"/>
    <w:basedOn w:val="9"/>
    <w:link w:val="7"/>
    <w:qFormat/>
    <w:uiPriority w:val="0"/>
    <w:rPr>
      <w:rFonts w:ascii="Times New Roman" w:hAnsi="Times New Roman" w:eastAsia="仿宋" w:cs="Times New Roman"/>
      <w:sz w:val="18"/>
      <w:szCs w:val="24"/>
    </w:rPr>
  </w:style>
  <w:style w:type="character" w:customStyle="1" w:styleId="14">
    <w:name w:val="页脚 Char"/>
    <w:basedOn w:val="9"/>
    <w:link w:val="6"/>
    <w:qFormat/>
    <w:uiPriority w:val="0"/>
    <w:rPr>
      <w:rFonts w:ascii="Times New Roman" w:hAnsi="Times New Roman" w:eastAsia="仿宋" w:cs="Times New Roman"/>
      <w:sz w:val="18"/>
      <w:szCs w:val="24"/>
    </w:rPr>
  </w:style>
  <w:style w:type="character" w:customStyle="1" w:styleId="15">
    <w:name w:val="font31"/>
    <w:qFormat/>
    <w:uiPriority w:val="0"/>
    <w:rPr>
      <w:rFonts w:hint="default" w:ascii="Times New Roman" w:hAnsi="Times New Roman" w:cs="Times New Roman"/>
      <w:b/>
      <w:bCs/>
      <w:color w:val="000000"/>
      <w:sz w:val="44"/>
      <w:szCs w:val="44"/>
      <w:u w:val="none"/>
    </w:rPr>
  </w:style>
  <w:style w:type="character" w:customStyle="1" w:styleId="16">
    <w:name w:val="font121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17">
    <w:name w:val="标题 1 Char"/>
    <w:basedOn w:val="9"/>
    <w:link w:val="2"/>
    <w:qFormat/>
    <w:uiPriority w:val="9"/>
    <w:rPr>
      <w:rFonts w:ascii="Times New Roman" w:hAnsi="Times New Roman" w:eastAsia="仿宋" w:cs="Times New Roman"/>
      <w:b/>
      <w:bCs/>
      <w:kern w:val="44"/>
      <w:sz w:val="44"/>
      <w:szCs w:val="44"/>
    </w:rPr>
  </w:style>
  <w:style w:type="character" w:customStyle="1" w:styleId="18">
    <w:name w:val="标题 3 Char"/>
    <w:basedOn w:val="9"/>
    <w:link w:val="4"/>
    <w:qFormat/>
    <w:uiPriority w:val="9"/>
    <w:rPr>
      <w:rFonts w:ascii="Times New Roman" w:hAnsi="Times New Roman" w:eastAsia="仿宋" w:cs="Times New Roman"/>
      <w:b/>
      <w:bCs/>
      <w:sz w:val="32"/>
      <w:szCs w:val="32"/>
    </w:rPr>
  </w:style>
  <w:style w:type="character" w:customStyle="1" w:styleId="19">
    <w:name w:val="标题 4 Char"/>
    <w:basedOn w:val="9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653</Words>
  <Characters>3726</Characters>
  <Lines>31</Lines>
  <Paragraphs>8</Paragraphs>
  <TotalTime>7</TotalTime>
  <ScaleCrop>false</ScaleCrop>
  <LinksUpToDate>false</LinksUpToDate>
  <CharactersWithSpaces>4371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2023-05-18T02:40:00Z</dcterms:created>
  <dc:creator>S H</dc:creator>
  <cp:lastModifiedBy>清水有鱼</cp:lastModifiedBy>
  <dcterms:modified xsi:type="dcterms:W3CDTF">2023-09-07T08:40:24Z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02508EAA031A432CA33D66DED402FB64_12</vt:lpwstr>
  </property>
</Properties>
</file>