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hint="eastAsia" w:ascii="宋体" w:hAnsi="宋体"/>
          <w:b/>
          <w:bCs/>
          <w:sz w:val="36"/>
          <w:szCs w:val="36"/>
        </w:rPr>
      </w:pPr>
      <w:r>
        <w:rPr>
          <w:rFonts w:hint="eastAsia" w:ascii="宋体" w:hAnsi="宋体"/>
          <w:b/>
          <w:bCs/>
          <w:sz w:val="36"/>
          <w:szCs w:val="36"/>
        </w:rPr>
        <w:t>附件1：</w:t>
      </w:r>
    </w:p>
    <w:p>
      <w:pPr>
        <w:spacing w:line="240" w:lineRule="auto"/>
        <w:ind w:firstLine="0" w:firstLineChars="0"/>
        <w:jc w:val="center"/>
        <w:rPr>
          <w:rFonts w:hint="eastAsia" w:ascii="黑体" w:hAnsi="宋体" w:eastAsia="黑体"/>
          <w:b/>
          <w:bCs/>
          <w:sz w:val="52"/>
          <w:szCs w:val="52"/>
        </w:rPr>
      </w:pPr>
      <w:r>
        <w:rPr>
          <w:rFonts w:hint="eastAsia" w:ascii="黑体" w:hAnsi="宋体" w:eastAsia="黑体"/>
          <w:b/>
          <w:bCs/>
          <w:sz w:val="52"/>
          <w:szCs w:val="52"/>
        </w:rPr>
        <w:t>武汉网锐</w:t>
      </w:r>
      <w:r>
        <w:rPr>
          <w:rFonts w:hint="eastAsia" w:ascii="黑体" w:hAnsi="宋体" w:eastAsia="黑体"/>
          <w:b/>
          <w:bCs/>
          <w:sz w:val="52"/>
          <w:szCs w:val="52"/>
          <w:lang w:val="en-US" w:eastAsia="zh-CN"/>
        </w:rPr>
        <w:t>检测</w:t>
      </w:r>
      <w:r>
        <w:rPr>
          <w:rFonts w:hint="eastAsia" w:ascii="黑体" w:hAnsi="宋体" w:eastAsia="黑体"/>
          <w:b/>
          <w:bCs/>
          <w:sz w:val="52"/>
          <w:szCs w:val="52"/>
        </w:rPr>
        <w:t>科技有限公司</w:t>
      </w:r>
    </w:p>
    <w:p>
      <w:pPr>
        <w:spacing w:before="312" w:beforeLines="100" w:line="360" w:lineRule="auto"/>
        <w:ind w:firstLine="0" w:firstLineChars="0"/>
        <w:jc w:val="center"/>
        <w:rPr>
          <w:rFonts w:ascii="黑体" w:eastAsia="黑体"/>
          <w:b/>
          <w:sz w:val="52"/>
          <w:szCs w:val="52"/>
        </w:rPr>
      </w:pPr>
      <w:r>
        <w:rPr>
          <w:rFonts w:hint="eastAsia" w:ascii="宋体" w:hAnsi="宋体" w:eastAsia="宋体"/>
          <w:b/>
          <w:bCs/>
          <w:sz w:val="36"/>
          <w:szCs w:val="36"/>
        </w:rPr>
        <w:t>招 标 文 件</w:t>
      </w:r>
    </w:p>
    <w:p>
      <w:pPr>
        <w:tabs>
          <w:tab w:val="left" w:pos="2543"/>
          <w:tab w:val="center" w:pos="4844"/>
        </w:tabs>
        <w:ind w:firstLine="723"/>
        <w:jc w:val="center"/>
        <w:rPr>
          <w:rFonts w:ascii="宋体" w:hAnsi="宋体"/>
          <w:b/>
          <w:bCs/>
          <w:sz w:val="36"/>
          <w:szCs w:val="36"/>
        </w:rPr>
      </w:pPr>
    </w:p>
    <w:p>
      <w:pPr>
        <w:spacing w:before="381" w:beforeLines="100"/>
        <w:ind w:firstLine="1044"/>
        <w:jc w:val="center"/>
        <w:rPr>
          <w:rFonts w:ascii="宋体" w:hAnsi="宋体"/>
          <w:b/>
          <w:sz w:val="52"/>
          <w:szCs w:val="52"/>
        </w:rPr>
      </w:pPr>
    </w:p>
    <w:p>
      <w:pPr>
        <w:spacing w:before="381" w:beforeLines="100"/>
        <w:ind w:firstLine="1044"/>
        <w:jc w:val="center"/>
        <w:rPr>
          <w:rFonts w:ascii="宋体" w:hAnsi="宋体"/>
          <w:b/>
          <w:sz w:val="52"/>
          <w:szCs w:val="52"/>
        </w:rPr>
      </w:pPr>
    </w:p>
    <w:p>
      <w:pPr>
        <w:spacing w:before="381" w:beforeLines="100"/>
        <w:ind w:firstLine="1040"/>
        <w:jc w:val="center"/>
        <w:rPr>
          <w:rFonts w:ascii="宋体" w:hAnsi="宋体"/>
          <w:sz w:val="52"/>
          <w:szCs w:val="52"/>
        </w:rPr>
      </w:pPr>
      <w:r>
        <w:rPr>
          <w:rFonts w:hint="eastAsia" w:ascii="宋体" w:hAnsi="宋体" w:eastAsia="宋体"/>
          <w:color w:val="000000"/>
          <w:sz w:val="52"/>
          <w:szCs w:val="52"/>
        </w:rPr>
        <w:t>60V 200A蓄电池测试系统（4回路）</w:t>
      </w:r>
    </w:p>
    <w:p>
      <w:pPr>
        <w:spacing w:before="312" w:beforeLines="100" w:line="360" w:lineRule="auto"/>
        <w:ind w:firstLine="0" w:firstLineChars="0"/>
        <w:jc w:val="center"/>
        <w:rPr>
          <w:rFonts w:hint="eastAsia" w:ascii="黑体" w:eastAsia="黑体"/>
          <w:sz w:val="52"/>
          <w:szCs w:val="52"/>
        </w:rPr>
      </w:pPr>
      <w:r>
        <w:rPr>
          <w:rFonts w:hint="eastAsia" w:ascii="黑体" w:eastAsia="黑体"/>
          <w:sz w:val="52"/>
          <w:szCs w:val="52"/>
        </w:rPr>
        <w:t>技术规范书</w:t>
      </w: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r>
        <w:rPr>
          <w:rFonts w:hint="eastAsia" w:ascii="宋体" w:hAnsi="宋体"/>
          <w:b/>
          <w:szCs w:val="28"/>
        </w:rPr>
        <w:t>202</w:t>
      </w:r>
      <w:r>
        <w:rPr>
          <w:rFonts w:ascii="宋体" w:hAnsi="宋体"/>
          <w:b/>
          <w:szCs w:val="28"/>
        </w:rPr>
        <w:t>2</w:t>
      </w:r>
      <w:r>
        <w:rPr>
          <w:rFonts w:hint="eastAsia" w:ascii="宋体" w:hAnsi="宋体"/>
          <w:b/>
          <w:szCs w:val="28"/>
        </w:rPr>
        <w:t>年</w:t>
      </w:r>
      <w:r>
        <w:rPr>
          <w:rFonts w:hint="eastAsia" w:ascii="宋体" w:hAnsi="宋体"/>
          <w:b/>
          <w:szCs w:val="28"/>
          <w:lang w:val="en-US" w:eastAsia="zh-CN"/>
        </w:rPr>
        <w:t>4</w:t>
      </w:r>
      <w:r>
        <w:rPr>
          <w:rFonts w:hint="eastAsia" w:ascii="宋体" w:hAnsi="宋体"/>
          <w:b/>
          <w:szCs w:val="28"/>
        </w:rPr>
        <w:t>月</w:t>
      </w:r>
    </w:p>
    <w:p>
      <w:pPr>
        <w:ind w:firstLine="562"/>
        <w:jc w:val="center"/>
        <w:rPr>
          <w:rFonts w:ascii="宋体" w:hAnsi="宋体"/>
          <w:b/>
          <w:szCs w:val="28"/>
        </w:rPr>
      </w:pPr>
      <w:bookmarkStart w:id="57" w:name="_GoBack"/>
      <w:bookmarkEnd w:id="57"/>
    </w:p>
    <w:p>
      <w:pPr>
        <w:ind w:firstLine="562"/>
        <w:jc w:val="center"/>
        <w:rPr>
          <w:rFonts w:ascii="宋体" w:hAnsi="宋体"/>
          <w:b/>
          <w:szCs w:val="28"/>
        </w:rPr>
      </w:pPr>
    </w:p>
    <w:p>
      <w:pPr>
        <w:pStyle w:val="2"/>
        <w:keepLines w:val="0"/>
        <w:widowControl/>
        <w:overflowPunct w:val="0"/>
        <w:autoSpaceDE w:val="0"/>
        <w:autoSpaceDN w:val="0"/>
        <w:adjustRightInd w:val="0"/>
        <w:spacing w:before="240" w:after="60" w:line="360" w:lineRule="auto"/>
        <w:ind w:firstLine="0" w:firstLineChars="0"/>
        <w:jc w:val="left"/>
        <w:textAlignment w:val="baseline"/>
        <w:rPr>
          <w:rFonts w:hint="eastAsia" w:ascii="宋体" w:hAnsi="宋体" w:eastAsia="仿宋体"/>
          <w:bCs w:val="0"/>
          <w:kern w:val="28"/>
          <w:sz w:val="24"/>
          <w:szCs w:val="24"/>
        </w:rPr>
      </w:pPr>
      <w:r>
        <w:rPr>
          <w:rFonts w:hint="eastAsia" w:ascii="宋体" w:hAnsi="宋体" w:eastAsia="仿宋体"/>
          <w:bCs w:val="0"/>
          <w:kern w:val="28"/>
          <w:sz w:val="24"/>
          <w:szCs w:val="24"/>
        </w:rPr>
        <w:t>本文件为60V 200A蓄电池测试系统（4回路）设备的基本技术要求，基中带★号项为核心指标，如不满足将导致技术部分废标。</w:t>
      </w:r>
    </w:p>
    <w:p>
      <w:pPr>
        <w:pStyle w:val="2"/>
        <w:keepLines w:val="0"/>
        <w:widowControl/>
        <w:overflowPunct w:val="0"/>
        <w:autoSpaceDE w:val="0"/>
        <w:autoSpaceDN w:val="0"/>
        <w:adjustRightInd w:val="0"/>
        <w:spacing w:before="240" w:after="60" w:line="360" w:lineRule="auto"/>
        <w:ind w:firstLine="0" w:firstLineChars="0"/>
        <w:jc w:val="left"/>
        <w:textAlignment w:val="baseline"/>
        <w:rPr>
          <w:rFonts w:ascii="宋体" w:hAnsi="宋体" w:eastAsia="仿宋体"/>
          <w:bCs w:val="0"/>
          <w:kern w:val="28"/>
          <w:sz w:val="21"/>
          <w:szCs w:val="21"/>
        </w:rPr>
      </w:pPr>
      <w:r>
        <w:rPr>
          <w:rFonts w:ascii="宋体" w:hAnsi="宋体" w:eastAsia="仿宋体"/>
          <w:bCs w:val="0"/>
          <w:kern w:val="28"/>
          <w:sz w:val="21"/>
          <w:szCs w:val="21"/>
        </w:rP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-297180</wp:posOffset>
                </wp:positionV>
                <wp:extent cx="1466850" cy="198120"/>
                <wp:effectExtent l="0" t="0" r="0" b="381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466850"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75pt;margin-top:-23.4pt;height:15.6pt;width:115.5pt;z-index:251659264;mso-width-relative:page;mso-height-relative:page;" fillcolor="#FFFFFF" filled="t" stroked="f" coordsize="21600,21600" o:gfxdata="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58P8bXAAAACwEA&#10;AA8AAAAAAAAAAQAgAAAAIgAAAGRycy9kb3ducmV2LnhtbFBLAQIUABQAAAAIAIdO4kA93y0lGwIA&#10;ACYEAAAOAAAAAAAAAAEAIAAAACYBAABkcnMvZTJvRG9jLnhtbFBLBQYAAAAABgAGAFkBAACzBQAA&#10;AAA=&#10;">
                <v:fill on="t" focussize="0,0"/>
                <v:stroke on="f"/>
                <v:imagedata o:title=""/>
                <o:lock v:ext="edit" aspectratio="f"/>
              </v:rect>
            </w:pict>
          </mc:Fallback>
        </mc:AlternateContent>
      </w:r>
      <w:bookmarkStart w:id="0" w:name="_Toc268114106"/>
      <w:bookmarkStart w:id="1" w:name="_Toc260775433"/>
      <w:bookmarkStart w:id="2" w:name="_Toc183879586"/>
      <w:r>
        <w:rPr>
          <w:rFonts w:ascii="宋体" w:hAnsi="宋体" w:eastAsia="仿宋体"/>
          <w:bCs w:val="0"/>
          <w:kern w:val="28"/>
          <w:sz w:val="21"/>
          <w:szCs w:val="21"/>
        </w:rPr>
        <w:t xml:space="preserve">1  </w:t>
      </w:r>
      <w:r>
        <w:rPr>
          <w:rFonts w:hint="eastAsia" w:ascii="宋体" w:hAnsi="宋体" w:eastAsia="仿宋体"/>
          <w:bCs w:val="0"/>
          <w:kern w:val="28"/>
          <w:sz w:val="21"/>
          <w:szCs w:val="21"/>
        </w:rPr>
        <w:t>总则</w:t>
      </w:r>
      <w:bookmarkEnd w:id="0"/>
      <w:bookmarkEnd w:id="1"/>
      <w:bookmarkEnd w:id="2"/>
    </w:p>
    <w:p>
      <w:pPr>
        <w:spacing w:line="360" w:lineRule="auto"/>
        <w:ind w:firstLine="0" w:firstLineChars="0"/>
        <w:rPr>
          <w:rFonts w:hint="eastAsia" w:ascii="Arial" w:hAnsi="Arial" w:eastAsia="宋体"/>
          <w:sz w:val="21"/>
          <w:szCs w:val="21"/>
          <w:lang w:val="zh-CN"/>
        </w:rPr>
      </w:pPr>
      <w:r>
        <w:rPr>
          <w:rFonts w:hint="eastAsia" w:ascii="Arial" w:hAnsi="Arial" w:eastAsia="宋体"/>
          <w:sz w:val="21"/>
          <w:szCs w:val="21"/>
          <w:lang w:val="zh-CN"/>
        </w:rPr>
        <w:t>1.1 投标人必须取得生产厂家对于本次项目的正式项目授权，生产厂家必须具备60V 200A蓄电池测试系统（4回路）的设计、制造经验，并</w:t>
      </w:r>
      <w:r>
        <w:rPr>
          <w:rFonts w:hint="eastAsia" w:ascii="Arial" w:hAnsi="Arial" w:eastAsia="宋体"/>
          <w:sz w:val="21"/>
          <w:szCs w:val="21"/>
          <w:lang w:val="en-US" w:eastAsia="zh-CN"/>
        </w:rPr>
        <w:t>通过</w:t>
      </w:r>
      <w:r>
        <w:rPr>
          <w:rFonts w:hint="eastAsia" w:ascii="Arial" w:hAnsi="Arial" w:eastAsia="宋体"/>
          <w:sz w:val="21"/>
          <w:szCs w:val="21"/>
          <w:lang w:val="zh-CN"/>
        </w:rPr>
        <w:t>ISO9001质量认证或</w:t>
      </w:r>
      <w:r>
        <w:rPr>
          <w:rFonts w:hint="eastAsia" w:ascii="Arial" w:hAnsi="Arial" w:eastAsia="宋体"/>
          <w:sz w:val="21"/>
          <w:szCs w:val="21"/>
          <w:lang w:val="en-US" w:eastAsia="zh-CN"/>
        </w:rPr>
        <w:t>具备</w:t>
      </w:r>
      <w:r>
        <w:rPr>
          <w:rFonts w:hint="eastAsia" w:ascii="Arial" w:hAnsi="Arial" w:eastAsia="宋体"/>
          <w:sz w:val="21"/>
          <w:szCs w:val="21"/>
          <w:lang w:val="zh-CN"/>
        </w:rPr>
        <w:t>相当的认证文件、相关权威部门鉴定证书和生产许可证（</w:t>
      </w:r>
      <w:r>
        <w:rPr>
          <w:rFonts w:hint="eastAsia" w:ascii="Arial" w:hAnsi="Arial" w:eastAsia="宋体"/>
          <w:sz w:val="21"/>
          <w:szCs w:val="21"/>
          <w:lang w:val="en-US" w:eastAsia="zh-CN"/>
        </w:rPr>
        <w:t>如适用</w:t>
      </w:r>
      <w:r>
        <w:rPr>
          <w:rFonts w:hint="eastAsia" w:ascii="Arial" w:hAnsi="Arial" w:eastAsia="宋体"/>
          <w:sz w:val="21"/>
          <w:szCs w:val="21"/>
          <w:lang w:val="zh-CN"/>
        </w:rPr>
        <w:t>）。投标的设备必须提供商业运行的良好记录，且投标设备须具有测试机构运行的经验。</w:t>
      </w:r>
    </w:p>
    <w:p>
      <w:pPr>
        <w:spacing w:line="360" w:lineRule="auto"/>
        <w:ind w:firstLine="0" w:firstLineChars="0"/>
        <w:rPr>
          <w:rFonts w:hint="eastAsia" w:ascii="Arial" w:hAnsi="Arial" w:eastAsia="宋体"/>
          <w:sz w:val="21"/>
          <w:szCs w:val="21"/>
          <w:lang w:val="zh-CN"/>
        </w:rPr>
      </w:pPr>
      <w:r>
        <w:rPr>
          <w:rFonts w:hint="eastAsia" w:ascii="Arial" w:hAnsi="Arial" w:eastAsia="宋体"/>
          <w:sz w:val="21"/>
          <w:szCs w:val="21"/>
          <w:lang w:val="zh-CN"/>
        </w:rPr>
        <w:t>1.2本技术规范提出了60V 200A蓄电池测试系统（4回路）主要技术参数、结构、性能、试验、包装、运输及所需技术资料等方面的技术要求。</w:t>
      </w:r>
    </w:p>
    <w:p>
      <w:pPr>
        <w:spacing w:line="360" w:lineRule="auto"/>
        <w:ind w:firstLine="0" w:firstLineChars="0"/>
        <w:rPr>
          <w:rFonts w:hint="eastAsia" w:ascii="Arial" w:hAnsi="Arial" w:eastAsia="宋体"/>
          <w:sz w:val="21"/>
          <w:szCs w:val="21"/>
          <w:lang w:val="zh-CN"/>
        </w:rPr>
      </w:pPr>
      <w:r>
        <w:rPr>
          <w:rFonts w:hint="eastAsia" w:ascii="Arial" w:hAnsi="Arial" w:eastAsia="宋体"/>
          <w:sz w:val="21"/>
          <w:szCs w:val="21"/>
          <w:lang w:val="zh-CN"/>
        </w:rPr>
        <w:t>1.3本设备技术规范书提出的是最低限度的技术要求，并未对一切技术细节作出规定，也未充分引述有关标准和规范的条文，投标人应提供符合本规范书和工业标准的优质产品。</w:t>
      </w:r>
    </w:p>
    <w:p>
      <w:pPr>
        <w:spacing w:line="360" w:lineRule="auto"/>
        <w:ind w:firstLine="0" w:firstLineChars="0"/>
        <w:rPr>
          <w:rFonts w:hint="eastAsia" w:ascii="Arial" w:hAnsi="Arial" w:eastAsia="宋体"/>
          <w:sz w:val="21"/>
          <w:szCs w:val="21"/>
          <w:lang w:val="zh-CN"/>
        </w:rPr>
      </w:pPr>
      <w:r>
        <w:rPr>
          <w:rFonts w:hint="eastAsia" w:ascii="Arial" w:hAnsi="Arial" w:eastAsia="宋体"/>
          <w:sz w:val="21"/>
          <w:szCs w:val="21"/>
          <w:lang w:val="zh-CN"/>
        </w:rPr>
        <w:t>1.4如果投标人没有以书面形式对本规范书的条文提出异议，则意味着投标人提供的设备(或系统)完全符合本技术规范书的要求。如有异议, 不管是多么微小, 都应在投标文件中以“对规范书的意见和同规范书的差异”为标题的专门章节中加以详细描述。</w:t>
      </w:r>
    </w:p>
    <w:p>
      <w:pPr>
        <w:spacing w:line="360" w:lineRule="auto"/>
        <w:ind w:firstLine="0" w:firstLineChars="0"/>
        <w:rPr>
          <w:rFonts w:hint="eastAsia" w:ascii="Arial" w:hAnsi="Arial" w:eastAsia="宋体"/>
          <w:sz w:val="21"/>
          <w:szCs w:val="21"/>
          <w:lang w:val="zh-CN"/>
        </w:rPr>
      </w:pPr>
      <w:r>
        <w:rPr>
          <w:rFonts w:hint="eastAsia" w:ascii="Arial" w:hAnsi="Arial" w:eastAsia="宋体"/>
          <w:sz w:val="21"/>
          <w:szCs w:val="21"/>
          <w:lang w:val="zh-CN"/>
        </w:rPr>
        <w:t>1.5本设备技术规范书所使用的标准如遇与投标人所执行的标准不一致时，按较高标准执行。</w:t>
      </w:r>
    </w:p>
    <w:p>
      <w:pPr>
        <w:spacing w:line="360" w:lineRule="auto"/>
        <w:ind w:firstLine="0" w:firstLineChars="0"/>
        <w:rPr>
          <w:rFonts w:hint="eastAsia" w:ascii="Arial" w:hAnsi="Arial" w:eastAsia="宋体"/>
          <w:sz w:val="21"/>
          <w:szCs w:val="21"/>
          <w:lang w:val="zh-CN"/>
        </w:rPr>
      </w:pPr>
      <w:r>
        <w:rPr>
          <w:rFonts w:hint="eastAsia" w:ascii="Arial" w:hAnsi="Arial" w:eastAsia="宋体"/>
          <w:sz w:val="21"/>
          <w:szCs w:val="21"/>
          <w:lang w:val="zh-CN"/>
        </w:rPr>
        <w:t>1.6本设备规范书未尽事宜，由招投标双方协商确定。</w:t>
      </w:r>
    </w:p>
    <w:p>
      <w:pPr>
        <w:spacing w:line="360" w:lineRule="auto"/>
        <w:ind w:firstLine="0" w:firstLineChars="0"/>
        <w:rPr>
          <w:rFonts w:hint="eastAsia" w:ascii="Arial" w:hAnsi="Arial" w:eastAsia="宋体"/>
          <w:sz w:val="21"/>
          <w:szCs w:val="21"/>
          <w:lang w:val="zh-CN"/>
        </w:rPr>
      </w:pPr>
      <w:r>
        <w:rPr>
          <w:rFonts w:hint="eastAsia" w:ascii="Arial" w:hAnsi="Arial" w:eastAsia="宋体"/>
          <w:sz w:val="21"/>
          <w:szCs w:val="21"/>
          <w:lang w:val="zh-CN"/>
        </w:rPr>
        <w:t>1.7投标方应按本规范书顺序逐条应答，并简要描述。</w:t>
      </w:r>
    </w:p>
    <w:p>
      <w:pPr>
        <w:pStyle w:val="2"/>
        <w:keepLines w:val="0"/>
        <w:widowControl/>
        <w:overflowPunct w:val="0"/>
        <w:autoSpaceDE w:val="0"/>
        <w:autoSpaceDN w:val="0"/>
        <w:adjustRightInd w:val="0"/>
        <w:spacing w:before="240" w:after="60" w:line="360" w:lineRule="auto"/>
        <w:ind w:firstLine="0" w:firstLineChars="0"/>
        <w:jc w:val="left"/>
        <w:textAlignment w:val="baseline"/>
        <w:rPr>
          <w:rFonts w:ascii="宋体" w:hAnsi="宋体" w:eastAsia="仿宋体"/>
          <w:bCs w:val="0"/>
          <w:kern w:val="28"/>
          <w:sz w:val="21"/>
          <w:szCs w:val="21"/>
        </w:rPr>
      </w:pPr>
      <w:bookmarkStart w:id="3" w:name="_Toc268114107"/>
      <w:bookmarkStart w:id="4" w:name="_Toc251312638"/>
      <w:bookmarkStart w:id="5" w:name="_Toc239044343"/>
      <w:bookmarkStart w:id="6" w:name="_Toc240949916"/>
      <w:bookmarkStart w:id="7" w:name="_Toc301859879"/>
      <w:r>
        <w:rPr>
          <w:rFonts w:ascii="宋体" w:hAnsi="宋体" w:eastAsia="仿宋体"/>
          <w:bCs w:val="0"/>
          <w:kern w:val="28"/>
          <w:sz w:val="21"/>
          <w:szCs w:val="21"/>
        </w:rPr>
        <w:t xml:space="preserve">2  </w:t>
      </w:r>
      <w:bookmarkEnd w:id="3"/>
      <w:bookmarkEnd w:id="4"/>
      <w:bookmarkEnd w:id="5"/>
      <w:bookmarkEnd w:id="6"/>
      <w:r>
        <w:rPr>
          <w:rFonts w:hint="eastAsia" w:ascii="宋体" w:hAnsi="宋体" w:eastAsia="仿宋体"/>
          <w:bCs w:val="0"/>
          <w:kern w:val="28"/>
          <w:sz w:val="21"/>
          <w:szCs w:val="21"/>
        </w:rPr>
        <w:t>设备用途</w:t>
      </w:r>
    </w:p>
    <w:p>
      <w:pPr>
        <w:spacing w:before="156" w:beforeLines="50" w:line="360" w:lineRule="auto"/>
        <w:ind w:firstLine="420" w:firstLineChars="200"/>
        <w:rPr>
          <w:color w:val="000000"/>
          <w:sz w:val="21"/>
          <w:szCs w:val="21"/>
          <w:lang w:val="zh-CN"/>
        </w:rPr>
      </w:pPr>
      <w:r>
        <w:rPr>
          <w:sz w:val="21"/>
          <w:szCs w:val="21"/>
          <w:lang w:val="zh-CN"/>
        </w:rPr>
        <w:t>设备用途：本</w:t>
      </w:r>
      <w:r>
        <w:rPr>
          <w:rFonts w:hint="eastAsia"/>
          <w:sz w:val="21"/>
          <w:szCs w:val="21"/>
          <w:lang w:val="en-US" w:eastAsia="zh-CN"/>
        </w:rPr>
        <w:t>设备</w:t>
      </w:r>
      <w:r>
        <w:rPr>
          <w:sz w:val="21"/>
          <w:szCs w:val="21"/>
          <w:lang w:val="zh-CN"/>
        </w:rPr>
        <w:t>为</w:t>
      </w:r>
      <w:r>
        <w:rPr>
          <w:rFonts w:hint="eastAsia" w:ascii="Arial" w:hAnsi="Arial" w:eastAsia="宋体"/>
          <w:sz w:val="21"/>
          <w:szCs w:val="21"/>
          <w:lang w:val="zh-CN"/>
        </w:rPr>
        <w:t>60V 200A蓄电池测试系统</w:t>
      </w:r>
      <w:r>
        <w:rPr>
          <w:sz w:val="21"/>
          <w:szCs w:val="21"/>
          <w:lang w:val="zh-CN"/>
        </w:rPr>
        <w:t>，</w:t>
      </w:r>
      <w:r>
        <w:rPr>
          <w:color w:val="000000"/>
          <w:sz w:val="21"/>
          <w:szCs w:val="21"/>
          <w:lang w:val="zh-CN"/>
        </w:rPr>
        <w:t>设备主要用于</w:t>
      </w:r>
      <w:r>
        <w:rPr>
          <w:rFonts w:hint="eastAsia" w:ascii="宋体" w:hAnsi="宋体" w:eastAsia="仿宋体" w:cs="Times New Roman"/>
          <w:b w:val="0"/>
          <w:bCs/>
          <w:kern w:val="28"/>
          <w:sz w:val="21"/>
          <w:szCs w:val="21"/>
          <w:lang w:val="en-US" w:eastAsia="zh-CN" w:bidi="ar-SA"/>
        </w:rPr>
        <w:t>动力电池、储能电池测试</w:t>
      </w:r>
      <w:r>
        <w:rPr>
          <w:color w:val="000000"/>
          <w:sz w:val="21"/>
          <w:szCs w:val="21"/>
          <w:lang w:val="zh-CN"/>
        </w:rPr>
        <w:t>等。</w:t>
      </w:r>
    </w:p>
    <w:p>
      <w:pPr>
        <w:pStyle w:val="2"/>
        <w:keepLines w:val="0"/>
        <w:widowControl/>
        <w:overflowPunct w:val="0"/>
        <w:autoSpaceDE w:val="0"/>
        <w:autoSpaceDN w:val="0"/>
        <w:adjustRightInd w:val="0"/>
        <w:spacing w:before="240" w:after="60" w:line="360" w:lineRule="auto"/>
        <w:ind w:firstLine="0" w:firstLineChars="0"/>
        <w:jc w:val="left"/>
        <w:textAlignment w:val="baseline"/>
        <w:rPr>
          <w:rFonts w:ascii="宋体" w:hAnsi="宋体" w:eastAsia="仿宋体"/>
          <w:bCs w:val="0"/>
          <w:kern w:val="28"/>
          <w:sz w:val="21"/>
          <w:szCs w:val="21"/>
        </w:rPr>
      </w:pPr>
      <w:bookmarkStart w:id="8" w:name="_Toc246907145"/>
      <w:bookmarkEnd w:id="8"/>
      <w:bookmarkStart w:id="9" w:name="_Toc245699211"/>
      <w:bookmarkEnd w:id="9"/>
      <w:bookmarkStart w:id="10" w:name="_Toc245699213"/>
      <w:bookmarkEnd w:id="10"/>
      <w:bookmarkStart w:id="11" w:name="_Toc246907108"/>
      <w:bookmarkEnd w:id="11"/>
      <w:bookmarkStart w:id="12" w:name="_Toc246907109"/>
      <w:bookmarkEnd w:id="12"/>
      <w:bookmarkStart w:id="13" w:name="_Toc246907146"/>
      <w:bookmarkEnd w:id="13"/>
      <w:bookmarkStart w:id="14" w:name="_Toc245699212"/>
      <w:bookmarkEnd w:id="14"/>
      <w:bookmarkStart w:id="15" w:name="_Toc246907110"/>
      <w:bookmarkEnd w:id="15"/>
      <w:bookmarkStart w:id="16" w:name="_Toc246907144"/>
      <w:bookmarkEnd w:id="16"/>
      <w:bookmarkStart w:id="17" w:name="_Toc268114108"/>
      <w:bookmarkStart w:id="18" w:name="_Toc251312639"/>
      <w:r>
        <w:rPr>
          <w:rFonts w:ascii="宋体" w:hAnsi="宋体" w:eastAsia="仿宋体"/>
          <w:bCs w:val="0"/>
          <w:kern w:val="28"/>
          <w:sz w:val="21"/>
          <w:szCs w:val="21"/>
        </w:rPr>
        <w:t xml:space="preserve">3  </w:t>
      </w:r>
      <w:bookmarkEnd w:id="17"/>
      <w:bookmarkEnd w:id="18"/>
      <w:bookmarkStart w:id="19" w:name="_Toc268114111"/>
      <w:bookmarkStart w:id="20" w:name="_Toc251312642"/>
      <w:r>
        <w:rPr>
          <w:rFonts w:hint="eastAsia" w:ascii="宋体" w:hAnsi="宋体" w:eastAsia="仿宋体"/>
          <w:bCs w:val="0"/>
          <w:kern w:val="28"/>
          <w:sz w:val="21"/>
          <w:szCs w:val="21"/>
        </w:rPr>
        <w:t>技术参数和性能要求</w:t>
      </w:r>
      <w:bookmarkEnd w:id="19"/>
      <w:bookmarkEnd w:id="20"/>
    </w:p>
    <w:p>
      <w:pPr>
        <w:pStyle w:val="2"/>
        <w:keepLines w:val="0"/>
        <w:widowControl/>
        <w:overflowPunct w:val="0"/>
        <w:autoSpaceDE w:val="0"/>
        <w:autoSpaceDN w:val="0"/>
        <w:adjustRightInd w:val="0"/>
        <w:spacing w:before="240" w:after="60" w:line="360" w:lineRule="auto"/>
        <w:ind w:firstLine="0" w:firstLineChars="0"/>
        <w:jc w:val="left"/>
        <w:textAlignment w:val="baseline"/>
        <w:rPr>
          <w:rFonts w:ascii="宋体" w:hAnsi="宋体" w:eastAsia="仿宋体"/>
          <w:bCs w:val="0"/>
          <w:kern w:val="28"/>
          <w:sz w:val="21"/>
          <w:szCs w:val="21"/>
        </w:rPr>
      </w:pPr>
      <w:r>
        <w:rPr>
          <w:rFonts w:hint="eastAsia" w:ascii="宋体" w:hAnsi="宋体" w:eastAsia="仿宋体"/>
          <w:bCs w:val="0"/>
          <w:kern w:val="28"/>
          <w:sz w:val="21"/>
          <w:szCs w:val="21"/>
          <w:lang w:val="en-US" w:eastAsia="zh-CN"/>
        </w:rPr>
        <w:t>3.1</w:t>
      </w:r>
      <w:r>
        <w:rPr>
          <w:rFonts w:hint="eastAsia" w:ascii="宋体" w:hAnsi="宋体" w:eastAsia="仿宋体"/>
          <w:bCs w:val="0"/>
          <w:kern w:val="28"/>
          <w:sz w:val="21"/>
          <w:szCs w:val="21"/>
        </w:rPr>
        <w:t>需求简介</w:t>
      </w:r>
      <w:bookmarkEnd w:id="7"/>
    </w:p>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3.1.1动力电池模拟测试，倍率测试；</w:t>
      </w:r>
    </w:p>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3.1.2循环寿命检测；</w:t>
      </w:r>
    </w:p>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3.1.3功率、容量、能量检测；</w:t>
      </w:r>
    </w:p>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3.1.4动力电池组虚拟配组：充放电曲线拟合，电池一致性检测与评估；</w:t>
      </w:r>
    </w:p>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3.1.5高倍率充电、放电能力检测；</w:t>
      </w:r>
    </w:p>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3.1.6动力电池、储能电池串联模块检测：单体电压、单体温度监控（高压设备）。</w:t>
      </w:r>
    </w:p>
    <w:p>
      <w:pPr>
        <w:pStyle w:val="3"/>
        <w:ind w:left="0" w:leftChars="0" w:firstLine="0" w:firstLineChars="0"/>
        <w:rPr>
          <w:rFonts w:ascii="仿宋" w:hAnsi="仿宋"/>
          <w:sz w:val="21"/>
          <w:szCs w:val="21"/>
        </w:rPr>
      </w:pPr>
      <w:r>
        <w:rPr>
          <w:rFonts w:hint="eastAsia" w:ascii="仿宋" w:hAnsi="仿宋"/>
          <w:sz w:val="21"/>
          <w:szCs w:val="21"/>
          <w:lang w:val="en-US" w:eastAsia="zh-CN"/>
        </w:rPr>
        <w:t xml:space="preserve">3.2 </w:t>
      </w:r>
      <w:r>
        <w:rPr>
          <w:rFonts w:hint="eastAsia" w:ascii="仿宋" w:hAnsi="仿宋"/>
          <w:sz w:val="21"/>
          <w:szCs w:val="21"/>
        </w:rPr>
        <w:t>系统架构需求</w:t>
      </w:r>
    </w:p>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整个系统采用三层架构设计（功率系统层、集中监控层、远程交互层），各层之间相互独立、各司其职，保证系统的可靠运行。</w:t>
      </w:r>
    </w:p>
    <w:p>
      <w:pPr>
        <w:pStyle w:val="3"/>
        <w:ind w:left="0" w:leftChars="0" w:firstLine="0" w:firstLineChars="0"/>
        <w:rPr>
          <w:rFonts w:ascii="仿宋" w:hAnsi="仿宋" w:cs="华文宋体"/>
          <w:sz w:val="21"/>
          <w:szCs w:val="21"/>
        </w:rPr>
      </w:pPr>
      <w:r>
        <w:rPr>
          <w:rFonts w:hint="eastAsia" w:ascii="仿宋" w:hAnsi="仿宋" w:cs="华文宋体"/>
          <w:sz w:val="21"/>
          <w:szCs w:val="21"/>
          <w:lang w:val="en-US" w:eastAsia="zh-CN"/>
        </w:rPr>
        <w:t xml:space="preserve">3.3 </w:t>
      </w:r>
      <w:r>
        <w:rPr>
          <w:rFonts w:hint="eastAsia" w:ascii="仿宋" w:hAnsi="仿宋" w:cs="华文宋体"/>
          <w:sz w:val="21"/>
          <w:szCs w:val="21"/>
        </w:rPr>
        <w:t>数据管理与分析需求</w:t>
      </w:r>
    </w:p>
    <w:tbl>
      <w:tblPr>
        <w:tblStyle w:val="7"/>
        <w:tblW w:w="9350" w:type="dxa"/>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
      <w:tblGrid>
        <w:gridCol w:w="2255"/>
        <w:gridCol w:w="11"/>
        <w:gridCol w:w="7084"/>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616" w:hRule="exact"/>
        </w:trPr>
        <w:tc>
          <w:tcPr>
            <w:tcW w:w="2266" w:type="dxa"/>
            <w:gridSpan w:val="2"/>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数据分段记录功能</w:t>
            </w:r>
          </w:p>
        </w:tc>
        <w:tc>
          <w:tcPr>
            <w:tcW w:w="7084"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每个工步有独立的记录条件，可以根据电压分3段进行条件设置</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12" w:hRule="exact"/>
        </w:trPr>
        <w:tc>
          <w:tcPr>
            <w:tcW w:w="2255"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数据库</w:t>
            </w:r>
          </w:p>
        </w:tc>
        <w:tc>
          <w:tcPr>
            <w:tcW w:w="7095" w:type="dxa"/>
            <w:gridSpan w:val="2"/>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采用MySQL数据库集中管理测试数据</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472" w:hRule="exact"/>
        </w:trPr>
        <w:tc>
          <w:tcPr>
            <w:tcW w:w="2255"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数据输出方式</w:t>
            </w:r>
          </w:p>
        </w:tc>
        <w:tc>
          <w:tcPr>
            <w:tcW w:w="7095" w:type="dxa"/>
            <w:gridSpan w:val="2"/>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EXCEL、TXT、图表</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458" w:hRule="exact"/>
        </w:trPr>
        <w:tc>
          <w:tcPr>
            <w:tcW w:w="2255"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曲线类型</w:t>
            </w:r>
          </w:p>
        </w:tc>
        <w:tc>
          <w:tcPr>
            <w:tcW w:w="7095" w:type="dxa"/>
            <w:gridSpan w:val="2"/>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可自定义绘图</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58" w:hRule="exact"/>
        </w:trPr>
        <w:tc>
          <w:tcPr>
            <w:tcW w:w="2255"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上位机通讯方式</w:t>
            </w:r>
          </w:p>
        </w:tc>
        <w:tc>
          <w:tcPr>
            <w:tcW w:w="7095" w:type="dxa"/>
            <w:gridSpan w:val="2"/>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 xml:space="preserve">基于TCP/IP协议 </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40" w:hRule="exact"/>
        </w:trPr>
        <w:tc>
          <w:tcPr>
            <w:tcW w:w="2255"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网络扩展</w:t>
            </w:r>
          </w:p>
        </w:tc>
        <w:tc>
          <w:tcPr>
            <w:tcW w:w="7095" w:type="dxa"/>
            <w:gridSpan w:val="2"/>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基于局域网，独立网段，IP池根据设备数量设定</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63" w:hRule="exact"/>
        </w:trPr>
        <w:tc>
          <w:tcPr>
            <w:tcW w:w="2255"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校 准</w:t>
            </w:r>
          </w:p>
        </w:tc>
        <w:tc>
          <w:tcPr>
            <w:tcW w:w="7095" w:type="dxa"/>
            <w:gridSpan w:val="2"/>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含电流、电压校准软件</w:t>
            </w:r>
          </w:p>
        </w:tc>
      </w:tr>
    </w:tbl>
    <w:p>
      <w:pPr>
        <w:pStyle w:val="3"/>
        <w:ind w:left="0" w:leftChars="0" w:firstLine="0" w:firstLineChars="0"/>
        <w:rPr>
          <w:rFonts w:ascii="仿宋" w:hAnsi="仿宋" w:cs="华文宋体"/>
          <w:sz w:val="21"/>
          <w:szCs w:val="21"/>
        </w:rPr>
      </w:pPr>
      <w:r>
        <w:rPr>
          <w:rFonts w:hint="eastAsia" w:ascii="仿宋" w:hAnsi="仿宋" w:cs="华文宋体"/>
          <w:sz w:val="21"/>
          <w:szCs w:val="21"/>
          <w:lang w:val="en-US" w:eastAsia="zh-CN"/>
        </w:rPr>
        <w:t>3.4 上位机</w:t>
      </w:r>
      <w:r>
        <w:rPr>
          <w:rFonts w:hint="eastAsia" w:ascii="仿宋" w:hAnsi="仿宋" w:cs="华文宋体"/>
          <w:sz w:val="21"/>
          <w:szCs w:val="21"/>
        </w:rPr>
        <w:t>系统配置要求</w:t>
      </w:r>
    </w:p>
    <w:tbl>
      <w:tblPr>
        <w:tblStyle w:val="7"/>
        <w:tblW w:w="9350" w:type="dxa"/>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
      <w:tblGrid>
        <w:gridCol w:w="2253"/>
        <w:gridCol w:w="7097"/>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2421" w:hRule="exact"/>
        </w:trPr>
        <w:tc>
          <w:tcPr>
            <w:tcW w:w="2253"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服务器</w:t>
            </w:r>
          </w:p>
        </w:tc>
        <w:tc>
          <w:tcPr>
            <w:tcW w:w="7097"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i5及以上处理器,频率2.4G以上,内存8G以上</w:t>
            </w:r>
          </w:p>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Windows 10专业版</w:t>
            </w:r>
          </w:p>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系统硬盘500G以上</w:t>
            </w:r>
          </w:p>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一个UPS电源</w:t>
            </w:r>
          </w:p>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交换机</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708" w:hRule="exact"/>
        </w:trPr>
        <w:tc>
          <w:tcPr>
            <w:tcW w:w="2253"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软件系统</w:t>
            </w:r>
          </w:p>
        </w:tc>
        <w:tc>
          <w:tcPr>
            <w:tcW w:w="7097"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X客户端测试控制软件软件</w:t>
            </w:r>
          </w:p>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BTSDA8.X数据分析软件</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70" w:hRule="exact"/>
        </w:trPr>
        <w:tc>
          <w:tcPr>
            <w:tcW w:w="2253"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接口</w:t>
            </w:r>
          </w:p>
        </w:tc>
        <w:tc>
          <w:tcPr>
            <w:tcW w:w="7097" w:type="dxa"/>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网口</w:t>
            </w:r>
          </w:p>
        </w:tc>
      </w:tr>
    </w:tbl>
    <w:p>
      <w:pPr>
        <w:ind w:firstLine="560"/>
        <w:rPr>
          <w:rFonts w:ascii="仿宋" w:hAnsi="仿宋"/>
          <w:sz w:val="21"/>
          <w:szCs w:val="21"/>
        </w:rPr>
      </w:pPr>
    </w:p>
    <w:p>
      <w:pPr>
        <w:ind w:left="0" w:leftChars="0" w:firstLine="0" w:firstLineChars="0"/>
        <w:rPr>
          <w:rFonts w:ascii="仿宋" w:hAnsi="仿宋"/>
          <w:sz w:val="21"/>
          <w:szCs w:val="21"/>
        </w:rPr>
      </w:pPr>
      <w:r>
        <w:rPr>
          <w:rStyle w:val="14"/>
          <w:rFonts w:hint="eastAsia" w:ascii="仿宋" w:hAnsi="仿宋"/>
          <w:sz w:val="21"/>
          <w:szCs w:val="21"/>
          <w:lang w:val="en-US" w:eastAsia="zh-CN" w:bidi="ar"/>
        </w:rPr>
        <w:t>3.5</w:t>
      </w:r>
      <w:r>
        <w:rPr>
          <w:rStyle w:val="14"/>
          <w:rFonts w:hint="eastAsia" w:ascii="仿宋" w:hAnsi="仿宋"/>
          <w:sz w:val="21"/>
          <w:szCs w:val="21"/>
          <w:lang w:bidi="ar"/>
        </w:rPr>
        <w:t>设备技术规格书</w:t>
      </w:r>
    </w:p>
    <w:tbl>
      <w:tblPr>
        <w:tblStyle w:val="7"/>
        <w:tblW w:w="9322" w:type="dxa"/>
        <w:tblInd w:w="134" w:type="dxa"/>
        <w:tblLayout w:type="fixed"/>
        <w:tblCellMar>
          <w:top w:w="0" w:type="dxa"/>
          <w:left w:w="108" w:type="dxa"/>
          <w:bottom w:w="0" w:type="dxa"/>
          <w:right w:w="108" w:type="dxa"/>
        </w:tblCellMar>
      </w:tblPr>
      <w:tblGrid>
        <w:gridCol w:w="2923"/>
        <w:gridCol w:w="2630"/>
        <w:gridCol w:w="3769"/>
      </w:tblGrid>
      <w:tr>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一、设备型号                  XX</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1、物料编码</w:t>
            </w:r>
          </w:p>
        </w:tc>
        <w:tc>
          <w:tcPr>
            <w:tcW w:w="6399" w:type="dxa"/>
            <w:gridSpan w:val="2"/>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bookmarkStart w:id="21" w:name="DeviceCoding"/>
            <w:bookmarkEnd w:id="21"/>
            <w:r>
              <w:rPr>
                <w:rFonts w:hint="eastAsia" w:ascii="宋体" w:hAnsi="宋体" w:eastAsia="仿宋体" w:cs="Times New Roman"/>
                <w:b w:val="0"/>
                <w:bCs/>
                <w:kern w:val="28"/>
                <w:sz w:val="21"/>
                <w:szCs w:val="21"/>
                <w:lang w:val="en-US" w:eastAsia="zh-CN" w:bidi="ar-SA"/>
              </w:rPr>
              <w:t>XXXXX</w:t>
            </w:r>
          </w:p>
        </w:tc>
      </w:tr>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二、通道信息</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1、通道数★</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每机柜通道数</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2" w:name="ChannelNumber"/>
            <w:bookmarkEnd w:id="22"/>
            <w:r>
              <w:rPr>
                <w:rFonts w:hint="eastAsia" w:ascii="宋体" w:hAnsi="宋体" w:eastAsia="仿宋体" w:cs="Times New Roman"/>
                <w:b w:val="0"/>
                <w:bCs/>
                <w:kern w:val="28"/>
                <w:sz w:val="21"/>
                <w:szCs w:val="21"/>
                <w:lang w:val="en-US" w:eastAsia="zh-CN" w:bidi="ar-SA"/>
              </w:rPr>
              <w:t>4</w:t>
            </w:r>
          </w:p>
        </w:tc>
      </w:tr>
      <w:tr>
        <w:tblPrEx>
          <w:tblCellMar>
            <w:top w:w="0" w:type="dxa"/>
            <w:left w:w="108" w:type="dxa"/>
            <w:bottom w:w="0" w:type="dxa"/>
            <w:right w:w="108" w:type="dxa"/>
          </w:tblCellMar>
        </w:tblPrEx>
        <w:trPr>
          <w:trHeight w:val="571" w:hRule="atLeast"/>
        </w:trPr>
        <w:tc>
          <w:tcPr>
            <w:tcW w:w="2923"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2、主通道★</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通道特点</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CC-CV恒流源与恒压源采用双闭环结构</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通道控制模式</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独立控制</w:t>
            </w:r>
          </w:p>
        </w:tc>
      </w:tr>
      <w:tr>
        <w:trPr>
          <w:trHeight w:val="1133"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通道并联</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支持最多4个通道并联，并联后不支持脉冲和模拟测试</w:t>
            </w:r>
          </w:p>
        </w:tc>
      </w:tr>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 xml:space="preserve">三、输入指标 </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1、输入电源★</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3" w:name="InputPowerType"/>
            <w:bookmarkEnd w:id="23"/>
            <w:r>
              <w:rPr>
                <w:rFonts w:hint="eastAsia" w:ascii="宋体" w:hAnsi="宋体" w:eastAsia="仿宋体" w:cs="Times New Roman"/>
                <w:b w:val="0"/>
                <w:bCs/>
                <w:kern w:val="28"/>
                <w:sz w:val="21"/>
                <w:szCs w:val="21"/>
                <w:lang w:val="en-US" w:eastAsia="zh-CN" w:bidi="ar-SA"/>
              </w:rPr>
              <w:t>AC380V±15%  50/60±5Hz</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2、功率因数★</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≥99%（满载）</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3、THDi★</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≤5%（满载）</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4、输入阻抗★</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≥1MΩ</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5、输入功率</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4" w:name="InputActivePower"/>
            <w:bookmarkEnd w:id="24"/>
            <w:r>
              <w:rPr>
                <w:rFonts w:hint="eastAsia" w:ascii="宋体" w:hAnsi="宋体" w:eastAsia="仿宋体" w:cs="Times New Roman"/>
                <w:b w:val="0"/>
                <w:bCs/>
                <w:kern w:val="28"/>
                <w:sz w:val="21"/>
                <w:szCs w:val="21"/>
                <w:lang w:val="en-US" w:eastAsia="zh-CN" w:bidi="ar-SA"/>
              </w:rPr>
              <w:t>56.5KW</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6、输入电流★</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5" w:name="InputCurrent"/>
            <w:bookmarkEnd w:id="25"/>
            <w:r>
              <w:rPr>
                <w:rFonts w:hint="eastAsia" w:ascii="宋体" w:hAnsi="宋体" w:eastAsia="仿宋体" w:cs="Times New Roman"/>
                <w:b w:val="0"/>
                <w:bCs/>
                <w:kern w:val="28"/>
                <w:sz w:val="21"/>
                <w:szCs w:val="21"/>
                <w:lang w:val="en-US" w:eastAsia="zh-CN" w:bidi="ar-SA"/>
              </w:rPr>
              <w:t>85.8A/每相</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7、整机效率(Max)</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6" w:name="Efficiency"/>
            <w:bookmarkEnd w:id="26"/>
            <w:r>
              <w:rPr>
                <w:rFonts w:hint="eastAsia" w:ascii="宋体" w:hAnsi="宋体" w:eastAsia="仿宋体" w:cs="Times New Roman"/>
                <w:b w:val="0"/>
                <w:bCs/>
                <w:kern w:val="28"/>
                <w:sz w:val="21"/>
                <w:szCs w:val="21"/>
                <w:lang w:val="en-US" w:eastAsia="zh-CN" w:bidi="ar-SA"/>
              </w:rPr>
              <w:t>90%</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8、噪声★</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7" w:name="Noise"/>
            <w:bookmarkEnd w:id="27"/>
            <w:r>
              <w:rPr>
                <w:rFonts w:hint="eastAsia" w:ascii="宋体" w:hAnsi="宋体" w:eastAsia="仿宋体" w:cs="Times New Roman"/>
                <w:b w:val="0"/>
                <w:bCs/>
                <w:kern w:val="28"/>
                <w:sz w:val="21"/>
                <w:szCs w:val="21"/>
                <w:lang w:val="en-US" w:eastAsia="zh-CN" w:bidi="ar-SA"/>
              </w:rPr>
              <w:t>≤65dB</w:t>
            </w:r>
          </w:p>
        </w:tc>
      </w:tr>
      <w:tr>
        <w:tblPrEx>
          <w:tblCellMar>
            <w:top w:w="0" w:type="dxa"/>
            <w:left w:w="108" w:type="dxa"/>
            <w:bottom w:w="0" w:type="dxa"/>
            <w:right w:w="108" w:type="dxa"/>
          </w:tblCellMar>
        </w:tblPrEx>
        <w:trPr>
          <w:trHeight w:val="68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9、电压电流检测采样★</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8" w:name="DeviceType"/>
            <w:bookmarkEnd w:id="28"/>
            <w:r>
              <w:rPr>
                <w:rFonts w:hint="eastAsia" w:ascii="宋体" w:hAnsi="宋体" w:eastAsia="仿宋体" w:cs="Times New Roman"/>
                <w:b w:val="0"/>
                <w:bCs/>
                <w:kern w:val="28"/>
                <w:sz w:val="21"/>
                <w:szCs w:val="21"/>
                <w:lang w:val="en-US" w:eastAsia="zh-CN" w:bidi="ar-SA"/>
              </w:rPr>
              <w:t>四线制连接(充放电同口)</w:t>
            </w:r>
          </w:p>
        </w:tc>
      </w:tr>
      <w:tr>
        <w:tblPrEx>
          <w:tblCellMar>
            <w:top w:w="0" w:type="dxa"/>
            <w:left w:w="108" w:type="dxa"/>
            <w:bottom w:w="0" w:type="dxa"/>
            <w:right w:w="108" w:type="dxa"/>
          </w:tblCellMar>
        </w:tblPrEx>
        <w:trPr>
          <w:trHeight w:val="65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10、功率控制模块类型★</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29" w:name="PowerControlModuleType"/>
            <w:bookmarkEnd w:id="29"/>
            <w:r>
              <w:rPr>
                <w:rFonts w:hint="eastAsia" w:ascii="宋体" w:hAnsi="宋体" w:eastAsia="仿宋体" w:cs="Times New Roman"/>
                <w:b w:val="0"/>
                <w:bCs/>
                <w:kern w:val="28"/>
                <w:sz w:val="21"/>
                <w:szCs w:val="21"/>
                <w:lang w:val="en-US" w:eastAsia="zh-CN" w:bidi="ar-SA"/>
              </w:rPr>
              <w:t>MOSFET</w:t>
            </w:r>
          </w:p>
        </w:tc>
      </w:tr>
      <w:tr>
        <w:tblPrEx>
          <w:tblCellMar>
            <w:top w:w="0" w:type="dxa"/>
            <w:left w:w="108" w:type="dxa"/>
            <w:bottom w:w="0" w:type="dxa"/>
            <w:right w:w="108" w:type="dxa"/>
          </w:tblCellMar>
        </w:tblPrEx>
        <w:trPr>
          <w:trHeight w:val="73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11、输入电源接线方式★</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bookmarkStart w:id="30" w:name="PowerConnection"/>
            <w:bookmarkEnd w:id="30"/>
            <w:r>
              <w:rPr>
                <w:rFonts w:hint="eastAsia" w:ascii="宋体" w:hAnsi="宋体" w:eastAsia="仿宋体" w:cs="Times New Roman"/>
                <w:b w:val="0"/>
                <w:bCs/>
                <w:kern w:val="28"/>
                <w:sz w:val="21"/>
                <w:szCs w:val="21"/>
                <w:lang w:val="en-US" w:eastAsia="zh-CN" w:bidi="ar-SA"/>
              </w:rPr>
              <w:t>三相五线</w:t>
            </w:r>
          </w:p>
        </w:tc>
      </w:tr>
      <w:tr>
        <w:tblPrEx>
          <w:tblCellMar>
            <w:top w:w="0" w:type="dxa"/>
            <w:left w:w="108" w:type="dxa"/>
            <w:bottom w:w="0" w:type="dxa"/>
            <w:right w:w="108" w:type="dxa"/>
          </w:tblCellMar>
        </w:tblPrEx>
        <w:trPr>
          <w:trHeight w:val="653" w:hRule="atLeast"/>
        </w:trPr>
        <w:tc>
          <w:tcPr>
            <w:tcW w:w="2923"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12、保护★</w:t>
            </w:r>
          </w:p>
        </w:tc>
        <w:tc>
          <w:tcPr>
            <w:tcW w:w="263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防浪涌、防孤岛、过欠频、过欠压、缺相保护等</w:t>
            </w:r>
          </w:p>
        </w:tc>
      </w:tr>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 xml:space="preserve">四、功能及性能指标 </w:t>
            </w:r>
          </w:p>
        </w:tc>
      </w:tr>
      <w:tr>
        <w:tblPrEx>
          <w:tblCellMar>
            <w:top w:w="0" w:type="dxa"/>
            <w:left w:w="108" w:type="dxa"/>
            <w:bottom w:w="0" w:type="dxa"/>
            <w:right w:w="108" w:type="dxa"/>
          </w:tblCellMar>
        </w:tblPrEx>
        <w:trPr>
          <w:trHeight w:val="571" w:hRule="atLeast"/>
        </w:trPr>
        <w:tc>
          <w:tcPr>
            <w:tcW w:w="2923"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1、电压</w:t>
            </w:r>
          </w:p>
        </w:tc>
        <w:tc>
          <w:tcPr>
            <w:tcW w:w="2630" w:type="dxa"/>
            <w:vMerge w:val="restart"/>
            <w:tcBorders>
              <w:top w:val="single" w:color="000000" w:sz="4" w:space="0"/>
              <w:left w:val="single" w:color="auto"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每通道测量范围★</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31" w:name="ChargeVoltageRange"/>
            <w:bookmarkEnd w:id="31"/>
            <w:r>
              <w:rPr>
                <w:rFonts w:hint="default" w:ascii="宋体" w:hAnsi="宋体" w:eastAsia="仿宋体" w:cs="Times New Roman"/>
                <w:b w:val="0"/>
                <w:bCs/>
                <w:kern w:val="28"/>
                <w:sz w:val="21"/>
                <w:szCs w:val="21"/>
                <w:lang w:val="en-US" w:eastAsia="zh-CN" w:bidi="ar-SA"/>
              </w:rPr>
              <w:t>充电:0V～60V</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vMerge w:val="continue"/>
            <w:tcBorders>
              <w:top w:val="single" w:color="000000" w:sz="4" w:space="0"/>
              <w:left w:val="single" w:color="auto"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32" w:name="DischargeVoltageRange"/>
            <w:bookmarkEnd w:id="32"/>
            <w:r>
              <w:rPr>
                <w:rFonts w:hint="default" w:ascii="宋体" w:hAnsi="宋体" w:eastAsia="仿宋体" w:cs="Times New Roman"/>
                <w:b w:val="0"/>
                <w:bCs/>
                <w:kern w:val="28"/>
                <w:sz w:val="21"/>
                <w:szCs w:val="21"/>
                <w:lang w:val="en-US" w:eastAsia="zh-CN" w:bidi="ar-SA"/>
              </w:rPr>
              <w:t>放电:3V～60V</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auto"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最低放电电压★</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33" w:name="MinimumDischargeVoltage"/>
            <w:bookmarkEnd w:id="33"/>
            <w:r>
              <w:rPr>
                <w:rFonts w:hint="default" w:ascii="宋体" w:hAnsi="宋体" w:eastAsia="仿宋体" w:cs="Times New Roman"/>
                <w:b w:val="0"/>
                <w:bCs/>
                <w:kern w:val="28"/>
                <w:sz w:val="21"/>
                <w:szCs w:val="21"/>
                <w:lang w:val="en-US" w:eastAsia="zh-CN" w:bidi="ar-SA"/>
              </w:rPr>
              <w:t>3V</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auto"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精度★</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w:t>
            </w:r>
            <w:bookmarkStart w:id="34" w:name="VoltAccurack"/>
            <w:bookmarkEnd w:id="34"/>
            <w:r>
              <w:rPr>
                <w:rFonts w:hint="default" w:ascii="宋体" w:hAnsi="宋体" w:eastAsia="仿宋体" w:cs="Times New Roman"/>
                <w:b w:val="0"/>
                <w:bCs/>
                <w:kern w:val="28"/>
                <w:sz w:val="21"/>
                <w:szCs w:val="21"/>
                <w:lang w:val="en-US" w:eastAsia="zh-CN" w:bidi="ar-SA"/>
              </w:rPr>
              <w:t xml:space="preserve">0.02% </w:t>
            </w:r>
            <w:r>
              <w:rPr>
                <w:rFonts w:hint="eastAsia" w:ascii="宋体" w:hAnsi="宋体" w:eastAsia="仿宋体" w:cs="Times New Roman"/>
                <w:b w:val="0"/>
                <w:bCs/>
                <w:kern w:val="28"/>
                <w:sz w:val="21"/>
                <w:szCs w:val="21"/>
                <w:lang w:val="en-US" w:eastAsia="zh-CN" w:bidi="ar-SA"/>
              </w:rPr>
              <w:t xml:space="preserve"> </w:t>
            </w:r>
            <w:r>
              <w:rPr>
                <w:rFonts w:hint="default" w:ascii="宋体" w:hAnsi="宋体" w:eastAsia="仿宋体" w:cs="Times New Roman"/>
                <w:b w:val="0"/>
                <w:bCs/>
                <w:kern w:val="28"/>
                <w:sz w:val="21"/>
                <w:szCs w:val="21"/>
                <w:lang w:val="en-US" w:eastAsia="zh-CN" w:bidi="ar-SA"/>
              </w:rPr>
              <w:t xml:space="preserve">of </w:t>
            </w:r>
            <w:r>
              <w:rPr>
                <w:rFonts w:hint="eastAsia" w:ascii="宋体" w:hAnsi="宋体" w:eastAsia="仿宋体" w:cs="Times New Roman"/>
                <w:b w:val="0"/>
                <w:bCs/>
                <w:kern w:val="28"/>
                <w:sz w:val="21"/>
                <w:szCs w:val="21"/>
                <w:lang w:val="en-US" w:eastAsia="zh-CN" w:bidi="ar-SA"/>
              </w:rPr>
              <w:t xml:space="preserve"> </w:t>
            </w:r>
            <w:r>
              <w:rPr>
                <w:rFonts w:hint="default" w:ascii="宋体" w:hAnsi="宋体" w:eastAsia="仿宋体" w:cs="Times New Roman"/>
                <w:b w:val="0"/>
                <w:bCs/>
                <w:kern w:val="28"/>
                <w:sz w:val="21"/>
                <w:szCs w:val="21"/>
                <w:lang w:val="en-US" w:eastAsia="zh-CN" w:bidi="ar-SA"/>
              </w:rPr>
              <w:t>FS</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auto"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分辨率★</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24bit</w:t>
            </w:r>
          </w:p>
        </w:tc>
      </w:tr>
      <w:tr>
        <w:tblPrEx>
          <w:tblCellMar>
            <w:top w:w="0" w:type="dxa"/>
            <w:left w:w="108" w:type="dxa"/>
            <w:bottom w:w="0" w:type="dxa"/>
            <w:right w:w="108" w:type="dxa"/>
          </w:tblCellMar>
        </w:tblPrEx>
        <w:trPr>
          <w:trHeight w:val="571" w:hRule="atLeast"/>
        </w:trPr>
        <w:tc>
          <w:tcPr>
            <w:tcW w:w="2923" w:type="dxa"/>
            <w:vMerge w:val="restart"/>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2、电流</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每通道测量范围★</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35" w:name="CurrentRange"/>
            <w:bookmarkEnd w:id="35"/>
            <w:r>
              <w:rPr>
                <w:rFonts w:hint="eastAsia" w:ascii="宋体" w:hAnsi="宋体" w:eastAsia="仿宋体" w:cs="Times New Roman"/>
                <w:b w:val="0"/>
                <w:bCs/>
                <w:kern w:val="28"/>
                <w:sz w:val="21"/>
                <w:szCs w:val="21"/>
                <w:lang w:val="en-US" w:eastAsia="zh-CN" w:bidi="ar-SA"/>
              </w:rPr>
              <w:t>1A～200A</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精度（独立量程）★</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w:t>
            </w:r>
            <w:bookmarkStart w:id="36" w:name="CurrentAccurack"/>
            <w:bookmarkEnd w:id="36"/>
            <w:r>
              <w:rPr>
                <w:rFonts w:hint="default" w:ascii="宋体" w:hAnsi="宋体" w:eastAsia="仿宋体" w:cs="Times New Roman"/>
                <w:b w:val="0"/>
                <w:bCs/>
                <w:kern w:val="28"/>
                <w:sz w:val="21"/>
                <w:szCs w:val="21"/>
                <w:lang w:val="en-US" w:eastAsia="zh-CN" w:bidi="ar-SA"/>
              </w:rPr>
              <w:t xml:space="preserve">0.05% </w:t>
            </w:r>
            <w:r>
              <w:rPr>
                <w:rFonts w:hint="eastAsia" w:ascii="宋体" w:hAnsi="宋体" w:eastAsia="仿宋体" w:cs="Times New Roman"/>
                <w:b w:val="0"/>
                <w:bCs/>
                <w:kern w:val="28"/>
                <w:sz w:val="21"/>
                <w:szCs w:val="21"/>
                <w:lang w:val="en-US" w:eastAsia="zh-CN" w:bidi="ar-SA"/>
              </w:rPr>
              <w:t xml:space="preserve"> </w:t>
            </w:r>
            <w:r>
              <w:rPr>
                <w:rFonts w:hint="default" w:ascii="宋体" w:hAnsi="宋体" w:eastAsia="仿宋体" w:cs="Times New Roman"/>
                <w:b w:val="0"/>
                <w:bCs/>
                <w:kern w:val="28"/>
                <w:sz w:val="21"/>
                <w:szCs w:val="21"/>
                <w:lang w:val="en-US" w:eastAsia="zh-CN" w:bidi="ar-SA"/>
              </w:rPr>
              <w:t xml:space="preserve">of </w:t>
            </w:r>
            <w:r>
              <w:rPr>
                <w:rFonts w:hint="eastAsia" w:ascii="宋体" w:hAnsi="宋体" w:eastAsia="仿宋体" w:cs="Times New Roman"/>
                <w:b w:val="0"/>
                <w:bCs/>
                <w:kern w:val="28"/>
                <w:sz w:val="21"/>
                <w:szCs w:val="21"/>
                <w:lang w:val="en-US" w:eastAsia="zh-CN" w:bidi="ar-SA"/>
              </w:rPr>
              <w:t xml:space="preserve"> </w:t>
            </w:r>
            <w:r>
              <w:rPr>
                <w:rFonts w:hint="default" w:ascii="宋体" w:hAnsi="宋体" w:eastAsia="仿宋体" w:cs="Times New Roman"/>
                <w:b w:val="0"/>
                <w:bCs/>
                <w:kern w:val="28"/>
                <w:sz w:val="21"/>
                <w:szCs w:val="21"/>
                <w:lang w:val="en-US" w:eastAsia="zh-CN" w:bidi="ar-SA"/>
              </w:rPr>
              <w:t>FS</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恒压截止电流★</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37" w:name="CutOffCurrent"/>
            <w:bookmarkEnd w:id="37"/>
            <w:r>
              <w:rPr>
                <w:rFonts w:hint="default" w:ascii="宋体" w:hAnsi="宋体" w:eastAsia="仿宋体" w:cs="Times New Roman"/>
                <w:b w:val="0"/>
                <w:bCs/>
                <w:kern w:val="28"/>
                <w:sz w:val="21"/>
                <w:szCs w:val="21"/>
                <w:lang w:val="en-US" w:eastAsia="zh-CN" w:bidi="ar-SA"/>
              </w:rPr>
              <w:t>200mA</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分辨率★</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24bit</w:t>
            </w:r>
          </w:p>
        </w:tc>
      </w:tr>
      <w:tr>
        <w:tblPrEx>
          <w:tblCellMar>
            <w:top w:w="0" w:type="dxa"/>
            <w:left w:w="108" w:type="dxa"/>
            <w:bottom w:w="0" w:type="dxa"/>
            <w:right w:w="108" w:type="dxa"/>
          </w:tblCellMar>
        </w:tblPrEx>
        <w:trPr>
          <w:trHeight w:val="571" w:hRule="atLeast"/>
        </w:trPr>
        <w:tc>
          <w:tcPr>
            <w:tcW w:w="2923" w:type="dxa"/>
            <w:vMerge w:val="restart"/>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3、功率</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单通道输出功率★</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38" w:name="SinglePower"/>
            <w:bookmarkEnd w:id="38"/>
            <w:r>
              <w:rPr>
                <w:rFonts w:hint="default" w:ascii="宋体" w:hAnsi="宋体" w:eastAsia="仿宋体" w:cs="Times New Roman"/>
                <w:b w:val="0"/>
                <w:bCs/>
                <w:kern w:val="28"/>
                <w:sz w:val="21"/>
                <w:szCs w:val="21"/>
                <w:lang w:val="en-US" w:eastAsia="zh-CN" w:bidi="ar-SA"/>
              </w:rPr>
              <w:t>12KW</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整机输出功率★</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39" w:name="TotalPower"/>
            <w:bookmarkEnd w:id="39"/>
            <w:r>
              <w:rPr>
                <w:rFonts w:hint="default" w:ascii="宋体" w:hAnsi="宋体" w:eastAsia="仿宋体" w:cs="Times New Roman"/>
                <w:b w:val="0"/>
                <w:bCs/>
                <w:kern w:val="28"/>
                <w:sz w:val="21"/>
                <w:szCs w:val="21"/>
                <w:lang w:val="en-US" w:eastAsia="zh-CN" w:bidi="ar-SA"/>
              </w:rPr>
              <w:t>48KW</w:t>
            </w:r>
          </w:p>
        </w:tc>
      </w:tr>
      <w:tr>
        <w:tblPrEx>
          <w:tblCellMar>
            <w:top w:w="0" w:type="dxa"/>
            <w:left w:w="108" w:type="dxa"/>
            <w:bottom w:w="0" w:type="dxa"/>
            <w:right w:w="108" w:type="dxa"/>
          </w:tblCellMar>
        </w:tblPrEx>
        <w:trPr>
          <w:trHeight w:val="571" w:hRule="atLeast"/>
        </w:trPr>
        <w:tc>
          <w:tcPr>
            <w:tcW w:w="2923" w:type="dxa"/>
            <w:vMerge w:val="restart"/>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4</w:t>
            </w:r>
            <w:r>
              <w:rPr>
                <w:rFonts w:hint="eastAsia" w:ascii="宋体" w:hAnsi="宋体" w:eastAsia="仿宋体" w:cs="Times New Roman"/>
                <w:b w:val="0"/>
                <w:bCs/>
                <w:kern w:val="28"/>
                <w:sz w:val="21"/>
                <w:szCs w:val="21"/>
                <w:lang w:val="en-US" w:eastAsia="zh-CN" w:bidi="ar-SA"/>
              </w:rPr>
              <w:t>、时间</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电流响应时间★</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40" w:name="CurrentResponseTime"/>
            <w:bookmarkEnd w:id="40"/>
            <w:r>
              <w:rPr>
                <w:rFonts w:hint="eastAsia" w:ascii="宋体" w:hAnsi="宋体" w:eastAsia="仿宋体" w:cs="Times New Roman"/>
                <w:b w:val="0"/>
                <w:bCs/>
                <w:kern w:val="28"/>
                <w:sz w:val="21"/>
                <w:szCs w:val="21"/>
                <w:lang w:val="en-US" w:eastAsia="zh-CN" w:bidi="ar-SA"/>
              </w:rPr>
              <w:t>≤3ms</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电流转换时间★</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bookmarkStart w:id="41" w:name="CurrentConversionTime"/>
            <w:bookmarkEnd w:id="41"/>
            <w:r>
              <w:rPr>
                <w:rFonts w:hint="eastAsia" w:ascii="宋体" w:hAnsi="宋体" w:eastAsia="仿宋体" w:cs="Times New Roman"/>
                <w:b w:val="0"/>
                <w:bCs/>
                <w:kern w:val="28"/>
                <w:sz w:val="21"/>
                <w:szCs w:val="21"/>
                <w:lang w:val="en-US" w:eastAsia="zh-CN" w:bidi="ar-SA"/>
              </w:rPr>
              <w:t>≤6ms</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最小工步时间★</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0.</w:t>
            </w:r>
            <w:r>
              <w:rPr>
                <w:rFonts w:hint="eastAsia" w:ascii="宋体" w:hAnsi="宋体" w:eastAsia="仿宋体" w:cs="Times New Roman"/>
                <w:b w:val="0"/>
                <w:bCs/>
                <w:kern w:val="28"/>
                <w:sz w:val="21"/>
                <w:szCs w:val="21"/>
                <w:lang w:val="en-US" w:eastAsia="zh-CN" w:bidi="ar-SA"/>
              </w:rPr>
              <w:t>1</w:t>
            </w:r>
            <w:r>
              <w:rPr>
                <w:rFonts w:hint="default" w:ascii="宋体" w:hAnsi="宋体" w:eastAsia="仿宋体" w:cs="Times New Roman"/>
                <w:b w:val="0"/>
                <w:bCs/>
                <w:kern w:val="28"/>
                <w:sz w:val="21"/>
                <w:szCs w:val="21"/>
                <w:lang w:val="en-US" w:eastAsia="zh-CN" w:bidi="ar-SA"/>
              </w:rPr>
              <w:t>s</w:t>
            </w:r>
          </w:p>
        </w:tc>
      </w:tr>
      <w:tr>
        <w:tblPrEx>
          <w:tblCellMar>
            <w:top w:w="0" w:type="dxa"/>
            <w:left w:w="108" w:type="dxa"/>
            <w:bottom w:w="0" w:type="dxa"/>
            <w:right w:w="108" w:type="dxa"/>
          </w:tblCellMar>
        </w:tblPrEx>
        <w:trPr>
          <w:trHeight w:val="1694" w:hRule="atLeast"/>
        </w:trPr>
        <w:tc>
          <w:tcPr>
            <w:tcW w:w="2923" w:type="dxa"/>
            <w:vMerge w:val="restart"/>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5</w:t>
            </w:r>
            <w:r>
              <w:rPr>
                <w:rFonts w:hint="eastAsia" w:ascii="宋体" w:hAnsi="宋体" w:eastAsia="仿宋体" w:cs="Times New Roman"/>
                <w:b w:val="0"/>
                <w:bCs/>
                <w:kern w:val="28"/>
                <w:sz w:val="21"/>
                <w:szCs w:val="21"/>
                <w:lang w:val="en-US" w:eastAsia="zh-CN" w:bidi="ar-SA"/>
              </w:rPr>
              <w:t>、充放电模式</w:t>
            </w:r>
          </w:p>
        </w:tc>
        <w:tc>
          <w:tcPr>
            <w:tcW w:w="2630"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充放电模式★</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恒流充电、恒压充电、恒流恒压充电（恒流转恒压平滑过渡，防止电流尖锋及大电流对电池冲击，保护电池）、恒功率充电</w:t>
            </w:r>
          </w:p>
        </w:tc>
      </w:tr>
      <w:tr>
        <w:tblPrEx>
          <w:tblCellMar>
            <w:top w:w="0" w:type="dxa"/>
            <w:left w:w="108" w:type="dxa"/>
            <w:bottom w:w="0" w:type="dxa"/>
            <w:right w:w="108" w:type="dxa"/>
          </w:tblCellMar>
        </w:tblPrEx>
        <w:trPr>
          <w:trHeight w:val="1133"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恒流放电、恒压放电、恒功率放电、恒阻放电</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截止条件★</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电压、电流、相对时间、容量、</w:t>
            </w:r>
            <w:r>
              <w:rPr>
                <w:rFonts w:hint="default" w:ascii="宋体" w:hAnsi="宋体" w:eastAsia="仿宋体" w:cs="Times New Roman"/>
                <w:b w:val="0"/>
                <w:bCs/>
                <w:kern w:val="28"/>
                <w:sz w:val="21"/>
                <w:szCs w:val="21"/>
                <w:lang w:val="en-US" w:eastAsia="zh-CN" w:bidi="ar-SA"/>
              </w:rPr>
              <w:t>-ΔV</w:t>
            </w:r>
          </w:p>
        </w:tc>
      </w:tr>
      <w:tr>
        <w:tblPrEx>
          <w:tblCellMar>
            <w:top w:w="0" w:type="dxa"/>
            <w:left w:w="108" w:type="dxa"/>
            <w:bottom w:w="0" w:type="dxa"/>
            <w:right w:w="108" w:type="dxa"/>
          </w:tblCellMar>
        </w:tblPrEx>
        <w:trPr>
          <w:trHeight w:val="571" w:hRule="atLeast"/>
        </w:trPr>
        <w:tc>
          <w:tcPr>
            <w:tcW w:w="2923" w:type="dxa"/>
            <w:vMerge w:val="restart"/>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6</w:t>
            </w:r>
            <w:r>
              <w:rPr>
                <w:rFonts w:hint="eastAsia" w:ascii="宋体" w:hAnsi="宋体" w:eastAsia="仿宋体" w:cs="Times New Roman"/>
                <w:b w:val="0"/>
                <w:bCs/>
                <w:kern w:val="28"/>
                <w:sz w:val="21"/>
                <w:szCs w:val="21"/>
                <w:lang w:val="en-US" w:eastAsia="zh-CN" w:bidi="ar-SA"/>
              </w:rPr>
              <w:t>、工况模拟工步★</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充电模式</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电流、功率</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放电模式</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电流、功率</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切换</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支持充放电连续切换</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截止条件</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时间、行号</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下载数据量</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最大支持</w:t>
            </w:r>
            <w:r>
              <w:rPr>
                <w:rFonts w:hint="default" w:ascii="宋体" w:hAnsi="宋体" w:eastAsia="仿宋体" w:cs="Times New Roman"/>
                <w:b w:val="0"/>
                <w:bCs/>
                <w:kern w:val="28"/>
                <w:sz w:val="21"/>
                <w:szCs w:val="21"/>
                <w:lang w:val="en-US" w:eastAsia="zh-CN" w:bidi="ar-SA"/>
              </w:rPr>
              <w:t>100</w:t>
            </w:r>
            <w:r>
              <w:rPr>
                <w:rFonts w:hint="eastAsia" w:ascii="宋体" w:hAnsi="宋体" w:eastAsia="仿宋体" w:cs="Times New Roman"/>
                <w:b w:val="0"/>
                <w:bCs/>
                <w:kern w:val="28"/>
                <w:sz w:val="21"/>
                <w:szCs w:val="21"/>
                <w:lang w:val="en-US" w:eastAsia="zh-CN" w:bidi="ar-SA"/>
              </w:rPr>
              <w:t>万行工况下载</w:t>
            </w:r>
          </w:p>
        </w:tc>
      </w:tr>
      <w:tr>
        <w:tblPrEx>
          <w:tblCellMar>
            <w:top w:w="0" w:type="dxa"/>
            <w:left w:w="108" w:type="dxa"/>
            <w:bottom w:w="0" w:type="dxa"/>
            <w:right w:w="108" w:type="dxa"/>
          </w:tblCellMar>
        </w:tblPrEx>
        <w:trPr>
          <w:trHeight w:val="571" w:hRule="atLeast"/>
        </w:trPr>
        <w:tc>
          <w:tcPr>
            <w:tcW w:w="2923" w:type="dxa"/>
            <w:vMerge w:val="restart"/>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7</w:t>
            </w:r>
            <w:r>
              <w:rPr>
                <w:rFonts w:hint="eastAsia" w:ascii="宋体" w:hAnsi="宋体" w:eastAsia="仿宋体" w:cs="Times New Roman"/>
                <w:b w:val="0"/>
                <w:bCs/>
                <w:kern w:val="28"/>
                <w:sz w:val="21"/>
                <w:szCs w:val="21"/>
                <w:lang w:val="en-US" w:eastAsia="zh-CN" w:bidi="ar-SA"/>
              </w:rPr>
              <w:t>、脉冲工步★</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充电模式</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电流、功率</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放电模式</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电流、功率</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最小脉冲宽度</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100ms</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脉冲个数</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both"/>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单个脉冲工步可支持</w:t>
            </w:r>
            <w:r>
              <w:rPr>
                <w:rFonts w:hint="default" w:ascii="宋体" w:hAnsi="宋体" w:eastAsia="仿宋体" w:cs="Times New Roman"/>
                <w:b w:val="0"/>
                <w:bCs/>
                <w:kern w:val="28"/>
                <w:sz w:val="21"/>
                <w:szCs w:val="21"/>
                <w:lang w:val="en-US" w:eastAsia="zh-CN" w:bidi="ar-SA"/>
              </w:rPr>
              <w:t>32</w:t>
            </w:r>
            <w:r>
              <w:rPr>
                <w:rFonts w:hint="eastAsia" w:ascii="宋体" w:hAnsi="宋体" w:eastAsia="仿宋体" w:cs="Times New Roman"/>
                <w:b w:val="0"/>
                <w:bCs/>
                <w:kern w:val="28"/>
                <w:sz w:val="21"/>
                <w:szCs w:val="21"/>
                <w:lang w:val="en-US" w:eastAsia="zh-CN" w:bidi="ar-SA"/>
              </w:rPr>
              <w:t>个不同的脉冲</w:t>
            </w:r>
          </w:p>
        </w:tc>
      </w:tr>
      <w:tr>
        <w:tblPrEx>
          <w:tblCellMar>
            <w:top w:w="0" w:type="dxa"/>
            <w:left w:w="108" w:type="dxa"/>
            <w:bottom w:w="0" w:type="dxa"/>
            <w:right w:w="108" w:type="dxa"/>
          </w:tblCellMar>
        </w:tblPrEx>
        <w:trPr>
          <w:trHeight w:val="1133"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充放电连续切换</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一个脉冲工步可以实现从充电到放电的连续切换</w:t>
            </w:r>
          </w:p>
        </w:tc>
      </w:tr>
      <w:tr>
        <w:tblPrEx>
          <w:tblCellMar>
            <w:top w:w="0" w:type="dxa"/>
            <w:left w:w="108" w:type="dxa"/>
            <w:bottom w:w="0" w:type="dxa"/>
            <w:right w:w="108" w:type="dxa"/>
          </w:tblCellMar>
        </w:tblPrEx>
        <w:trPr>
          <w:trHeight w:val="571" w:hRule="atLeast"/>
        </w:trPr>
        <w:tc>
          <w:tcPr>
            <w:tcW w:w="2923" w:type="dxa"/>
            <w:vMerge w:val="continue"/>
            <w:tcBorders>
              <w:top w:val="single" w:color="auto" w:sz="4" w:space="0"/>
              <w:left w:val="single" w:color="000000" w:sz="4" w:space="0"/>
              <w:bottom w:val="single" w:color="auto"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截至条件</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电压、相对时间</w:t>
            </w:r>
          </w:p>
        </w:tc>
      </w:tr>
      <w:tr>
        <w:tblPrEx>
          <w:tblCellMar>
            <w:top w:w="0" w:type="dxa"/>
            <w:left w:w="108" w:type="dxa"/>
            <w:bottom w:w="0" w:type="dxa"/>
            <w:right w:w="108" w:type="dxa"/>
          </w:tblCellMar>
        </w:tblPrEx>
        <w:trPr>
          <w:trHeight w:val="453" w:hRule="atLeast"/>
        </w:trPr>
        <w:tc>
          <w:tcPr>
            <w:tcW w:w="2923" w:type="dxa"/>
            <w:tcBorders>
              <w:top w:val="single" w:color="auto"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8</w:t>
            </w:r>
            <w:r>
              <w:rPr>
                <w:rFonts w:hint="eastAsia" w:ascii="宋体" w:hAnsi="宋体" w:eastAsia="仿宋体" w:cs="Times New Roman"/>
                <w:b w:val="0"/>
                <w:bCs/>
                <w:kern w:val="28"/>
                <w:sz w:val="21"/>
                <w:szCs w:val="21"/>
                <w:lang w:val="en-US" w:eastAsia="zh-CN" w:bidi="ar-SA"/>
              </w:rPr>
              <w:t>、</w:t>
            </w:r>
            <w:r>
              <w:rPr>
                <w:rFonts w:hint="default" w:ascii="宋体" w:hAnsi="宋体" w:eastAsia="仿宋体" w:cs="Times New Roman"/>
                <w:b w:val="0"/>
                <w:bCs/>
                <w:kern w:val="28"/>
                <w:sz w:val="21"/>
                <w:szCs w:val="21"/>
                <w:lang w:val="en-US" w:eastAsia="zh-CN" w:bidi="ar-SA"/>
              </w:rPr>
              <w:t>DCIR</w:t>
            </w:r>
            <w:r>
              <w:rPr>
                <w:rFonts w:hint="eastAsia" w:ascii="宋体" w:hAnsi="宋体" w:eastAsia="仿宋体" w:cs="Times New Roman"/>
                <w:b w:val="0"/>
                <w:bCs/>
                <w:kern w:val="28"/>
                <w:sz w:val="21"/>
                <w:szCs w:val="21"/>
                <w:lang w:val="en-US" w:eastAsia="zh-CN" w:bidi="ar-SA"/>
              </w:rPr>
              <w:t>直流内阻测试</w:t>
            </w:r>
          </w:p>
        </w:tc>
        <w:tc>
          <w:tcPr>
            <w:tcW w:w="2630" w:type="dxa"/>
            <w:tcBorders>
              <w:top w:val="nil"/>
              <w:left w:val="nil"/>
              <w:bottom w:val="nil"/>
              <w:right w:val="nil"/>
            </w:tcBorders>
            <w:noWrap/>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支持自定义取点进行</w:t>
            </w:r>
            <w:r>
              <w:rPr>
                <w:rFonts w:hint="default" w:ascii="宋体" w:hAnsi="宋体" w:eastAsia="仿宋体" w:cs="Times New Roman"/>
                <w:b w:val="0"/>
                <w:bCs/>
                <w:kern w:val="28"/>
                <w:sz w:val="21"/>
                <w:szCs w:val="21"/>
                <w:lang w:val="en-US" w:eastAsia="zh-CN" w:bidi="ar-SA"/>
              </w:rPr>
              <w:t>DCIR</w:t>
            </w:r>
            <w:r>
              <w:rPr>
                <w:rFonts w:hint="eastAsia" w:ascii="宋体" w:hAnsi="宋体" w:eastAsia="仿宋体" w:cs="Times New Roman"/>
                <w:b w:val="0"/>
                <w:bCs/>
                <w:kern w:val="28"/>
                <w:sz w:val="21"/>
                <w:szCs w:val="21"/>
                <w:lang w:val="en-US" w:eastAsia="zh-CN" w:bidi="ar-SA"/>
              </w:rPr>
              <w:t>的计算</w:t>
            </w:r>
          </w:p>
        </w:tc>
      </w:tr>
      <w:tr>
        <w:tblPrEx>
          <w:tblCellMar>
            <w:top w:w="0" w:type="dxa"/>
            <w:left w:w="108" w:type="dxa"/>
            <w:bottom w:w="0" w:type="dxa"/>
            <w:right w:w="108" w:type="dxa"/>
          </w:tblCellMar>
        </w:tblPrEx>
        <w:trPr>
          <w:trHeight w:val="571" w:hRule="atLeast"/>
        </w:trPr>
        <w:tc>
          <w:tcPr>
            <w:tcW w:w="2923"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9</w:t>
            </w:r>
            <w:r>
              <w:rPr>
                <w:rFonts w:hint="eastAsia" w:ascii="宋体" w:hAnsi="宋体" w:eastAsia="仿宋体" w:cs="Times New Roman"/>
                <w:b w:val="0"/>
                <w:bCs/>
                <w:kern w:val="28"/>
                <w:sz w:val="21"/>
                <w:szCs w:val="21"/>
                <w:lang w:val="en-US" w:eastAsia="zh-CN" w:bidi="ar-SA"/>
              </w:rPr>
              <w:t>、安全保护</w:t>
            </w:r>
          </w:p>
        </w:tc>
        <w:tc>
          <w:tcPr>
            <w:tcW w:w="2630"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软件保护</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掉电数据保护★</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具有脱机测试功能★</w:t>
            </w:r>
          </w:p>
        </w:tc>
      </w:tr>
      <w:tr>
        <w:tblPrEx>
          <w:tblCellMar>
            <w:top w:w="0" w:type="dxa"/>
            <w:left w:w="108" w:type="dxa"/>
            <w:bottom w:w="0" w:type="dxa"/>
            <w:right w:w="108" w:type="dxa"/>
          </w:tblCellMar>
        </w:tblPrEx>
        <w:trPr>
          <w:trHeight w:val="1694"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rPr>
                <w:rFonts w:ascii="仿宋" w:hAnsi="仿宋"/>
                <w:color w:val="000000"/>
                <w:sz w:val="21"/>
                <w:szCs w:val="21"/>
              </w:rPr>
            </w:pPr>
          </w:p>
        </w:tc>
        <w:tc>
          <w:tcPr>
            <w:tcW w:w="2630"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rPr>
                <w:rFonts w:ascii="仿宋" w:hAnsi="仿宋"/>
                <w:color w:val="000000"/>
                <w:sz w:val="21"/>
                <w:szCs w:val="21"/>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可设定安全保护条件，可设置参数包括：电压下限、电压上限、电流下限、电流上限、延时时间★</w:t>
            </w:r>
          </w:p>
        </w:tc>
      </w:tr>
      <w:tr>
        <w:tblPrEx>
          <w:tblCellMar>
            <w:top w:w="0" w:type="dxa"/>
            <w:left w:w="108" w:type="dxa"/>
            <w:bottom w:w="0" w:type="dxa"/>
            <w:right w:w="108" w:type="dxa"/>
          </w:tblCellMar>
        </w:tblPrEx>
        <w:trPr>
          <w:trHeight w:val="1133"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rPr>
                <w:rFonts w:ascii="仿宋" w:hAnsi="仿宋"/>
                <w:color w:val="000000"/>
                <w:sz w:val="21"/>
                <w:szCs w:val="21"/>
              </w:rPr>
            </w:pPr>
          </w:p>
        </w:tc>
        <w:tc>
          <w:tcPr>
            <w:tcW w:w="2630"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center"/>
              <w:rPr>
                <w:rFonts w:ascii="仿宋" w:hAnsi="仿宋"/>
                <w:color w:val="000000"/>
                <w:sz w:val="21"/>
                <w:szCs w:val="21"/>
              </w:rPr>
            </w:pPr>
            <w:r>
              <w:rPr>
                <w:rFonts w:hint="eastAsia" w:ascii="仿宋" w:hAnsi="仿宋" w:cs="宋体"/>
                <w:color w:val="000000"/>
                <w:kern w:val="0"/>
                <w:sz w:val="21"/>
                <w:szCs w:val="21"/>
                <w:lang w:bidi="ar"/>
              </w:rPr>
              <w:t>硬件保护</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防反接保护、过压保护、过流保护、过温保护等★</w:t>
            </w:r>
          </w:p>
        </w:tc>
      </w:tr>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五、数据管理与分析</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1、工步设置方式</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表格编辑</w:t>
            </w:r>
          </w:p>
        </w:tc>
      </w:tr>
      <w:tr>
        <w:tblPrEx>
          <w:tblCellMar>
            <w:top w:w="0" w:type="dxa"/>
            <w:left w:w="108" w:type="dxa"/>
            <w:bottom w:w="0" w:type="dxa"/>
            <w:right w:w="108" w:type="dxa"/>
          </w:tblCellMar>
        </w:tblPrEx>
        <w:trPr>
          <w:trHeight w:val="1133" w:hRule="atLeast"/>
        </w:trPr>
        <w:tc>
          <w:tcPr>
            <w:tcW w:w="2923"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2、数据记录</w:t>
            </w:r>
          </w:p>
        </w:tc>
        <w:tc>
          <w:tcPr>
            <w:tcW w:w="2630"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记录条件★</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最小时间间隔: 10ms(接入辅助通道为100ms)</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2630"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bookmarkStart w:id="42" w:name="MinimumVoltageInterval"/>
            <w:bookmarkEnd w:id="42"/>
            <w:r>
              <w:rPr>
                <w:rFonts w:hint="default" w:ascii="宋体" w:hAnsi="宋体" w:eastAsia="仿宋体" w:cs="Times New Roman"/>
                <w:b w:val="0"/>
                <w:bCs/>
                <w:kern w:val="28"/>
                <w:sz w:val="21"/>
                <w:szCs w:val="21"/>
                <w:lang w:val="en-US" w:eastAsia="zh-CN" w:bidi="ar-SA"/>
              </w:rPr>
              <w:t>最小电压间隔: 0.12V</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2630"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bookmarkStart w:id="43" w:name="MinimumCurrentInterval"/>
            <w:bookmarkEnd w:id="43"/>
            <w:r>
              <w:rPr>
                <w:rFonts w:hint="default" w:ascii="宋体" w:hAnsi="宋体" w:eastAsia="仿宋体" w:cs="Times New Roman"/>
                <w:b w:val="0"/>
                <w:bCs/>
                <w:kern w:val="28"/>
                <w:sz w:val="21"/>
                <w:szCs w:val="21"/>
                <w:lang w:val="en-US" w:eastAsia="zh-CN" w:bidi="ar-SA"/>
              </w:rPr>
              <w:t>最小电流间隔: 0.4A</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记录频率★</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bookmarkStart w:id="44" w:name="RecordFreq"/>
            <w:bookmarkEnd w:id="44"/>
            <w:r>
              <w:rPr>
                <w:rFonts w:hint="eastAsia" w:ascii="宋体" w:hAnsi="宋体" w:eastAsia="仿宋体" w:cs="Times New Roman"/>
                <w:b w:val="0"/>
                <w:bCs/>
                <w:kern w:val="28"/>
                <w:sz w:val="21"/>
                <w:szCs w:val="21"/>
                <w:lang w:val="en-US" w:eastAsia="zh-CN" w:bidi="ar-SA"/>
              </w:rPr>
              <w:t>100Hz(接入辅助通道为10HZ)</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3、数据库</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采用</w:t>
            </w:r>
            <w:r>
              <w:rPr>
                <w:rFonts w:hint="default" w:ascii="宋体" w:hAnsi="宋体" w:eastAsia="仿宋体" w:cs="Times New Roman"/>
                <w:b w:val="0"/>
                <w:bCs/>
                <w:kern w:val="28"/>
                <w:sz w:val="21"/>
                <w:szCs w:val="21"/>
                <w:lang w:val="en-US" w:eastAsia="zh-CN" w:bidi="ar-SA"/>
              </w:rPr>
              <w:t>MySQL</w:t>
            </w:r>
            <w:r>
              <w:rPr>
                <w:rFonts w:hint="eastAsia" w:ascii="宋体" w:hAnsi="宋体" w:eastAsia="仿宋体" w:cs="Times New Roman"/>
                <w:b w:val="0"/>
                <w:bCs/>
                <w:kern w:val="28"/>
                <w:sz w:val="21"/>
                <w:szCs w:val="21"/>
                <w:lang w:val="en-US" w:eastAsia="zh-CN" w:bidi="ar-SA"/>
              </w:rPr>
              <w:t>数据库集中管理测试数据</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4、数据输出方式</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Excel</w:t>
            </w:r>
            <w:r>
              <w:rPr>
                <w:rFonts w:hint="eastAsia" w:ascii="宋体" w:hAnsi="宋体" w:eastAsia="仿宋体" w:cs="Times New Roman"/>
                <w:b w:val="0"/>
                <w:bCs/>
                <w:kern w:val="28"/>
                <w:sz w:val="21"/>
                <w:szCs w:val="21"/>
                <w:lang w:val="en-US" w:eastAsia="zh-CN" w:bidi="ar-SA"/>
              </w:rPr>
              <w:t>、</w:t>
            </w:r>
            <w:r>
              <w:rPr>
                <w:rFonts w:hint="default" w:ascii="宋体" w:hAnsi="宋体" w:eastAsia="仿宋体" w:cs="Times New Roman"/>
                <w:b w:val="0"/>
                <w:bCs/>
                <w:kern w:val="28"/>
                <w:sz w:val="21"/>
                <w:szCs w:val="21"/>
                <w:lang w:val="en-US" w:eastAsia="zh-CN" w:bidi="ar-SA"/>
              </w:rPr>
              <w:t>Txt</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5、曲线类型</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可自定义绘图，</w:t>
            </w:r>
            <w:r>
              <w:rPr>
                <w:rFonts w:hint="default" w:ascii="宋体" w:hAnsi="宋体" w:eastAsia="仿宋体" w:cs="Times New Roman"/>
                <w:b w:val="0"/>
                <w:bCs/>
                <w:kern w:val="28"/>
                <w:sz w:val="21"/>
                <w:szCs w:val="21"/>
                <w:lang w:val="en-US" w:eastAsia="zh-CN" w:bidi="ar-SA"/>
              </w:rPr>
              <w:t>4</w:t>
            </w:r>
            <w:r>
              <w:rPr>
                <w:rFonts w:hint="eastAsia" w:ascii="宋体" w:hAnsi="宋体" w:eastAsia="仿宋体" w:cs="Times New Roman"/>
                <w:b w:val="0"/>
                <w:bCs/>
                <w:kern w:val="28"/>
                <w:sz w:val="21"/>
                <w:szCs w:val="21"/>
                <w:lang w:val="en-US" w:eastAsia="zh-CN" w:bidi="ar-SA"/>
              </w:rPr>
              <w:t>个</w:t>
            </w:r>
            <w:r>
              <w:rPr>
                <w:rFonts w:hint="default" w:ascii="宋体" w:hAnsi="宋体" w:eastAsia="仿宋体" w:cs="Times New Roman"/>
                <w:b w:val="0"/>
                <w:bCs/>
                <w:kern w:val="28"/>
                <w:sz w:val="21"/>
                <w:szCs w:val="21"/>
                <w:lang w:val="en-US" w:eastAsia="zh-CN" w:bidi="ar-SA"/>
              </w:rPr>
              <w:t>Y</w:t>
            </w:r>
            <w:r>
              <w:rPr>
                <w:rFonts w:hint="eastAsia" w:ascii="宋体" w:hAnsi="宋体" w:eastAsia="仿宋体" w:cs="Times New Roman"/>
                <w:b w:val="0"/>
                <w:bCs/>
                <w:kern w:val="28"/>
                <w:sz w:val="21"/>
                <w:szCs w:val="21"/>
                <w:lang w:val="en-US" w:eastAsia="zh-CN" w:bidi="ar-SA"/>
              </w:rPr>
              <w:t>轴</w:t>
            </w:r>
          </w:p>
        </w:tc>
      </w:tr>
      <w:tr>
        <w:tblPrEx>
          <w:tblCellMar>
            <w:top w:w="0" w:type="dxa"/>
            <w:left w:w="108" w:type="dxa"/>
            <w:bottom w:w="0" w:type="dxa"/>
            <w:right w:w="108" w:type="dxa"/>
          </w:tblCellMar>
        </w:tblPrEx>
        <w:trPr>
          <w:trHeight w:val="571" w:hRule="atLeast"/>
        </w:trPr>
        <w:tc>
          <w:tcPr>
            <w:tcW w:w="2923"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6、条码扫描★</w:t>
            </w:r>
          </w:p>
        </w:tc>
        <w:tc>
          <w:tcPr>
            <w:tcW w:w="2630"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支持条码扫描功能，可通过电池条码实现</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2630"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历史数据的管理与追溯</w:t>
            </w:r>
          </w:p>
        </w:tc>
      </w:tr>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六、通信方式</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1、上位机通讯方式★</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基于TCP/IP协议</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2、通信接口★</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以太网</w:t>
            </w:r>
          </w:p>
        </w:tc>
      </w:tr>
      <w:tr>
        <w:tblPrEx>
          <w:tblCellMar>
            <w:top w:w="0" w:type="dxa"/>
            <w:left w:w="108" w:type="dxa"/>
            <w:bottom w:w="0" w:type="dxa"/>
            <w:right w:w="108" w:type="dxa"/>
          </w:tblCellMar>
        </w:tblPrEx>
        <w:trPr>
          <w:trHeight w:val="113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3、下位机通信波特率★</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1M带宽</w:t>
            </w:r>
          </w:p>
        </w:tc>
      </w:tr>
      <w:tr>
        <w:tblPrEx>
          <w:tblCellMar>
            <w:top w:w="0" w:type="dxa"/>
            <w:left w:w="108" w:type="dxa"/>
            <w:bottom w:w="0" w:type="dxa"/>
            <w:right w:w="108" w:type="dxa"/>
          </w:tblCellMar>
        </w:tblPrEx>
        <w:trPr>
          <w:trHeight w:val="113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4、上位机通信波特率★</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10M～100M自适应</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5、组网方式★</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通过交换机及路由器组建局域网</w:t>
            </w:r>
          </w:p>
        </w:tc>
      </w:tr>
      <w:tr>
        <w:tblPrEx>
          <w:tblCellMar>
            <w:top w:w="0" w:type="dxa"/>
            <w:left w:w="108" w:type="dxa"/>
            <w:bottom w:w="0" w:type="dxa"/>
            <w:right w:w="108" w:type="dxa"/>
          </w:tblCellMar>
        </w:tblPrEx>
        <w:trPr>
          <w:trHeight w:val="113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6、通讯扩展★</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支持CAN,RS485通讯与BMS通讯，带DBC配置功能</w:t>
            </w:r>
          </w:p>
        </w:tc>
      </w:tr>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七、环境要求及尺寸重量</w:t>
            </w:r>
          </w:p>
        </w:tc>
      </w:tr>
      <w:tr>
        <w:tblPrEx>
          <w:tblCellMar>
            <w:top w:w="0" w:type="dxa"/>
            <w:left w:w="108" w:type="dxa"/>
            <w:bottom w:w="0" w:type="dxa"/>
            <w:right w:w="108" w:type="dxa"/>
          </w:tblCellMar>
        </w:tblPrEx>
        <w:trPr>
          <w:trHeight w:val="113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1、工作温度</w:t>
            </w:r>
          </w:p>
        </w:tc>
        <w:tc>
          <w:tcPr>
            <w:tcW w:w="263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-10℃～40℃（在25±10℃范围内，保证测量精度：精度漂移0.005% of FS /℃）</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2、存储温度</w:t>
            </w:r>
          </w:p>
        </w:tc>
        <w:tc>
          <w:tcPr>
            <w:tcW w:w="263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-20℃~50℃</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3、工作环境相对湿度</w:t>
            </w:r>
          </w:p>
        </w:tc>
        <w:tc>
          <w:tcPr>
            <w:tcW w:w="263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≤70% RH（没有水汽凝结）</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4、存储环境相对湿度</w:t>
            </w:r>
          </w:p>
        </w:tc>
        <w:tc>
          <w:tcPr>
            <w:tcW w:w="2630" w:type="dxa"/>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≤80% RH（没有水汽凝结）</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5、设备尺寸W*D*H</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bookmarkStart w:id="45" w:name="Size"/>
            <w:bookmarkEnd w:id="45"/>
            <w:r>
              <w:rPr>
                <w:rFonts w:hint="eastAsia" w:ascii="宋体" w:hAnsi="宋体" w:eastAsia="仿宋体" w:cs="Times New Roman"/>
                <w:b w:val="0"/>
                <w:bCs/>
                <w:kern w:val="28"/>
                <w:sz w:val="21"/>
                <w:szCs w:val="21"/>
                <w:lang w:val="en-US" w:eastAsia="zh-CN" w:bidi="ar-SA"/>
              </w:rPr>
              <w:t>600*800*1800(mm)</w:t>
            </w:r>
          </w:p>
        </w:tc>
      </w:tr>
      <w:tr>
        <w:tblPrEx>
          <w:tblCellMar>
            <w:top w:w="0" w:type="dxa"/>
            <w:left w:w="108" w:type="dxa"/>
            <w:bottom w:w="0" w:type="dxa"/>
            <w:right w:w="108" w:type="dxa"/>
          </w:tblCellMar>
        </w:tblPrEx>
        <w:trPr>
          <w:trHeight w:val="571"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6、重量</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bookmarkStart w:id="46" w:name="Weight"/>
            <w:bookmarkEnd w:id="46"/>
            <w:r>
              <w:rPr>
                <w:rFonts w:hint="eastAsia" w:ascii="宋体" w:hAnsi="宋体" w:eastAsia="仿宋体" w:cs="Times New Roman"/>
                <w:b w:val="0"/>
                <w:bCs/>
                <w:kern w:val="28"/>
                <w:sz w:val="21"/>
                <w:szCs w:val="21"/>
                <w:lang w:val="en-US" w:eastAsia="zh-CN" w:bidi="ar-SA"/>
              </w:rPr>
              <w:t>约 285.6KG</w:t>
            </w:r>
          </w:p>
        </w:tc>
      </w:tr>
      <w:tr>
        <w:tblPrEx>
          <w:tblCellMar>
            <w:top w:w="0" w:type="dxa"/>
            <w:left w:w="108" w:type="dxa"/>
            <w:bottom w:w="0" w:type="dxa"/>
            <w:right w:w="108" w:type="dxa"/>
          </w:tblCellMar>
        </w:tblPrEx>
        <w:trPr>
          <w:trHeight w:val="571" w:hRule="atLeast"/>
        </w:trPr>
        <w:tc>
          <w:tcPr>
            <w:tcW w:w="9322" w:type="dxa"/>
            <w:gridSpan w:val="3"/>
            <w:tcBorders>
              <w:top w:val="single" w:color="000000" w:sz="4" w:space="0"/>
              <w:left w:val="single" w:color="000000" w:sz="4" w:space="0"/>
              <w:bottom w:val="single" w:color="000000" w:sz="4" w:space="0"/>
              <w:right w:val="single" w:color="000000" w:sz="4" w:space="0"/>
            </w:tcBorders>
            <w:noWrap/>
            <w:vAlign w:val="center"/>
          </w:tcPr>
          <w:p>
            <w:pPr>
              <w:numPr>
                <w:ilvl w:val="0"/>
                <w:numId w:val="0"/>
              </w:numPr>
              <w:ind w:firstLine="210" w:firstLineChars="100"/>
              <w:jc w:val="left"/>
              <w:rPr>
                <w:rFonts w:hint="eastAsia"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八、辅助测试系统</w:t>
            </w:r>
          </w:p>
        </w:tc>
      </w:tr>
      <w:tr>
        <w:tblPrEx>
          <w:tblCellMar>
            <w:top w:w="0" w:type="dxa"/>
            <w:left w:w="108" w:type="dxa"/>
            <w:bottom w:w="0" w:type="dxa"/>
            <w:right w:w="108" w:type="dxa"/>
          </w:tblCellMar>
        </w:tblPrEx>
        <w:trPr>
          <w:trHeight w:val="571" w:hRule="atLeast"/>
        </w:trPr>
        <w:tc>
          <w:tcPr>
            <w:tcW w:w="2923" w:type="dxa"/>
            <w:vMerge w:val="restart"/>
            <w:tcBorders>
              <w:top w:val="single" w:color="000000" w:sz="4" w:space="0"/>
              <w:left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1</w:t>
            </w:r>
            <w:r>
              <w:rPr>
                <w:rFonts w:hint="eastAsia" w:ascii="宋体" w:hAnsi="宋体" w:eastAsia="仿宋体" w:cs="Times New Roman"/>
                <w:b w:val="0"/>
                <w:bCs/>
                <w:kern w:val="28"/>
                <w:sz w:val="21"/>
                <w:szCs w:val="21"/>
                <w:lang w:val="en-US" w:eastAsia="zh-CN" w:bidi="ar-SA"/>
              </w:rPr>
              <w:t>、温度辅助通道</w:t>
            </w:r>
          </w:p>
        </w:tc>
        <w:tc>
          <w:tcPr>
            <w:tcW w:w="2630" w:type="dxa"/>
            <w:vMerge w:val="restart"/>
            <w:tcBorders>
              <w:top w:val="single" w:color="000000" w:sz="4" w:space="0"/>
              <w:left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温度范围</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热敏电阻：</w:t>
            </w:r>
            <w:r>
              <w:rPr>
                <w:rFonts w:hint="default" w:ascii="宋体" w:hAnsi="宋体" w:eastAsia="仿宋体" w:cs="Times New Roman"/>
                <w:b w:val="0"/>
                <w:bCs/>
                <w:kern w:val="28"/>
                <w:sz w:val="21"/>
                <w:szCs w:val="21"/>
                <w:lang w:val="en-US" w:eastAsia="zh-CN" w:bidi="ar-SA"/>
              </w:rPr>
              <w:t>-</w:t>
            </w:r>
            <w:r>
              <w:rPr>
                <w:rFonts w:hint="eastAsia" w:ascii="宋体" w:hAnsi="宋体" w:eastAsia="仿宋体" w:cs="Times New Roman"/>
                <w:b w:val="0"/>
                <w:bCs/>
                <w:kern w:val="28"/>
                <w:sz w:val="21"/>
                <w:szCs w:val="21"/>
                <w:lang w:val="en-US" w:eastAsia="zh-CN" w:bidi="ar-SA"/>
              </w:rPr>
              <w:t>3</w:t>
            </w:r>
            <w:r>
              <w:rPr>
                <w:rFonts w:hint="default" w:ascii="宋体" w:hAnsi="宋体" w:eastAsia="仿宋体" w:cs="Times New Roman"/>
                <w:b w:val="0"/>
                <w:bCs/>
                <w:kern w:val="28"/>
                <w:sz w:val="21"/>
                <w:szCs w:val="21"/>
                <w:lang w:val="en-US" w:eastAsia="zh-CN" w:bidi="ar-SA"/>
              </w:rPr>
              <w:t>0℃</w:t>
            </w:r>
            <w:r>
              <w:rPr>
                <w:rFonts w:hint="eastAsia" w:ascii="宋体" w:hAnsi="宋体" w:eastAsia="仿宋体" w:cs="Times New Roman"/>
                <w:b w:val="0"/>
                <w:bCs/>
                <w:kern w:val="28"/>
                <w:sz w:val="21"/>
                <w:szCs w:val="21"/>
                <w:lang w:val="en-US" w:eastAsia="zh-CN" w:bidi="ar-SA"/>
              </w:rPr>
              <w:t>～12</w:t>
            </w:r>
            <w:r>
              <w:rPr>
                <w:rFonts w:hint="default" w:ascii="宋体" w:hAnsi="宋体" w:eastAsia="仿宋体" w:cs="Times New Roman"/>
                <w:b w:val="0"/>
                <w:bCs/>
                <w:kern w:val="28"/>
                <w:sz w:val="21"/>
                <w:szCs w:val="21"/>
                <w:lang w:val="en-US" w:eastAsia="zh-CN" w:bidi="ar-SA"/>
              </w:rPr>
              <w:t>0℃</w:t>
            </w:r>
          </w:p>
        </w:tc>
      </w:tr>
      <w:tr>
        <w:tblPrEx>
          <w:tblCellMar>
            <w:top w:w="0" w:type="dxa"/>
            <w:left w:w="108" w:type="dxa"/>
            <w:bottom w:w="0" w:type="dxa"/>
            <w:right w:w="108" w:type="dxa"/>
          </w:tblCellMar>
        </w:tblPrEx>
        <w:trPr>
          <w:trHeight w:val="571" w:hRule="atLeast"/>
        </w:trPr>
        <w:tc>
          <w:tcPr>
            <w:tcW w:w="2923" w:type="dxa"/>
            <w:vMerge w:val="continue"/>
            <w:tcBorders>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vMerge w:val="continue"/>
            <w:tcBorders>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热电偶：</w:t>
            </w:r>
            <w:r>
              <w:rPr>
                <w:rFonts w:hint="default" w:ascii="宋体" w:hAnsi="宋体" w:eastAsia="仿宋体" w:cs="Times New Roman"/>
                <w:b w:val="0"/>
                <w:bCs/>
                <w:kern w:val="28"/>
                <w:sz w:val="21"/>
                <w:szCs w:val="21"/>
                <w:lang w:val="en-US" w:eastAsia="zh-CN" w:bidi="ar-SA"/>
              </w:rPr>
              <w:t>-</w:t>
            </w:r>
            <w:r>
              <w:rPr>
                <w:rFonts w:hint="eastAsia" w:ascii="宋体" w:hAnsi="宋体" w:eastAsia="仿宋体" w:cs="Times New Roman"/>
                <w:b w:val="0"/>
                <w:bCs/>
                <w:kern w:val="28"/>
                <w:sz w:val="21"/>
                <w:szCs w:val="21"/>
                <w:lang w:val="en-US" w:eastAsia="zh-CN" w:bidi="ar-SA"/>
              </w:rPr>
              <w:t>200</w:t>
            </w:r>
            <w:r>
              <w:rPr>
                <w:rFonts w:hint="default" w:ascii="宋体" w:hAnsi="宋体" w:eastAsia="仿宋体" w:cs="Times New Roman"/>
                <w:b w:val="0"/>
                <w:bCs/>
                <w:kern w:val="28"/>
                <w:sz w:val="21"/>
                <w:szCs w:val="21"/>
                <w:lang w:val="en-US" w:eastAsia="zh-CN" w:bidi="ar-SA"/>
              </w:rPr>
              <w:t>℃</w:t>
            </w:r>
            <w:r>
              <w:rPr>
                <w:rFonts w:hint="eastAsia" w:ascii="宋体" w:hAnsi="宋体" w:eastAsia="仿宋体" w:cs="Times New Roman"/>
                <w:b w:val="0"/>
                <w:bCs/>
                <w:kern w:val="28"/>
                <w:sz w:val="21"/>
                <w:szCs w:val="21"/>
                <w:lang w:val="en-US" w:eastAsia="zh-CN" w:bidi="ar-SA"/>
              </w:rPr>
              <w:t>～26</w:t>
            </w:r>
            <w:r>
              <w:rPr>
                <w:rFonts w:hint="default" w:ascii="宋体" w:hAnsi="宋体" w:eastAsia="仿宋体" w:cs="Times New Roman"/>
                <w:b w:val="0"/>
                <w:bCs/>
                <w:kern w:val="28"/>
                <w:sz w:val="21"/>
                <w:szCs w:val="21"/>
                <w:lang w:val="en-US" w:eastAsia="zh-CN" w:bidi="ar-SA"/>
              </w:rPr>
              <w:t>0℃</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温度精度</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±1℃</w:t>
            </w:r>
            <w:r>
              <w:rPr>
                <w:rFonts w:hint="eastAsia" w:ascii="宋体" w:hAnsi="宋体" w:eastAsia="仿宋体" w:cs="Times New Roman"/>
                <w:b w:val="0"/>
                <w:bCs/>
                <w:kern w:val="28"/>
                <w:sz w:val="21"/>
                <w:szCs w:val="21"/>
                <w:lang w:val="en-US" w:eastAsia="zh-CN" w:bidi="ar-SA"/>
              </w:rPr>
              <w:t>（线长2m以内）</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温度分辨率</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0.1℃</w:t>
            </w:r>
          </w:p>
        </w:tc>
      </w:tr>
      <w:tr>
        <w:tblPrEx>
          <w:tblCellMar>
            <w:top w:w="0" w:type="dxa"/>
            <w:left w:w="108" w:type="dxa"/>
            <w:bottom w:w="0" w:type="dxa"/>
            <w:right w:w="108" w:type="dxa"/>
          </w:tblCellMar>
        </w:tblPrEx>
        <w:trPr>
          <w:trHeight w:val="571" w:hRule="atLeast"/>
        </w:trPr>
        <w:tc>
          <w:tcPr>
            <w:tcW w:w="2923" w:type="dxa"/>
            <w:vMerge w:val="restart"/>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2</w:t>
            </w:r>
            <w:r>
              <w:rPr>
                <w:rFonts w:hint="eastAsia" w:ascii="宋体" w:hAnsi="宋体" w:eastAsia="仿宋体" w:cs="Times New Roman"/>
                <w:b w:val="0"/>
                <w:bCs/>
                <w:kern w:val="28"/>
                <w:sz w:val="21"/>
                <w:szCs w:val="21"/>
                <w:lang w:val="en-US" w:eastAsia="zh-CN" w:bidi="ar-SA"/>
              </w:rPr>
              <w:t>、电压辅助通道★</w:t>
            </w: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电压范围</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0V</w:t>
            </w:r>
            <w:r>
              <w:rPr>
                <w:rFonts w:hint="eastAsia" w:ascii="宋体" w:hAnsi="宋体" w:eastAsia="仿宋体" w:cs="Times New Roman"/>
                <w:b w:val="0"/>
                <w:bCs/>
                <w:kern w:val="28"/>
                <w:sz w:val="21"/>
                <w:szCs w:val="21"/>
                <w:lang w:val="en-US" w:eastAsia="zh-CN" w:bidi="ar-SA"/>
              </w:rPr>
              <w:t>～</w:t>
            </w:r>
            <w:r>
              <w:rPr>
                <w:rFonts w:hint="default" w:ascii="宋体" w:hAnsi="宋体" w:eastAsia="仿宋体" w:cs="Times New Roman"/>
                <w:b w:val="0"/>
                <w:bCs/>
                <w:kern w:val="28"/>
                <w:sz w:val="21"/>
                <w:szCs w:val="21"/>
                <w:lang w:val="en-US" w:eastAsia="zh-CN" w:bidi="ar-SA"/>
              </w:rPr>
              <w:t>5V</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电压精度</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±0.</w:t>
            </w:r>
            <w:r>
              <w:rPr>
                <w:rFonts w:hint="eastAsia" w:ascii="宋体" w:hAnsi="宋体" w:eastAsia="仿宋体" w:cs="Times New Roman"/>
                <w:b w:val="0"/>
                <w:bCs/>
                <w:kern w:val="28"/>
                <w:sz w:val="21"/>
                <w:szCs w:val="21"/>
                <w:lang w:val="en-US" w:eastAsia="zh-CN" w:bidi="ar-SA"/>
              </w:rPr>
              <w:t>1</w:t>
            </w:r>
            <w:r>
              <w:rPr>
                <w:rFonts w:hint="default" w:ascii="宋体" w:hAnsi="宋体" w:eastAsia="仿宋体" w:cs="Times New Roman"/>
                <w:b w:val="0"/>
                <w:bCs/>
                <w:kern w:val="28"/>
                <w:sz w:val="21"/>
                <w:szCs w:val="21"/>
                <w:lang w:val="en-US" w:eastAsia="zh-CN" w:bidi="ar-SA"/>
              </w:rPr>
              <w:t>% of FS</w:t>
            </w:r>
          </w:p>
        </w:tc>
      </w:tr>
      <w:tr>
        <w:tblPrEx>
          <w:tblCellMar>
            <w:top w:w="0" w:type="dxa"/>
            <w:left w:w="108" w:type="dxa"/>
            <w:bottom w:w="0" w:type="dxa"/>
            <w:right w:w="108" w:type="dxa"/>
          </w:tblCellMar>
        </w:tblPrEx>
        <w:trPr>
          <w:trHeight w:val="571" w:hRule="atLeast"/>
        </w:trPr>
        <w:tc>
          <w:tcPr>
            <w:tcW w:w="2923"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rPr>
                <w:rFonts w:ascii="仿宋" w:hAnsi="仿宋"/>
                <w:color w:val="000000"/>
                <w:sz w:val="21"/>
                <w:szCs w:val="21"/>
              </w:rPr>
            </w:pPr>
          </w:p>
        </w:tc>
        <w:tc>
          <w:tcPr>
            <w:tcW w:w="263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电压分辨率</w:t>
            </w:r>
          </w:p>
        </w:tc>
        <w:tc>
          <w:tcPr>
            <w:tcW w:w="3769"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default" w:ascii="宋体" w:hAnsi="宋体" w:eastAsia="仿宋体" w:cs="Times New Roman"/>
                <w:b w:val="0"/>
                <w:bCs/>
                <w:kern w:val="28"/>
                <w:sz w:val="21"/>
                <w:szCs w:val="21"/>
                <w:lang w:val="en-US" w:eastAsia="zh-CN" w:bidi="ar-SA"/>
              </w:rPr>
              <w:t>0.1mV</w:t>
            </w:r>
          </w:p>
        </w:tc>
      </w:tr>
      <w:tr>
        <w:tblPrEx>
          <w:tblCellMar>
            <w:top w:w="0" w:type="dxa"/>
            <w:left w:w="108" w:type="dxa"/>
            <w:bottom w:w="0" w:type="dxa"/>
            <w:right w:w="108" w:type="dxa"/>
          </w:tblCellMar>
        </w:tblPrEx>
        <w:trPr>
          <w:trHeight w:val="1703" w:hRule="atLeast"/>
        </w:trPr>
        <w:tc>
          <w:tcPr>
            <w:tcW w:w="2923"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center"/>
              <w:rPr>
                <w:rFonts w:ascii="仿宋" w:hAnsi="仿宋"/>
                <w:color w:val="000000"/>
                <w:sz w:val="21"/>
                <w:szCs w:val="21"/>
              </w:rPr>
            </w:pPr>
            <w:r>
              <w:rPr>
                <w:rFonts w:hint="eastAsia" w:ascii="宋体" w:hAnsi="宋体" w:eastAsia="仿宋体" w:cs="Times New Roman"/>
                <w:b w:val="0"/>
                <w:bCs/>
                <w:kern w:val="28"/>
                <w:sz w:val="21"/>
                <w:szCs w:val="21"/>
                <w:lang w:val="en-US" w:eastAsia="zh-CN" w:bidi="ar-SA"/>
              </w:rPr>
              <w:t>3、辅助测试系统要求</w:t>
            </w:r>
          </w:p>
        </w:tc>
        <w:tc>
          <w:tcPr>
            <w:tcW w:w="6399" w:type="dxa"/>
            <w:gridSpan w:val="2"/>
            <w:tcBorders>
              <w:top w:val="single" w:color="000000" w:sz="4" w:space="0"/>
              <w:left w:val="single" w:color="000000" w:sz="4" w:space="0"/>
              <w:bottom w:val="single" w:color="000000" w:sz="4" w:space="0"/>
              <w:right w:val="single" w:color="000000" w:sz="4" w:space="0"/>
            </w:tcBorders>
            <w:vAlign w:val="center"/>
          </w:tcPr>
          <w:p>
            <w:pPr>
              <w:numPr>
                <w:ilvl w:val="0"/>
                <w:numId w:val="0"/>
              </w:numPr>
              <w:ind w:firstLine="210" w:firstLineChars="100"/>
              <w:jc w:val="left"/>
              <w:rPr>
                <w:rFonts w:hint="default"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主要用于电池测试过程中表面、极耳温度的监控，测试精度高，测试数据能够与主电压、电流数据绑定，同时测量的温度可作为过程工步的控制条件和保护条件。</w:t>
            </w:r>
          </w:p>
        </w:tc>
      </w:tr>
    </w:tbl>
    <w:p>
      <w:pPr>
        <w:pStyle w:val="11"/>
        <w:numPr>
          <w:ilvl w:val="0"/>
          <w:numId w:val="1"/>
        </w:numPr>
        <w:ind w:firstLineChars="0"/>
        <w:rPr>
          <w:rFonts w:hint="eastAsia" w:ascii="宋体" w:hAnsi="宋体" w:eastAsia="仿宋体" w:cs="Times New Roman"/>
          <w:b w:val="0"/>
          <w:bCs/>
          <w:kern w:val="28"/>
          <w:sz w:val="21"/>
          <w:szCs w:val="21"/>
          <w:lang w:val="en-US" w:eastAsia="zh-CN" w:bidi="ar-SA"/>
        </w:rPr>
      </w:pPr>
      <w:r>
        <w:rPr>
          <w:rFonts w:hint="eastAsia" w:ascii="宋体" w:hAnsi="宋体" w:eastAsia="仿宋体" w:cs="Times New Roman"/>
          <w:b w:val="0"/>
          <w:bCs/>
          <w:kern w:val="28"/>
          <w:sz w:val="21"/>
          <w:szCs w:val="21"/>
          <w:lang w:val="en-US" w:eastAsia="zh-CN" w:bidi="ar-SA"/>
        </w:rPr>
        <w:t>号项目为核心指标，如不满足将导致技术部分废标。</w:t>
      </w:r>
    </w:p>
    <w:p>
      <w:pPr>
        <w:pStyle w:val="2"/>
        <w:rPr>
          <w:rFonts w:hint="eastAsia" w:ascii="宋体" w:hAnsi="宋体"/>
          <w:kern w:val="2"/>
          <w:sz w:val="21"/>
          <w:szCs w:val="21"/>
        </w:rPr>
      </w:pPr>
      <w:bookmarkStart w:id="47" w:name="_Toc251312660"/>
      <w:bookmarkStart w:id="48" w:name="_Toc268114127"/>
      <w:r>
        <w:rPr>
          <w:rFonts w:ascii="宋体" w:hAnsi="宋体"/>
          <w:kern w:val="2"/>
          <w:sz w:val="21"/>
          <w:szCs w:val="21"/>
        </w:rPr>
        <w:t xml:space="preserve">4  </w:t>
      </w:r>
      <w:r>
        <w:rPr>
          <w:rFonts w:hint="eastAsia" w:ascii="宋体" w:hAnsi="宋体"/>
          <w:kern w:val="2"/>
          <w:sz w:val="21"/>
          <w:szCs w:val="21"/>
        </w:rPr>
        <w:t>技术服务</w:t>
      </w:r>
      <w:bookmarkEnd w:id="47"/>
      <w:bookmarkEnd w:id="48"/>
    </w:p>
    <w:p>
      <w:pPr>
        <w:pStyle w:val="3"/>
        <w:spacing w:line="360" w:lineRule="auto"/>
        <w:ind w:left="0"/>
        <w:jc w:val="both"/>
        <w:rPr>
          <w:sz w:val="21"/>
          <w:szCs w:val="21"/>
          <w:lang w:val="zh-CN"/>
        </w:rPr>
      </w:pPr>
      <w:bookmarkStart w:id="49" w:name="_Toc268114128"/>
      <w:bookmarkStart w:id="50" w:name="_Toc251312661"/>
      <w:r>
        <w:rPr>
          <w:sz w:val="21"/>
          <w:szCs w:val="21"/>
          <w:lang w:val="zh-CN"/>
        </w:rPr>
        <w:t xml:space="preserve">4.1  </w:t>
      </w:r>
      <w:r>
        <w:rPr>
          <w:rFonts w:hint="eastAsia"/>
          <w:sz w:val="21"/>
          <w:szCs w:val="21"/>
          <w:lang w:val="zh-CN"/>
        </w:rPr>
        <w:t>应提供的技术文件</w:t>
      </w:r>
      <w:bookmarkEnd w:id="49"/>
      <w:bookmarkEnd w:id="50"/>
    </w:p>
    <w:p>
      <w:pPr>
        <w:spacing w:line="360" w:lineRule="auto"/>
        <w:ind w:left="34" w:leftChars="12"/>
        <w:rPr>
          <w:rFonts w:ascii="Arial" w:hAnsi="Arial"/>
          <w:sz w:val="21"/>
          <w:szCs w:val="21"/>
          <w:lang w:val="zh-CN"/>
        </w:rPr>
      </w:pPr>
      <w:bookmarkStart w:id="51" w:name="OLE_LINK4"/>
      <w:bookmarkStart w:id="52" w:name="OLE_LINK3"/>
      <w:r>
        <w:rPr>
          <w:rFonts w:hint="eastAsia" w:ascii="Arial" w:hAnsi="Arial"/>
          <w:sz w:val="21"/>
          <w:szCs w:val="21"/>
          <w:lang w:val="zh-CN"/>
        </w:rPr>
        <w:t>1）</w:t>
      </w:r>
      <w:bookmarkEnd w:id="51"/>
      <w:bookmarkEnd w:id="52"/>
      <w:r>
        <w:rPr>
          <w:rFonts w:hint="eastAsia" w:ascii="Arial" w:hAnsi="Arial"/>
          <w:sz w:val="21"/>
          <w:szCs w:val="21"/>
          <w:lang w:val="zh-CN"/>
        </w:rPr>
        <w:t>产品的</w:t>
      </w:r>
      <w:r>
        <w:rPr>
          <w:rFonts w:ascii="Arial" w:hAnsi="Arial"/>
          <w:sz w:val="21"/>
          <w:szCs w:val="21"/>
          <w:lang w:val="zh-CN"/>
        </w:rPr>
        <w:t>GB/T19001</w:t>
      </w:r>
      <w:r>
        <w:rPr>
          <w:rFonts w:hint="eastAsia" w:ascii="Arial" w:hAnsi="Arial"/>
          <w:sz w:val="21"/>
          <w:szCs w:val="21"/>
          <w:lang w:val="zh-CN"/>
        </w:rPr>
        <w:t>质量保证体系</w:t>
      </w:r>
      <w:r>
        <w:rPr>
          <w:rFonts w:hint="eastAsia" w:ascii="Arial" w:hAnsi="Arial"/>
          <w:sz w:val="21"/>
          <w:szCs w:val="21"/>
          <w:lang w:val="en-US" w:eastAsia="zh-CN"/>
        </w:rPr>
        <w:t>证书</w:t>
      </w:r>
      <w:r>
        <w:rPr>
          <w:rFonts w:hint="eastAsia" w:ascii="Arial" w:hAnsi="Arial"/>
          <w:sz w:val="21"/>
          <w:szCs w:val="21"/>
          <w:lang w:val="zh-CN"/>
        </w:rPr>
        <w:t>，能够证明该质量保证体系经过认证并且正常运转。</w:t>
      </w:r>
    </w:p>
    <w:p>
      <w:pPr>
        <w:pStyle w:val="3"/>
        <w:spacing w:line="360" w:lineRule="auto"/>
        <w:ind w:left="0"/>
        <w:jc w:val="both"/>
        <w:rPr>
          <w:sz w:val="21"/>
          <w:szCs w:val="21"/>
          <w:lang w:val="zh-CN"/>
        </w:rPr>
      </w:pPr>
      <w:bookmarkStart w:id="53" w:name="_Toc268114129"/>
      <w:bookmarkStart w:id="54" w:name="_Toc251312662"/>
      <w:r>
        <w:rPr>
          <w:sz w:val="21"/>
          <w:szCs w:val="21"/>
          <w:lang w:val="zh-CN"/>
        </w:rPr>
        <w:t xml:space="preserve">4.2  </w:t>
      </w:r>
      <w:r>
        <w:rPr>
          <w:rFonts w:hint="eastAsia"/>
          <w:sz w:val="21"/>
          <w:szCs w:val="21"/>
          <w:lang w:val="zh-CN"/>
        </w:rPr>
        <w:t>应提供的技术资料</w:t>
      </w:r>
      <w:bookmarkEnd w:id="53"/>
      <w:bookmarkEnd w:id="54"/>
    </w:p>
    <w:p>
      <w:pPr>
        <w:spacing w:line="360" w:lineRule="auto"/>
        <w:ind w:left="34" w:leftChars="12"/>
        <w:rPr>
          <w:rFonts w:ascii="Arial" w:hAnsi="Arial"/>
          <w:sz w:val="21"/>
          <w:szCs w:val="21"/>
          <w:lang w:val="zh-CN"/>
        </w:rPr>
      </w:pPr>
      <w:r>
        <w:rPr>
          <w:rFonts w:hint="eastAsia" w:ascii="Arial" w:hAnsi="Arial"/>
          <w:sz w:val="21"/>
          <w:szCs w:val="21"/>
          <w:lang w:val="zh-CN"/>
        </w:rPr>
        <w:t>资料和说明手册，主要包括：</w:t>
      </w:r>
    </w:p>
    <w:p>
      <w:pPr>
        <w:spacing w:line="360" w:lineRule="auto"/>
        <w:rPr>
          <w:rFonts w:ascii="Arial" w:hAnsi="Arial"/>
          <w:sz w:val="21"/>
          <w:szCs w:val="21"/>
          <w:lang w:val="zh-CN"/>
        </w:rPr>
      </w:pPr>
      <w:r>
        <w:rPr>
          <w:rFonts w:hint="eastAsia" w:ascii="Arial" w:hAnsi="Arial"/>
          <w:sz w:val="21"/>
          <w:szCs w:val="21"/>
          <w:lang w:val="zh-CN"/>
        </w:rPr>
        <w:t>1）产品的装配、运行、检验、维护、零件清单、推荐的部件以及型号等方面的说明；</w:t>
      </w:r>
    </w:p>
    <w:p>
      <w:pPr>
        <w:spacing w:line="360" w:lineRule="auto"/>
        <w:rPr>
          <w:rFonts w:ascii="Arial" w:hAnsi="Arial"/>
          <w:sz w:val="21"/>
          <w:szCs w:val="21"/>
          <w:lang w:val="zh-CN"/>
        </w:rPr>
      </w:pPr>
      <w:r>
        <w:rPr>
          <w:rFonts w:hint="eastAsia" w:ascii="Arial" w:hAnsi="Arial"/>
          <w:sz w:val="21"/>
          <w:szCs w:val="21"/>
          <w:lang w:val="zh-CN"/>
        </w:rPr>
        <w:t>2）试验设备及专用工具的说明和有关注意事项；</w:t>
      </w:r>
    </w:p>
    <w:p>
      <w:pPr>
        <w:spacing w:line="360" w:lineRule="auto"/>
        <w:rPr>
          <w:rFonts w:ascii="Arial" w:hAnsi="Arial"/>
          <w:sz w:val="21"/>
          <w:szCs w:val="21"/>
          <w:lang w:val="zh-CN"/>
        </w:rPr>
      </w:pPr>
      <w:r>
        <w:rPr>
          <w:rFonts w:hint="eastAsia" w:ascii="Arial" w:hAnsi="Arial"/>
          <w:sz w:val="21"/>
          <w:szCs w:val="21"/>
          <w:lang w:val="zh-CN"/>
        </w:rPr>
        <w:t>3）产品的正常试验、运行维护、故障诊断的说明。</w:t>
      </w:r>
    </w:p>
    <w:p>
      <w:pPr>
        <w:pStyle w:val="3"/>
        <w:spacing w:line="360" w:lineRule="auto"/>
        <w:ind w:left="0"/>
        <w:jc w:val="both"/>
        <w:rPr>
          <w:rFonts w:hint="eastAsia"/>
          <w:sz w:val="21"/>
          <w:szCs w:val="21"/>
          <w:lang w:val="zh-CN"/>
        </w:rPr>
      </w:pPr>
      <w:r>
        <w:rPr>
          <w:rFonts w:hint="eastAsia"/>
          <w:sz w:val="21"/>
          <w:szCs w:val="21"/>
          <w:lang w:val="zh-CN"/>
        </w:rPr>
        <w:t>4.</w:t>
      </w:r>
      <w:r>
        <w:rPr>
          <w:rFonts w:hint="eastAsia"/>
          <w:sz w:val="21"/>
          <w:szCs w:val="21"/>
          <w:lang w:val="en-US" w:eastAsia="zh-CN"/>
        </w:rPr>
        <w:t>3</w:t>
      </w:r>
      <w:r>
        <w:rPr>
          <w:rFonts w:hint="eastAsia"/>
          <w:sz w:val="21"/>
          <w:szCs w:val="21"/>
          <w:lang w:val="zh-CN"/>
        </w:rPr>
        <w:t xml:space="preserve"> 备品备件及专用工具</w:t>
      </w:r>
    </w:p>
    <w:p>
      <w:pPr>
        <w:spacing w:line="360" w:lineRule="auto"/>
        <w:ind w:left="34" w:leftChars="12"/>
        <w:rPr>
          <w:rFonts w:ascii="Arial" w:hAnsi="Arial"/>
          <w:sz w:val="21"/>
          <w:szCs w:val="21"/>
          <w:lang w:val="zh-CN"/>
        </w:rPr>
      </w:pPr>
      <w:r>
        <w:rPr>
          <w:rFonts w:hint="eastAsia" w:ascii="Arial" w:hAnsi="Arial"/>
          <w:sz w:val="21"/>
          <w:szCs w:val="21"/>
          <w:lang w:val="zh-CN"/>
        </w:rPr>
        <w:t>1）投标方应向招标方提供必要的备品备件，备品备件应是新品，与设备同型号、同工艺。</w:t>
      </w:r>
    </w:p>
    <w:p>
      <w:pPr>
        <w:spacing w:line="360" w:lineRule="auto"/>
        <w:ind w:left="34" w:leftChars="12"/>
        <w:jc w:val="center"/>
        <w:rPr>
          <w:rFonts w:ascii="Arial" w:hAnsi="Arial"/>
          <w:sz w:val="21"/>
          <w:szCs w:val="21"/>
          <w:lang w:val="zh-CN"/>
        </w:rPr>
      </w:pPr>
      <w:r>
        <w:rPr>
          <w:rFonts w:hint="eastAsia" w:ascii="Arial" w:hAnsi="Arial"/>
          <w:sz w:val="21"/>
          <w:szCs w:val="21"/>
          <w:lang w:val="zh-CN"/>
        </w:rPr>
        <w:t>表2 备品备件清单（格式）</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2080"/>
        <w:gridCol w:w="2323"/>
        <w:gridCol w:w="1074"/>
        <w:gridCol w:w="845"/>
        <w:gridCol w:w="1138"/>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3" w:type="pct"/>
            <w:noWrap w:val="0"/>
            <w:vAlign w:val="top"/>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序号</w:t>
            </w:r>
          </w:p>
        </w:tc>
        <w:tc>
          <w:tcPr>
            <w:tcW w:w="1086" w:type="pct"/>
            <w:noWrap w:val="0"/>
            <w:vAlign w:val="center"/>
          </w:tcPr>
          <w:p>
            <w:pPr>
              <w:spacing w:line="360" w:lineRule="auto"/>
              <w:jc w:val="center"/>
              <w:rPr>
                <w:rFonts w:ascii="Arial" w:hAnsi="Arial"/>
                <w:sz w:val="21"/>
                <w:szCs w:val="21"/>
                <w:lang w:val="zh-CN"/>
              </w:rPr>
            </w:pPr>
            <w:r>
              <w:rPr>
                <w:rFonts w:hint="eastAsia" w:ascii="Arial" w:hAnsi="Arial"/>
                <w:sz w:val="21"/>
                <w:szCs w:val="21"/>
                <w:lang w:val="zh-CN"/>
              </w:rPr>
              <w:t>名称</w:t>
            </w:r>
          </w:p>
        </w:tc>
        <w:tc>
          <w:tcPr>
            <w:tcW w:w="1213" w:type="pct"/>
            <w:noWrap w:val="0"/>
            <w:vAlign w:val="center"/>
          </w:tcPr>
          <w:p>
            <w:pPr>
              <w:spacing w:line="360" w:lineRule="auto"/>
              <w:jc w:val="center"/>
              <w:rPr>
                <w:rFonts w:ascii="Arial" w:hAnsi="Arial"/>
                <w:sz w:val="21"/>
                <w:szCs w:val="21"/>
                <w:lang w:val="zh-CN"/>
              </w:rPr>
            </w:pPr>
            <w:r>
              <w:rPr>
                <w:rFonts w:hint="eastAsia" w:ascii="Arial" w:hAnsi="Arial"/>
                <w:sz w:val="21"/>
                <w:szCs w:val="21"/>
                <w:lang w:val="zh-CN"/>
              </w:rPr>
              <w:t>型号及规格</w:t>
            </w:r>
          </w:p>
        </w:tc>
        <w:tc>
          <w:tcPr>
            <w:tcW w:w="561" w:type="pct"/>
            <w:noWrap w:val="0"/>
            <w:vAlign w:val="top"/>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单位</w:t>
            </w:r>
          </w:p>
        </w:tc>
        <w:tc>
          <w:tcPr>
            <w:tcW w:w="441" w:type="pct"/>
            <w:noWrap w:val="0"/>
            <w:vAlign w:val="top"/>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数量</w:t>
            </w:r>
          </w:p>
        </w:tc>
        <w:tc>
          <w:tcPr>
            <w:tcW w:w="594" w:type="pct"/>
            <w:noWrap w:val="0"/>
            <w:vAlign w:val="center"/>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使用处</w:t>
            </w:r>
          </w:p>
        </w:tc>
        <w:tc>
          <w:tcPr>
            <w:tcW w:w="543" w:type="pct"/>
            <w:noWrap w:val="0"/>
            <w:vAlign w:val="top"/>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pct"/>
            <w:noWrap w:val="0"/>
            <w:vAlign w:val="top"/>
          </w:tcPr>
          <w:p>
            <w:pPr>
              <w:spacing w:line="360" w:lineRule="auto"/>
              <w:rPr>
                <w:rFonts w:ascii="Arial" w:hAnsi="Arial"/>
                <w:sz w:val="21"/>
                <w:szCs w:val="21"/>
                <w:lang w:val="zh-CN"/>
              </w:rPr>
            </w:pPr>
          </w:p>
        </w:tc>
        <w:tc>
          <w:tcPr>
            <w:tcW w:w="1086" w:type="pct"/>
            <w:noWrap w:val="0"/>
            <w:vAlign w:val="top"/>
          </w:tcPr>
          <w:p>
            <w:pPr>
              <w:spacing w:line="360" w:lineRule="auto"/>
              <w:rPr>
                <w:rFonts w:ascii="Arial" w:hAnsi="Arial"/>
                <w:sz w:val="21"/>
                <w:szCs w:val="21"/>
                <w:lang w:val="zh-CN"/>
              </w:rPr>
            </w:pPr>
          </w:p>
        </w:tc>
        <w:tc>
          <w:tcPr>
            <w:tcW w:w="1213" w:type="pct"/>
            <w:noWrap w:val="0"/>
            <w:vAlign w:val="top"/>
          </w:tcPr>
          <w:p>
            <w:pPr>
              <w:spacing w:line="360" w:lineRule="auto"/>
              <w:rPr>
                <w:rFonts w:ascii="Arial" w:hAnsi="Arial"/>
                <w:sz w:val="21"/>
                <w:szCs w:val="21"/>
                <w:lang w:val="zh-CN"/>
              </w:rPr>
            </w:pPr>
          </w:p>
        </w:tc>
        <w:tc>
          <w:tcPr>
            <w:tcW w:w="561" w:type="pct"/>
            <w:noWrap w:val="0"/>
            <w:vAlign w:val="top"/>
          </w:tcPr>
          <w:p>
            <w:pPr>
              <w:spacing w:line="360" w:lineRule="auto"/>
              <w:rPr>
                <w:rFonts w:ascii="Arial" w:hAnsi="Arial"/>
                <w:sz w:val="21"/>
                <w:szCs w:val="21"/>
                <w:lang w:val="zh-CN"/>
              </w:rPr>
            </w:pPr>
          </w:p>
        </w:tc>
        <w:tc>
          <w:tcPr>
            <w:tcW w:w="441" w:type="pct"/>
            <w:noWrap w:val="0"/>
            <w:vAlign w:val="top"/>
          </w:tcPr>
          <w:p>
            <w:pPr>
              <w:spacing w:line="360" w:lineRule="auto"/>
              <w:rPr>
                <w:rFonts w:ascii="Arial" w:hAnsi="Arial"/>
                <w:sz w:val="21"/>
                <w:szCs w:val="21"/>
                <w:lang w:val="zh-CN"/>
              </w:rPr>
            </w:pPr>
          </w:p>
        </w:tc>
        <w:tc>
          <w:tcPr>
            <w:tcW w:w="594" w:type="pct"/>
            <w:noWrap w:val="0"/>
            <w:vAlign w:val="top"/>
          </w:tcPr>
          <w:p>
            <w:pPr>
              <w:spacing w:line="360" w:lineRule="auto"/>
              <w:rPr>
                <w:rFonts w:ascii="Arial" w:hAnsi="Arial"/>
                <w:sz w:val="21"/>
                <w:szCs w:val="21"/>
                <w:lang w:val="zh-CN"/>
              </w:rPr>
            </w:pPr>
          </w:p>
        </w:tc>
        <w:tc>
          <w:tcPr>
            <w:tcW w:w="543" w:type="pct"/>
            <w:noWrap w:val="0"/>
            <w:vAlign w:val="top"/>
          </w:tcPr>
          <w:p>
            <w:pPr>
              <w:spacing w:line="360" w:lineRule="auto"/>
              <w:rPr>
                <w:rFonts w:ascii="Arial" w:hAnsi="Arial"/>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pct"/>
            <w:noWrap w:val="0"/>
            <w:vAlign w:val="top"/>
          </w:tcPr>
          <w:p>
            <w:pPr>
              <w:spacing w:line="360" w:lineRule="auto"/>
              <w:rPr>
                <w:rFonts w:ascii="Arial" w:hAnsi="Arial"/>
                <w:sz w:val="21"/>
                <w:szCs w:val="21"/>
                <w:lang w:val="zh-CN"/>
              </w:rPr>
            </w:pPr>
          </w:p>
        </w:tc>
        <w:tc>
          <w:tcPr>
            <w:tcW w:w="1086" w:type="pct"/>
            <w:noWrap w:val="0"/>
            <w:vAlign w:val="top"/>
          </w:tcPr>
          <w:p>
            <w:pPr>
              <w:spacing w:line="360" w:lineRule="auto"/>
              <w:rPr>
                <w:rFonts w:ascii="Arial" w:hAnsi="Arial"/>
                <w:sz w:val="21"/>
                <w:szCs w:val="21"/>
                <w:lang w:val="zh-CN"/>
              </w:rPr>
            </w:pPr>
          </w:p>
        </w:tc>
        <w:tc>
          <w:tcPr>
            <w:tcW w:w="1213" w:type="pct"/>
            <w:noWrap w:val="0"/>
            <w:vAlign w:val="top"/>
          </w:tcPr>
          <w:p>
            <w:pPr>
              <w:spacing w:line="360" w:lineRule="auto"/>
              <w:rPr>
                <w:rFonts w:ascii="Arial" w:hAnsi="Arial"/>
                <w:sz w:val="21"/>
                <w:szCs w:val="21"/>
                <w:lang w:val="zh-CN"/>
              </w:rPr>
            </w:pPr>
          </w:p>
        </w:tc>
        <w:tc>
          <w:tcPr>
            <w:tcW w:w="561" w:type="pct"/>
            <w:noWrap w:val="0"/>
            <w:vAlign w:val="top"/>
          </w:tcPr>
          <w:p>
            <w:pPr>
              <w:spacing w:line="360" w:lineRule="auto"/>
              <w:rPr>
                <w:rFonts w:ascii="Arial" w:hAnsi="Arial"/>
                <w:sz w:val="21"/>
                <w:szCs w:val="21"/>
                <w:lang w:val="zh-CN"/>
              </w:rPr>
            </w:pPr>
          </w:p>
        </w:tc>
        <w:tc>
          <w:tcPr>
            <w:tcW w:w="441" w:type="pct"/>
            <w:noWrap w:val="0"/>
            <w:vAlign w:val="top"/>
          </w:tcPr>
          <w:p>
            <w:pPr>
              <w:spacing w:line="360" w:lineRule="auto"/>
              <w:rPr>
                <w:rFonts w:ascii="Arial" w:hAnsi="Arial"/>
                <w:sz w:val="21"/>
                <w:szCs w:val="21"/>
                <w:lang w:val="zh-CN"/>
              </w:rPr>
            </w:pPr>
          </w:p>
        </w:tc>
        <w:tc>
          <w:tcPr>
            <w:tcW w:w="594" w:type="pct"/>
            <w:noWrap w:val="0"/>
            <w:vAlign w:val="top"/>
          </w:tcPr>
          <w:p>
            <w:pPr>
              <w:spacing w:line="360" w:lineRule="auto"/>
              <w:rPr>
                <w:rFonts w:ascii="Arial" w:hAnsi="Arial"/>
                <w:sz w:val="21"/>
                <w:szCs w:val="21"/>
                <w:lang w:val="zh-CN"/>
              </w:rPr>
            </w:pPr>
          </w:p>
        </w:tc>
        <w:tc>
          <w:tcPr>
            <w:tcW w:w="543" w:type="pct"/>
            <w:noWrap w:val="0"/>
            <w:vAlign w:val="top"/>
          </w:tcPr>
          <w:p>
            <w:pPr>
              <w:spacing w:line="360" w:lineRule="auto"/>
              <w:rPr>
                <w:rFonts w:ascii="Arial" w:hAnsi="Arial"/>
                <w:sz w:val="21"/>
                <w:szCs w:val="21"/>
                <w:lang w:val="zh-CN"/>
              </w:rPr>
            </w:pPr>
          </w:p>
        </w:tc>
      </w:tr>
    </w:tbl>
    <w:p>
      <w:pPr>
        <w:spacing w:line="360" w:lineRule="auto"/>
        <w:rPr>
          <w:rFonts w:ascii="Arial" w:hAnsi="Arial"/>
          <w:sz w:val="21"/>
          <w:szCs w:val="21"/>
          <w:lang w:val="zh-CN"/>
        </w:rPr>
      </w:pPr>
      <w:r>
        <w:rPr>
          <w:rFonts w:hint="eastAsia" w:ascii="Arial" w:hAnsi="Arial"/>
          <w:sz w:val="21"/>
          <w:szCs w:val="21"/>
          <w:lang w:val="zh-CN"/>
        </w:rPr>
        <w:t>2）投标方应向招标方提供专用工具及仪器见表3。</w:t>
      </w:r>
    </w:p>
    <w:p>
      <w:pPr>
        <w:spacing w:line="360" w:lineRule="auto"/>
        <w:ind w:left="34" w:leftChars="12"/>
        <w:jc w:val="center"/>
        <w:rPr>
          <w:rFonts w:ascii="Arial" w:hAnsi="Arial"/>
          <w:sz w:val="21"/>
          <w:szCs w:val="21"/>
          <w:lang w:val="zh-CN"/>
        </w:rPr>
      </w:pPr>
      <w:r>
        <w:rPr>
          <w:rFonts w:hint="eastAsia" w:ascii="Arial" w:hAnsi="Arial"/>
          <w:sz w:val="21"/>
          <w:szCs w:val="21"/>
          <w:lang w:val="zh-CN"/>
        </w:rPr>
        <w:t>表3专用工具及仪器（格式）</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2070"/>
        <w:gridCol w:w="2388"/>
        <w:gridCol w:w="1115"/>
        <w:gridCol w:w="795"/>
        <w:gridCol w:w="1027"/>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64" w:type="pct"/>
            <w:noWrap w:val="0"/>
            <w:vAlign w:val="center"/>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序号</w:t>
            </w:r>
          </w:p>
        </w:tc>
        <w:tc>
          <w:tcPr>
            <w:tcW w:w="1081" w:type="pct"/>
            <w:noWrap w:val="0"/>
            <w:vAlign w:val="center"/>
          </w:tcPr>
          <w:p>
            <w:pPr>
              <w:spacing w:line="360" w:lineRule="auto"/>
              <w:jc w:val="center"/>
              <w:rPr>
                <w:rFonts w:ascii="Arial" w:hAnsi="Arial"/>
                <w:sz w:val="21"/>
                <w:szCs w:val="21"/>
                <w:lang w:val="zh-CN"/>
              </w:rPr>
            </w:pPr>
            <w:r>
              <w:rPr>
                <w:rFonts w:hint="eastAsia" w:ascii="Arial" w:hAnsi="Arial"/>
                <w:sz w:val="21"/>
                <w:szCs w:val="21"/>
                <w:lang w:val="zh-CN"/>
              </w:rPr>
              <w:t>名称</w:t>
            </w:r>
          </w:p>
        </w:tc>
        <w:tc>
          <w:tcPr>
            <w:tcW w:w="1247" w:type="pct"/>
            <w:noWrap w:val="0"/>
            <w:vAlign w:val="center"/>
          </w:tcPr>
          <w:p>
            <w:pPr>
              <w:spacing w:line="360" w:lineRule="auto"/>
              <w:jc w:val="center"/>
              <w:rPr>
                <w:rFonts w:ascii="Arial" w:hAnsi="Arial"/>
                <w:sz w:val="21"/>
                <w:szCs w:val="21"/>
                <w:lang w:val="zh-CN"/>
              </w:rPr>
            </w:pPr>
            <w:r>
              <w:rPr>
                <w:rFonts w:hint="eastAsia" w:ascii="Arial" w:hAnsi="Arial"/>
                <w:sz w:val="21"/>
                <w:szCs w:val="21"/>
                <w:lang w:val="zh-CN"/>
              </w:rPr>
              <w:t>型号及规格</w:t>
            </w:r>
          </w:p>
        </w:tc>
        <w:tc>
          <w:tcPr>
            <w:tcW w:w="582" w:type="pct"/>
            <w:noWrap w:val="0"/>
            <w:vAlign w:val="center"/>
          </w:tcPr>
          <w:p>
            <w:pPr>
              <w:spacing w:line="360" w:lineRule="auto"/>
              <w:jc w:val="center"/>
              <w:rPr>
                <w:rFonts w:ascii="Arial" w:hAnsi="Arial"/>
                <w:sz w:val="21"/>
                <w:szCs w:val="21"/>
                <w:lang w:val="zh-CN"/>
              </w:rPr>
            </w:pPr>
            <w:r>
              <w:rPr>
                <w:rFonts w:hint="eastAsia" w:ascii="Arial" w:hAnsi="Arial"/>
                <w:sz w:val="21"/>
                <w:szCs w:val="21"/>
                <w:lang w:val="zh-CN"/>
              </w:rPr>
              <w:t>单位</w:t>
            </w:r>
          </w:p>
        </w:tc>
        <w:tc>
          <w:tcPr>
            <w:tcW w:w="415" w:type="pct"/>
            <w:noWrap w:val="0"/>
            <w:vAlign w:val="center"/>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数量</w:t>
            </w:r>
          </w:p>
        </w:tc>
        <w:tc>
          <w:tcPr>
            <w:tcW w:w="536" w:type="pct"/>
            <w:noWrap w:val="0"/>
            <w:vAlign w:val="center"/>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用 途</w:t>
            </w:r>
          </w:p>
        </w:tc>
        <w:tc>
          <w:tcPr>
            <w:tcW w:w="575" w:type="pct"/>
            <w:noWrap w:val="0"/>
            <w:vAlign w:val="center"/>
          </w:tcPr>
          <w:p>
            <w:pPr>
              <w:spacing w:line="360" w:lineRule="auto"/>
              <w:ind w:left="0" w:leftChars="0" w:firstLine="0" w:firstLineChars="0"/>
              <w:jc w:val="both"/>
              <w:rPr>
                <w:rFonts w:ascii="Arial" w:hAnsi="Arial"/>
                <w:sz w:val="21"/>
                <w:szCs w:val="21"/>
                <w:lang w:val="zh-CN"/>
              </w:rPr>
            </w:pPr>
            <w:r>
              <w:rPr>
                <w:rFonts w:hint="eastAsia" w:ascii="Arial" w:hAnsi="Arial"/>
                <w:sz w:val="21"/>
                <w:szCs w:val="21"/>
                <w:lang w:val="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564" w:type="pct"/>
            <w:noWrap w:val="0"/>
            <w:vAlign w:val="top"/>
          </w:tcPr>
          <w:p>
            <w:pPr>
              <w:spacing w:line="360" w:lineRule="auto"/>
              <w:rPr>
                <w:rFonts w:ascii="Arial" w:hAnsi="Arial"/>
                <w:sz w:val="21"/>
                <w:szCs w:val="21"/>
                <w:lang w:val="zh-CN"/>
              </w:rPr>
            </w:pPr>
          </w:p>
        </w:tc>
        <w:tc>
          <w:tcPr>
            <w:tcW w:w="1081" w:type="pct"/>
            <w:noWrap w:val="0"/>
            <w:vAlign w:val="top"/>
          </w:tcPr>
          <w:p>
            <w:pPr>
              <w:spacing w:line="360" w:lineRule="auto"/>
              <w:rPr>
                <w:rFonts w:ascii="Arial" w:hAnsi="Arial"/>
                <w:sz w:val="21"/>
                <w:szCs w:val="21"/>
                <w:lang w:val="zh-CN"/>
              </w:rPr>
            </w:pPr>
          </w:p>
        </w:tc>
        <w:tc>
          <w:tcPr>
            <w:tcW w:w="1247" w:type="pct"/>
            <w:noWrap w:val="0"/>
            <w:vAlign w:val="top"/>
          </w:tcPr>
          <w:p>
            <w:pPr>
              <w:spacing w:line="360" w:lineRule="auto"/>
              <w:rPr>
                <w:rFonts w:ascii="Arial" w:hAnsi="Arial"/>
                <w:sz w:val="21"/>
                <w:szCs w:val="21"/>
                <w:lang w:val="zh-CN"/>
              </w:rPr>
            </w:pPr>
          </w:p>
        </w:tc>
        <w:tc>
          <w:tcPr>
            <w:tcW w:w="582" w:type="pct"/>
            <w:noWrap w:val="0"/>
            <w:vAlign w:val="top"/>
          </w:tcPr>
          <w:p>
            <w:pPr>
              <w:spacing w:line="360" w:lineRule="auto"/>
              <w:rPr>
                <w:rFonts w:ascii="Arial" w:hAnsi="Arial"/>
                <w:sz w:val="21"/>
                <w:szCs w:val="21"/>
                <w:lang w:val="zh-CN"/>
              </w:rPr>
            </w:pPr>
          </w:p>
        </w:tc>
        <w:tc>
          <w:tcPr>
            <w:tcW w:w="415" w:type="pct"/>
            <w:noWrap w:val="0"/>
            <w:vAlign w:val="top"/>
          </w:tcPr>
          <w:p>
            <w:pPr>
              <w:spacing w:line="360" w:lineRule="auto"/>
              <w:rPr>
                <w:rFonts w:ascii="Arial" w:hAnsi="Arial"/>
                <w:sz w:val="21"/>
                <w:szCs w:val="21"/>
                <w:lang w:val="zh-CN"/>
              </w:rPr>
            </w:pPr>
          </w:p>
        </w:tc>
        <w:tc>
          <w:tcPr>
            <w:tcW w:w="536" w:type="pct"/>
            <w:noWrap w:val="0"/>
            <w:vAlign w:val="top"/>
          </w:tcPr>
          <w:p>
            <w:pPr>
              <w:spacing w:line="360" w:lineRule="auto"/>
              <w:rPr>
                <w:rFonts w:ascii="Arial" w:hAnsi="Arial"/>
                <w:sz w:val="21"/>
                <w:szCs w:val="21"/>
                <w:lang w:val="zh-CN"/>
              </w:rPr>
            </w:pPr>
          </w:p>
        </w:tc>
        <w:tc>
          <w:tcPr>
            <w:tcW w:w="575" w:type="pct"/>
            <w:noWrap w:val="0"/>
            <w:vAlign w:val="top"/>
          </w:tcPr>
          <w:p>
            <w:pPr>
              <w:spacing w:line="360" w:lineRule="auto"/>
              <w:rPr>
                <w:rFonts w:ascii="Arial" w:hAnsi="Arial"/>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564" w:type="pct"/>
            <w:noWrap w:val="0"/>
            <w:vAlign w:val="top"/>
          </w:tcPr>
          <w:p>
            <w:pPr>
              <w:spacing w:line="360" w:lineRule="auto"/>
              <w:rPr>
                <w:rFonts w:ascii="Arial" w:hAnsi="Arial"/>
                <w:sz w:val="21"/>
                <w:szCs w:val="21"/>
                <w:lang w:val="zh-CN"/>
              </w:rPr>
            </w:pPr>
          </w:p>
        </w:tc>
        <w:tc>
          <w:tcPr>
            <w:tcW w:w="1081" w:type="pct"/>
            <w:noWrap w:val="0"/>
            <w:vAlign w:val="top"/>
          </w:tcPr>
          <w:p>
            <w:pPr>
              <w:spacing w:line="360" w:lineRule="auto"/>
              <w:rPr>
                <w:rFonts w:ascii="Arial" w:hAnsi="Arial"/>
                <w:sz w:val="21"/>
                <w:szCs w:val="21"/>
                <w:lang w:val="zh-CN"/>
              </w:rPr>
            </w:pPr>
          </w:p>
        </w:tc>
        <w:tc>
          <w:tcPr>
            <w:tcW w:w="1247" w:type="pct"/>
            <w:noWrap w:val="0"/>
            <w:vAlign w:val="top"/>
          </w:tcPr>
          <w:p>
            <w:pPr>
              <w:spacing w:line="360" w:lineRule="auto"/>
              <w:rPr>
                <w:rFonts w:ascii="Arial" w:hAnsi="Arial"/>
                <w:sz w:val="21"/>
                <w:szCs w:val="21"/>
                <w:lang w:val="zh-CN"/>
              </w:rPr>
            </w:pPr>
          </w:p>
        </w:tc>
        <w:tc>
          <w:tcPr>
            <w:tcW w:w="582" w:type="pct"/>
            <w:noWrap w:val="0"/>
            <w:vAlign w:val="top"/>
          </w:tcPr>
          <w:p>
            <w:pPr>
              <w:spacing w:line="360" w:lineRule="auto"/>
              <w:rPr>
                <w:rFonts w:ascii="Arial" w:hAnsi="Arial"/>
                <w:sz w:val="21"/>
                <w:szCs w:val="21"/>
                <w:lang w:val="zh-CN"/>
              </w:rPr>
            </w:pPr>
          </w:p>
        </w:tc>
        <w:tc>
          <w:tcPr>
            <w:tcW w:w="415" w:type="pct"/>
            <w:noWrap w:val="0"/>
            <w:vAlign w:val="top"/>
          </w:tcPr>
          <w:p>
            <w:pPr>
              <w:spacing w:line="360" w:lineRule="auto"/>
              <w:rPr>
                <w:rFonts w:ascii="Arial" w:hAnsi="Arial"/>
                <w:sz w:val="21"/>
                <w:szCs w:val="21"/>
                <w:lang w:val="zh-CN"/>
              </w:rPr>
            </w:pPr>
          </w:p>
        </w:tc>
        <w:tc>
          <w:tcPr>
            <w:tcW w:w="536" w:type="pct"/>
            <w:noWrap w:val="0"/>
            <w:vAlign w:val="top"/>
          </w:tcPr>
          <w:p>
            <w:pPr>
              <w:spacing w:line="360" w:lineRule="auto"/>
              <w:rPr>
                <w:rFonts w:ascii="Arial" w:hAnsi="Arial"/>
                <w:sz w:val="21"/>
                <w:szCs w:val="21"/>
                <w:lang w:val="zh-CN"/>
              </w:rPr>
            </w:pPr>
          </w:p>
        </w:tc>
        <w:tc>
          <w:tcPr>
            <w:tcW w:w="575" w:type="pct"/>
            <w:noWrap w:val="0"/>
            <w:vAlign w:val="top"/>
          </w:tcPr>
          <w:p>
            <w:pPr>
              <w:spacing w:line="360" w:lineRule="auto"/>
              <w:rPr>
                <w:rFonts w:ascii="Arial" w:hAnsi="Arial"/>
                <w:sz w:val="21"/>
                <w:szCs w:val="21"/>
                <w:lang w:val="zh-CN"/>
              </w:rPr>
            </w:pPr>
          </w:p>
        </w:tc>
      </w:tr>
    </w:tbl>
    <w:p>
      <w:pPr>
        <w:pStyle w:val="3"/>
        <w:spacing w:line="360" w:lineRule="auto"/>
        <w:ind w:left="0"/>
        <w:jc w:val="both"/>
        <w:rPr>
          <w:sz w:val="21"/>
          <w:szCs w:val="21"/>
          <w:lang w:val="zh-CN"/>
        </w:rPr>
      </w:pPr>
      <w:bookmarkStart w:id="55" w:name="_Toc251312663"/>
      <w:bookmarkStart w:id="56" w:name="_Toc268114130"/>
    </w:p>
    <w:p>
      <w:pPr>
        <w:pStyle w:val="3"/>
        <w:spacing w:line="360" w:lineRule="auto"/>
        <w:ind w:left="0" w:firstLine="211" w:firstLineChars="100"/>
        <w:jc w:val="both"/>
        <w:rPr>
          <w:rFonts w:hint="eastAsia"/>
          <w:color w:val="auto"/>
          <w:sz w:val="21"/>
          <w:szCs w:val="21"/>
          <w:lang w:val="zh-CN"/>
        </w:rPr>
      </w:pPr>
      <w:r>
        <w:rPr>
          <w:color w:val="auto"/>
          <w:sz w:val="21"/>
          <w:szCs w:val="21"/>
          <w:lang w:val="zh-CN"/>
        </w:rPr>
        <w:t>4</w:t>
      </w:r>
      <w:r>
        <w:rPr>
          <w:rFonts w:hint="eastAsia"/>
          <w:color w:val="auto"/>
          <w:sz w:val="21"/>
          <w:szCs w:val="21"/>
          <w:lang w:val="en-US" w:eastAsia="zh-CN"/>
        </w:rPr>
        <w:t>.4</w:t>
      </w:r>
      <w:r>
        <w:rPr>
          <w:color w:val="auto"/>
          <w:sz w:val="21"/>
          <w:szCs w:val="21"/>
          <w:lang w:val="zh-CN"/>
        </w:rPr>
        <w:t xml:space="preserve"> </w:t>
      </w:r>
      <w:r>
        <w:rPr>
          <w:rFonts w:hint="eastAsia"/>
          <w:color w:val="auto"/>
          <w:sz w:val="21"/>
          <w:szCs w:val="21"/>
          <w:lang w:val="zh-CN"/>
        </w:rPr>
        <w:t>技术配合</w:t>
      </w:r>
      <w:bookmarkEnd w:id="55"/>
      <w:bookmarkEnd w:id="56"/>
    </w:p>
    <w:p>
      <w:pPr>
        <w:spacing w:line="360" w:lineRule="auto"/>
        <w:ind w:left="34" w:leftChars="12"/>
        <w:rPr>
          <w:rFonts w:ascii="Arial" w:hAnsi="Arial"/>
          <w:color w:val="auto"/>
          <w:sz w:val="21"/>
          <w:szCs w:val="21"/>
          <w:lang w:val="zh-CN"/>
        </w:rPr>
      </w:pPr>
      <w:r>
        <w:rPr>
          <w:rFonts w:ascii="Arial" w:hAnsi="Arial"/>
          <w:color w:val="auto"/>
          <w:sz w:val="21"/>
          <w:szCs w:val="21"/>
          <w:lang w:val="zh-CN"/>
        </w:rPr>
        <w:t>1</w:t>
      </w:r>
      <w:r>
        <w:rPr>
          <w:rFonts w:hint="eastAsia" w:ascii="Arial" w:hAnsi="Arial"/>
          <w:color w:val="auto"/>
          <w:sz w:val="21"/>
          <w:szCs w:val="21"/>
          <w:lang w:val="zh-CN"/>
        </w:rPr>
        <w:t>）现场安装</w:t>
      </w:r>
      <w:r>
        <w:rPr>
          <w:rFonts w:ascii="Arial" w:hAnsi="Arial"/>
          <w:color w:val="auto"/>
          <w:sz w:val="21"/>
          <w:szCs w:val="21"/>
          <w:lang w:val="zh-CN"/>
        </w:rPr>
        <w:t>/</w:t>
      </w:r>
      <w:r>
        <w:rPr>
          <w:rFonts w:hint="eastAsia" w:ascii="Arial" w:hAnsi="Arial"/>
          <w:color w:val="auto"/>
          <w:sz w:val="21"/>
          <w:szCs w:val="21"/>
          <w:lang w:val="zh-CN"/>
        </w:rPr>
        <w:t>投运的合作和管理。</w:t>
      </w:r>
    </w:p>
    <w:p>
      <w:pPr>
        <w:spacing w:line="360" w:lineRule="auto"/>
        <w:ind w:left="34" w:leftChars="12"/>
        <w:rPr>
          <w:rFonts w:ascii="Arial" w:hAnsi="Arial"/>
          <w:color w:val="auto"/>
          <w:sz w:val="21"/>
          <w:szCs w:val="21"/>
          <w:lang w:val="zh-CN"/>
        </w:rPr>
      </w:pPr>
      <w:r>
        <w:rPr>
          <w:rFonts w:ascii="Arial" w:hAnsi="Arial"/>
          <w:color w:val="auto"/>
          <w:sz w:val="21"/>
          <w:szCs w:val="21"/>
          <w:lang w:val="zh-CN"/>
        </w:rPr>
        <w:t>2</w:t>
      </w:r>
      <w:r>
        <w:rPr>
          <w:rFonts w:hint="eastAsia" w:ascii="Arial" w:hAnsi="Arial"/>
          <w:color w:val="auto"/>
          <w:sz w:val="21"/>
          <w:szCs w:val="21"/>
          <w:lang w:val="zh-CN"/>
        </w:rPr>
        <w:t>）提供设备的现场验收、测试方案和技术指标。</w:t>
      </w:r>
    </w:p>
    <w:p>
      <w:pPr>
        <w:spacing w:line="360" w:lineRule="auto"/>
        <w:ind w:left="34" w:leftChars="12"/>
        <w:rPr>
          <w:rFonts w:ascii="Arial" w:hAnsi="Arial"/>
          <w:color w:val="auto"/>
          <w:sz w:val="21"/>
          <w:szCs w:val="21"/>
          <w:lang w:val="zh-CN"/>
        </w:rPr>
      </w:pPr>
      <w:r>
        <w:rPr>
          <w:rFonts w:ascii="Arial" w:hAnsi="Arial"/>
          <w:color w:val="auto"/>
          <w:sz w:val="21"/>
          <w:szCs w:val="21"/>
          <w:lang w:val="zh-CN"/>
        </w:rPr>
        <w:t>3</w:t>
      </w:r>
      <w:r>
        <w:rPr>
          <w:rFonts w:hint="eastAsia" w:ascii="Arial" w:hAnsi="Arial"/>
          <w:color w:val="auto"/>
          <w:sz w:val="21"/>
          <w:szCs w:val="21"/>
          <w:lang w:val="zh-CN"/>
        </w:rPr>
        <w:t>）</w:t>
      </w:r>
      <w:r>
        <w:rPr>
          <w:rFonts w:ascii="Arial" w:hAnsi="Arial"/>
          <w:color w:val="auto"/>
          <w:sz w:val="21"/>
          <w:szCs w:val="21"/>
          <w:lang w:val="zh-CN"/>
        </w:rPr>
        <w:tab/>
      </w:r>
      <w:r>
        <w:rPr>
          <w:rFonts w:hint="eastAsia" w:ascii="Arial" w:hAnsi="Arial"/>
          <w:color w:val="auto"/>
          <w:sz w:val="21"/>
          <w:szCs w:val="21"/>
          <w:lang w:val="zh-CN"/>
        </w:rPr>
        <w:t>其它约定配合工作。</w:t>
      </w:r>
    </w:p>
    <w:p>
      <w:pPr>
        <w:pStyle w:val="11"/>
        <w:numPr>
          <w:ilvl w:val="0"/>
          <w:numId w:val="0"/>
        </w:numPr>
        <w:ind w:left="930" w:leftChars="0"/>
        <w:rPr>
          <w:sz w:val="21"/>
          <w:szCs w:val="21"/>
        </w:rPr>
      </w:pPr>
    </w:p>
    <w:sectPr>
      <w:headerReference r:id="rId5" w:type="default"/>
      <w:footerReference r:id="rId6" w:type="default"/>
      <w:pgSz w:w="11906" w:h="16838"/>
      <w:pgMar w:top="1247" w:right="1287" w:bottom="936" w:left="1259" w:header="737" w:footer="992" w:gutter="0"/>
      <w:cols w:space="720"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体">
    <w:altName w:val="宋体"/>
    <w:panose1 w:val="00000000000000000000"/>
    <w:charset w:val="86"/>
    <w:family w:val="roman"/>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1"/>
      <w:jc w:val="center"/>
    </w:pPr>
    <w:r>
      <w:rPr>
        <w:b/>
        <w:bCs/>
      </w:rPr>
      <w:fldChar w:fldCharType="begin"/>
    </w:r>
    <w:r>
      <w:rPr>
        <w:b/>
        <w:bCs/>
      </w:rPr>
      <w:instrText xml:space="preserve">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 xml:space="preserve">NUMPAGES  \* Arabic  \* MERGEFORMAT</w:instrText>
    </w:r>
    <w:r>
      <w:rPr>
        <w:b/>
        <w:bCs/>
      </w:rPr>
      <w:fldChar w:fldCharType="separate"/>
    </w:r>
    <w:r>
      <w:rPr>
        <w:b/>
        <w:bCs/>
        <w:lang w:val="zh-CN"/>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5D7044"/>
    <w:multiLevelType w:val="multilevel"/>
    <w:tmpl w:val="5D5D7044"/>
    <w:lvl w:ilvl="0" w:tentative="0">
      <w:start w:val="2"/>
      <w:numFmt w:val="bullet"/>
      <w:lvlText w:val="★"/>
      <w:lvlJc w:val="left"/>
      <w:pPr>
        <w:ind w:left="1290" w:hanging="360"/>
      </w:pPr>
      <w:rPr>
        <w:rFonts w:hint="eastAsia" w:ascii="仿宋" w:hAnsi="仿宋" w:eastAsia="仿宋" w:cs="宋体"/>
        <w:b w:val="0"/>
        <w:color w:val="000000"/>
        <w:sz w:val="24"/>
      </w:rPr>
    </w:lvl>
    <w:lvl w:ilvl="1" w:tentative="0">
      <w:start w:val="1"/>
      <w:numFmt w:val="bullet"/>
      <w:lvlText w:val=""/>
      <w:lvlJc w:val="left"/>
      <w:pPr>
        <w:ind w:left="1770" w:hanging="420"/>
      </w:pPr>
      <w:rPr>
        <w:rFonts w:hint="default" w:ascii="Wingdings" w:hAnsi="Wingdings"/>
      </w:rPr>
    </w:lvl>
    <w:lvl w:ilvl="2" w:tentative="0">
      <w:start w:val="1"/>
      <w:numFmt w:val="bullet"/>
      <w:lvlText w:val=""/>
      <w:lvlJc w:val="left"/>
      <w:pPr>
        <w:ind w:left="2190" w:hanging="420"/>
      </w:pPr>
      <w:rPr>
        <w:rFonts w:hint="default" w:ascii="Wingdings" w:hAnsi="Wingdings"/>
      </w:rPr>
    </w:lvl>
    <w:lvl w:ilvl="3" w:tentative="0">
      <w:start w:val="1"/>
      <w:numFmt w:val="bullet"/>
      <w:lvlText w:val=""/>
      <w:lvlJc w:val="left"/>
      <w:pPr>
        <w:ind w:left="2610" w:hanging="420"/>
      </w:pPr>
      <w:rPr>
        <w:rFonts w:hint="default" w:ascii="Wingdings" w:hAnsi="Wingdings"/>
      </w:rPr>
    </w:lvl>
    <w:lvl w:ilvl="4" w:tentative="0">
      <w:start w:val="1"/>
      <w:numFmt w:val="bullet"/>
      <w:lvlText w:val=""/>
      <w:lvlJc w:val="left"/>
      <w:pPr>
        <w:ind w:left="3030" w:hanging="420"/>
      </w:pPr>
      <w:rPr>
        <w:rFonts w:hint="default" w:ascii="Wingdings" w:hAnsi="Wingdings"/>
      </w:rPr>
    </w:lvl>
    <w:lvl w:ilvl="5" w:tentative="0">
      <w:start w:val="1"/>
      <w:numFmt w:val="bullet"/>
      <w:lvlText w:val=""/>
      <w:lvlJc w:val="left"/>
      <w:pPr>
        <w:ind w:left="3450" w:hanging="420"/>
      </w:pPr>
      <w:rPr>
        <w:rFonts w:hint="default" w:ascii="Wingdings" w:hAnsi="Wingdings"/>
      </w:rPr>
    </w:lvl>
    <w:lvl w:ilvl="6" w:tentative="0">
      <w:start w:val="1"/>
      <w:numFmt w:val="bullet"/>
      <w:lvlText w:val=""/>
      <w:lvlJc w:val="left"/>
      <w:pPr>
        <w:ind w:left="3870" w:hanging="420"/>
      </w:pPr>
      <w:rPr>
        <w:rFonts w:hint="default" w:ascii="Wingdings" w:hAnsi="Wingdings"/>
      </w:rPr>
    </w:lvl>
    <w:lvl w:ilvl="7" w:tentative="0">
      <w:start w:val="1"/>
      <w:numFmt w:val="bullet"/>
      <w:lvlText w:val=""/>
      <w:lvlJc w:val="left"/>
      <w:pPr>
        <w:ind w:left="4290" w:hanging="420"/>
      </w:pPr>
      <w:rPr>
        <w:rFonts w:hint="default" w:ascii="Wingdings" w:hAnsi="Wingdings"/>
      </w:rPr>
    </w:lvl>
    <w:lvl w:ilvl="8" w:tentative="0">
      <w:start w:val="1"/>
      <w:numFmt w:val="bullet"/>
      <w:lvlText w:val=""/>
      <w:lvlJc w:val="left"/>
      <w:pPr>
        <w:ind w:left="471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C4"/>
    <w:rsid w:val="000A3B70"/>
    <w:rsid w:val="00236400"/>
    <w:rsid w:val="002A7D70"/>
    <w:rsid w:val="003A74C4"/>
    <w:rsid w:val="00C43A9A"/>
    <w:rsid w:val="00F13933"/>
    <w:rsid w:val="00FC182A"/>
    <w:rsid w:val="145E5E62"/>
    <w:rsid w:val="27AA0ECA"/>
    <w:rsid w:val="357243D4"/>
    <w:rsid w:val="3D564DD1"/>
    <w:rsid w:val="48C34FE5"/>
    <w:rsid w:val="4F3711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4"/>
    <w:link w:val="10"/>
    <w:qFormat/>
    <w:uiPriority w:val="0"/>
    <w:pPr>
      <w:keepNext/>
      <w:keepLines/>
      <w:outlineLvl w:val="1"/>
    </w:pPr>
    <w:rPr>
      <w:rFonts w:ascii="等线 Light" w:hAnsi="等线 Light"/>
      <w:b/>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line="500" w:lineRule="exact"/>
      <w:ind w:firstLine="420"/>
    </w:pPr>
    <w:rPr>
      <w:sz w:val="28"/>
      <w:szCs w:val="20"/>
    </w:rPr>
  </w:style>
  <w:style w:type="paragraph" w:styleId="5">
    <w:name w:val="footer"/>
    <w:basedOn w:val="1"/>
    <w:link w:val="13"/>
    <w:qFormat/>
    <w:uiPriority w:val="0"/>
    <w:pPr>
      <w:tabs>
        <w:tab w:val="center" w:pos="4153"/>
        <w:tab w:val="right" w:pos="8306"/>
      </w:tabs>
      <w:snapToGrid w:val="0"/>
      <w:jc w:val="left"/>
    </w:pPr>
    <w:rPr>
      <w:sz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0"/>
  </w:style>
  <w:style w:type="character" w:customStyle="1" w:styleId="10">
    <w:name w:val="标题 2 字符"/>
    <w:basedOn w:val="8"/>
    <w:link w:val="3"/>
    <w:qFormat/>
    <w:uiPriority w:val="0"/>
    <w:rPr>
      <w:rFonts w:ascii="等线 Light" w:hAnsi="等线 Light" w:eastAsia="仿宋" w:cs="Times New Roman"/>
      <w:b/>
      <w:bCs/>
      <w:sz w:val="28"/>
      <w:szCs w:val="32"/>
    </w:rPr>
  </w:style>
  <w:style w:type="paragraph" w:styleId="11">
    <w:name w:val="List Paragraph"/>
    <w:basedOn w:val="1"/>
    <w:qFormat/>
    <w:uiPriority w:val="34"/>
    <w:pPr>
      <w:ind w:firstLine="420"/>
    </w:pPr>
  </w:style>
  <w:style w:type="character" w:customStyle="1" w:styleId="12">
    <w:name w:val="页眉 字符"/>
    <w:basedOn w:val="8"/>
    <w:link w:val="6"/>
    <w:qFormat/>
    <w:uiPriority w:val="0"/>
    <w:rPr>
      <w:rFonts w:ascii="Times New Roman" w:hAnsi="Times New Roman" w:eastAsia="仿宋" w:cs="Times New Roman"/>
      <w:sz w:val="18"/>
      <w:szCs w:val="24"/>
    </w:rPr>
  </w:style>
  <w:style w:type="character" w:customStyle="1" w:styleId="13">
    <w:name w:val="页脚 字符"/>
    <w:basedOn w:val="8"/>
    <w:link w:val="5"/>
    <w:qFormat/>
    <w:uiPriority w:val="0"/>
    <w:rPr>
      <w:rFonts w:ascii="Times New Roman" w:hAnsi="Times New Roman" w:eastAsia="仿宋" w:cs="Times New Roman"/>
      <w:sz w:val="18"/>
      <w:szCs w:val="24"/>
    </w:rPr>
  </w:style>
  <w:style w:type="character" w:customStyle="1" w:styleId="14">
    <w:name w:val="font31"/>
    <w:qFormat/>
    <w:uiPriority w:val="0"/>
    <w:rPr>
      <w:rFonts w:hint="default" w:ascii="Times New Roman" w:hAnsi="Times New Roman" w:cs="Times New Roman"/>
      <w:b/>
      <w:bCs/>
      <w:color w:val="000000"/>
      <w:sz w:val="44"/>
      <w:szCs w:val="44"/>
      <w:u w:val="none"/>
    </w:rPr>
  </w:style>
  <w:style w:type="character" w:customStyle="1" w:styleId="15">
    <w:name w:val="font121"/>
    <w:qFormat/>
    <w:uiPriority w:val="0"/>
    <w:rPr>
      <w:rFonts w:hint="eastAsia" w:ascii="宋体" w:hAnsi="宋体" w:eastAsia="宋体" w:cs="宋体"/>
      <w:b/>
      <w:bCs/>
      <w:color w:val="000000"/>
      <w:sz w:val="32"/>
      <w:szCs w:val="32"/>
      <w:u w:val="none"/>
    </w:rPr>
  </w:style>
  <w:style w:type="character" w:customStyle="1" w:styleId="16">
    <w:name w:val="标题 1 字符"/>
    <w:basedOn w:val="8"/>
    <w:link w:val="2"/>
    <w:uiPriority w:val="9"/>
    <w:rPr>
      <w:rFonts w:ascii="Times New Roman" w:hAnsi="Times New Roman" w:eastAsia="仿宋"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477</Words>
  <Characters>2722</Characters>
  <Lines>22</Lines>
  <Paragraphs>6</Paragraphs>
  <TotalTime>14</TotalTime>
  <ScaleCrop>false</ScaleCrop>
  <LinksUpToDate>false</LinksUpToDate>
  <CharactersWithSpaces>3193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2022-03-01T10:35:00Z</dcterms:created>
  <dc:creator>S H</dc:creator>
  <cp:lastModifiedBy>清水有鱼</cp:lastModifiedBy>
  <cp:lastPrinted>2022-03-09T06:59:00Z</cp:lastPrinted>
  <dcterms:modified xsi:type="dcterms:W3CDTF">2022-04-07T06:31:33Z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7F2A09DF4B9146DB9FCF44E0597252B4</vt:lpwstr>
  </property>
</Properties>
</file>