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_GB2312" w:hAnsi="宋体" w:eastAsia="楷体_GB2312"/>
          <w:sz w:val="28"/>
          <w:szCs w:val="28"/>
          <w:lang w:val="en-US" w:eastAsia="zh-CN"/>
        </w:rPr>
      </w:pPr>
      <w:r>
        <w:rPr>
          <w:rFonts w:hint="eastAsia" w:ascii="楷体_GB2312" w:hAnsi="宋体" w:eastAsia="楷体_GB2312"/>
          <w:sz w:val="28"/>
          <w:szCs w:val="28"/>
        </w:rPr>
        <w:t>ZB202</w:t>
      </w:r>
      <w:r>
        <w:rPr>
          <w:rFonts w:hint="eastAsia" w:ascii="楷体_GB2312" w:hAnsi="宋体" w:eastAsia="楷体_GB2312"/>
          <w:sz w:val="28"/>
          <w:szCs w:val="28"/>
          <w:lang w:val="en-US" w:eastAsia="zh-CN"/>
        </w:rPr>
        <w:t>1-12</w:t>
      </w:r>
    </w:p>
    <w:p>
      <w:pPr>
        <w:jc w:val="center"/>
        <w:rPr>
          <w:rFonts w:ascii="楷体_GB2312" w:hAnsi="宋体" w:eastAsia="楷体_GB2312"/>
          <w:b/>
          <w:bCs/>
          <w:sz w:val="52"/>
          <w:szCs w:val="52"/>
        </w:rPr>
      </w:pPr>
      <w:r>
        <w:rPr>
          <w:rFonts w:hint="eastAsia" w:ascii="楷体_GB2312" w:hAnsi="宋体" w:eastAsia="楷体_GB2312"/>
          <w:b/>
          <w:bCs/>
          <w:sz w:val="52"/>
          <w:szCs w:val="52"/>
        </w:rPr>
        <w:t>202</w:t>
      </w:r>
      <w:r>
        <w:rPr>
          <w:rFonts w:ascii="楷体_GB2312" w:hAnsi="宋体" w:eastAsia="楷体_GB2312"/>
          <w:b/>
          <w:bCs/>
          <w:sz w:val="52"/>
          <w:szCs w:val="52"/>
        </w:rPr>
        <w:t>1</w:t>
      </w:r>
      <w:r>
        <w:rPr>
          <w:rFonts w:hint="eastAsia" w:ascii="楷体_GB2312" w:hAnsi="宋体" w:eastAsia="楷体_GB2312"/>
          <w:b/>
          <w:bCs/>
          <w:sz w:val="52"/>
          <w:szCs w:val="52"/>
        </w:rPr>
        <w:t>年武汉网锐检测科技有限公司</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w:t>
      </w:r>
      <w:r>
        <w:rPr>
          <w:rFonts w:hint="eastAsia" w:ascii="宋体" w:hAnsi="宋体"/>
          <w:b/>
          <w:bCs/>
          <w:sz w:val="30"/>
        </w:rPr>
        <w:t>2</w:t>
      </w:r>
      <w:r>
        <w:rPr>
          <w:rFonts w:ascii="宋体" w:hAnsi="宋体"/>
          <w:b/>
          <w:bCs/>
          <w:sz w:val="30"/>
        </w:rPr>
        <w:t>1</w:t>
      </w:r>
      <w:r>
        <w:rPr>
          <w:rFonts w:hint="eastAsia" w:ascii="宋体" w:hAnsi="宋体"/>
          <w:b/>
          <w:bCs/>
          <w:sz w:val="30"/>
        </w:rPr>
        <w:t xml:space="preserve">年 </w:t>
      </w:r>
      <w:r>
        <w:rPr>
          <w:rFonts w:hint="eastAsia" w:ascii="宋体" w:hAnsi="宋体"/>
          <w:b/>
          <w:bCs/>
          <w:sz w:val="30"/>
          <w:lang w:val="en-US" w:eastAsia="zh-CN"/>
        </w:rPr>
        <w:t>8</w:t>
      </w:r>
      <w:r>
        <w:rPr>
          <w:rFonts w:hint="eastAsia" w:ascii="宋体" w:hAnsi="宋体"/>
          <w:b/>
          <w:bCs/>
          <w:sz w:val="30"/>
        </w:rPr>
        <w:t>月</w:t>
      </w:r>
    </w:p>
    <w:p>
      <w:pPr>
        <w:jc w:val="center"/>
        <w:rPr>
          <w:rFonts w:ascii="宋体" w:hAnsi="宋体"/>
          <w:b/>
          <w:bCs/>
          <w:sz w:val="30"/>
        </w:rPr>
      </w:pPr>
    </w:p>
    <w:p>
      <w:pPr>
        <w:jc w:val="center"/>
        <w:rPr>
          <w:rFonts w:hint="eastAsia"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fmt="decimal" w:start="1"/>
          <w:cols w:space="720" w:num="1"/>
          <w:titlePg/>
        </w:sectPr>
      </w:pPr>
    </w:p>
    <w:p>
      <w:pPr>
        <w:jc w:val="cente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"_Toc74734395" </w:instrText>
      </w:r>
      <w:r>
        <w:fldChar w:fldCharType="separate"/>
      </w:r>
      <w:r>
        <w:rPr>
          <w:rStyle w:val="58"/>
          <w:rFonts w:hint="eastAsia" w:ascii="宋体" w:hAnsi="宋体"/>
        </w:rPr>
        <w:t>投标邀请书</w:t>
      </w:r>
      <w:r>
        <w:tab/>
      </w:r>
      <w:r>
        <w:fldChar w:fldCharType="begin"/>
      </w:r>
      <w:r>
        <w:instrText xml:space="preserve"> PAGEREF _Toc74734395 \h </w:instrText>
      </w:r>
      <w:r>
        <w:fldChar w:fldCharType="separate"/>
      </w:r>
      <w:r>
        <w:t>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"_Toc74734396" </w:instrText>
      </w:r>
      <w:r>
        <w:fldChar w:fldCharType="separate"/>
      </w:r>
      <w:r>
        <w:rPr>
          <w:rStyle w:val="58"/>
          <w:rFonts w:hint="eastAsia"/>
        </w:rPr>
        <w:t>投标人须知</w:t>
      </w:r>
      <w:r>
        <w:tab/>
      </w:r>
      <w:r>
        <w:fldChar w:fldCharType="begin"/>
      </w:r>
      <w:r>
        <w:instrText xml:space="preserve"> PAGEREF _Toc74734396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"_Toc74734397" </w:instrText>
      </w:r>
      <w:r>
        <w:fldChar w:fldCharType="separate"/>
      </w:r>
      <w:r>
        <w:rPr>
          <w:rStyle w:val="58"/>
          <w:rFonts w:hint="eastAsia"/>
        </w:rPr>
        <w:t>一、概述</w:t>
      </w:r>
      <w:r>
        <w:tab/>
      </w:r>
      <w:r>
        <w:fldChar w:fldCharType="begin"/>
      </w:r>
      <w:r>
        <w:instrText xml:space="preserve"> PAGEREF _Toc74734397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"_Toc74734398" </w:instrText>
      </w:r>
      <w:r>
        <w:fldChar w:fldCharType="separate"/>
      </w:r>
      <w:r>
        <w:rPr>
          <w:rStyle w:val="58"/>
          <w:rFonts w:hint="eastAsia" w:ascii="宋体" w:hAnsi="宋体"/>
        </w:rPr>
        <w:t>二、招标范围</w:t>
      </w:r>
      <w:r>
        <w:tab/>
      </w:r>
      <w:r>
        <w:fldChar w:fldCharType="begin"/>
      </w:r>
      <w:r>
        <w:instrText xml:space="preserve"> PAGEREF _Toc74734398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"_Toc74734399" </w:instrText>
      </w:r>
      <w:r>
        <w:fldChar w:fldCharType="separate"/>
      </w:r>
      <w:r>
        <w:rPr>
          <w:rStyle w:val="58"/>
          <w:rFonts w:hint="eastAsia" w:ascii="宋体" w:hAnsi="宋体"/>
        </w:rPr>
        <w:t>三、投标人资格</w:t>
      </w:r>
      <w:r>
        <w:tab/>
      </w:r>
      <w:r>
        <w:fldChar w:fldCharType="begin"/>
      </w:r>
      <w:r>
        <w:instrText xml:space="preserve"> PAGEREF _Toc74734399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"_Toc74734400" </w:instrText>
      </w:r>
      <w:r>
        <w:fldChar w:fldCharType="separate"/>
      </w:r>
      <w:r>
        <w:rPr>
          <w:rStyle w:val="58"/>
          <w:rFonts w:hint="eastAsia" w:ascii="宋体" w:hAnsi="宋体"/>
        </w:rPr>
        <w:t>四、投标费用</w:t>
      </w:r>
      <w:r>
        <w:tab/>
      </w:r>
      <w:r>
        <w:fldChar w:fldCharType="begin"/>
      </w:r>
      <w:r>
        <w:instrText xml:space="preserve"> PAGEREF _Toc74734400 \h </w:instrText>
      </w:r>
      <w:r>
        <w:fldChar w:fldCharType="separate"/>
      </w:r>
      <w:r>
        <w:t>4</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"_Toc74734401" </w:instrText>
      </w:r>
      <w:r>
        <w:fldChar w:fldCharType="separate"/>
      </w:r>
      <w:r>
        <w:rPr>
          <w:rStyle w:val="58"/>
          <w:rFonts w:hint="eastAsia"/>
        </w:rPr>
        <w:t>招标标的</w:t>
      </w:r>
      <w:r>
        <w:tab/>
      </w:r>
      <w:r>
        <w:fldChar w:fldCharType="begin"/>
      </w:r>
      <w:r>
        <w:instrText xml:space="preserve"> PAGEREF _Toc74734401 \h </w:instrText>
      </w:r>
      <w:r>
        <w:fldChar w:fldCharType="separate"/>
      </w:r>
      <w:r>
        <w:t>5</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"_Toc74734402" </w:instrText>
      </w:r>
      <w:r>
        <w:fldChar w:fldCharType="separate"/>
      </w:r>
      <w:r>
        <w:rPr>
          <w:rStyle w:val="58"/>
          <w:rFonts w:hint="eastAsia" w:ascii="宋体" w:hAnsi="宋体"/>
        </w:rPr>
        <w:t>招标文件</w:t>
      </w:r>
      <w:r>
        <w:tab/>
      </w:r>
      <w:r>
        <w:fldChar w:fldCharType="begin"/>
      </w:r>
      <w:r>
        <w:instrText xml:space="preserve"> PAGEREF _Toc74734402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"_Toc74734403" </w:instrText>
      </w:r>
      <w:r>
        <w:fldChar w:fldCharType="separate"/>
      </w:r>
      <w:r>
        <w:rPr>
          <w:rStyle w:val="58"/>
          <w:rFonts w:hint="eastAsia" w:ascii="宋体" w:hAnsi="宋体"/>
        </w:rPr>
        <w:t>招标文件的发放</w:t>
      </w:r>
      <w:r>
        <w:tab/>
      </w:r>
      <w:r>
        <w:fldChar w:fldCharType="begin"/>
      </w:r>
      <w:r>
        <w:instrText xml:space="preserve"> PAGEREF _Toc74734403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"_Toc74734404" </w:instrText>
      </w:r>
      <w:r>
        <w:fldChar w:fldCharType="separate"/>
      </w:r>
      <w:r>
        <w:rPr>
          <w:rStyle w:val="58"/>
          <w:rFonts w:hint="eastAsia" w:ascii="宋体" w:hAnsi="宋体"/>
        </w:rPr>
        <w:t>招标文件的组成</w:t>
      </w:r>
      <w:r>
        <w:tab/>
      </w:r>
      <w:r>
        <w:fldChar w:fldCharType="begin"/>
      </w:r>
      <w:r>
        <w:instrText xml:space="preserve"> PAGEREF _Toc74734404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"_Toc74734405" </w:instrText>
      </w:r>
      <w:r>
        <w:fldChar w:fldCharType="separate"/>
      </w:r>
      <w:r>
        <w:rPr>
          <w:rStyle w:val="58"/>
          <w:rFonts w:hint="eastAsia" w:ascii="宋体" w:hAnsi="宋体"/>
        </w:rPr>
        <w:t>招标文件的解释</w:t>
      </w:r>
      <w:r>
        <w:tab/>
      </w:r>
      <w:r>
        <w:fldChar w:fldCharType="begin"/>
      </w:r>
      <w:r>
        <w:instrText xml:space="preserve"> PAGEREF _Toc74734405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"_Toc74734406" </w:instrText>
      </w:r>
      <w:r>
        <w:fldChar w:fldCharType="separate"/>
      </w:r>
      <w:r>
        <w:rPr>
          <w:rStyle w:val="58"/>
          <w:rFonts w:hint="eastAsia" w:ascii="宋体" w:hAnsi="宋体"/>
        </w:rPr>
        <w:t>招标文件的修改</w:t>
      </w:r>
      <w:r>
        <w:tab/>
      </w:r>
      <w:r>
        <w:fldChar w:fldCharType="begin"/>
      </w:r>
      <w:r>
        <w:instrText xml:space="preserve"> PAGEREF _Toc74734406 \h </w:instrText>
      </w:r>
      <w:r>
        <w:fldChar w:fldCharType="separate"/>
      </w:r>
      <w:r>
        <w:t>6</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"_Toc74734407" </w:instrText>
      </w:r>
      <w:r>
        <w:fldChar w:fldCharType="separate"/>
      </w:r>
      <w:r>
        <w:rPr>
          <w:rStyle w:val="58"/>
          <w:rFonts w:hint="eastAsia" w:ascii="宋体" w:hAnsi="宋体"/>
        </w:rPr>
        <w:t>投标文件</w:t>
      </w:r>
      <w:r>
        <w:tab/>
      </w:r>
      <w:r>
        <w:fldChar w:fldCharType="begin"/>
      </w:r>
      <w:r>
        <w:instrText xml:space="preserve"> PAGEREF _Toc74734407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"_Toc74734408" </w:instrText>
      </w:r>
      <w:r>
        <w:fldChar w:fldCharType="separate"/>
      </w:r>
      <w:r>
        <w:rPr>
          <w:rStyle w:val="58"/>
          <w:rFonts w:hint="eastAsia" w:ascii="宋体" w:hAnsi="宋体"/>
        </w:rPr>
        <w:t>投标文件的组成</w:t>
      </w:r>
      <w:r>
        <w:tab/>
      </w:r>
      <w:r>
        <w:fldChar w:fldCharType="begin"/>
      </w:r>
      <w:r>
        <w:instrText xml:space="preserve"> PAGEREF _Toc74734408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"_Toc74734409" </w:instrText>
      </w:r>
      <w:r>
        <w:fldChar w:fldCharType="separate"/>
      </w:r>
      <w:r>
        <w:rPr>
          <w:rStyle w:val="58"/>
          <w:rFonts w:hint="eastAsia" w:ascii="宋体" w:hAnsi="宋体"/>
        </w:rPr>
        <w:t>投标价格</w:t>
      </w:r>
      <w:r>
        <w:tab/>
      </w:r>
      <w:r>
        <w:fldChar w:fldCharType="begin"/>
      </w:r>
      <w:r>
        <w:instrText xml:space="preserve"> PAGEREF _Toc74734409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"_Toc74734410" </w:instrText>
      </w:r>
      <w:r>
        <w:fldChar w:fldCharType="separate"/>
      </w:r>
      <w:r>
        <w:rPr>
          <w:rStyle w:val="58"/>
          <w:rFonts w:hint="eastAsia" w:ascii="宋体" w:hAnsi="宋体"/>
        </w:rPr>
        <w:t>投标货币</w:t>
      </w:r>
      <w:r>
        <w:tab/>
      </w:r>
      <w:r>
        <w:fldChar w:fldCharType="begin"/>
      </w:r>
      <w:r>
        <w:instrText xml:space="preserve"> PAGEREF _Toc74734410 \h </w:instrText>
      </w:r>
      <w:r>
        <w:fldChar w:fldCharType="separate"/>
      </w:r>
      <w:r>
        <w:t>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"_Toc74734411" </w:instrText>
      </w:r>
      <w:r>
        <w:fldChar w:fldCharType="separate"/>
      </w:r>
      <w:r>
        <w:rPr>
          <w:rStyle w:val="58"/>
          <w:rFonts w:hint="eastAsia" w:ascii="宋体" w:hAnsi="宋体"/>
        </w:rPr>
        <w:t>投标文件的密封和递交</w:t>
      </w:r>
      <w:r>
        <w:tab/>
      </w:r>
      <w:r>
        <w:fldChar w:fldCharType="begin"/>
      </w:r>
      <w:r>
        <w:instrText xml:space="preserve"> PAGEREF _Toc74734411 \h </w:instrText>
      </w:r>
      <w:r>
        <w:fldChar w:fldCharType="separate"/>
      </w:r>
      <w:r>
        <w:t>8</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"_Toc74734412" </w:instrText>
      </w:r>
      <w:r>
        <w:fldChar w:fldCharType="separate"/>
      </w:r>
      <w:r>
        <w:rPr>
          <w:rStyle w:val="58"/>
          <w:rFonts w:hint="eastAsia" w:ascii="宋体" w:hAnsi="宋体"/>
        </w:rPr>
        <w:t>开标与评标</w:t>
      </w:r>
      <w:r>
        <w:tab/>
      </w:r>
      <w:r>
        <w:fldChar w:fldCharType="begin"/>
      </w:r>
      <w:r>
        <w:instrText xml:space="preserve"> PAGEREF _Toc74734412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"_Toc74734413" </w:instrText>
      </w:r>
      <w:r>
        <w:fldChar w:fldCharType="separate"/>
      </w:r>
      <w:r>
        <w:rPr>
          <w:rStyle w:val="58"/>
          <w:rFonts w:hint="eastAsia" w:ascii="宋体" w:hAnsi="宋体"/>
        </w:rPr>
        <w:t>开标</w:t>
      </w:r>
      <w:r>
        <w:tab/>
      </w:r>
      <w:r>
        <w:fldChar w:fldCharType="begin"/>
      </w:r>
      <w:r>
        <w:instrText xml:space="preserve"> PAGEREF _Toc74734413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"_Toc74734414" </w:instrText>
      </w:r>
      <w:r>
        <w:fldChar w:fldCharType="separate"/>
      </w:r>
      <w:r>
        <w:rPr>
          <w:rStyle w:val="58"/>
          <w:rFonts w:hint="eastAsia" w:ascii="宋体" w:hAnsi="宋体"/>
        </w:rPr>
        <w:t>评标</w:t>
      </w:r>
      <w:r>
        <w:tab/>
      </w:r>
      <w:r>
        <w:fldChar w:fldCharType="begin"/>
      </w:r>
      <w:r>
        <w:instrText xml:space="preserve"> PAGEREF _Toc74734414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"_Toc74734415" </w:instrText>
      </w:r>
      <w:r>
        <w:fldChar w:fldCharType="separate"/>
      </w:r>
      <w:r>
        <w:rPr>
          <w:rStyle w:val="58"/>
          <w:rFonts w:hint="eastAsia" w:ascii="宋体" w:hAnsi="宋体"/>
        </w:rPr>
        <w:t>投标文件的澄清</w:t>
      </w:r>
      <w:r>
        <w:tab/>
      </w:r>
      <w:r>
        <w:fldChar w:fldCharType="begin"/>
      </w:r>
      <w:r>
        <w:instrText xml:space="preserve"> PAGEREF _Toc74734415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"_Toc74734416" </w:instrText>
      </w:r>
      <w:r>
        <w:fldChar w:fldCharType="separate"/>
      </w:r>
      <w:r>
        <w:rPr>
          <w:rStyle w:val="58"/>
          <w:rFonts w:hint="eastAsia" w:ascii="宋体" w:hAnsi="宋体"/>
        </w:rPr>
        <w:t>废标条款</w:t>
      </w:r>
      <w:r>
        <w:tab/>
      </w:r>
      <w:r>
        <w:fldChar w:fldCharType="begin"/>
      </w:r>
      <w:r>
        <w:instrText xml:space="preserve"> PAGEREF _Toc74734416 \h </w:instrText>
      </w:r>
      <w:r>
        <w:fldChar w:fldCharType="separate"/>
      </w:r>
      <w:r>
        <w:t>9</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"_Toc74734417" </w:instrText>
      </w:r>
      <w:r>
        <w:fldChar w:fldCharType="separate"/>
      </w:r>
      <w:r>
        <w:rPr>
          <w:rStyle w:val="58"/>
          <w:rFonts w:hint="eastAsia" w:ascii="宋体" w:hAnsi="宋体"/>
        </w:rPr>
        <w:t>授予合同</w:t>
      </w:r>
      <w:r>
        <w:tab/>
      </w:r>
      <w:r>
        <w:fldChar w:fldCharType="begin"/>
      </w:r>
      <w:r>
        <w:instrText xml:space="preserve"> PAGEREF _Toc74734417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"_Toc74734418" </w:instrText>
      </w:r>
      <w:r>
        <w:fldChar w:fldCharType="separate"/>
      </w:r>
      <w:r>
        <w:rPr>
          <w:rStyle w:val="58"/>
          <w:rFonts w:hint="eastAsia" w:ascii="宋体" w:hAnsi="宋体"/>
        </w:rPr>
        <w:t>定标原则</w:t>
      </w:r>
      <w:r>
        <w:tab/>
      </w:r>
      <w:r>
        <w:fldChar w:fldCharType="begin"/>
      </w:r>
      <w:r>
        <w:instrText xml:space="preserve"> PAGEREF _Toc74734418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"_Toc74734419" </w:instrText>
      </w:r>
      <w:r>
        <w:fldChar w:fldCharType="separate"/>
      </w:r>
      <w:r>
        <w:rPr>
          <w:rStyle w:val="58"/>
          <w:rFonts w:hint="eastAsia" w:ascii="宋体" w:hAnsi="宋体"/>
        </w:rPr>
        <w:t>中标通知</w:t>
      </w:r>
      <w:r>
        <w:tab/>
      </w:r>
      <w:r>
        <w:fldChar w:fldCharType="begin"/>
      </w:r>
      <w:r>
        <w:instrText xml:space="preserve"> PAGEREF _Toc74734419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"_Toc74734420" </w:instrText>
      </w:r>
      <w:r>
        <w:fldChar w:fldCharType="separate"/>
      </w:r>
      <w:r>
        <w:rPr>
          <w:rStyle w:val="58"/>
          <w:rFonts w:hint="eastAsia" w:ascii="宋体" w:hAnsi="宋体"/>
        </w:rPr>
        <w:t>授予合同时变更数量的权利</w:t>
      </w:r>
      <w:r>
        <w:tab/>
      </w:r>
      <w:r>
        <w:fldChar w:fldCharType="begin"/>
      </w:r>
      <w:r>
        <w:instrText xml:space="preserve"> PAGEREF _Toc74734420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"_Toc74734421" </w:instrText>
      </w:r>
      <w:r>
        <w:fldChar w:fldCharType="separate"/>
      </w:r>
      <w:r>
        <w:rPr>
          <w:rStyle w:val="58"/>
          <w:rFonts w:hint="eastAsia"/>
        </w:rPr>
        <w:t>合同签订</w:t>
      </w:r>
      <w:r>
        <w:tab/>
      </w:r>
      <w:r>
        <w:fldChar w:fldCharType="begin"/>
      </w:r>
      <w:r>
        <w:instrText xml:space="preserve"> PAGEREF _Toc74734421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"_Toc74734422" </w:instrText>
      </w:r>
      <w:r>
        <w:fldChar w:fldCharType="separate"/>
      </w:r>
      <w:r>
        <w:rPr>
          <w:rStyle w:val="58"/>
          <w:rFonts w:hint="eastAsia" w:ascii="宋体" w:hAnsi="宋体"/>
        </w:rPr>
        <w:t>运输及其保险</w:t>
      </w:r>
      <w:r>
        <w:tab/>
      </w:r>
      <w:r>
        <w:fldChar w:fldCharType="begin"/>
      </w:r>
      <w:r>
        <w:instrText xml:space="preserve"> PAGEREF _Toc74734422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"_Toc74734423" </w:instrText>
      </w:r>
      <w:r>
        <w:fldChar w:fldCharType="separate"/>
      </w:r>
      <w:r>
        <w:rPr>
          <w:rStyle w:val="58"/>
          <w:rFonts w:hint="eastAsia" w:ascii="宋体" w:hAnsi="宋体"/>
        </w:rPr>
        <w:t>交货地点及交货方式</w:t>
      </w:r>
      <w:r>
        <w:tab/>
      </w:r>
      <w:r>
        <w:fldChar w:fldCharType="begin"/>
      </w:r>
      <w:r>
        <w:instrText xml:space="preserve"> PAGEREF _Toc74734423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"_Toc74734424" </w:instrText>
      </w:r>
      <w:r>
        <w:fldChar w:fldCharType="separate"/>
      </w:r>
      <w:r>
        <w:rPr>
          <w:rStyle w:val="58"/>
          <w:rFonts w:hint="eastAsia" w:ascii="宋体" w:hAnsi="宋体"/>
        </w:rPr>
        <w:t>付款方式和付款比例</w:t>
      </w:r>
      <w:r>
        <w:tab/>
      </w:r>
      <w:r>
        <w:fldChar w:fldCharType="begin"/>
      </w:r>
      <w:r>
        <w:instrText xml:space="preserve"> PAGEREF _Toc74734424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"_Toc74734425" </w:instrText>
      </w:r>
      <w:r>
        <w:fldChar w:fldCharType="separate"/>
      </w:r>
      <w:r>
        <w:rPr>
          <w:rStyle w:val="58"/>
          <w:rFonts w:hint="eastAsia" w:ascii="宋体" w:hAnsi="宋体"/>
        </w:rPr>
        <w:t>售后服务约定</w:t>
      </w:r>
      <w:r>
        <w:tab/>
      </w:r>
      <w:r>
        <w:fldChar w:fldCharType="begin"/>
      </w:r>
      <w:r>
        <w:instrText xml:space="preserve"> PAGEREF _Toc74734425 \h </w:instrText>
      </w:r>
      <w:r>
        <w:fldChar w:fldCharType="separate"/>
      </w:r>
      <w:r>
        <w:t>13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"_Toc74734426" </w:instrText>
      </w:r>
      <w:r>
        <w:fldChar w:fldCharType="separate"/>
      </w:r>
      <w:r>
        <w:rPr>
          <w:rStyle w:val="58"/>
          <w:rFonts w:hint="eastAsia" w:ascii="宋体" w:hAnsi="宋体"/>
        </w:rPr>
        <w:t>税</w:t>
      </w:r>
      <w:r>
        <w:tab/>
      </w:r>
      <w:r>
        <w:fldChar w:fldCharType="begin"/>
      </w:r>
      <w:r>
        <w:instrText xml:space="preserve"> PAGEREF _Toc74734426 \h </w:instrText>
      </w:r>
      <w:r>
        <w:fldChar w:fldCharType="separate"/>
      </w:r>
      <w:r>
        <w:t>13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"_Toc74734427" </w:instrText>
      </w:r>
      <w:r>
        <w:fldChar w:fldCharType="separate"/>
      </w:r>
      <w:r>
        <w:rPr>
          <w:rStyle w:val="58"/>
          <w:rFonts w:hint="eastAsia" w:ascii="宋体" w:hAnsi="宋体"/>
        </w:rPr>
        <w:t>投标人须知附件</w:t>
      </w:r>
      <w:r>
        <w:tab/>
      </w:r>
      <w:r>
        <w:fldChar w:fldCharType="begin"/>
      </w:r>
      <w:r>
        <w:instrText xml:space="preserve"> PAGEREF _Toc74734427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"_Toc74734428" </w:instrText>
      </w:r>
      <w:r>
        <w:fldChar w:fldCharType="separate"/>
      </w:r>
      <w:r>
        <w:rPr>
          <w:rStyle w:val="58"/>
          <w:rFonts w:hint="eastAsia" w:ascii="宋体" w:hAnsi="宋体"/>
        </w:rPr>
        <w:t>投标人须知附件</w:t>
      </w:r>
      <w:r>
        <w:rPr>
          <w:rStyle w:val="58"/>
          <w:rFonts w:ascii="宋体" w:hAnsi="宋体"/>
        </w:rPr>
        <w:t xml:space="preserve">1: </w:t>
      </w:r>
      <w:r>
        <w:rPr>
          <w:rStyle w:val="58"/>
          <w:rFonts w:hint="eastAsia" w:ascii="宋体" w:hAnsi="宋体"/>
        </w:rPr>
        <w:t>廉政协议</w:t>
      </w:r>
      <w:r>
        <w:rPr>
          <w:rStyle w:val="58"/>
          <w:rFonts w:ascii="宋体" w:hAnsi="宋体"/>
        </w:rPr>
        <w:t xml:space="preserve"> (</w:t>
      </w:r>
      <w:r>
        <w:rPr>
          <w:rStyle w:val="58"/>
          <w:rFonts w:hint="eastAsia" w:ascii="宋体" w:hAnsi="宋体"/>
        </w:rPr>
        <w:t>格式</w:t>
      </w:r>
      <w:r>
        <w:rPr>
          <w:rStyle w:val="58"/>
          <w:rFonts w:ascii="宋体" w:hAnsi="宋体"/>
        </w:rPr>
        <w:t>)</w:t>
      </w:r>
      <w:r>
        <w:tab/>
      </w:r>
      <w:r>
        <w:fldChar w:fldCharType="begin"/>
      </w:r>
      <w:r>
        <w:instrText xml:space="preserve"> PAGEREF _Toc74734428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"_Toc74734429" </w:instrText>
      </w:r>
      <w:r>
        <w:fldChar w:fldCharType="separate"/>
      </w:r>
      <w:r>
        <w:rPr>
          <w:rStyle w:val="58"/>
          <w:rFonts w:hint="eastAsia" w:ascii="黑体"/>
        </w:rPr>
        <w:t>投标人须知附件</w:t>
      </w:r>
      <w:r>
        <w:rPr>
          <w:rStyle w:val="58"/>
          <w:rFonts w:ascii="黑体"/>
        </w:rPr>
        <w:t>2</w:t>
      </w:r>
      <w:r>
        <w:rPr>
          <w:rStyle w:val="58"/>
          <w:rFonts w:hint="eastAsia" w:ascii="黑体"/>
        </w:rPr>
        <w:t>：</w:t>
      </w:r>
      <w:r>
        <w:rPr>
          <w:rStyle w:val="58"/>
          <w:rFonts w:hint="eastAsia" w:ascii="宋体" w:hAnsi="宋体"/>
        </w:rPr>
        <w:t>投标函</w:t>
      </w:r>
      <w:r>
        <w:rPr>
          <w:rStyle w:val="58"/>
          <w:rFonts w:hint="eastAsia" w:ascii="黑体"/>
        </w:rPr>
        <w:t>（格式）</w:t>
      </w:r>
      <w:r>
        <w:tab/>
      </w:r>
      <w:r>
        <w:fldChar w:fldCharType="begin"/>
      </w:r>
      <w:r>
        <w:instrText xml:space="preserve"> PAGEREF _Toc74734429 \h </w:instrText>
      </w:r>
      <w:r>
        <w:fldChar w:fldCharType="separate"/>
      </w:r>
      <w:r>
        <w:t>16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"_Toc74734430" </w:instrText>
      </w:r>
      <w:r>
        <w:fldChar w:fldCharType="separate"/>
      </w:r>
      <w:r>
        <w:rPr>
          <w:rStyle w:val="58"/>
          <w:rFonts w:hint="eastAsia" w:ascii="黑体"/>
        </w:rPr>
        <w:t>附件</w:t>
      </w:r>
      <w:r>
        <w:rPr>
          <w:rStyle w:val="58"/>
          <w:rFonts w:ascii="黑体"/>
        </w:rPr>
        <w:t xml:space="preserve">3 </w:t>
      </w:r>
      <w:r>
        <w:rPr>
          <w:rStyle w:val="58"/>
          <w:rFonts w:hint="eastAsia" w:ascii="黑体"/>
        </w:rPr>
        <w:t>开标一览表（格式）</w:t>
      </w:r>
      <w:r>
        <w:tab/>
      </w:r>
      <w:r>
        <w:fldChar w:fldCharType="begin"/>
      </w:r>
      <w:r>
        <w:instrText xml:space="preserve"> PAGEREF _Toc74734430 \h </w:instrText>
      </w:r>
      <w:r>
        <w:fldChar w:fldCharType="separate"/>
      </w:r>
      <w:r>
        <w:t>17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"_Toc74734431" </w:instrText>
      </w:r>
      <w:r>
        <w:fldChar w:fldCharType="separate"/>
      </w:r>
      <w:r>
        <w:rPr>
          <w:rStyle w:val="58"/>
          <w:rFonts w:hint="eastAsia" w:ascii="黑体"/>
        </w:rPr>
        <w:t>投标人须知附件</w:t>
      </w:r>
      <w:r>
        <w:rPr>
          <w:rStyle w:val="58"/>
          <w:rFonts w:ascii="黑体"/>
        </w:rPr>
        <w:t xml:space="preserve">4: </w:t>
      </w:r>
      <w:r>
        <w:rPr>
          <w:rStyle w:val="58"/>
          <w:rFonts w:hint="eastAsia" w:ascii="黑体"/>
        </w:rPr>
        <w:t>法定代表人授权书（格式）</w:t>
      </w:r>
      <w:r>
        <w:tab/>
      </w:r>
      <w:r>
        <w:fldChar w:fldCharType="begin"/>
      </w:r>
      <w:r>
        <w:instrText xml:space="preserve"> PAGEREF _Toc74734431 \h </w:instrText>
      </w:r>
      <w:r>
        <w:fldChar w:fldCharType="separate"/>
      </w:r>
      <w:r>
        <w:t>18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"_Toc74734432" </w:instrText>
      </w:r>
      <w:r>
        <w:fldChar w:fldCharType="separate"/>
      </w:r>
      <w:r>
        <w:rPr>
          <w:rStyle w:val="58"/>
          <w:rFonts w:hint="eastAsia" w:ascii="黑体"/>
        </w:rPr>
        <w:t>投标人须知附件</w:t>
      </w:r>
      <w:r>
        <w:rPr>
          <w:rStyle w:val="58"/>
          <w:rFonts w:ascii="黑体"/>
        </w:rPr>
        <w:t>5</w:t>
      </w:r>
      <w:r>
        <w:rPr>
          <w:rStyle w:val="58"/>
          <w:rFonts w:hint="eastAsia" w:ascii="黑体"/>
        </w:rPr>
        <w:t>：商务偏离表（格式）</w:t>
      </w:r>
      <w:r>
        <w:tab/>
      </w:r>
      <w:r>
        <w:fldChar w:fldCharType="begin"/>
      </w:r>
      <w:r>
        <w:instrText xml:space="preserve"> PAGEREF _Toc74734432 \h </w:instrText>
      </w:r>
      <w:r>
        <w:fldChar w:fldCharType="separate"/>
      </w:r>
      <w:r>
        <w:t>19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"_Toc74734433" </w:instrText>
      </w:r>
      <w:r>
        <w:fldChar w:fldCharType="separate"/>
      </w:r>
      <w:r>
        <w:rPr>
          <w:rStyle w:val="58"/>
          <w:rFonts w:hint="eastAsia" w:ascii="黑体"/>
        </w:rPr>
        <w:t>投标人须知附件</w:t>
      </w:r>
      <w:r>
        <w:rPr>
          <w:rStyle w:val="58"/>
          <w:rFonts w:ascii="黑体"/>
        </w:rPr>
        <w:t xml:space="preserve">6: </w:t>
      </w:r>
      <w:r>
        <w:rPr>
          <w:rStyle w:val="58"/>
          <w:rFonts w:hint="eastAsia" w:ascii="黑体"/>
        </w:rPr>
        <w:t>技术偏离表</w:t>
      </w:r>
      <w:r>
        <w:tab/>
      </w:r>
      <w:r>
        <w:fldChar w:fldCharType="begin"/>
      </w:r>
      <w:r>
        <w:instrText xml:space="preserve"> PAGEREF _Toc74734433 \h </w:instrText>
      </w:r>
      <w:r>
        <w:fldChar w:fldCharType="separate"/>
      </w:r>
      <w:r>
        <w:t>20</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"_Toc74734434" </w:instrText>
      </w:r>
      <w:r>
        <w:fldChar w:fldCharType="separate"/>
      </w:r>
      <w:r>
        <w:rPr>
          <w:rStyle w:val="58"/>
          <w:rFonts w:hint="eastAsia" w:ascii="黑体"/>
        </w:rPr>
        <w:t>投标人须知附件</w:t>
      </w:r>
      <w:r>
        <w:rPr>
          <w:rStyle w:val="58"/>
          <w:rFonts w:ascii="黑体"/>
        </w:rPr>
        <w:t>10</w:t>
      </w:r>
      <w:r>
        <w:rPr>
          <w:rStyle w:val="58"/>
          <w:rFonts w:hint="eastAsia" w:ascii="黑体"/>
        </w:rPr>
        <w:t>：近二年同类方案部署业绩表（格式）</w:t>
      </w:r>
      <w:r>
        <w:tab/>
      </w:r>
      <w:r>
        <w:fldChar w:fldCharType="begin"/>
      </w:r>
      <w:r>
        <w:instrText xml:space="preserve"> PAGEREF _Toc74734434 \h </w:instrText>
      </w:r>
      <w:r>
        <w:fldChar w:fldCharType="separate"/>
      </w:r>
      <w:r>
        <w:t>21</w:t>
      </w:r>
      <w:r>
        <w:fldChar w:fldCharType="end"/>
      </w:r>
      <w:r>
        <w:fldChar w:fldCharType="end"/>
      </w:r>
    </w:p>
    <w:p>
      <w:pPr>
        <w:jc w:val="center"/>
        <w:rPr>
          <w:rFonts w:ascii="宋体" w:hAnsi="宋体"/>
          <w:b/>
          <w:bCs/>
          <w:sz w:val="30"/>
        </w:rPr>
        <w:sectPr>
          <w:footerReference r:id="rId8" w:type="first"/>
          <w:footerReference r:id="rId7" w:type="default"/>
          <w:pgSz w:w="12240" w:h="15840"/>
          <w:pgMar w:top="1440" w:right="1797" w:bottom="1440" w:left="1797" w:header="720" w:footer="720" w:gutter="0"/>
          <w:pgNumType w:fmt="decimal" w:start="1"/>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74734395"/>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ind w:firstLine="420" w:firstLineChars="200"/>
        <w:rPr>
          <w:rFonts w:ascii="宋体" w:hAnsi="宋体"/>
          <w:b/>
          <w:bCs/>
        </w:rPr>
      </w:pPr>
      <w:r>
        <w:rPr>
          <w:rFonts w:hint="eastAsia" w:ascii="宋体" w:hAnsi="宋体"/>
        </w:rPr>
        <w:t>武汉网锐检测科技有限公司 2021年</w:t>
      </w:r>
      <w:r>
        <w:rPr>
          <w:rFonts w:hint="eastAsia" w:ascii="宋体" w:hAnsi="宋体"/>
          <w:b/>
          <w:bCs/>
          <w:lang w:val="en-US" w:eastAsia="zh-CN"/>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w:t>
      </w:r>
      <w:r>
        <w:rPr>
          <w:rFonts w:hint="eastAsia" w:ascii="宋体" w:hAnsi="宋体"/>
        </w:rPr>
        <w:t>设备提供方</w:t>
      </w:r>
      <w:r>
        <w:rPr>
          <w:rFonts w:ascii="宋体" w:hAnsi="宋体"/>
        </w:rPr>
        <w:t>参加竞标。经资格审查后，现邀请贵单位前来</w:t>
      </w:r>
      <w:r>
        <w:rPr>
          <w:rFonts w:hint="eastAsia" w:ascii="宋体" w:hAnsi="宋体"/>
          <w:lang w:val="en-US" w:eastAsia="zh-CN"/>
        </w:rPr>
        <w:t>对</w:t>
      </w:r>
      <w:r>
        <w:rPr>
          <w:rFonts w:hint="eastAsia" w:ascii="宋体" w:hAnsi="宋体"/>
          <w:b/>
          <w:color w:val="FF0000"/>
          <w:u w:val="single"/>
          <w:lang w:val="en-US" w:eastAsia="zh-CN"/>
        </w:rPr>
        <w:t>网络数据汇聚分发器（100GE）</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8</w:t>
      </w:r>
      <w:r>
        <w:rPr>
          <w:rFonts w:ascii="宋体" w:hAnsi="宋体"/>
          <w:b/>
          <w:color w:val="FF0000"/>
        </w:rPr>
        <w:t>月</w:t>
      </w:r>
      <w:r>
        <w:rPr>
          <w:rFonts w:hint="eastAsia" w:ascii="宋体" w:hAnsi="宋体"/>
          <w:b/>
          <w:color w:val="FF0000"/>
          <w:lang w:val="en-US" w:eastAsia="zh-CN"/>
        </w:rPr>
        <w:t>30</w:t>
      </w:r>
      <w:r>
        <w:rPr>
          <w:rFonts w:ascii="宋体" w:hAnsi="宋体"/>
          <w:b/>
          <w:color w:val="FF0000"/>
        </w:rPr>
        <w:t>日</w:t>
      </w:r>
      <w:r>
        <w:rPr>
          <w:rFonts w:ascii="宋体" w:hAnsi="宋体"/>
          <w:color w:val="FF0000"/>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r>
        <w:rPr>
          <w:rFonts w:hint="eastAsia" w:ascii="宋体" w:hAnsi="宋体"/>
          <w:lang w:val="en-US" w:eastAsia="zh-CN"/>
        </w:rPr>
        <w:t>的技术规格书</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hint="eastAsia" w:ascii="宋体" w:hAnsi="宋体"/>
        </w:rPr>
        <w:t>标书投递截止时间（以送达指定地点的时间为准）：</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9</w:t>
      </w:r>
      <w:r>
        <w:rPr>
          <w:rFonts w:ascii="宋体" w:hAnsi="宋体"/>
          <w:b/>
          <w:color w:val="FF0000"/>
        </w:rPr>
        <w:t>月</w:t>
      </w:r>
      <w:r>
        <w:rPr>
          <w:rFonts w:hint="eastAsia" w:ascii="宋体" w:hAnsi="宋体"/>
          <w:b/>
          <w:color w:val="FF0000"/>
          <w:lang w:val="en-US" w:eastAsia="zh-CN"/>
        </w:rPr>
        <w:t>10</w:t>
      </w:r>
      <w:r>
        <w:rPr>
          <w:rFonts w:hint="eastAsia" w:ascii="宋体" w:hAnsi="宋体"/>
          <w:b/>
          <w:color w:val="FF0000"/>
        </w:rPr>
        <w:t>日上午</w:t>
      </w:r>
      <w:r>
        <w:rPr>
          <w:rFonts w:hint="eastAsia" w:ascii="宋体" w:hAnsi="宋体"/>
          <w:b/>
          <w:color w:val="FF0000"/>
          <w:lang w:val="en-US" w:eastAsia="zh-CN"/>
        </w:rPr>
        <w:t>11</w:t>
      </w:r>
      <w:r>
        <w:rPr>
          <w:rFonts w:hint="eastAsia" w:ascii="宋体" w:hAnsi="宋体"/>
          <w:b/>
          <w:color w:val="FF0000"/>
        </w:rPr>
        <w:t>点整</w:t>
      </w:r>
    </w:p>
    <w:p>
      <w:pPr>
        <w:widowControl/>
        <w:numPr>
          <w:ilvl w:val="0"/>
          <w:numId w:val="1"/>
        </w:numPr>
        <w:spacing w:after="120" w:line="400" w:lineRule="exact"/>
        <w:jc w:val="left"/>
        <w:rPr>
          <w:rFonts w:ascii="宋体" w:hAnsi="宋体"/>
          <w:color w:val="FF0000"/>
        </w:rPr>
      </w:pPr>
      <w:r>
        <w:rPr>
          <w:rFonts w:ascii="宋体" w:hAnsi="宋体"/>
        </w:rPr>
        <w:t>开标时间：</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9</w:t>
      </w:r>
      <w:r>
        <w:rPr>
          <w:rFonts w:ascii="宋体" w:hAnsi="宋体"/>
          <w:b/>
          <w:color w:val="FF0000"/>
        </w:rPr>
        <w:t>月</w:t>
      </w:r>
      <w:r>
        <w:rPr>
          <w:rFonts w:hint="eastAsia" w:ascii="宋体" w:hAnsi="宋体"/>
          <w:b/>
          <w:color w:val="FF0000"/>
          <w:lang w:val="en-US" w:eastAsia="zh-CN"/>
        </w:rPr>
        <w:t>10</w:t>
      </w:r>
      <w:r>
        <w:rPr>
          <w:rFonts w:hint="eastAsia" w:ascii="宋体" w:hAnsi="宋体"/>
          <w:b/>
          <w:color w:val="FF0000"/>
        </w:rPr>
        <w:t>日下午2点3</w:t>
      </w:r>
      <w:r>
        <w:rPr>
          <w:rFonts w:ascii="宋体" w:hAnsi="宋体"/>
          <w:b/>
          <w:color w:val="FF0000"/>
        </w:rPr>
        <w:t>0</w:t>
      </w:r>
      <w:r>
        <w:rPr>
          <w:rFonts w:hint="eastAsia" w:ascii="宋体" w:hAnsi="宋体"/>
          <w:b/>
          <w:color w:val="FF0000"/>
        </w:rPr>
        <w:t>分</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：武汉网锐检测科技有限公司会议室。</w:t>
      </w:r>
    </w:p>
    <w:p>
      <w:pPr>
        <w:rPr>
          <w:rFonts w:ascii="宋体" w:hAnsi="宋体"/>
        </w:rPr>
      </w:pPr>
    </w:p>
    <w:p>
      <w:pPr>
        <w:spacing w:line="360" w:lineRule="auto"/>
        <w:rPr>
          <w:rFonts w:hint="eastAsia" w:ascii="宋体" w:hAnsi="宋体" w:eastAsia="宋体"/>
          <w:sz w:val="28"/>
          <w:szCs w:val="28"/>
          <w:lang w:val="en-US" w:eastAsia="zh-CN"/>
        </w:rPr>
      </w:pPr>
      <w:r>
        <w:rPr>
          <w:rFonts w:ascii="宋体" w:hAnsi="宋体"/>
        </w:rPr>
        <w:t>联系人:</w:t>
      </w:r>
      <w:r>
        <w:rPr>
          <w:rFonts w:hint="eastAsia" w:ascii="宋体" w:hAnsi="宋体"/>
        </w:rPr>
        <w:t xml:space="preserve"> </w:t>
      </w:r>
      <w:r>
        <w:rPr>
          <w:rFonts w:hint="eastAsia" w:ascii="宋体" w:hAnsi="宋体"/>
          <w:lang w:val="en-US" w:eastAsia="zh-CN"/>
        </w:rPr>
        <w:t>刘瑛</w:t>
      </w:r>
    </w:p>
    <w:p>
      <w:pPr>
        <w:rPr>
          <w:rFonts w:ascii="宋体" w:hAnsi="宋体"/>
        </w:rPr>
      </w:pPr>
      <w:r>
        <w:rPr>
          <w:rFonts w:ascii="宋体" w:hAnsi="宋体"/>
        </w:rPr>
        <w:t>电话:</w:t>
      </w:r>
      <w:r>
        <w:rPr>
          <w:rFonts w:hint="eastAsia" w:ascii="宋体" w:hAnsi="宋体"/>
        </w:rPr>
        <w:t xml:space="preserve">  027-87691279</w:t>
      </w:r>
    </w:p>
    <w:p>
      <w:pPr>
        <w:pStyle w:val="2"/>
      </w:pPr>
      <w:bookmarkStart w:id="3" w:name="_Toc74734396"/>
      <w:r>
        <w:t>投标人须知</w:t>
      </w:r>
      <w:bookmarkEnd w:id="2"/>
      <w:bookmarkEnd w:id="3"/>
    </w:p>
    <w:p>
      <w:pPr>
        <w:pStyle w:val="3"/>
      </w:pPr>
      <w:bookmarkStart w:id="4" w:name="_Toc365364657"/>
      <w:bookmarkStart w:id="5" w:name="_Toc74734397"/>
      <w:r>
        <w:rPr>
          <w:rFonts w:hint="eastAsia"/>
        </w:rPr>
        <w:t>一、概述</w:t>
      </w:r>
      <w:bookmarkEnd w:id="4"/>
      <w:bookmarkEnd w:id="5"/>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6" w:name="_Toc365364658"/>
      <w:bookmarkStart w:id="7" w:name="_Toc363569304"/>
      <w:bookmarkStart w:id="8" w:name="_Toc268096549"/>
      <w:bookmarkStart w:id="9" w:name="_Toc74734398"/>
      <w:bookmarkStart w:id="10" w:name="_Toc94175697"/>
      <w:bookmarkStart w:id="11" w:name="_Toc133775939"/>
      <w:r>
        <w:rPr>
          <w:rFonts w:hint="eastAsia" w:ascii="宋体" w:hAnsi="宋体"/>
        </w:rPr>
        <w:t>二、招标范围</w:t>
      </w:r>
      <w:bookmarkEnd w:id="6"/>
      <w:bookmarkEnd w:id="7"/>
      <w:bookmarkEnd w:id="8"/>
      <w:bookmarkEnd w:id="9"/>
      <w:bookmarkEnd w:id="10"/>
      <w:bookmarkEnd w:id="11"/>
    </w:p>
    <w:p>
      <w:pPr>
        <w:ind w:firstLine="480" w:firstLineChars="200"/>
        <w:rPr>
          <w:rFonts w:ascii="宋体" w:hAnsi="宋体"/>
          <w:kern w:val="0"/>
          <w:sz w:val="24"/>
          <w:szCs w:val="20"/>
        </w:rPr>
      </w:pPr>
      <w:r>
        <w:rPr>
          <w:rFonts w:hint="eastAsia" w:ascii="宋体" w:hAnsi="宋体"/>
          <w:kern w:val="0"/>
          <w:sz w:val="24"/>
          <w:szCs w:val="20"/>
        </w:rPr>
        <w:t>详见</w:t>
      </w:r>
      <w:r>
        <w:rPr>
          <w:rFonts w:hint="eastAsia" w:ascii="宋体" w:hAnsi="宋体"/>
          <w:kern w:val="0"/>
          <w:sz w:val="24"/>
          <w:szCs w:val="20"/>
          <w:lang w:val="en-US" w:eastAsia="zh-CN"/>
        </w:rPr>
        <w:t>本招标书招标标的</w:t>
      </w:r>
      <w:r>
        <w:rPr>
          <w:rFonts w:hint="eastAsia" w:ascii="宋体" w:hAnsi="宋体"/>
          <w:kern w:val="0"/>
          <w:sz w:val="24"/>
          <w:szCs w:val="20"/>
        </w:rPr>
        <w:t>和附件技术规范书的要求</w:t>
      </w:r>
    </w:p>
    <w:p>
      <w:pPr>
        <w:pStyle w:val="3"/>
        <w:rPr>
          <w:rFonts w:ascii="宋体" w:hAnsi="宋体"/>
        </w:rPr>
      </w:pPr>
      <w:bookmarkStart w:id="12" w:name="_Toc133775940"/>
      <w:bookmarkStart w:id="13" w:name="_Toc365364659"/>
      <w:bookmarkStart w:id="14" w:name="_Toc268096550"/>
      <w:bookmarkStart w:id="15" w:name="_Toc94175698"/>
      <w:bookmarkStart w:id="16" w:name="_Toc74734399"/>
      <w:bookmarkStart w:id="17" w:name="_Toc363569305"/>
      <w:r>
        <w:rPr>
          <w:rFonts w:hint="eastAsia" w:ascii="宋体" w:hAnsi="宋体"/>
        </w:rPr>
        <w:t>三</w:t>
      </w:r>
      <w:bookmarkStart w:id="18" w:name="_Hlk511916002"/>
      <w:r>
        <w:rPr>
          <w:rFonts w:hint="eastAsia" w:ascii="宋体" w:hAnsi="宋体"/>
        </w:rPr>
        <w:t>、投标人资格</w:t>
      </w:r>
      <w:bookmarkEnd w:id="12"/>
      <w:bookmarkEnd w:id="13"/>
      <w:bookmarkEnd w:id="14"/>
      <w:bookmarkEnd w:id="15"/>
      <w:bookmarkEnd w:id="16"/>
      <w:bookmarkEnd w:id="17"/>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eastAsia="宋体" w:cs="Times New Roman"/>
          <w:kern w:val="0"/>
          <w:sz w:val="24"/>
          <w:szCs w:val="20"/>
          <w:lang w:val="en-US" w:eastAsia="zh-CN" w:bidi="ar-SA"/>
        </w:rPr>
        <w:t>投标人必须满足本条款所有资格要求：</w:t>
      </w:r>
    </w:p>
    <w:p>
      <w:pPr>
        <w:pStyle w:val="6"/>
        <w:numPr>
          <w:ilvl w:val="0"/>
          <w:numId w:val="3"/>
        </w:numPr>
        <w:spacing w:after="156" w:line="400" w:lineRule="exact"/>
        <w:rPr>
          <w:rFonts w:ascii="宋体" w:hAnsi="宋体"/>
        </w:rPr>
      </w:pPr>
      <w:bookmarkStart w:id="19" w:name="_Toc268096551"/>
      <w:bookmarkStart w:id="20" w:name="_Toc94175699"/>
      <w:bookmarkStart w:id="21" w:name="_Toc133775941"/>
      <w:r>
        <w:rPr>
          <w:rFonts w:hint="eastAsia" w:ascii="宋体" w:hAnsi="宋体"/>
        </w:rPr>
        <w:t>具有法人资格，有生产能力的企业单位或取得生产厂商授权的代理商。</w:t>
      </w:r>
    </w:p>
    <w:p>
      <w:pPr>
        <w:pStyle w:val="6"/>
        <w:numPr>
          <w:ilvl w:val="0"/>
          <w:numId w:val="3"/>
        </w:numPr>
        <w:spacing w:after="156" w:line="400" w:lineRule="exact"/>
        <w:rPr>
          <w:rFonts w:ascii="宋体" w:hAnsi="宋体"/>
        </w:rPr>
      </w:pPr>
      <w:r>
        <w:rPr>
          <w:rFonts w:hint="eastAsia" w:ascii="宋体" w:hAnsi="宋体"/>
        </w:rPr>
        <w:t>代理商要有</w:t>
      </w:r>
      <w:r>
        <w:rPr>
          <w:rFonts w:ascii="宋体" w:hAnsi="宋体"/>
        </w:rPr>
        <w:t>服务能力，并且是唯一的（</w:t>
      </w:r>
      <w:r>
        <w:rPr>
          <w:rFonts w:hint="eastAsia" w:ascii="宋体" w:hAnsi="宋体"/>
        </w:rPr>
        <w:t>同一品牌</w:t>
      </w:r>
      <w:r>
        <w:rPr>
          <w:rFonts w:ascii="宋体" w:hAnsi="宋体"/>
        </w:rPr>
        <w:t>）</w:t>
      </w:r>
      <w:r>
        <w:rPr>
          <w:rFonts w:hint="eastAsia" w:ascii="宋体" w:hAnsi="宋体"/>
        </w:rPr>
        <w:t>。</w:t>
      </w:r>
    </w:p>
    <w:p>
      <w:pPr>
        <w:pStyle w:val="6"/>
        <w:numPr>
          <w:ilvl w:val="0"/>
          <w:numId w:val="3"/>
        </w:numPr>
        <w:spacing w:after="156" w:line="400" w:lineRule="exact"/>
        <w:rPr>
          <w:rFonts w:ascii="宋体" w:hAnsi="宋体"/>
        </w:rPr>
      </w:pPr>
      <w:r>
        <w:rPr>
          <w:rFonts w:hint="eastAsia" w:ascii="宋体" w:hAnsi="宋体"/>
        </w:rPr>
        <w:t>投标人应有良好的财务状况和商业信誉。</w:t>
      </w:r>
    </w:p>
    <w:p>
      <w:pPr>
        <w:pStyle w:val="6"/>
        <w:numPr>
          <w:ilvl w:val="0"/>
          <w:numId w:val="3"/>
        </w:numPr>
        <w:spacing w:after="156" w:line="400" w:lineRule="exact"/>
        <w:rPr>
          <w:rFonts w:ascii="宋体" w:hAnsi="宋体"/>
        </w:rPr>
      </w:pPr>
      <w:r>
        <w:rPr>
          <w:rFonts w:hint="eastAsia" w:ascii="宋体" w:hAnsi="宋体"/>
          <w:color w:val="000000" w:themeColor="text1"/>
          <w14:textFill>
            <w14:solidFill>
              <w14:schemeClr w14:val="tx1"/>
            </w14:solidFill>
          </w14:textFill>
        </w:rPr>
        <w:t>具有有效的ISO9000系列</w:t>
      </w:r>
      <w:r>
        <w:rPr>
          <w:rFonts w:hint="eastAsia" w:ascii="宋体" w:hAnsi="宋体"/>
          <w:color w:val="000000" w:themeColor="text1"/>
          <w:lang w:val="en-US" w:eastAsia="zh-CN"/>
          <w14:textFill>
            <w14:solidFill>
              <w14:schemeClr w14:val="tx1"/>
            </w14:solidFill>
          </w14:textFill>
        </w:rPr>
        <w:t>或</w:t>
      </w:r>
      <w:r>
        <w:rPr>
          <w:rFonts w:hint="eastAsia" w:ascii="宋体" w:hAnsi="宋体"/>
          <w:color w:val="000000" w:themeColor="text1"/>
          <w14:textFill>
            <w14:solidFill>
              <w14:schemeClr w14:val="tx1"/>
            </w14:solidFill>
          </w14:textFill>
        </w:rPr>
        <w:t>等同质量保证体系认证书；</w:t>
      </w:r>
    </w:p>
    <w:p>
      <w:pPr>
        <w:pStyle w:val="6"/>
        <w:numPr>
          <w:ilvl w:val="0"/>
          <w:numId w:val="3"/>
        </w:numPr>
        <w:spacing w:after="156" w:line="400" w:lineRule="exact"/>
        <w:rPr>
          <w:rFonts w:ascii="宋体" w:hAnsi="宋体"/>
        </w:rPr>
      </w:pPr>
      <w:r>
        <w:rPr>
          <w:rFonts w:hint="eastAsia" w:ascii="宋体" w:hAnsi="宋体"/>
        </w:rPr>
        <w:t>中华人民共和国境内注册的企业法人；注册资金≥</w:t>
      </w:r>
      <w:r>
        <w:rPr>
          <w:rFonts w:ascii="宋体" w:hAnsi="宋体"/>
        </w:rPr>
        <w:t>100</w:t>
      </w:r>
      <w:r>
        <w:rPr>
          <w:rFonts w:hint="eastAsia" w:ascii="宋体" w:hAnsi="宋体"/>
        </w:rPr>
        <w:t>万元</w:t>
      </w:r>
      <w:r>
        <w:rPr>
          <w:rFonts w:ascii="宋体" w:hAnsi="宋体"/>
        </w:rPr>
        <w:t xml:space="preserve">。 </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bookmarkEnd w:id="18"/>
    <w:bookmarkEnd w:id="19"/>
    <w:bookmarkEnd w:id="20"/>
    <w:bookmarkEnd w:id="21"/>
    <w:p>
      <w:pPr>
        <w:pStyle w:val="3"/>
        <w:rPr>
          <w:rFonts w:ascii="宋体" w:hAnsi="宋体"/>
        </w:rPr>
      </w:pPr>
      <w:bookmarkStart w:id="22" w:name="_Toc74734400"/>
      <w:bookmarkStart w:id="23" w:name="_Toc133775942"/>
      <w:bookmarkStart w:id="24" w:name="_Toc94175700"/>
      <w:bookmarkStart w:id="25" w:name="_Toc268096552"/>
      <w:bookmarkStart w:id="26" w:name="_Toc365364660"/>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94175701"/>
      <w:bookmarkStart w:id="28" w:name="_Toc365364661"/>
      <w:bookmarkStart w:id="29" w:name="_Toc133775943"/>
      <w:bookmarkStart w:id="30" w:name="_Toc268096553"/>
      <w:bookmarkStart w:id="31" w:name="_Toc363569306"/>
      <w:bookmarkStart w:id="32" w:name="_Toc74734401"/>
      <w:r>
        <w:rPr>
          <w:rFonts w:hint="eastAsia"/>
        </w:rPr>
        <w:t>招标</w:t>
      </w:r>
      <w:bookmarkEnd w:id="27"/>
      <w:bookmarkEnd w:id="28"/>
      <w:bookmarkEnd w:id="29"/>
      <w:bookmarkEnd w:id="30"/>
      <w:bookmarkEnd w:id="31"/>
      <w:r>
        <w:rPr>
          <w:rFonts w:hint="eastAsia"/>
        </w:rPr>
        <w:t>标的</w:t>
      </w:r>
      <w:bookmarkEnd w:id="32"/>
    </w:p>
    <w:tbl>
      <w:tblPr>
        <w:tblStyle w:val="51"/>
        <w:tblW w:w="922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560"/>
        <w:gridCol w:w="3519"/>
        <w:gridCol w:w="1133"/>
        <w:gridCol w:w="2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993" w:type="dxa"/>
            <w:tcBorders>
              <w:bottom w:val="single" w:color="auto" w:sz="4" w:space="0"/>
            </w:tcBorders>
            <w:vAlign w:val="center"/>
          </w:tcPr>
          <w:p>
            <w:pPr>
              <w:jc w:val="center"/>
              <w:rPr>
                <w:sz w:val="24"/>
              </w:rPr>
            </w:pPr>
            <w:r>
              <w:rPr>
                <w:rFonts w:hint="eastAsia"/>
                <w:sz w:val="24"/>
              </w:rPr>
              <w:t>序号</w:t>
            </w:r>
          </w:p>
        </w:tc>
        <w:tc>
          <w:tcPr>
            <w:tcW w:w="1560" w:type="dxa"/>
            <w:tcBorders>
              <w:bottom w:val="single" w:color="auto" w:sz="4" w:space="0"/>
            </w:tcBorders>
            <w:vAlign w:val="center"/>
          </w:tcPr>
          <w:p>
            <w:pPr>
              <w:jc w:val="center"/>
              <w:rPr>
                <w:sz w:val="24"/>
              </w:rPr>
            </w:pPr>
            <w:r>
              <w:rPr>
                <w:rFonts w:hint="eastAsia"/>
                <w:sz w:val="24"/>
              </w:rPr>
              <w:t>预算编号</w:t>
            </w:r>
          </w:p>
        </w:tc>
        <w:tc>
          <w:tcPr>
            <w:tcW w:w="3519" w:type="dxa"/>
            <w:tcBorders>
              <w:bottom w:val="single" w:color="auto" w:sz="4" w:space="0"/>
              <w:right w:val="single" w:color="auto" w:sz="4" w:space="0"/>
            </w:tcBorders>
            <w:vAlign w:val="center"/>
          </w:tcPr>
          <w:p>
            <w:pPr>
              <w:jc w:val="center"/>
              <w:rPr>
                <w:sz w:val="24"/>
              </w:rPr>
            </w:pPr>
            <w:r>
              <w:rPr>
                <w:rFonts w:hint="eastAsia"/>
                <w:sz w:val="24"/>
                <w:lang w:val="en-US" w:eastAsia="zh-CN"/>
              </w:rPr>
              <w:t>项目</w:t>
            </w:r>
            <w:r>
              <w:rPr>
                <w:rFonts w:hint="eastAsia"/>
                <w:sz w:val="24"/>
              </w:rPr>
              <w:t>名称</w:t>
            </w:r>
          </w:p>
        </w:tc>
        <w:tc>
          <w:tcPr>
            <w:tcW w:w="1133" w:type="dxa"/>
            <w:tcBorders>
              <w:left w:val="single" w:color="auto" w:sz="4" w:space="0"/>
              <w:bottom w:val="single" w:color="auto" w:sz="4" w:space="0"/>
            </w:tcBorders>
            <w:vAlign w:val="center"/>
          </w:tcPr>
          <w:p>
            <w:pPr>
              <w:jc w:val="center"/>
              <w:rPr>
                <w:sz w:val="24"/>
              </w:rPr>
            </w:pPr>
            <w:r>
              <w:rPr>
                <w:rFonts w:hint="eastAsia"/>
                <w:sz w:val="24"/>
              </w:rPr>
              <w:t>数量</w:t>
            </w:r>
          </w:p>
        </w:tc>
        <w:tc>
          <w:tcPr>
            <w:tcW w:w="2020" w:type="dxa"/>
            <w:tcBorders>
              <w:left w:val="single" w:color="auto" w:sz="4" w:space="0"/>
              <w:bottom w:val="single" w:color="auto" w:sz="4" w:space="0"/>
            </w:tcBorders>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993"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sz w:val="24"/>
              </w:rPr>
              <w:t>1</w:t>
            </w:r>
          </w:p>
        </w:tc>
        <w:tc>
          <w:tcPr>
            <w:tcW w:w="1560" w:type="dxa"/>
            <w:tcBorders>
              <w:top w:val="single" w:color="auto" w:sz="4" w:space="0"/>
              <w:left w:val="single" w:color="auto" w:sz="4" w:space="0"/>
              <w:right w:val="single" w:color="auto" w:sz="4" w:space="0"/>
            </w:tcBorders>
            <w:vAlign w:val="center"/>
          </w:tcPr>
          <w:p>
            <w:pPr>
              <w:rPr>
                <w:rFonts w:hint="default" w:ascii="宋体" w:hAnsi="宋体" w:eastAsia="宋体" w:cs="宋体"/>
                <w:color w:val="FF0000"/>
                <w:kern w:val="0"/>
                <w:szCs w:val="21"/>
                <w:lang w:val="en-US" w:eastAsia="zh-CN"/>
              </w:rPr>
            </w:pPr>
            <w:r>
              <w:rPr>
                <w:rFonts w:hint="eastAsia" w:ascii="宋体" w:hAnsi="宋体"/>
                <w:sz w:val="24"/>
              </w:rPr>
              <w:t>YS2021-44</w:t>
            </w:r>
          </w:p>
        </w:tc>
        <w:tc>
          <w:tcPr>
            <w:tcW w:w="3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网络数据汇聚分发器</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 台</w:t>
            </w:r>
          </w:p>
        </w:tc>
        <w:tc>
          <w:tcPr>
            <w:tcW w:w="20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jc w:val="left"/>
        <w:rPr>
          <w:bCs/>
          <w:szCs w:val="21"/>
        </w:rPr>
      </w:pPr>
      <w:bookmarkStart w:id="33" w:name="_Toc365364662"/>
      <w:bookmarkStart w:id="34" w:name="_Toc94175702"/>
      <w:bookmarkStart w:id="35" w:name="_Toc363569307"/>
      <w:bookmarkStart w:id="36" w:name="_Toc133775944"/>
      <w:bookmarkStart w:id="37" w:name="_Toc268096554"/>
      <w:r>
        <w:rPr>
          <w:rFonts w:hint="eastAsia" w:ascii="宋体" w:hAnsi="宋体"/>
        </w:rPr>
        <w:t>说明：上表中出现在一个预算编号下有多台设备的情况，表示这些设备在一个标段进行招标采购。</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8" w:name="_Toc74734402"/>
      <w:r>
        <w:rPr>
          <w:rFonts w:hint="eastAsia" w:ascii="宋体" w:hAnsi="宋体"/>
        </w:rPr>
        <w:t>招标文件</w:t>
      </w:r>
      <w:bookmarkEnd w:id="38"/>
    </w:p>
    <w:p>
      <w:pPr>
        <w:pStyle w:val="3"/>
        <w:keepLines w:val="0"/>
        <w:widowControl/>
        <w:numPr>
          <w:ilvl w:val="1"/>
          <w:numId w:val="0"/>
        </w:numPr>
        <w:spacing w:before="240" w:after="120" w:line="400" w:lineRule="exact"/>
        <w:jc w:val="left"/>
        <w:rPr>
          <w:rFonts w:ascii="宋体" w:hAnsi="宋体"/>
        </w:rPr>
      </w:pPr>
      <w:bookmarkStart w:id="39" w:name="_Toc74734403"/>
      <w:r>
        <w:rPr>
          <w:rFonts w:hint="eastAsia" w:ascii="宋体" w:hAnsi="宋体"/>
        </w:rPr>
        <w:t>招标文件的发放</w:t>
      </w:r>
      <w:bookmarkEnd w:id="33"/>
      <w:bookmarkEnd w:id="34"/>
      <w:bookmarkEnd w:id="35"/>
      <w:bookmarkEnd w:id="36"/>
      <w:bookmarkEnd w:id="37"/>
      <w:bookmarkEnd w:id="39"/>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本次招标采取公开邀请招标方式，招标公告将明确对供应商的资质要求、发放招标文件的日期和地点、投标、开标等事宜。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rPr>
      </w:pPr>
      <w:r>
        <w:rPr>
          <w:rFonts w:hint="eastAsia" w:ascii="宋体" w:hAnsi="宋体"/>
        </w:rPr>
        <w:t>与本次招标有关的联系方式为武汉市江夏区藏龙岛谭湖路2号武汉网锐检测科技有限公司</w:t>
      </w:r>
    </w:p>
    <w:p>
      <w:pPr>
        <w:pStyle w:val="6"/>
        <w:spacing w:after="120" w:line="400" w:lineRule="exact"/>
        <w:ind w:left="420"/>
        <w:rPr>
          <w:rFonts w:ascii="宋体" w:hAnsi="宋体"/>
        </w:rPr>
      </w:pPr>
      <w:r>
        <w:rPr>
          <w:rFonts w:hint="eastAsia" w:ascii="宋体" w:hAnsi="宋体"/>
        </w:rPr>
        <w:t>文件接收人：</w:t>
      </w:r>
      <w:r>
        <w:rPr>
          <w:rFonts w:hint="eastAsia" w:ascii="宋体" w:hAnsi="宋体"/>
          <w:lang w:val="en-US" w:eastAsia="zh-CN"/>
        </w:rPr>
        <w:t>刘 瑛</w:t>
      </w:r>
      <w:r>
        <w:rPr>
          <w:rFonts w:hint="eastAsia" w:ascii="宋体" w:hAnsi="宋体"/>
        </w:rPr>
        <w:t xml:space="preserve"> 电话：027-87691279。</w:t>
      </w:r>
    </w:p>
    <w:p>
      <w:pPr>
        <w:pStyle w:val="3"/>
        <w:keepLines w:val="0"/>
        <w:widowControl/>
        <w:numPr>
          <w:ilvl w:val="1"/>
          <w:numId w:val="0"/>
        </w:numPr>
        <w:spacing w:before="240" w:after="120" w:line="400" w:lineRule="exact"/>
        <w:jc w:val="left"/>
        <w:rPr>
          <w:rFonts w:ascii="宋体" w:hAnsi="宋体"/>
        </w:rPr>
      </w:pPr>
      <w:bookmarkStart w:id="40" w:name="_Toc74734404"/>
      <w:bookmarkStart w:id="41" w:name="_Toc268096555"/>
      <w:bookmarkStart w:id="42" w:name="_Toc94175703"/>
      <w:bookmarkStart w:id="43" w:name="_Toc363569308"/>
      <w:bookmarkStart w:id="44" w:name="_Toc365364663"/>
      <w:bookmarkStart w:id="45" w:name="_Toc133775945"/>
      <w:r>
        <w:rPr>
          <w:rFonts w:hint="eastAsia" w:ascii="宋体" w:hAnsi="宋体"/>
        </w:rPr>
        <w:t>招标文件的组成</w:t>
      </w:r>
      <w:bookmarkEnd w:id="40"/>
      <w:bookmarkEnd w:id="41"/>
      <w:bookmarkEnd w:id="42"/>
      <w:bookmarkEnd w:id="43"/>
      <w:bookmarkEnd w:id="44"/>
      <w:bookmarkEnd w:id="45"/>
    </w:p>
    <w:p>
      <w:pPr>
        <w:pStyle w:val="14"/>
        <w:ind w:left="0"/>
      </w:pPr>
      <w:r>
        <w:rPr>
          <w:rFonts w:hint="eastAsia"/>
        </w:rPr>
        <w:t>1.    招标文件由投标人须知、合同主要条款、技术要求及投标文件内容及附件等组成。</w:t>
      </w:r>
    </w:p>
    <w:p>
      <w:pPr>
        <w:pStyle w:val="14"/>
        <w:ind w:left="0"/>
      </w:pPr>
      <w:r>
        <w:rPr>
          <w:rFonts w:hint="eastAsia"/>
        </w:rPr>
        <w:t>2.    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6" w:name="_Toc74734405"/>
      <w:bookmarkStart w:id="47" w:name="_Toc361389263"/>
      <w:bookmarkStart w:id="48" w:name="_Toc365364664"/>
      <w:r>
        <w:rPr>
          <w:rFonts w:hint="eastAsia" w:ascii="宋体" w:hAnsi="宋体"/>
        </w:rPr>
        <w:t>招标文件的解释</w:t>
      </w:r>
      <w:bookmarkEnd w:id="46"/>
    </w:p>
    <w:p>
      <w:pPr>
        <w:spacing w:line="360" w:lineRule="auto"/>
        <w:rPr>
          <w:rFonts w:hint="eastAsia" w:ascii="Times New Roman" w:hAnsi="Times New Roman" w:eastAsia="宋体" w:cs="Times New Roman"/>
          <w:kern w:val="0"/>
          <w:sz w:val="24"/>
          <w:szCs w:val="20"/>
          <w:lang w:val="en-US" w:eastAsia="zh-CN" w:bidi="ar-SA"/>
        </w:rPr>
      </w:pPr>
      <w:r>
        <w:rPr>
          <w:rFonts w:hint="eastAsia" w:ascii="Times New Roman" w:hAnsi="Times New Roman" w:eastAsia="宋体" w:cs="Times New Roman"/>
          <w:kern w:val="0"/>
          <w:sz w:val="24"/>
          <w:szCs w:val="20"/>
          <w:lang w:val="en-US" w:eastAsia="zh-CN" w:bidi="ar-SA"/>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49" w:name="_Toc74734406"/>
      <w:r>
        <w:rPr>
          <w:rFonts w:hint="eastAsia" w:ascii="宋体" w:hAnsi="宋体"/>
        </w:rPr>
        <w:t>招标文件的修改</w:t>
      </w:r>
      <w:bookmarkEnd w:id="49"/>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7"/>
    <w:bookmarkEnd w:id="48"/>
    <w:p>
      <w:pPr>
        <w:pStyle w:val="2"/>
        <w:keepNext w:val="0"/>
        <w:keepLines w:val="0"/>
        <w:pageBreakBefore/>
        <w:widowControl/>
        <w:pBdr>
          <w:bottom w:val="single" w:color="808080" w:sz="36" w:space="3"/>
        </w:pBdr>
        <w:spacing w:before="0" w:after="240" w:line="240" w:lineRule="auto"/>
        <w:jc w:val="left"/>
        <w:rPr>
          <w:rFonts w:ascii="宋体" w:hAnsi="宋体"/>
        </w:rPr>
      </w:pPr>
      <w:bookmarkStart w:id="50" w:name="_Toc363569310"/>
      <w:bookmarkStart w:id="51" w:name="_Toc365364665"/>
      <w:bookmarkStart w:id="52" w:name="_Toc74734407"/>
      <w:bookmarkStart w:id="53" w:name="_Toc94175705"/>
      <w:bookmarkStart w:id="54" w:name="_Toc133775947"/>
      <w:bookmarkStart w:id="55" w:name="_Toc268096557"/>
      <w:r>
        <w:rPr>
          <w:rFonts w:hint="eastAsia" w:ascii="宋体" w:hAnsi="宋体"/>
        </w:rPr>
        <w:t>投标文件</w:t>
      </w:r>
      <w:bookmarkEnd w:id="50"/>
      <w:bookmarkEnd w:id="51"/>
      <w:bookmarkEnd w:id="52"/>
      <w:bookmarkEnd w:id="53"/>
      <w:bookmarkEnd w:id="54"/>
      <w:bookmarkEnd w:id="55"/>
    </w:p>
    <w:p>
      <w:pPr>
        <w:pStyle w:val="3"/>
        <w:keepLines w:val="0"/>
        <w:widowControl/>
        <w:numPr>
          <w:ilvl w:val="1"/>
          <w:numId w:val="0"/>
        </w:numPr>
        <w:spacing w:before="240" w:after="120" w:line="400" w:lineRule="exact"/>
        <w:jc w:val="left"/>
        <w:rPr>
          <w:rFonts w:ascii="宋体" w:hAnsi="宋体"/>
        </w:rPr>
      </w:pPr>
      <w:bookmarkStart w:id="56" w:name="_Toc365364666"/>
      <w:bookmarkStart w:id="57" w:name="_Toc74734408"/>
      <w:r>
        <w:rPr>
          <w:rFonts w:ascii="宋体" w:hAnsi="宋体"/>
        </w:rPr>
        <w:t>投标文件</w:t>
      </w:r>
      <w:bookmarkEnd w:id="56"/>
      <w:r>
        <w:rPr>
          <w:rFonts w:hint="eastAsia" w:ascii="宋体" w:hAnsi="宋体"/>
        </w:rPr>
        <w:t>的组成</w:t>
      </w:r>
      <w:bookmarkEnd w:id="57"/>
    </w:p>
    <w:p>
      <w:r>
        <w:rPr>
          <w:rFonts w:hint="eastAsia"/>
        </w:rPr>
        <w:t>（投标人应按以下规定提供所有资料，</w:t>
      </w:r>
      <w:r>
        <w:t>若缺项将影响评标分数或作废标处理</w:t>
      </w:r>
      <w:r>
        <w:rPr>
          <w:rFonts w:hint="eastAsia"/>
        </w:rPr>
        <w:t>，</w:t>
      </w:r>
      <w:r>
        <w:t>打</w:t>
      </w:r>
      <w:r>
        <w:rPr>
          <w:b/>
        </w:rPr>
        <w:t>星号</w:t>
      </w:r>
      <w:r>
        <w:t>的项目为必须提交</w:t>
      </w:r>
      <w:r>
        <w:rPr>
          <w:rFonts w:hint="eastAsia"/>
        </w:rPr>
        <w:t>）</w:t>
      </w:r>
    </w:p>
    <w:p>
      <w:pPr>
        <w:pStyle w:val="6"/>
        <w:numPr>
          <w:ilvl w:val="0"/>
          <w:numId w:val="5"/>
        </w:numPr>
        <w:spacing w:after="120" w:line="400" w:lineRule="exact"/>
        <w:rPr>
          <w:rFonts w:ascii="宋体" w:hAnsi="宋体"/>
        </w:rPr>
      </w:pPr>
      <w:r>
        <w:rPr>
          <w:rFonts w:hint="eastAsia" w:ascii="宋体" w:hAnsi="宋体"/>
          <w:b/>
        </w:rPr>
        <w:t>※开标一览表</w:t>
      </w:r>
      <w:r>
        <w:rPr>
          <w:rFonts w:hint="eastAsia" w:ascii="宋体" w:hAnsi="宋体"/>
        </w:rPr>
        <w:t>，请投标人按照</w:t>
      </w:r>
      <w:r>
        <w:rPr>
          <w:rFonts w:hint="eastAsia" w:ascii="宋体" w:hAnsi="宋体"/>
          <w:b/>
        </w:rPr>
        <w:t>招标标的</w:t>
      </w:r>
      <w:r>
        <w:rPr>
          <w:rFonts w:ascii="宋体" w:hAnsi="宋体"/>
        </w:rPr>
        <w:t>部分的表格</w:t>
      </w:r>
      <w:r>
        <w:rPr>
          <w:rFonts w:hint="eastAsia" w:ascii="宋体" w:hAnsi="宋体"/>
        </w:rPr>
        <w:t>对</w:t>
      </w:r>
      <w:r>
        <w:rPr>
          <w:rFonts w:hint="eastAsia" w:ascii="宋体" w:hAnsi="宋体"/>
          <w:b/>
        </w:rPr>
        <w:t>每种</w:t>
      </w:r>
      <w:r>
        <w:rPr>
          <w:rFonts w:ascii="宋体" w:hAnsi="宋体"/>
          <w:b/>
        </w:rPr>
        <w:t>产品</w:t>
      </w:r>
      <w:r>
        <w:rPr>
          <w:rFonts w:ascii="宋体" w:hAnsi="宋体"/>
        </w:rPr>
        <w:t>分别</w:t>
      </w:r>
      <w:r>
        <w:rPr>
          <w:rFonts w:hint="eastAsia" w:ascii="宋体" w:hAnsi="宋体"/>
        </w:rPr>
        <w:t>进行报价（</w:t>
      </w:r>
      <w:r>
        <w:rPr>
          <w:rFonts w:hint="eastAsia" w:ascii="宋体" w:hAnsi="宋体"/>
          <w:b/>
        </w:rPr>
        <w:t>单价</w:t>
      </w:r>
      <w:r>
        <w:rPr>
          <w:rFonts w:hint="eastAsia" w:ascii="宋体" w:hAnsi="宋体"/>
        </w:rPr>
        <w:t>），并确保所报价格准确有效；报价币种为人民币。</w:t>
      </w:r>
    </w:p>
    <w:p>
      <w:pPr>
        <w:pStyle w:val="6"/>
        <w:numPr>
          <w:ilvl w:val="0"/>
          <w:numId w:val="5"/>
        </w:numPr>
        <w:spacing w:after="120" w:line="400" w:lineRule="exact"/>
        <w:rPr>
          <w:rFonts w:ascii="宋体" w:hAnsi="宋体"/>
        </w:rPr>
      </w:pPr>
      <w:r>
        <w:rPr>
          <w:rFonts w:hint="eastAsia" w:ascii="宋体" w:hAnsi="宋体"/>
          <w:b/>
        </w:rPr>
        <w:t>※</w:t>
      </w:r>
      <w:r>
        <w:rPr>
          <w:rFonts w:hint="eastAsia" w:ascii="宋体" w:hAnsi="宋体"/>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（须在有效期内，且年检符合相关要求）。包括但不限于营业执照（副本），组织机构代码证，税务登记证，以及和标的物相关的专业资格证书等。代理商参加投标必须提供厂家有效授权文件及相关资质文件。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bCs w:val="0"/>
        </w:rPr>
      </w:pPr>
      <w:r>
        <w:rPr>
          <w:rFonts w:hint="eastAsia" w:ascii="宋体" w:hAnsi="宋体"/>
          <w:b/>
          <w:bCs w:val="0"/>
        </w:rPr>
        <w:t>※近期相关业绩证明。</w:t>
      </w:r>
    </w:p>
    <w:p>
      <w:pPr>
        <w:pStyle w:val="6"/>
        <w:numPr>
          <w:ilvl w:val="0"/>
          <w:numId w:val="5"/>
        </w:numPr>
        <w:spacing w:after="120" w:line="400" w:lineRule="exact"/>
        <w:rPr>
          <w:rFonts w:ascii="宋体" w:hAnsi="宋体"/>
        </w:rPr>
      </w:pPr>
      <w:r>
        <w:rPr>
          <w:rFonts w:hint="eastAsia" w:ascii="宋体" w:hAnsi="宋体"/>
        </w:rPr>
        <w:t>维护经验</w:t>
      </w:r>
      <w:r>
        <w:rPr>
          <w:rFonts w:ascii="宋体" w:hAnsi="宋体"/>
        </w:rPr>
        <w:t>以及案例说明</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3"/>
        <w:keepLines w:val="0"/>
        <w:widowControl/>
        <w:numPr>
          <w:ilvl w:val="1"/>
          <w:numId w:val="0"/>
        </w:numPr>
        <w:spacing w:before="240" w:after="120" w:line="400" w:lineRule="exact"/>
        <w:jc w:val="left"/>
        <w:rPr>
          <w:rFonts w:ascii="宋体" w:hAnsi="宋体"/>
        </w:rPr>
      </w:pPr>
      <w:bookmarkStart w:id="58" w:name="_Toc74734409"/>
      <w:bookmarkStart w:id="59" w:name="_Toc365364667"/>
      <w:bookmarkStart w:id="60" w:name="_Toc363569314"/>
      <w:bookmarkStart w:id="61" w:name="_Toc94175709"/>
      <w:bookmarkStart w:id="62" w:name="_Toc133775951"/>
      <w:bookmarkStart w:id="63" w:name="_Toc268096561"/>
      <w:r>
        <w:rPr>
          <w:rFonts w:hint="eastAsia" w:ascii="宋体" w:hAnsi="宋体"/>
        </w:rPr>
        <w:t>投标价格</w:t>
      </w:r>
      <w:bookmarkEnd w:id="58"/>
      <w:bookmarkEnd w:id="59"/>
      <w:bookmarkEnd w:id="60"/>
      <w:bookmarkEnd w:id="61"/>
      <w:bookmarkEnd w:id="62"/>
      <w:bookmarkEnd w:id="63"/>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rFonts w:ascii="宋体" w:hAnsi="宋体"/>
          <w:kern w:val="0"/>
          <w:sz w:val="24"/>
          <w:szCs w:val="20"/>
        </w:rPr>
      </w:pPr>
      <w:r>
        <w:rPr>
          <w:rFonts w:hint="eastAsia" w:ascii="宋体" w:hAnsi="宋体"/>
          <w:kern w:val="0"/>
          <w:sz w:val="24"/>
          <w:szCs w:val="20"/>
        </w:rPr>
        <w:t>投标价格除包含向中华人民共和国政府缴纳的增值税和其它税，还应包括对以下（a）、（b）两项已缴纳或应缴纳的全部关税、增值税和其它税：</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（a）货物在制造或组装时使用的部件和原材料是以前从国外进口的；</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4" w:name="_Toc363569315"/>
      <w:bookmarkStart w:id="65" w:name="_Toc74734410"/>
      <w:bookmarkStart w:id="66" w:name="_Toc94175710"/>
      <w:bookmarkStart w:id="67" w:name="_Toc133775952"/>
      <w:bookmarkStart w:id="68" w:name="_Toc268096562"/>
      <w:bookmarkStart w:id="69" w:name="_Toc365364668"/>
      <w:r>
        <w:rPr>
          <w:rFonts w:hint="eastAsia" w:ascii="宋体" w:hAnsi="宋体"/>
        </w:rPr>
        <w:t>投标货币</w:t>
      </w:r>
      <w:bookmarkEnd w:id="64"/>
      <w:bookmarkEnd w:id="65"/>
      <w:bookmarkEnd w:id="66"/>
      <w:bookmarkEnd w:id="67"/>
      <w:bookmarkEnd w:id="68"/>
      <w:bookmarkEnd w:id="69"/>
    </w:p>
    <w:p>
      <w:pPr>
        <w:autoSpaceDE w:val="0"/>
        <w:autoSpaceDN w:val="0"/>
        <w:adjustRightInd w:val="0"/>
        <w:spacing w:before="78" w:beforeLines="25" w:line="360" w:lineRule="auto"/>
        <w:ind w:firstLine="480" w:firstLineChars="200"/>
        <w:rPr>
          <w:rFonts w:ascii="宋体"/>
          <w:sz w:val="24"/>
        </w:rPr>
      </w:pPr>
      <w:r>
        <w:rPr>
          <w:rFonts w:hint="eastAsia" w:ascii="宋体"/>
          <w:sz w:val="24"/>
        </w:rPr>
        <w:t>投标文件报价中的单价、合价和总价全部以</w:t>
      </w:r>
      <w:r>
        <w:rPr>
          <w:rFonts w:hint="eastAsia" w:ascii="宋体"/>
          <w:color w:val="FF0000"/>
          <w:sz w:val="24"/>
        </w:rPr>
        <w:t>人民币</w:t>
      </w:r>
      <w:r>
        <w:rPr>
          <w:rFonts w:hint="eastAsia" w:ascii="宋体"/>
          <w:sz w:val="24"/>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0" w:name="_Toc74734411"/>
      <w:r>
        <w:rPr>
          <w:rFonts w:ascii="宋体" w:hAnsi="宋体"/>
        </w:rPr>
        <w:t>投标文件的密封和递交</w:t>
      </w:r>
      <w:bookmarkEnd w:id="70"/>
    </w:p>
    <w:p>
      <w:pPr>
        <w:widowControl/>
        <w:numPr>
          <w:ilvl w:val="0"/>
          <w:numId w:val="8"/>
        </w:numPr>
        <w:spacing w:after="120" w:line="400" w:lineRule="exact"/>
        <w:jc w:val="left"/>
        <w:rPr>
          <w:rFonts w:ascii="宋体" w:hAnsi="宋体"/>
          <w:sz w:val="24"/>
        </w:rPr>
      </w:pPr>
      <w:r>
        <w:rPr>
          <w:rFonts w:hint="eastAsia" w:ascii="宋体" w:hAnsi="宋体"/>
          <w:b/>
          <w:color w:val="FF0000"/>
        </w:rPr>
        <w:t>投标报价部分（开标一览表）应单独密封。</w:t>
      </w:r>
    </w:p>
    <w:p>
      <w:pPr>
        <w:widowControl/>
        <w:numPr>
          <w:ilvl w:val="0"/>
          <w:numId w:val="8"/>
        </w:numPr>
        <w:spacing w:after="120" w:line="360" w:lineRule="auto"/>
        <w:jc w:val="left"/>
        <w:rPr>
          <w:rFonts w:ascii="宋体" w:hAnsi="宋体"/>
          <w:sz w:val="24"/>
        </w:rPr>
      </w:pPr>
      <w:r>
        <w:rPr>
          <w:rFonts w:ascii="宋体" w:hAnsi="宋体"/>
          <w:sz w:val="24"/>
        </w:rPr>
        <w:t>投标人应将投标文件正本(</w:t>
      </w:r>
      <w:r>
        <w:rPr>
          <w:rFonts w:ascii="宋体" w:hAnsi="宋体"/>
          <w:color w:val="FF0000"/>
          <w:sz w:val="24"/>
        </w:rPr>
        <w:t>一套</w:t>
      </w:r>
      <w:r>
        <w:rPr>
          <w:rFonts w:ascii="宋体" w:hAnsi="宋体"/>
          <w:sz w:val="24"/>
        </w:rPr>
        <w:t>)和副本(</w:t>
      </w:r>
      <w:r>
        <w:rPr>
          <w:rFonts w:hint="eastAsia" w:ascii="宋体" w:hAnsi="宋体"/>
          <w:color w:val="FF0000"/>
          <w:sz w:val="24"/>
        </w:rPr>
        <w:t>四套</w:t>
      </w:r>
      <w:r>
        <w:rPr>
          <w:rFonts w:ascii="宋体" w:hAnsi="宋体"/>
          <w:sz w:val="24"/>
        </w:rPr>
        <w:t>)用牛皮纸袋密封，并在封面上明确标明正本和副本字样，一旦正本与副本不符，以正本为准</w:t>
      </w:r>
      <w:r>
        <w:rPr>
          <w:rFonts w:hint="eastAsia" w:ascii="宋体" w:hAnsi="宋体"/>
          <w:sz w:val="24"/>
        </w:rPr>
        <w:t>。</w:t>
      </w:r>
    </w:p>
    <w:p>
      <w:pPr>
        <w:widowControl/>
        <w:numPr>
          <w:ilvl w:val="0"/>
          <w:numId w:val="8"/>
        </w:numPr>
        <w:spacing w:after="120" w:line="360" w:lineRule="auto"/>
        <w:jc w:val="left"/>
        <w:rPr>
          <w:rFonts w:ascii="宋体" w:hAnsi="宋体"/>
          <w:sz w:val="24"/>
        </w:rPr>
      </w:pPr>
      <w:r>
        <w:rPr>
          <w:rFonts w:ascii="宋体" w:hAnsi="宋体"/>
          <w:sz w:val="24"/>
        </w:rPr>
        <w:t>封袋上应工整清晰打印单位名称</w:t>
      </w:r>
      <w:r>
        <w:rPr>
          <w:rFonts w:hint="eastAsia" w:ascii="宋体" w:hAnsi="宋体"/>
          <w:sz w:val="24"/>
        </w:rPr>
        <w:t>、</w:t>
      </w:r>
      <w:r>
        <w:rPr>
          <w:rFonts w:ascii="宋体" w:hAnsi="宋体"/>
          <w:sz w:val="24"/>
        </w:rPr>
        <w:t>投标标段信息</w:t>
      </w:r>
      <w:r>
        <w:rPr>
          <w:rFonts w:hint="eastAsia" w:ascii="宋体" w:hAnsi="宋体"/>
          <w:sz w:val="24"/>
        </w:rPr>
        <w:t>。</w:t>
      </w:r>
      <w:r>
        <w:rPr>
          <w:rFonts w:ascii="宋体" w:hAnsi="宋体"/>
          <w:sz w:val="24"/>
        </w:rPr>
        <w:t xml:space="preserve"> </w:t>
      </w:r>
    </w:p>
    <w:p>
      <w:pPr>
        <w:widowControl/>
        <w:numPr>
          <w:ilvl w:val="0"/>
          <w:numId w:val="8"/>
        </w:numPr>
        <w:spacing w:after="120" w:line="360" w:lineRule="auto"/>
        <w:jc w:val="left"/>
        <w:rPr>
          <w:rFonts w:ascii="宋体" w:hAnsi="宋体"/>
          <w:sz w:val="24"/>
        </w:rPr>
      </w:pPr>
      <w:r>
        <w:rPr>
          <w:rFonts w:ascii="宋体" w:hAnsi="宋体"/>
          <w:sz w:val="24"/>
        </w:rPr>
        <w:t>投标文件须在投标截止时间前递交至开标地点</w:t>
      </w:r>
      <w:r>
        <w:rPr>
          <w:rFonts w:hint="eastAsia" w:ascii="宋体" w:hAnsi="宋体"/>
          <w:sz w:val="24"/>
        </w:rPr>
        <w:t>。</w:t>
      </w:r>
    </w:p>
    <w:p>
      <w:pPr>
        <w:spacing w:line="360" w:lineRule="auto"/>
        <w:ind w:firstLine="480" w:firstLineChars="200"/>
        <w:rPr>
          <w:rFonts w:ascii="宋体" w:hAnsi="宋体"/>
          <w:bCs/>
          <w:sz w:val="24"/>
        </w:rPr>
      </w:pPr>
      <w:r>
        <w:rPr>
          <w:rFonts w:ascii="宋体" w:hAnsi="宋体"/>
          <w:sz w:val="24"/>
        </w:rPr>
        <w:t>如果评标委员会认定任何一家投标人有违反上述规定的行为，</w:t>
      </w:r>
      <w:r>
        <w:rPr>
          <w:rFonts w:hint="eastAsia" w:ascii="宋体" w:hAnsi="宋体"/>
          <w:bCs/>
          <w:sz w:val="24"/>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71" w:name="_Toc94175719"/>
      <w:bookmarkStart w:id="72" w:name="_Toc74734412"/>
      <w:bookmarkStart w:id="73" w:name="_Toc133775961"/>
      <w:bookmarkStart w:id="74" w:name="_Toc363569322"/>
      <w:bookmarkStart w:id="75" w:name="_Toc365364672"/>
      <w:bookmarkStart w:id="76" w:name="_Toc268096571"/>
      <w:r>
        <w:rPr>
          <w:rFonts w:hint="eastAsia" w:ascii="宋体" w:hAnsi="宋体"/>
        </w:rPr>
        <w:t>开标与评标</w:t>
      </w:r>
      <w:bookmarkEnd w:id="71"/>
      <w:bookmarkEnd w:id="72"/>
      <w:bookmarkEnd w:id="73"/>
      <w:bookmarkEnd w:id="74"/>
      <w:bookmarkEnd w:id="75"/>
      <w:bookmarkEnd w:id="76"/>
    </w:p>
    <w:p>
      <w:pPr>
        <w:pStyle w:val="3"/>
        <w:keepLines w:val="0"/>
        <w:widowControl/>
        <w:numPr>
          <w:ilvl w:val="1"/>
          <w:numId w:val="0"/>
        </w:numPr>
        <w:spacing w:before="240" w:after="120" w:line="400" w:lineRule="exact"/>
        <w:jc w:val="left"/>
        <w:rPr>
          <w:rFonts w:ascii="宋体" w:hAnsi="宋体"/>
        </w:rPr>
      </w:pPr>
      <w:bookmarkStart w:id="77" w:name="_Toc268096572"/>
      <w:bookmarkStart w:id="78" w:name="_Toc74734413"/>
      <w:bookmarkStart w:id="79" w:name="_Toc94175720"/>
      <w:bookmarkStart w:id="80" w:name="_Toc365364673"/>
      <w:bookmarkStart w:id="81" w:name="_Toc363569323"/>
      <w:bookmarkStart w:id="82" w:name="_Toc133775962"/>
      <w:r>
        <w:rPr>
          <w:rFonts w:hint="eastAsia" w:ascii="宋体" w:hAnsi="宋体"/>
        </w:rPr>
        <w:t>开标</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合格投标人可参加同一标段的开标会议。</w:t>
      </w:r>
    </w:p>
    <w:p>
      <w:pPr>
        <w:pStyle w:val="6"/>
        <w:numPr>
          <w:ilvl w:val="0"/>
          <w:numId w:val="9"/>
        </w:numPr>
        <w:spacing w:after="120" w:line="400" w:lineRule="exact"/>
        <w:rPr>
          <w:rFonts w:ascii="宋体" w:hAnsi="宋体"/>
        </w:rPr>
      </w:pPr>
      <w:r>
        <w:rPr>
          <w:rFonts w:hint="eastAsia" w:ascii="宋体" w:hAnsi="宋体"/>
        </w:rPr>
        <w:t>整个开标过程将由监察审计人员监督。</w:t>
      </w:r>
    </w:p>
    <w:p>
      <w:pPr>
        <w:pStyle w:val="6"/>
        <w:numPr>
          <w:ilvl w:val="0"/>
          <w:numId w:val="9"/>
        </w:numPr>
        <w:spacing w:after="120" w:line="400" w:lineRule="exact"/>
        <w:rPr>
          <w:rFonts w:ascii="宋体" w:hAnsi="宋体"/>
          <w:color w:val="FF0000"/>
        </w:rPr>
      </w:pPr>
      <w:r>
        <w:rPr>
          <w:rFonts w:hint="eastAsia" w:ascii="宋体" w:hAnsi="宋体"/>
          <w:color w:val="FF0000"/>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83" w:name="_Toc365364674"/>
      <w:bookmarkStart w:id="84" w:name="_Toc363569324"/>
      <w:bookmarkStart w:id="85" w:name="_Toc74734414"/>
      <w:bookmarkStart w:id="86" w:name="_Toc133775963"/>
      <w:bookmarkStart w:id="87" w:name="_Toc268096573"/>
      <w:bookmarkStart w:id="88" w:name="_Toc94175721"/>
      <w:r>
        <w:rPr>
          <w:rFonts w:hint="eastAsia" w:ascii="宋体" w:hAnsi="宋体"/>
        </w:rPr>
        <w:t>评标</w:t>
      </w:r>
      <w:bookmarkEnd w:id="83"/>
      <w:bookmarkEnd w:id="84"/>
      <w:bookmarkEnd w:id="85"/>
      <w:bookmarkEnd w:id="86"/>
      <w:bookmarkEnd w:id="87"/>
      <w:bookmarkEnd w:id="88"/>
    </w:p>
    <w:p>
      <w:pPr>
        <w:pStyle w:val="6"/>
        <w:numPr>
          <w:ilvl w:val="0"/>
          <w:numId w:val="10"/>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0"/>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0"/>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0"/>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0"/>
        </w:numPr>
        <w:spacing w:after="120" w:line="400" w:lineRule="exact"/>
        <w:rPr>
          <w:rFonts w:ascii="宋体"/>
        </w:rPr>
      </w:pPr>
      <w:r>
        <w:rPr>
          <w:rFonts w:hint="eastAsia" w:ascii="宋体" w:hAnsi="宋体"/>
        </w:rPr>
        <w:t>综合得分的计算将根据</w:t>
      </w:r>
      <w:r>
        <w:rPr>
          <w:rFonts w:hint="eastAsia" w:ascii="宋体" w:hAnsi="宋体"/>
          <w:b/>
          <w:color w:val="FF0000"/>
          <w:u w:val="none"/>
          <w:lang w:val="en-US" w:eastAsia="zh-CN"/>
        </w:rPr>
        <w:t>网络数据汇聚分发器评分规则</w:t>
      </w:r>
      <w:r>
        <w:rPr>
          <w:rFonts w:hint="eastAsia" w:ascii="宋体" w:hAnsi="宋体"/>
        </w:rPr>
        <w:t>对有效投标人的投标文件进行</w:t>
      </w:r>
      <w:r>
        <w:rPr>
          <w:rFonts w:ascii="宋体" w:hAnsi="宋体"/>
        </w:rPr>
        <w:t>综合评分</w:t>
      </w:r>
      <w:r>
        <w:rPr>
          <w:rFonts w:hint="eastAsia" w:ascii="宋体" w:hAnsi="宋体"/>
        </w:rPr>
        <w:t>。其中</w:t>
      </w:r>
      <w:r>
        <w:rPr>
          <w:rFonts w:ascii="宋体" w:hAnsi="宋体"/>
        </w:rPr>
        <w:t>商务评分</w:t>
      </w:r>
      <w:r>
        <w:rPr>
          <w:rFonts w:hint="eastAsia" w:ascii="宋体" w:hAnsi="宋体"/>
          <w:color w:val="auto"/>
          <w:lang w:val="en-US" w:eastAsia="zh-CN"/>
        </w:rPr>
        <w:t>2</w:t>
      </w:r>
      <w:r>
        <w:rPr>
          <w:rFonts w:hint="eastAsia" w:ascii="宋体" w:hAnsi="宋体"/>
          <w:color w:val="auto"/>
        </w:rPr>
        <w:t>0</w:t>
      </w:r>
      <w:r>
        <w:rPr>
          <w:rFonts w:hint="eastAsia" w:ascii="宋体" w:hAnsi="宋体"/>
          <w:color w:val="auto"/>
          <w:lang w:val="en-US" w:eastAsia="zh-CN"/>
        </w:rPr>
        <w:t>分</w:t>
      </w:r>
      <w:r>
        <w:rPr>
          <w:rFonts w:ascii="宋体" w:hAnsi="宋体"/>
          <w:color w:val="auto"/>
        </w:rPr>
        <w:t>，技术评分</w:t>
      </w:r>
      <w:r>
        <w:rPr>
          <w:rFonts w:hint="eastAsia" w:ascii="宋体" w:hAnsi="宋体"/>
          <w:color w:val="auto"/>
          <w:lang w:val="en-US" w:eastAsia="zh-CN"/>
        </w:rPr>
        <w:t>4</w:t>
      </w:r>
      <w:r>
        <w:rPr>
          <w:rFonts w:hint="eastAsia" w:ascii="宋体" w:hAnsi="宋体"/>
          <w:color w:val="auto"/>
        </w:rPr>
        <w:t>0</w:t>
      </w:r>
      <w:r>
        <w:rPr>
          <w:rFonts w:hint="eastAsia" w:ascii="宋体" w:hAnsi="宋体"/>
          <w:color w:val="auto"/>
          <w:lang w:val="en-US" w:eastAsia="zh-CN"/>
        </w:rPr>
        <w:t>分</w:t>
      </w:r>
      <w:r>
        <w:rPr>
          <w:rFonts w:ascii="宋体" w:hAnsi="宋体"/>
          <w:color w:val="auto"/>
        </w:rPr>
        <w:t>，价格评分</w:t>
      </w:r>
      <w:r>
        <w:rPr>
          <w:rFonts w:hint="eastAsia" w:ascii="宋体" w:hAnsi="宋体"/>
          <w:color w:val="auto"/>
          <w:lang w:val="en-US" w:eastAsia="zh-CN"/>
        </w:rPr>
        <w:t>4</w:t>
      </w:r>
      <w:r>
        <w:rPr>
          <w:rFonts w:hint="eastAsia" w:ascii="宋体" w:hAnsi="宋体"/>
          <w:color w:val="auto"/>
        </w:rPr>
        <w:t>0</w:t>
      </w:r>
      <w:r>
        <w:rPr>
          <w:rFonts w:hint="eastAsia" w:ascii="宋体" w:hAnsi="宋体"/>
          <w:color w:val="auto"/>
          <w:lang w:val="en-US" w:eastAsia="zh-CN"/>
        </w:rPr>
        <w:t>分</w:t>
      </w:r>
      <w:r>
        <w:rPr>
          <w:rFonts w:ascii="宋体" w:hAnsi="宋体"/>
        </w:rPr>
        <w:t>。</w:t>
      </w:r>
    </w:p>
    <w:p>
      <w:pPr>
        <w:pStyle w:val="3"/>
        <w:keepLines w:val="0"/>
        <w:widowControl/>
        <w:numPr>
          <w:ilvl w:val="1"/>
          <w:numId w:val="0"/>
        </w:numPr>
        <w:spacing w:before="240" w:after="120" w:line="400" w:lineRule="exact"/>
        <w:jc w:val="left"/>
        <w:rPr>
          <w:rFonts w:ascii="宋体" w:hAnsi="宋体"/>
        </w:rPr>
      </w:pPr>
      <w:bookmarkStart w:id="89" w:name="_Toc94175723"/>
      <w:bookmarkStart w:id="90" w:name="_Toc74734415"/>
      <w:bookmarkStart w:id="91" w:name="_Toc365364675"/>
      <w:bookmarkStart w:id="92" w:name="_Toc363569325"/>
      <w:bookmarkStart w:id="93" w:name="_Toc133775964"/>
      <w:bookmarkStart w:id="94" w:name="_Toc268096574"/>
      <w:r>
        <w:rPr>
          <w:rFonts w:hint="eastAsia" w:ascii="宋体" w:hAnsi="宋体"/>
        </w:rPr>
        <w:t>投标文件的澄清</w:t>
      </w:r>
      <w:bookmarkEnd w:id="89"/>
      <w:bookmarkEnd w:id="90"/>
      <w:bookmarkEnd w:id="91"/>
      <w:bookmarkEnd w:id="92"/>
      <w:bookmarkEnd w:id="93"/>
      <w:bookmarkEnd w:id="94"/>
    </w:p>
    <w:p>
      <w:pPr>
        <w:spacing w:line="360" w:lineRule="auto"/>
        <w:ind w:firstLine="480" w:firstLineChars="200"/>
        <w:rPr>
          <w:rFonts w:hint="eastAsia" w:ascii="宋体" w:hAnsi="宋体" w:eastAsia="宋体" w:cs="Times New Roman"/>
          <w:kern w:val="0"/>
          <w:sz w:val="24"/>
          <w:szCs w:val="20"/>
          <w:lang w:val="en-US" w:eastAsia="zh-CN" w:bidi="ar-SA"/>
        </w:rPr>
      </w:pPr>
      <w:r>
        <w:rPr>
          <w:rFonts w:hint="eastAsia" w:ascii="宋体" w:hAnsi="宋体" w:eastAsia="宋体" w:cs="Times New Roman"/>
          <w:kern w:val="0"/>
          <w:sz w:val="24"/>
          <w:szCs w:val="20"/>
          <w:lang w:val="en-US" w:eastAsia="zh-CN" w:bidi="ar-SA"/>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95" w:name="_Toc74734416"/>
      <w:bookmarkStart w:id="96" w:name="_Toc365364676"/>
      <w:bookmarkStart w:id="97" w:name="_Toc133775966"/>
      <w:bookmarkStart w:id="98" w:name="_Toc363569327"/>
      <w:bookmarkStart w:id="99" w:name="_Toc94175725"/>
      <w:bookmarkStart w:id="100" w:name="_Toc268096576"/>
      <w:r>
        <w:rPr>
          <w:rFonts w:hint="eastAsia" w:ascii="宋体" w:hAnsi="宋体"/>
        </w:rPr>
        <w:t>废标条款</w:t>
      </w:r>
      <w:bookmarkEnd w:id="95"/>
    </w:p>
    <w:p>
      <w:pPr>
        <w:pStyle w:val="25"/>
        <w:spacing w:line="540" w:lineRule="exact"/>
        <w:ind w:firstLine="240" w:firstLineChars="100"/>
        <w:rPr>
          <w:rFonts w:hAnsi="Times New Roman"/>
        </w:rPr>
      </w:pPr>
      <w:r>
        <w:rPr>
          <w:rFonts w:hint="eastAsia" w:hAnsi="Times New Roman"/>
        </w:rPr>
        <w:t>（一）投标文件有下列之一的，应作废标处理：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int="eastAsia"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hint="eastAsia" w:ascii="宋体" w:hAnsi="Times New Roman" w:eastAsia="宋体" w:cs="Times New Roman"/>
          <w:kern w:val="0"/>
          <w:sz w:val="24"/>
          <w:szCs w:val="20"/>
          <w:lang w:val="en-US" w:eastAsia="zh-CN" w:bidi="ar-SA"/>
        </w:rPr>
      </w:pPr>
      <w:r>
        <w:rPr>
          <w:rFonts w:hint="eastAsia" w:ascii="宋体" w:hAnsi="Times New Roman" w:eastAsia="宋体" w:cs="Times New Roman"/>
          <w:kern w:val="0"/>
          <w:sz w:val="24"/>
          <w:szCs w:val="20"/>
          <w:lang w:val="en-US" w:eastAsia="zh-CN" w:bidi="ar-SA"/>
        </w:rPr>
        <w:t>5、资质评审不合格的；</w:t>
      </w:r>
    </w:p>
    <w:p>
      <w:pPr>
        <w:tabs>
          <w:tab w:val="left" w:pos="210"/>
        </w:tabs>
        <w:spacing w:line="540" w:lineRule="exact"/>
        <w:ind w:firstLine="210" w:firstLineChars="100"/>
        <w:rPr>
          <w:rFonts w:hint="eastAsia" w:ascii="宋体" w:hAnsi="Times New Roman" w:eastAsia="宋体" w:cs="Times New Roman"/>
          <w:kern w:val="0"/>
          <w:sz w:val="24"/>
          <w:szCs w:val="20"/>
          <w:lang w:val="en-US" w:eastAsia="zh-CN" w:bidi="ar-SA"/>
        </w:rPr>
      </w:pPr>
      <w:r>
        <w:rPr>
          <w:rFonts w:hint="eastAsia" w:ascii="宋体"/>
        </w:rPr>
        <w:t>6、</w:t>
      </w:r>
      <w:r>
        <w:rPr>
          <w:rFonts w:hint="eastAsia" w:ascii="宋体" w:hAnsi="Times New Roman" w:eastAsia="宋体" w:cs="Times New Roman"/>
          <w:kern w:val="0"/>
          <w:sz w:val="24"/>
          <w:szCs w:val="20"/>
          <w:lang w:val="en-US" w:eastAsia="zh-CN" w:bidi="ar-SA"/>
        </w:rPr>
        <w:t>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01" w:name="_Toc74734417"/>
      <w:r>
        <w:rPr>
          <w:rFonts w:hint="eastAsia" w:ascii="宋体" w:hAnsi="宋体"/>
        </w:rPr>
        <w:t>授予合同</w:t>
      </w:r>
      <w:bookmarkEnd w:id="96"/>
      <w:bookmarkEnd w:id="97"/>
      <w:bookmarkEnd w:id="98"/>
      <w:bookmarkEnd w:id="99"/>
      <w:bookmarkEnd w:id="100"/>
      <w:bookmarkEnd w:id="101"/>
    </w:p>
    <w:p>
      <w:pPr>
        <w:pStyle w:val="3"/>
        <w:keepLines w:val="0"/>
        <w:widowControl/>
        <w:numPr>
          <w:ilvl w:val="1"/>
          <w:numId w:val="0"/>
        </w:numPr>
        <w:spacing w:before="240" w:after="120" w:line="400" w:lineRule="exact"/>
        <w:jc w:val="left"/>
        <w:rPr>
          <w:rFonts w:ascii="宋体" w:hAnsi="宋体"/>
        </w:rPr>
      </w:pPr>
      <w:bookmarkStart w:id="102" w:name="_Toc74734418"/>
      <w:bookmarkStart w:id="103" w:name="_Toc365364677"/>
      <w:bookmarkStart w:id="104" w:name="_Toc363569328"/>
      <w:r>
        <w:rPr>
          <w:rFonts w:hint="eastAsia" w:ascii="宋体" w:hAnsi="宋体"/>
        </w:rPr>
        <w:t>定标原则</w:t>
      </w:r>
      <w:bookmarkEnd w:id="102"/>
      <w:bookmarkEnd w:id="103"/>
      <w:bookmarkEnd w:id="104"/>
    </w:p>
    <w:p>
      <w:pPr>
        <w:pStyle w:val="6"/>
        <w:numPr>
          <w:ilvl w:val="0"/>
          <w:numId w:val="11"/>
        </w:numPr>
        <w:spacing w:after="120" w:line="400" w:lineRule="exact"/>
        <w:rPr>
          <w:rFonts w:ascii="宋体" w:hAnsi="宋体"/>
        </w:rPr>
      </w:pPr>
      <w:r>
        <w:rPr>
          <w:rFonts w:hint="eastAsia" w:ascii="宋体" w:hAnsi="宋体"/>
        </w:rPr>
        <w:t>合同将授予符合下列条件的投标人：</w:t>
      </w:r>
    </w:p>
    <w:p>
      <w:pPr>
        <w:numPr>
          <w:ilvl w:val="0"/>
          <w:numId w:val="12"/>
        </w:numPr>
        <w:autoSpaceDE w:val="0"/>
        <w:autoSpaceDN w:val="0"/>
        <w:adjustRightInd w:val="0"/>
        <w:spacing w:before="78" w:beforeLines="25" w:line="360" w:lineRule="auto"/>
        <w:rPr>
          <w:rFonts w:ascii="宋体"/>
        </w:rPr>
      </w:pPr>
      <w:r>
        <w:rPr>
          <w:rFonts w:hint="eastAsia" w:ascii="宋体"/>
        </w:rPr>
        <w:t>投标文件及其澄清文件实质性响应招标文件要求；</w:t>
      </w:r>
    </w:p>
    <w:p>
      <w:pPr>
        <w:numPr>
          <w:ilvl w:val="0"/>
          <w:numId w:val="12"/>
        </w:numPr>
        <w:autoSpaceDE w:val="0"/>
        <w:autoSpaceDN w:val="0"/>
        <w:adjustRightInd w:val="0"/>
        <w:spacing w:before="78" w:beforeLines="25" w:line="360" w:lineRule="auto"/>
        <w:rPr>
          <w:rFonts w:ascii="宋体"/>
        </w:rPr>
      </w:pPr>
      <w:r>
        <w:rPr>
          <w:rFonts w:hint="eastAsia" w:ascii="宋体"/>
        </w:rPr>
        <w:t>评标委员会根据</w:t>
      </w:r>
      <w:r>
        <w:rPr>
          <w:rFonts w:hint="eastAsia" w:ascii="宋体"/>
          <w:lang w:val="en-US" w:eastAsia="zh-CN"/>
        </w:rPr>
        <w:t>公布的评分规则</w:t>
      </w:r>
      <w:r>
        <w:rPr>
          <w:rFonts w:hint="eastAsia" w:ascii="宋体"/>
        </w:rPr>
        <w:t>综合评价，评出的最大限度满足招标要求的投标人；</w:t>
      </w:r>
    </w:p>
    <w:p>
      <w:pPr>
        <w:pStyle w:val="6"/>
        <w:numPr>
          <w:ilvl w:val="0"/>
          <w:numId w:val="11"/>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05" w:name="_Toc74734419"/>
      <w:bookmarkStart w:id="106" w:name="_Toc365364678"/>
      <w:bookmarkStart w:id="107" w:name="_Toc363569329"/>
      <w:r>
        <w:rPr>
          <w:rFonts w:hint="eastAsia" w:ascii="宋体" w:hAnsi="宋体"/>
        </w:rPr>
        <w:t>中标通知</w:t>
      </w:r>
      <w:bookmarkEnd w:id="105"/>
      <w:bookmarkEnd w:id="106"/>
      <w:bookmarkEnd w:id="107"/>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08" w:name="_Toc74734420"/>
      <w:bookmarkStart w:id="109" w:name="_Toc365364679"/>
      <w:bookmarkStart w:id="110" w:name="_Toc363569330"/>
      <w:r>
        <w:rPr>
          <w:rFonts w:hint="eastAsia" w:ascii="宋体" w:hAnsi="宋体"/>
        </w:rPr>
        <w:t>授予合同时变更数量的权利</w:t>
      </w:r>
      <w:bookmarkEnd w:id="108"/>
      <w:bookmarkEnd w:id="109"/>
      <w:bookmarkEnd w:id="110"/>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pPr>
      <w:bookmarkStart w:id="111" w:name="_Toc74734421"/>
      <w:r>
        <w:rPr>
          <w:rFonts w:hint="eastAsia"/>
        </w:rPr>
        <w:t>合同签订</w:t>
      </w:r>
      <w:bookmarkEnd w:id="111"/>
    </w:p>
    <w:p>
      <w:pPr>
        <w:pStyle w:val="6"/>
        <w:numPr>
          <w:ilvl w:val="0"/>
          <w:numId w:val="13"/>
        </w:numPr>
        <w:spacing w:after="120" w:line="400" w:lineRule="exact"/>
        <w:rPr>
          <w:rFonts w:ascii="宋体" w:hAnsi="宋体"/>
        </w:rPr>
      </w:pPr>
      <w:r>
        <w:rPr>
          <w:rFonts w:hint="eastAsia" w:ascii="宋体" w:hAnsi="宋体"/>
        </w:rPr>
        <w:t>中标通知书发出之日起五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3"/>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rPr>
          <w:rFonts w:ascii="宋体"/>
        </w:rPr>
      </w:pPr>
    </w:p>
    <w:p>
      <w:pPr>
        <w:pStyle w:val="3"/>
        <w:keepLines w:val="0"/>
        <w:widowControl/>
        <w:numPr>
          <w:ilvl w:val="1"/>
          <w:numId w:val="0"/>
        </w:numPr>
        <w:spacing w:before="240" w:after="120" w:line="400" w:lineRule="exact"/>
        <w:jc w:val="left"/>
        <w:rPr>
          <w:rFonts w:ascii="宋体" w:hAnsi="宋体"/>
          <w:smallCaps/>
        </w:rPr>
      </w:pPr>
      <w:bookmarkStart w:id="112" w:name="_Toc381600291"/>
      <w:bookmarkStart w:id="113" w:name="_Toc365364681"/>
      <w:bookmarkStart w:id="114" w:name="_Toc381600800"/>
      <w:bookmarkStart w:id="115" w:name="_Toc74734422"/>
      <w:bookmarkStart w:id="116" w:name="_Toc133775993"/>
      <w:bookmarkStart w:id="117" w:name="_Toc381669536"/>
      <w:bookmarkStart w:id="118" w:name="_Toc41724670"/>
      <w:bookmarkStart w:id="119" w:name="_Toc371904371"/>
      <w:bookmarkStart w:id="120" w:name="_Toc41734164"/>
      <w:bookmarkStart w:id="121" w:name="_Toc41724788"/>
      <w:bookmarkStart w:id="122" w:name="_Toc268096607"/>
      <w:bookmarkStart w:id="123" w:name="_Toc27812989"/>
      <w:r>
        <w:rPr>
          <w:rFonts w:hint="eastAsia" w:ascii="宋体" w:hAnsi="宋体"/>
          <w:smallCaps/>
        </w:rPr>
        <w:t>运输及其保险</w:t>
      </w:r>
      <w:bookmarkEnd w:id="112"/>
      <w:bookmarkEnd w:id="113"/>
      <w:bookmarkEnd w:id="114"/>
      <w:bookmarkEnd w:id="115"/>
      <w:bookmarkEnd w:id="116"/>
      <w:bookmarkEnd w:id="117"/>
      <w:bookmarkEnd w:id="118"/>
      <w:bookmarkEnd w:id="119"/>
      <w:bookmarkEnd w:id="120"/>
      <w:bookmarkEnd w:id="121"/>
      <w:bookmarkEnd w:id="122"/>
      <w:bookmarkEnd w:id="123"/>
    </w:p>
    <w:p>
      <w:pPr>
        <w:pStyle w:val="6"/>
        <w:numPr>
          <w:ilvl w:val="0"/>
          <w:numId w:val="14"/>
        </w:numPr>
        <w:spacing w:after="120" w:line="400" w:lineRule="exact"/>
        <w:rPr>
          <w:rFonts w:ascii="宋体" w:hAnsi="宋体"/>
        </w:rPr>
      </w:pPr>
      <w:bookmarkStart w:id="124" w:name="_Toc381600801"/>
      <w:bookmarkStart w:id="125" w:name="_Toc381669537"/>
      <w:bookmarkStart w:id="126" w:name="_Toc371904372"/>
      <w:bookmarkStart w:id="127" w:name="_Toc381600292"/>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4"/>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4"/>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4"/>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4"/>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4"/>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24"/>
    <w:bookmarkEnd w:id="125"/>
    <w:bookmarkEnd w:id="126"/>
    <w:bookmarkEnd w:id="127"/>
    <w:p>
      <w:pPr>
        <w:pStyle w:val="3"/>
        <w:keepLines w:val="0"/>
        <w:widowControl/>
        <w:numPr>
          <w:ilvl w:val="1"/>
          <w:numId w:val="0"/>
        </w:numPr>
        <w:spacing w:before="240" w:after="120" w:line="400" w:lineRule="exact"/>
        <w:jc w:val="left"/>
        <w:rPr>
          <w:rFonts w:ascii="宋体" w:hAnsi="宋体"/>
        </w:rPr>
      </w:pPr>
      <w:bookmarkStart w:id="128" w:name="_Hlt19434325"/>
      <w:bookmarkEnd w:id="128"/>
      <w:bookmarkStart w:id="129" w:name="_Toc41724792"/>
      <w:bookmarkStart w:id="130" w:name="_Toc381600295"/>
      <w:bookmarkStart w:id="131" w:name="_Toc74734423"/>
      <w:bookmarkStart w:id="132" w:name="_Toc371904375"/>
      <w:bookmarkStart w:id="133" w:name="_Toc133775997"/>
      <w:bookmarkStart w:id="134" w:name="_Toc365364683"/>
      <w:bookmarkStart w:id="135" w:name="_Toc27812993"/>
      <w:bookmarkStart w:id="136" w:name="_Toc41734168"/>
      <w:bookmarkStart w:id="137" w:name="_Toc268096611"/>
      <w:bookmarkStart w:id="138" w:name="_Toc381600804"/>
      <w:bookmarkStart w:id="139" w:name="_Toc381669540"/>
      <w:bookmarkStart w:id="140" w:name="_Toc41724674"/>
      <w:r>
        <w:rPr>
          <w:rFonts w:hint="eastAsia" w:ascii="宋体" w:hAnsi="宋体"/>
        </w:rPr>
        <w:t>交货地点及交货方式</w:t>
      </w:r>
      <w:bookmarkEnd w:id="129"/>
      <w:bookmarkEnd w:id="130"/>
      <w:bookmarkEnd w:id="131"/>
      <w:bookmarkEnd w:id="132"/>
      <w:bookmarkEnd w:id="133"/>
      <w:bookmarkEnd w:id="134"/>
      <w:bookmarkEnd w:id="135"/>
      <w:bookmarkEnd w:id="136"/>
      <w:bookmarkEnd w:id="137"/>
      <w:bookmarkEnd w:id="138"/>
      <w:bookmarkEnd w:id="139"/>
      <w:bookmarkEnd w:id="140"/>
    </w:p>
    <w:p>
      <w:pPr>
        <w:pStyle w:val="6"/>
        <w:numPr>
          <w:ilvl w:val="0"/>
          <w:numId w:val="15"/>
        </w:numPr>
        <w:spacing w:after="120" w:line="400" w:lineRule="exact"/>
        <w:rPr>
          <w:rFonts w:ascii="宋体" w:hAnsi="宋体"/>
        </w:rPr>
      </w:pPr>
      <w:bookmarkStart w:id="141" w:name="_Toc27812988"/>
      <w:bookmarkStart w:id="142" w:name="_Toc381600290"/>
      <w:bookmarkStart w:id="143" w:name="_Toc41734163"/>
      <w:bookmarkStart w:id="144" w:name="_Toc365364684"/>
      <w:bookmarkStart w:id="145" w:name="_Toc133775992"/>
      <w:bookmarkStart w:id="146" w:name="_Toc371904370"/>
      <w:bookmarkStart w:id="147" w:name="_Toc381600799"/>
      <w:bookmarkStart w:id="148" w:name="_Toc381669535"/>
      <w:bookmarkStart w:id="149" w:name="_Toc41724787"/>
      <w:bookmarkStart w:id="150" w:name="_Toc268096606"/>
      <w:bookmarkStart w:id="151" w:name="_Toc41724669"/>
      <w:r>
        <w:rPr>
          <w:rFonts w:hint="eastAsia" w:ascii="宋体" w:hAnsi="宋体"/>
        </w:rPr>
        <w:t>交货时间：合同签订后</w:t>
      </w:r>
      <w:r>
        <w:rPr>
          <w:rFonts w:hint="eastAsia" w:ascii="宋体" w:hAnsi="宋体"/>
          <w:color w:val="FF0000"/>
          <w:u w:val="single"/>
          <w:lang w:val="en-US" w:eastAsia="zh-CN"/>
        </w:rPr>
        <w:t>30</w:t>
      </w:r>
      <w:r>
        <w:rPr>
          <w:rFonts w:hint="eastAsia" w:ascii="宋体" w:hAnsi="宋体"/>
        </w:rPr>
        <w:t>日内完成货物的安装、调试和验收。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5"/>
        </w:numPr>
        <w:spacing w:after="120" w:line="400" w:lineRule="exact"/>
        <w:rPr>
          <w:rFonts w:ascii="宋体" w:hAnsi="宋体"/>
        </w:rPr>
      </w:pPr>
      <w:r>
        <w:rPr>
          <w:rFonts w:hint="eastAsia" w:ascii="宋体" w:hAnsi="宋体"/>
        </w:rPr>
        <w:t>交货地点：湖北省武汉市江夏区藏龙岛开发区谭湖路2号武汉网锐检测科技有限公司</w:t>
      </w:r>
    </w:p>
    <w:p>
      <w:pPr>
        <w:pStyle w:val="3"/>
        <w:keepLines w:val="0"/>
        <w:widowControl/>
        <w:numPr>
          <w:ilvl w:val="1"/>
          <w:numId w:val="0"/>
        </w:numPr>
        <w:spacing w:before="240" w:after="120" w:line="400" w:lineRule="exact"/>
        <w:jc w:val="left"/>
        <w:rPr>
          <w:rFonts w:ascii="宋体" w:hAnsi="宋体"/>
        </w:rPr>
      </w:pPr>
      <w:bookmarkStart w:id="152" w:name="_Toc74734424"/>
      <w:r>
        <w:rPr>
          <w:rFonts w:hint="eastAsia" w:ascii="宋体" w:hAnsi="宋体"/>
        </w:rPr>
        <w:t>付款方式和付款比例</w:t>
      </w:r>
      <w:bookmarkEnd w:id="141"/>
      <w:bookmarkEnd w:id="142"/>
      <w:bookmarkEnd w:id="143"/>
      <w:bookmarkEnd w:id="144"/>
      <w:bookmarkEnd w:id="145"/>
      <w:bookmarkEnd w:id="146"/>
      <w:bookmarkEnd w:id="147"/>
      <w:bookmarkEnd w:id="148"/>
      <w:bookmarkEnd w:id="149"/>
      <w:bookmarkEnd w:id="150"/>
      <w:bookmarkEnd w:id="151"/>
      <w:bookmarkEnd w:id="152"/>
      <w:bookmarkStart w:id="194" w:name="_GoBack"/>
      <w:bookmarkEnd w:id="194"/>
    </w:p>
    <w:p>
      <w:pPr>
        <w:pStyle w:val="6"/>
        <w:numPr>
          <w:ilvl w:val="0"/>
          <w:numId w:val="15"/>
        </w:numPr>
        <w:spacing w:after="120" w:line="400" w:lineRule="exact"/>
        <w:rPr>
          <w:rFonts w:ascii="宋体" w:hAnsi="宋体"/>
        </w:rPr>
      </w:pPr>
      <w:r>
        <w:rPr>
          <w:rFonts w:hint="eastAsia" w:ascii="宋体" w:hAnsi="宋体"/>
        </w:rPr>
        <w:t>本合同计价货币为人民币。</w:t>
      </w:r>
    </w:p>
    <w:p>
      <w:pPr>
        <w:pStyle w:val="6"/>
        <w:numPr>
          <w:ilvl w:val="0"/>
          <w:numId w:val="15"/>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5"/>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w:t>
      </w:r>
      <w:r>
        <w:rPr>
          <w:rFonts w:hint="eastAsia" w:ascii="宋体" w:hAnsi="宋体"/>
          <w:lang w:val="en-US" w:eastAsia="zh-CN"/>
        </w:rPr>
        <w:t>1</w:t>
      </w:r>
      <w:r>
        <w:rPr>
          <w:rFonts w:hint="eastAsia" w:ascii="宋体" w:hAnsi="宋体"/>
        </w:rPr>
        <w:t>)合同生效后，</w:t>
      </w:r>
      <w:r>
        <w:rPr>
          <w:rFonts w:hint="eastAsia" w:ascii="宋体" w:hAnsi="宋体"/>
          <w:lang w:val="en-US" w:eastAsia="zh-CN"/>
        </w:rPr>
        <w:t>买方</w:t>
      </w:r>
      <w:r>
        <w:rPr>
          <w:rFonts w:hint="eastAsia" w:ascii="宋体" w:hAnsi="宋体"/>
        </w:rPr>
        <w:t>支付合同总金额的30%作为预付款</w:t>
      </w:r>
      <w:r>
        <w:rPr>
          <w:rFonts w:hint="eastAsia" w:ascii="宋体" w:hAnsi="宋体"/>
          <w:lang w:eastAsia="zh-CN"/>
        </w:rPr>
        <w:t>，</w:t>
      </w:r>
      <w:r>
        <w:rPr>
          <w:rFonts w:hint="eastAsia" w:ascii="宋体" w:hAnsi="宋体"/>
          <w:lang w:val="en-US" w:eastAsia="zh-CN"/>
        </w:rPr>
        <w:t>卖方开具相应金额的发票</w:t>
      </w:r>
      <w:r>
        <w:rPr>
          <w:rFonts w:hint="eastAsia" w:ascii="宋体" w:hAnsi="宋体"/>
        </w:rPr>
        <w:t>。</w:t>
      </w:r>
    </w:p>
    <w:p>
      <w:pPr>
        <w:spacing w:line="360" w:lineRule="auto"/>
        <w:ind w:left="1109" w:leftChars="228" w:hanging="630" w:hangingChars="300"/>
        <w:rPr>
          <w:rFonts w:hint="eastAsia" w:ascii="宋体" w:hAnsi="宋体"/>
          <w:lang w:val="en-US" w:eastAsia="zh-CN"/>
        </w:rPr>
      </w:pPr>
      <w:r>
        <w:rPr>
          <w:rFonts w:hint="eastAsia" w:ascii="宋体" w:hAnsi="宋体"/>
        </w:rPr>
        <w:t>(</w:t>
      </w:r>
      <w:r>
        <w:rPr>
          <w:rFonts w:hint="eastAsia" w:ascii="宋体" w:hAnsi="宋体"/>
          <w:lang w:val="en-US" w:eastAsia="zh-CN"/>
        </w:rPr>
        <w:t>2</w:t>
      </w:r>
      <w:r>
        <w:rPr>
          <w:rFonts w:hint="eastAsia" w:ascii="宋体" w:hAnsi="宋体"/>
        </w:rPr>
        <w:t>)合同货物在现场完成</w:t>
      </w:r>
      <w:r>
        <w:rPr>
          <w:rFonts w:hint="eastAsia"/>
        </w:rPr>
        <w:t>安装、调试、性能试验和验收合格</w:t>
      </w:r>
      <w:r>
        <w:rPr>
          <w:rFonts w:hint="eastAsia" w:ascii="宋体" w:hAnsi="宋体"/>
        </w:rPr>
        <w:t>后，凭买方签发的</w:t>
      </w:r>
      <w:r>
        <w:rPr>
          <w:rFonts w:hint="eastAsia" w:ascii="宋体" w:hAnsi="宋体"/>
          <w:lang w:val="en-US" w:eastAsia="zh-CN"/>
        </w:rPr>
        <w:t>货物签收</w:t>
      </w:r>
    </w:p>
    <w:p>
      <w:pPr>
        <w:spacing w:line="360" w:lineRule="auto"/>
        <w:ind w:left="1109" w:leftChars="228" w:hanging="630" w:hangingChars="300"/>
        <w:rPr>
          <w:rFonts w:ascii="宋体" w:hAnsi="宋体"/>
        </w:rPr>
      </w:pPr>
      <w:r>
        <w:rPr>
          <w:rFonts w:hint="eastAsia" w:ascii="宋体" w:hAnsi="宋体"/>
          <w:lang w:val="en-US" w:eastAsia="zh-CN"/>
        </w:rPr>
        <w:t>单和验收</w:t>
      </w:r>
      <w:r>
        <w:rPr>
          <w:rFonts w:hint="eastAsia" w:ascii="宋体" w:hAnsi="宋体"/>
        </w:rPr>
        <w:t>单、卖方出具</w:t>
      </w:r>
      <w:r>
        <w:rPr>
          <w:rFonts w:hint="eastAsia" w:ascii="宋体" w:hAnsi="宋体"/>
          <w:lang w:val="en-US" w:eastAsia="zh-CN"/>
        </w:rPr>
        <w:t>的100%合同额</w:t>
      </w:r>
      <w:r>
        <w:rPr>
          <w:rFonts w:hint="eastAsia" w:ascii="宋体" w:hAnsi="宋体"/>
        </w:rPr>
        <w:t>发票</w:t>
      </w:r>
      <w:r>
        <w:rPr>
          <w:rFonts w:hint="eastAsia" w:ascii="宋体" w:hAnsi="宋体"/>
          <w:lang w:eastAsia="zh-CN"/>
        </w:rPr>
        <w:t>，</w:t>
      </w:r>
      <w:r>
        <w:rPr>
          <w:rFonts w:hint="eastAsia" w:ascii="宋体" w:hAnsi="宋体"/>
          <w:lang w:val="en-US" w:eastAsia="zh-CN"/>
        </w:rPr>
        <w:t>买方</w:t>
      </w:r>
      <w:r>
        <w:rPr>
          <w:rFonts w:hint="eastAsia" w:ascii="宋体" w:hAnsi="宋体"/>
        </w:rPr>
        <w:t>支付合同总金额的60%。</w:t>
      </w:r>
    </w:p>
    <w:p>
      <w:pPr>
        <w:spacing w:line="360" w:lineRule="auto"/>
        <w:ind w:left="1109" w:leftChars="228" w:hanging="630" w:hangingChars="300"/>
        <w:rPr>
          <w:rFonts w:hint="eastAsia" w:ascii="宋体" w:hAnsi="宋体"/>
        </w:rPr>
      </w:pPr>
      <w:r>
        <w:rPr>
          <w:rFonts w:hint="eastAsia" w:ascii="宋体" w:hAnsi="宋体"/>
        </w:rPr>
        <w:t>(</w:t>
      </w:r>
      <w:r>
        <w:rPr>
          <w:rFonts w:hint="eastAsia" w:ascii="宋体" w:hAnsi="宋体"/>
          <w:lang w:val="en-US" w:eastAsia="zh-CN"/>
        </w:rPr>
        <w:t>3</w:t>
      </w:r>
      <w:r>
        <w:rPr>
          <w:rFonts w:hint="eastAsia" w:ascii="宋体" w:hAnsi="宋体"/>
        </w:rPr>
        <w:t>)合同产品质保期满或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w:t>
      </w:r>
      <w:r>
        <w:rPr>
          <w:rFonts w:hint="eastAsia" w:ascii="宋体" w:hAnsi="宋体"/>
          <w:lang w:eastAsia="zh-CN"/>
        </w:rPr>
        <w:t>）</w:t>
      </w:r>
      <w:r>
        <w:rPr>
          <w:rFonts w:hint="eastAsia" w:ascii="宋体" w:hAnsi="宋体"/>
        </w:rPr>
        <w:t>，</w:t>
      </w:r>
      <w:r>
        <w:rPr>
          <w:rFonts w:hint="eastAsia" w:ascii="宋体" w:hAnsi="宋体"/>
          <w:lang w:val="en-US" w:eastAsia="zh-CN"/>
        </w:rPr>
        <w:t>买方</w:t>
      </w:r>
      <w:r>
        <w:rPr>
          <w:rFonts w:hint="eastAsia" w:ascii="宋体" w:hAnsi="宋体"/>
        </w:rPr>
        <w:t>支付合同余款（合同总金额的10%）。</w:t>
      </w:r>
    </w:p>
    <w:p>
      <w:pPr>
        <w:pStyle w:val="6"/>
        <w:numPr>
          <w:ilvl w:val="0"/>
          <w:numId w:val="15"/>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5"/>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53" w:name="_Toc74734425"/>
      <w:r>
        <w:rPr>
          <w:rFonts w:hint="eastAsia" w:ascii="宋体" w:hAnsi="宋体"/>
        </w:rPr>
        <w:t>售后服务约定</w:t>
      </w:r>
      <w:bookmarkEnd w:id="153"/>
    </w:p>
    <w:p>
      <w:pPr>
        <w:pStyle w:val="6"/>
        <w:numPr>
          <w:ilvl w:val="0"/>
          <w:numId w:val="16"/>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6"/>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numPr>
          <w:ilvl w:val="0"/>
          <w:numId w:val="0"/>
        </w:numPr>
        <w:spacing w:after="120" w:line="400" w:lineRule="exact"/>
        <w:ind w:leftChars="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54" w:name="_Toc381669545"/>
      <w:bookmarkStart w:id="155" w:name="_Toc41734173"/>
      <w:bookmarkStart w:id="156" w:name="_Toc41724679"/>
      <w:bookmarkStart w:id="157" w:name="_Toc381600300"/>
      <w:bookmarkStart w:id="158" w:name="_Toc27812998"/>
      <w:bookmarkStart w:id="159" w:name="_Toc74734426"/>
      <w:bookmarkStart w:id="160" w:name="_Toc365364685"/>
      <w:bookmarkStart w:id="161" w:name="_Toc268096616"/>
      <w:bookmarkStart w:id="162" w:name="_Toc41724797"/>
      <w:bookmarkStart w:id="163" w:name="_Toc371904380"/>
      <w:bookmarkStart w:id="164" w:name="_Toc381600809"/>
      <w:bookmarkStart w:id="165" w:name="_Toc133776002"/>
      <w:r>
        <w:rPr>
          <w:rFonts w:hint="eastAsia" w:ascii="宋体" w:hAnsi="宋体"/>
        </w:rPr>
        <w:t>税</w:t>
      </w:r>
      <w:bookmarkEnd w:id="154"/>
      <w:bookmarkEnd w:id="155"/>
      <w:bookmarkEnd w:id="156"/>
      <w:bookmarkEnd w:id="157"/>
      <w:bookmarkEnd w:id="158"/>
      <w:bookmarkEnd w:id="159"/>
      <w:bookmarkEnd w:id="160"/>
      <w:bookmarkEnd w:id="161"/>
      <w:bookmarkEnd w:id="162"/>
      <w:bookmarkEnd w:id="163"/>
      <w:bookmarkEnd w:id="164"/>
      <w:bookmarkEnd w:id="165"/>
    </w:p>
    <w:p>
      <w:pPr>
        <w:pStyle w:val="6"/>
        <w:numPr>
          <w:ilvl w:val="0"/>
          <w:numId w:val="17"/>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7"/>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7"/>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66" w:name="_Toc74734427"/>
      <w:r>
        <w:rPr>
          <w:rFonts w:hint="eastAsia" w:ascii="宋体" w:hAnsi="宋体"/>
          <w:kern w:val="2"/>
          <w:sz w:val="28"/>
          <w:szCs w:val="28"/>
        </w:rPr>
        <w:t>投标人须知附件</w:t>
      </w:r>
      <w:bookmarkEnd w:id="166"/>
    </w:p>
    <w:p>
      <w:pPr>
        <w:pStyle w:val="3"/>
        <w:keepLines w:val="0"/>
        <w:widowControl/>
        <w:numPr>
          <w:ilvl w:val="1"/>
          <w:numId w:val="0"/>
        </w:numPr>
        <w:spacing w:before="240" w:after="120" w:line="400" w:lineRule="exact"/>
        <w:jc w:val="left"/>
        <w:rPr>
          <w:rFonts w:ascii="宋体" w:hAnsi="宋体"/>
          <w:b w:val="0"/>
          <w:szCs w:val="28"/>
        </w:rPr>
      </w:pPr>
      <w:bookmarkStart w:id="167" w:name="_Toc268096597"/>
      <w:bookmarkStart w:id="168" w:name="_Toc74734428"/>
      <w:r>
        <w:rPr>
          <w:rFonts w:hint="eastAsia" w:ascii="宋体" w:hAnsi="宋体"/>
          <w:b w:val="0"/>
          <w:bCs w:val="0"/>
          <w:szCs w:val="28"/>
        </w:rPr>
        <w:t>投标人须知附件1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67"/>
      <w:bookmarkEnd w:id="168"/>
    </w:p>
    <w:p>
      <w:pPr>
        <w:spacing w:line="360" w:lineRule="auto"/>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p>
    <w:p>
      <w:pPr>
        <w:spacing w:line="360" w:lineRule="auto"/>
      </w:pPr>
      <w:r>
        <w:rPr>
          <w:rFonts w:hint="eastAsia"/>
        </w:rPr>
        <w:t>本协议一式四份，双方各保留两份。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年   月   日</w:t>
      </w:r>
    </w:p>
    <w:p>
      <w:pPr>
        <w:spacing w:line="360" w:lineRule="auto"/>
      </w:pPr>
    </w:p>
    <w:p>
      <w:pPr>
        <w:jc w:val="center"/>
      </w:pPr>
      <w:r>
        <w:rPr>
          <w:rFonts w:hint="eastAsia"/>
        </w:rPr>
        <w:t xml:space="preserve">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69" w:name="_Toc133775974"/>
      <w:bookmarkStart w:id="170" w:name="_Toc268096583"/>
      <w:bookmarkStart w:id="171" w:name="_Toc74734429"/>
      <w:bookmarkStart w:id="172" w:name="_Toc94175735"/>
      <w:r>
        <w:rPr>
          <w:rFonts w:hint="eastAsia" w:ascii="黑体"/>
          <w:bCs w:val="0"/>
        </w:rPr>
        <w:t>投标人须知附件2：</w:t>
      </w:r>
      <w:r>
        <w:rPr>
          <w:rFonts w:ascii="宋体" w:hAnsi="宋体"/>
        </w:rPr>
        <w:t>投标函</w:t>
      </w:r>
      <w:r>
        <w:rPr>
          <w:rFonts w:hint="eastAsia" w:ascii="黑体"/>
          <w:bCs w:val="0"/>
        </w:rPr>
        <w:t>（格式）</w:t>
      </w:r>
      <w:bookmarkEnd w:id="169"/>
      <w:bookmarkEnd w:id="170"/>
      <w:bookmarkEnd w:id="171"/>
      <w:bookmarkEnd w:id="172"/>
    </w:p>
    <w:p>
      <w:pPr>
        <w:spacing w:line="360" w:lineRule="auto"/>
        <w:jc w:val="center"/>
        <w:rPr>
          <w:rFonts w:ascii="宋体" w:hAnsi="Courier New"/>
          <w:sz w:val="28"/>
          <w:szCs w:val="28"/>
        </w:rPr>
      </w:pPr>
      <w:bookmarkStart w:id="173" w:name="_Toc98920284"/>
    </w:p>
    <w:bookmarkEnd w:id="173"/>
    <w:p>
      <w:pPr>
        <w:spacing w:line="360" w:lineRule="auto"/>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18"/>
        </w:numPr>
        <w:spacing w:after="120" w:line="360" w:lineRule="auto"/>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18"/>
        </w:numPr>
        <w:spacing w:after="120" w:line="360" w:lineRule="auto"/>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18"/>
        </w:numPr>
        <w:spacing w:after="120" w:line="360" w:lineRule="auto"/>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18"/>
        </w:numPr>
        <w:spacing w:after="120" w:line="360" w:lineRule="auto"/>
        <w:jc w:val="left"/>
        <w:rPr>
          <w:rFonts w:ascii="宋体" w:hAnsi="宋体"/>
          <w:szCs w:val="28"/>
        </w:rPr>
      </w:pPr>
      <w:r>
        <w:rPr>
          <w:rFonts w:ascii="宋体" w:hAnsi="宋体"/>
          <w:szCs w:val="28"/>
        </w:rPr>
        <w:t xml:space="preserve">我们理解贵方不负担我们的任何投标费用。 </w:t>
      </w:r>
    </w:p>
    <w:p>
      <w:pPr>
        <w:widowControl/>
        <w:numPr>
          <w:ilvl w:val="0"/>
          <w:numId w:val="18"/>
        </w:numPr>
        <w:spacing w:after="120" w:line="360" w:lineRule="auto"/>
        <w:jc w:val="left"/>
        <w:rPr>
          <w:rFonts w:ascii="宋体" w:hAnsi="宋体"/>
          <w:szCs w:val="28"/>
        </w:rPr>
      </w:pPr>
      <w:r>
        <w:rPr>
          <w:rFonts w:ascii="宋体" w:hAnsi="宋体"/>
          <w:szCs w:val="28"/>
        </w:rPr>
        <w:t xml:space="preserve">我们理解最低投标价不是中标的充分条件。 </w:t>
      </w:r>
    </w:p>
    <w:p>
      <w:pPr>
        <w:spacing w:line="360" w:lineRule="auto"/>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法定代表人(或其授权代表): </w:t>
      </w:r>
    </w:p>
    <w:p>
      <w:pPr>
        <w:spacing w:line="360" w:lineRule="auto"/>
        <w:rPr>
          <w:rFonts w:ascii="宋体" w:hAnsi="宋体"/>
          <w:szCs w:val="28"/>
        </w:rPr>
      </w:pP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widowControl/>
        <w:jc w:val="left"/>
        <w:rPr>
          <w:rFonts w:ascii="宋体" w:hAnsi="宋体"/>
          <w:szCs w:val="28"/>
        </w:rPr>
      </w:pPr>
      <w:r>
        <w:rPr>
          <w:rFonts w:ascii="宋体" w:hAnsi="宋体"/>
          <w:szCs w:val="28"/>
        </w:rPr>
        <w:br w:type="page"/>
      </w:r>
    </w:p>
    <w:p>
      <w:pPr>
        <w:pStyle w:val="3"/>
        <w:keepLines w:val="0"/>
        <w:widowControl/>
        <w:numPr>
          <w:ilvl w:val="1"/>
          <w:numId w:val="0"/>
        </w:numPr>
        <w:spacing w:before="240" w:after="120" w:line="400" w:lineRule="exact"/>
        <w:jc w:val="left"/>
        <w:rPr>
          <w:rFonts w:ascii="黑体"/>
          <w:bCs w:val="0"/>
        </w:rPr>
      </w:pPr>
      <w:bookmarkStart w:id="174" w:name="_Toc74734430"/>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74"/>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w:t>
      </w:r>
      <w:r>
        <w:rPr>
          <w:rFonts w:hint="eastAsia" w:ascii="宋体" w:hAnsi="宋体"/>
          <w:szCs w:val="28"/>
          <w:lang w:val="en-US" w:eastAsia="zh-CN"/>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1"/>
        <w:tblW w:w="86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856"/>
        <w:gridCol w:w="1808"/>
        <w:gridCol w:w="1709"/>
        <w:gridCol w:w="18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474"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序号</w:t>
            </w:r>
          </w:p>
        </w:tc>
        <w:tc>
          <w:tcPr>
            <w:tcW w:w="1856"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名    称</w:t>
            </w:r>
          </w:p>
        </w:tc>
        <w:tc>
          <w:tcPr>
            <w:tcW w:w="1808"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单价（元）</w:t>
            </w:r>
          </w:p>
        </w:tc>
        <w:tc>
          <w:tcPr>
            <w:tcW w:w="1709" w:type="dxa"/>
            <w:vAlign w:val="center"/>
          </w:tcPr>
          <w:p>
            <w:pPr>
              <w:ind w:firstLine="240" w:firstLineChars="10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数量</w:t>
            </w:r>
          </w:p>
        </w:tc>
        <w:tc>
          <w:tcPr>
            <w:tcW w:w="1847"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总 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694" w:type="dxa"/>
            <w:gridSpan w:val="5"/>
            <w:vAlign w:val="center"/>
          </w:tcPr>
          <w:p>
            <w:pPr>
              <w:ind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rPr>
              <w:t>产品或服务费用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3.</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694" w:type="dxa"/>
            <w:gridSpan w:val="5"/>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其他费用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合计</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bl>
    <w:p>
      <w:pPr>
        <w:autoSpaceDE w:val="0"/>
        <w:autoSpaceDN w:val="0"/>
        <w:adjustRightInd w:val="0"/>
        <w:spacing w:line="360" w:lineRule="auto"/>
        <w:ind w:leftChars="-337" w:right="-1191" w:rightChars="-567" w:hanging="707" w:hangingChars="337"/>
        <w:rPr>
          <w:rFonts w:ascii="宋体" w:hAnsi="宋体"/>
          <w:szCs w:val="28"/>
          <w:u w:val="single"/>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w:t>
      </w:r>
    </w:p>
    <w:p>
      <w:pPr>
        <w:pStyle w:val="134"/>
        <w:numPr>
          <w:ilvl w:val="1"/>
          <w:numId w:val="16"/>
        </w:numPr>
        <w:autoSpaceDE w:val="0"/>
        <w:autoSpaceDN w:val="0"/>
        <w:adjustRightInd w:val="0"/>
        <w:spacing w:line="360" w:lineRule="auto"/>
        <w:ind w:firstLineChars="0"/>
        <w:rPr>
          <w:rFonts w:ascii="宋体" w:hAnsi="宋体"/>
          <w:szCs w:val="28"/>
        </w:rPr>
      </w:pPr>
      <w:r>
        <w:rPr>
          <w:rFonts w:hint="eastAsia" w:ascii="宋体" w:hAnsi="宋体"/>
          <w:szCs w:val="28"/>
        </w:rPr>
        <w:t>投标总价应包括：设备主机和标注附件及必备件的价格；安装、调试、检验、培训和技术服务费；各种税费、运输费、保险费等。</w:t>
      </w:r>
    </w:p>
    <w:p>
      <w:pPr>
        <w:pStyle w:val="134"/>
        <w:numPr>
          <w:ilvl w:val="1"/>
          <w:numId w:val="16"/>
        </w:numPr>
        <w:autoSpaceDE w:val="0"/>
        <w:autoSpaceDN w:val="0"/>
        <w:adjustRightInd w:val="0"/>
        <w:spacing w:line="360" w:lineRule="auto"/>
        <w:ind w:firstLineChars="0"/>
        <w:rPr>
          <w:rFonts w:ascii="宋体" w:hAnsi="宋体"/>
          <w:szCs w:val="28"/>
        </w:rPr>
      </w:pP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bookmarkStart w:id="175" w:name="_Toc41734186"/>
      <w:bookmarkStart w:id="176" w:name="_Toc41724810"/>
      <w:bookmarkStart w:id="177" w:name="_Toc364830772"/>
      <w:bookmarkStart w:id="178" w:name="_Toc268096586"/>
      <w:bookmarkStart w:id="179" w:name="_Toc365078471"/>
      <w:bookmarkStart w:id="180" w:name="_Toc365076958"/>
      <w:bookmarkStart w:id="181" w:name="_Toc133775977"/>
      <w:bookmarkStart w:id="182" w:name="_Toc365078288"/>
      <w:bookmarkStart w:id="183" w:name="_Toc41724692"/>
      <w:bookmarkStart w:id="184" w:name="_Toc27813011"/>
    </w:p>
    <w:p>
      <w:pPr>
        <w:widowControl/>
        <w:jc w:val="left"/>
      </w:pPr>
      <w:r>
        <w:br w:type="page"/>
      </w:r>
    </w:p>
    <w:bookmarkEnd w:id="175"/>
    <w:bookmarkEnd w:id="176"/>
    <w:bookmarkEnd w:id="177"/>
    <w:bookmarkEnd w:id="178"/>
    <w:bookmarkEnd w:id="179"/>
    <w:bookmarkEnd w:id="180"/>
    <w:bookmarkEnd w:id="181"/>
    <w:bookmarkEnd w:id="182"/>
    <w:bookmarkEnd w:id="183"/>
    <w:bookmarkEnd w:id="184"/>
    <w:p>
      <w:pPr>
        <w:pStyle w:val="3"/>
        <w:keepLines w:val="0"/>
        <w:widowControl/>
        <w:numPr>
          <w:ilvl w:val="1"/>
          <w:numId w:val="0"/>
        </w:numPr>
        <w:spacing w:before="240" w:after="120" w:line="400" w:lineRule="exact"/>
        <w:jc w:val="left"/>
        <w:rPr>
          <w:rFonts w:ascii="黑体"/>
          <w:bCs w:val="0"/>
        </w:rPr>
      </w:pPr>
      <w:bookmarkStart w:id="185" w:name="_Toc94175742"/>
      <w:bookmarkStart w:id="186" w:name="_Toc133775982"/>
      <w:bookmarkStart w:id="187" w:name="_Toc268096590"/>
      <w:bookmarkStart w:id="188" w:name="_Toc74734431"/>
      <w:r>
        <w:rPr>
          <w:rFonts w:hint="eastAsia" w:ascii="黑体"/>
          <w:bCs w:val="0"/>
        </w:rPr>
        <w:t>投标人须知附件</w:t>
      </w:r>
      <w:r>
        <w:rPr>
          <w:rFonts w:ascii="黑体"/>
          <w:bCs w:val="0"/>
        </w:rPr>
        <w:t>4</w:t>
      </w:r>
      <w:r>
        <w:rPr>
          <w:rFonts w:hint="eastAsia" w:ascii="黑体"/>
          <w:bCs w:val="0"/>
        </w:rPr>
        <w:t>:</w:t>
      </w:r>
      <w:bookmarkEnd w:id="185"/>
      <w:r>
        <w:rPr>
          <w:rFonts w:hint="eastAsia" w:ascii="黑体"/>
          <w:bCs w:val="0"/>
        </w:rPr>
        <w:t xml:space="preserve"> 法定代表人授权书（格式）</w:t>
      </w:r>
      <w:bookmarkEnd w:id="186"/>
      <w:bookmarkEnd w:id="187"/>
      <w:bookmarkEnd w:id="188"/>
    </w:p>
    <w:p>
      <w:pPr>
        <w:spacing w:line="360" w:lineRule="auto"/>
      </w:pPr>
    </w:p>
    <w:p>
      <w:pPr>
        <w:spacing w:line="360" w:lineRule="auto"/>
        <w:rPr>
          <w:rFonts w:ascii="宋体" w:hAnsi="宋体"/>
          <w:color w:val="00B050"/>
        </w:rPr>
      </w:pPr>
      <w:bookmarkStart w:id="189"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spacing w:line="360" w:lineRule="auto"/>
        <w:rPr>
          <w:rFonts w:ascii="宋体" w:hAnsi="宋体"/>
        </w:rPr>
      </w:pPr>
    </w:p>
    <w:p>
      <w:pPr>
        <w:spacing w:line="360" w:lineRule="auto"/>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rPr>
        <w:t>投标人地址：                  投标人（盖章）：</w:t>
      </w:r>
    </w:p>
    <w:p>
      <w:pPr>
        <w:spacing w:line="360" w:lineRule="auto"/>
        <w:rPr>
          <w:rFonts w:ascii="宋体" w:hAnsi="宋体"/>
        </w:rPr>
      </w:pPr>
    </w:p>
    <w:p>
      <w:pPr>
        <w:spacing w:line="360" w:lineRule="auto"/>
        <w:rPr>
          <w:rFonts w:ascii="宋体" w:hAnsi="宋体"/>
        </w:rPr>
      </w:pPr>
      <w:r>
        <w:rPr>
          <w:rFonts w:ascii="宋体" w:hAnsi="宋体"/>
        </w:rPr>
        <w:t>法定代表人（职务、姓名）（签章）：</w:t>
      </w:r>
    </w:p>
    <w:p>
      <w:pPr>
        <w:spacing w:line="360" w:lineRule="auto"/>
        <w:rPr>
          <w:rFonts w:ascii="宋体" w:hAnsi="宋体"/>
        </w:rPr>
      </w:pPr>
    </w:p>
    <w:p>
      <w:pPr>
        <w:spacing w:line="360" w:lineRule="auto"/>
        <w:rPr>
          <w:rFonts w:ascii="宋体" w:hAnsi="宋体"/>
        </w:rPr>
      </w:pPr>
      <w:r>
        <w:rPr>
          <w:rFonts w:ascii="宋体" w:hAnsi="宋体"/>
        </w:rPr>
        <w:t>被授权代理人（职务、姓名、身份证号）（签章）：</w:t>
      </w:r>
    </w:p>
    <w:p>
      <w:pPr>
        <w:spacing w:line="360" w:lineRule="auto"/>
        <w:rPr>
          <w:rFonts w:ascii="宋体" w:hAnsi="宋体"/>
        </w:rPr>
      </w:pPr>
    </w:p>
    <w:p>
      <w:pPr>
        <w:spacing w:line="360" w:lineRule="auto"/>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widowControl/>
        <w:jc w:val="left"/>
        <w:rPr>
          <w:rFonts w:ascii="宋体" w:hAnsi="宋体"/>
          <w:color w:val="00B050"/>
        </w:rPr>
      </w:pPr>
      <w:r>
        <w:rPr>
          <w:rFonts w:ascii="宋体" w:hAnsi="宋体"/>
          <w:color w:val="00B050"/>
        </w:rPr>
        <w:br w:type="page"/>
      </w:r>
    </w:p>
    <w:bookmarkEnd w:id="189"/>
    <w:p>
      <w:pPr>
        <w:pStyle w:val="3"/>
        <w:keepLines w:val="0"/>
        <w:widowControl/>
        <w:numPr>
          <w:ilvl w:val="1"/>
          <w:numId w:val="0"/>
        </w:numPr>
        <w:spacing w:before="240" w:after="120" w:line="400" w:lineRule="exact"/>
        <w:jc w:val="left"/>
        <w:rPr>
          <w:rFonts w:ascii="黑体"/>
          <w:bCs w:val="0"/>
        </w:rPr>
      </w:pPr>
      <w:bookmarkStart w:id="190" w:name="_Toc74734432"/>
      <w:r>
        <w:rPr>
          <w:rFonts w:hint="eastAsia" w:ascii="黑体"/>
          <w:bCs w:val="0"/>
        </w:rPr>
        <w:t>投标人须知附件</w:t>
      </w:r>
      <w:r>
        <w:rPr>
          <w:rFonts w:ascii="黑体"/>
          <w:bCs w:val="0"/>
        </w:rPr>
        <w:t>5</w:t>
      </w:r>
      <w:r>
        <w:rPr>
          <w:rFonts w:hint="eastAsia" w:ascii="黑体"/>
          <w:bCs w:val="0"/>
        </w:rPr>
        <w:t>：商务偏离表（格式）</w:t>
      </w:r>
      <w:bookmarkEnd w:id="190"/>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191" w:name="_Toc94175741"/>
      <w:bookmarkStart w:id="192" w:name="_Toc74734433"/>
      <w:r>
        <w:rPr>
          <w:rFonts w:hint="eastAsia" w:ascii="黑体"/>
          <w:bCs w:val="0"/>
        </w:rPr>
        <w:t>投标人须知附件</w:t>
      </w:r>
      <w:r>
        <w:rPr>
          <w:rFonts w:ascii="黑体"/>
          <w:bCs w:val="0"/>
        </w:rPr>
        <w:t>6</w:t>
      </w:r>
      <w:r>
        <w:rPr>
          <w:rFonts w:hint="eastAsia" w:ascii="黑体"/>
          <w:bCs w:val="0"/>
        </w:rPr>
        <w:t>:</w:t>
      </w:r>
      <w:bookmarkEnd w:id="191"/>
      <w:r>
        <w:rPr>
          <w:rFonts w:hint="eastAsia" w:ascii="黑体"/>
          <w:bCs w:val="0"/>
        </w:rPr>
        <w:t xml:space="preserve"> 技术偏离表</w:t>
      </w:r>
      <w:bookmarkEnd w:id="19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193" w:name="_Toc74734434"/>
      <w:r>
        <w:rPr>
          <w:rFonts w:hint="eastAsia" w:ascii="黑体"/>
          <w:bCs w:val="0"/>
        </w:rPr>
        <w:t>投标人须知附件</w:t>
      </w:r>
      <w:r>
        <w:rPr>
          <w:rFonts w:ascii="黑体"/>
          <w:bCs w:val="0"/>
        </w:rPr>
        <w:t>10</w:t>
      </w:r>
      <w:r>
        <w:rPr>
          <w:rFonts w:hint="eastAsia" w:ascii="黑体"/>
          <w:bCs w:val="0"/>
        </w:rPr>
        <w:t>：近二年同类方案部署业绩表（格式）</w:t>
      </w:r>
      <w:bookmarkEnd w:id="193"/>
    </w:p>
    <w:p>
      <w:pPr>
        <w:spacing w:line="540" w:lineRule="exact"/>
        <w:rPr>
          <w:rFonts w:ascii="宋体" w:hAnsi="宋体"/>
          <w:sz w:val="28"/>
          <w:szCs w:val="28"/>
        </w:rPr>
      </w:pPr>
    </w:p>
    <w:tbl>
      <w:tblPr>
        <w:tblStyle w:val="51"/>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468"/>
        <w:gridCol w:w="1350"/>
        <w:gridCol w:w="1774"/>
        <w:gridCol w:w="217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序号</w:t>
            </w:r>
          </w:p>
        </w:tc>
        <w:tc>
          <w:tcPr>
            <w:tcW w:w="1468" w:type="dxa"/>
            <w:vAlign w:val="center"/>
          </w:tcPr>
          <w:p>
            <w:pPr>
              <w:spacing w:line="540" w:lineRule="exact"/>
              <w:jc w:val="center"/>
              <w:rPr>
                <w:rFonts w:ascii="宋体" w:hAnsi="宋体"/>
                <w:sz w:val="28"/>
                <w:szCs w:val="28"/>
              </w:rPr>
            </w:pPr>
            <w:r>
              <w:rPr>
                <w:rFonts w:hint="eastAsia" w:ascii="宋体" w:hAnsi="宋体"/>
                <w:sz w:val="28"/>
                <w:szCs w:val="28"/>
              </w:rPr>
              <w:t>单位</w:t>
            </w:r>
          </w:p>
        </w:tc>
        <w:tc>
          <w:tcPr>
            <w:tcW w:w="1350" w:type="dxa"/>
            <w:vAlign w:val="center"/>
          </w:tcPr>
          <w:p>
            <w:pPr>
              <w:spacing w:line="540" w:lineRule="exact"/>
              <w:jc w:val="center"/>
              <w:rPr>
                <w:rFonts w:ascii="宋体" w:hAnsi="宋体"/>
                <w:sz w:val="28"/>
                <w:szCs w:val="28"/>
              </w:rPr>
            </w:pPr>
            <w:r>
              <w:rPr>
                <w:rFonts w:hint="eastAsia" w:ascii="宋体" w:hAnsi="宋体"/>
                <w:sz w:val="28"/>
                <w:szCs w:val="28"/>
              </w:rPr>
              <w:t>电话</w:t>
            </w:r>
          </w:p>
        </w:tc>
        <w:tc>
          <w:tcPr>
            <w:tcW w:w="1774" w:type="dxa"/>
            <w:vAlign w:val="center"/>
          </w:tcPr>
          <w:p>
            <w:pPr>
              <w:spacing w:line="540" w:lineRule="exact"/>
              <w:jc w:val="center"/>
              <w:rPr>
                <w:rFonts w:ascii="宋体" w:hAnsi="宋体"/>
                <w:sz w:val="28"/>
                <w:szCs w:val="28"/>
              </w:rPr>
            </w:pPr>
            <w:r>
              <w:rPr>
                <w:rFonts w:hint="eastAsia" w:ascii="宋体" w:hAnsi="宋体"/>
                <w:sz w:val="28"/>
                <w:szCs w:val="28"/>
              </w:rPr>
              <w:t>联系人</w:t>
            </w:r>
          </w:p>
        </w:tc>
        <w:tc>
          <w:tcPr>
            <w:tcW w:w="2175" w:type="dxa"/>
            <w:vAlign w:val="center"/>
          </w:tcPr>
          <w:p>
            <w:pPr>
              <w:spacing w:line="540" w:lineRule="exact"/>
              <w:jc w:val="center"/>
              <w:rPr>
                <w:rFonts w:ascii="宋体" w:hAnsi="宋体"/>
                <w:sz w:val="28"/>
                <w:szCs w:val="28"/>
              </w:rPr>
            </w:pPr>
            <w:r>
              <w:rPr>
                <w:rFonts w:hint="eastAsia" w:ascii="宋体" w:hAnsi="宋体"/>
                <w:sz w:val="28"/>
                <w:szCs w:val="28"/>
              </w:rPr>
              <w:t>规格</w:t>
            </w:r>
          </w:p>
        </w:tc>
        <w:tc>
          <w:tcPr>
            <w:tcW w:w="2169" w:type="dxa"/>
            <w:vAlign w:val="center"/>
          </w:tcPr>
          <w:p>
            <w:pPr>
              <w:spacing w:line="540" w:lineRule="exact"/>
              <w:jc w:val="center"/>
              <w:rPr>
                <w:rFonts w:ascii="宋体" w:hAnsi="宋体"/>
                <w:sz w:val="28"/>
                <w:szCs w:val="28"/>
              </w:rPr>
            </w:pPr>
            <w:r>
              <w:rPr>
                <w:rFonts w:hint="eastAsia" w:ascii="宋体" w:hAnsi="宋体"/>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1</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2</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3</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bl>
    <w:p>
      <w:pPr>
        <w:spacing w:line="500" w:lineRule="exact"/>
        <w:rPr>
          <w:rFonts w:ascii="宋体" w:hAnsi="宋体"/>
          <w:b/>
          <w:sz w:val="28"/>
          <w:szCs w:val="28"/>
        </w:rPr>
      </w:pPr>
    </w:p>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Typewriter">
    <w:altName w:val="Yu Gothic UI"/>
    <w:panose1 w:val="020B0509030504030204"/>
    <w:charset w:val="00"/>
    <w:family w:val="moder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2"/>
      </w:rPr>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1."/>
      <w:lvlJc w:val="left"/>
      <w:pPr>
        <w:tabs>
          <w:tab w:val="left" w:pos="420"/>
        </w:tabs>
        <w:ind w:left="420" w:hanging="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1E3669D"/>
    <w:multiLevelType w:val="multilevel"/>
    <w:tmpl w:val="11E3669D"/>
    <w:lvl w:ilvl="0" w:tentative="0">
      <w:start w:val="1"/>
      <w:numFmt w:val="decimal"/>
      <w:lvlText w:val="（%1）"/>
      <w:lvlJc w:val="left"/>
      <w:pPr>
        <w:tabs>
          <w:tab w:val="left" w:pos="1560"/>
        </w:tabs>
        <w:ind w:left="1560" w:hanging="7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8"/>
  </w:num>
  <w:num w:numId="4">
    <w:abstractNumId w:val="4"/>
  </w:num>
  <w:num w:numId="5">
    <w:abstractNumId w:val="9"/>
  </w:num>
  <w:num w:numId="6">
    <w:abstractNumId w:val="12"/>
  </w:num>
  <w:num w:numId="7">
    <w:abstractNumId w:val="10"/>
  </w:num>
  <w:num w:numId="8">
    <w:abstractNumId w:val="1"/>
  </w:num>
  <w:num w:numId="9">
    <w:abstractNumId w:val="6"/>
  </w:num>
  <w:num w:numId="10">
    <w:abstractNumId w:val="17"/>
  </w:num>
  <w:num w:numId="11">
    <w:abstractNumId w:val="13"/>
  </w:num>
  <w:num w:numId="12">
    <w:abstractNumId w:val="5"/>
  </w:num>
  <w:num w:numId="13">
    <w:abstractNumId w:val="16"/>
  </w:num>
  <w:num w:numId="14">
    <w:abstractNumId w:val="11"/>
  </w:num>
  <w:num w:numId="15">
    <w:abstractNumId w:val="15"/>
  </w:num>
  <w:num w:numId="16">
    <w:abstractNumId w:val="1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00002E88"/>
    <w:rsid w:val="00020667"/>
    <w:rsid w:val="00074336"/>
    <w:rsid w:val="00080074"/>
    <w:rsid w:val="000C5640"/>
    <w:rsid w:val="000E6E0D"/>
    <w:rsid w:val="000F32F9"/>
    <w:rsid w:val="00101FE2"/>
    <w:rsid w:val="00125BC0"/>
    <w:rsid w:val="0015184D"/>
    <w:rsid w:val="0018229F"/>
    <w:rsid w:val="00197F4B"/>
    <w:rsid w:val="001A274A"/>
    <w:rsid w:val="001E5326"/>
    <w:rsid w:val="001F168C"/>
    <w:rsid w:val="0021764D"/>
    <w:rsid w:val="00227E18"/>
    <w:rsid w:val="00231B25"/>
    <w:rsid w:val="0026680E"/>
    <w:rsid w:val="00273324"/>
    <w:rsid w:val="002A678A"/>
    <w:rsid w:val="002B373C"/>
    <w:rsid w:val="003603C9"/>
    <w:rsid w:val="00393A7E"/>
    <w:rsid w:val="003F758A"/>
    <w:rsid w:val="00442894"/>
    <w:rsid w:val="00450A2E"/>
    <w:rsid w:val="004608C6"/>
    <w:rsid w:val="00465AA7"/>
    <w:rsid w:val="00480B1B"/>
    <w:rsid w:val="004F74F8"/>
    <w:rsid w:val="00510756"/>
    <w:rsid w:val="00560D14"/>
    <w:rsid w:val="00562B08"/>
    <w:rsid w:val="00570B96"/>
    <w:rsid w:val="005808C8"/>
    <w:rsid w:val="0059183E"/>
    <w:rsid w:val="005B4798"/>
    <w:rsid w:val="005C362B"/>
    <w:rsid w:val="005D3DCF"/>
    <w:rsid w:val="0060229F"/>
    <w:rsid w:val="00642ACD"/>
    <w:rsid w:val="0068357A"/>
    <w:rsid w:val="00696CA0"/>
    <w:rsid w:val="006A09D1"/>
    <w:rsid w:val="006E2F79"/>
    <w:rsid w:val="006F7A02"/>
    <w:rsid w:val="007108FE"/>
    <w:rsid w:val="00711DDE"/>
    <w:rsid w:val="00740A63"/>
    <w:rsid w:val="00747999"/>
    <w:rsid w:val="00762C1F"/>
    <w:rsid w:val="0078052B"/>
    <w:rsid w:val="007956A6"/>
    <w:rsid w:val="007A7AA0"/>
    <w:rsid w:val="007B3AE9"/>
    <w:rsid w:val="007E2E21"/>
    <w:rsid w:val="007E3D45"/>
    <w:rsid w:val="00821A75"/>
    <w:rsid w:val="00863DCB"/>
    <w:rsid w:val="008A2E1E"/>
    <w:rsid w:val="008B2688"/>
    <w:rsid w:val="008B7BF4"/>
    <w:rsid w:val="008B7EA2"/>
    <w:rsid w:val="008C0ED7"/>
    <w:rsid w:val="008D2928"/>
    <w:rsid w:val="00981801"/>
    <w:rsid w:val="009B0001"/>
    <w:rsid w:val="009D0BEF"/>
    <w:rsid w:val="009F2014"/>
    <w:rsid w:val="009F295D"/>
    <w:rsid w:val="00A07D20"/>
    <w:rsid w:val="00A15A9F"/>
    <w:rsid w:val="00A4000E"/>
    <w:rsid w:val="00A5739F"/>
    <w:rsid w:val="00A70AEA"/>
    <w:rsid w:val="00AB1839"/>
    <w:rsid w:val="00AB5490"/>
    <w:rsid w:val="00AB7963"/>
    <w:rsid w:val="00AC6358"/>
    <w:rsid w:val="00AE5FF7"/>
    <w:rsid w:val="00AF77A7"/>
    <w:rsid w:val="00B11B5A"/>
    <w:rsid w:val="00B13527"/>
    <w:rsid w:val="00B20DC9"/>
    <w:rsid w:val="00B270D7"/>
    <w:rsid w:val="00C01E8B"/>
    <w:rsid w:val="00C273E4"/>
    <w:rsid w:val="00CA4FED"/>
    <w:rsid w:val="00CC6844"/>
    <w:rsid w:val="00CD28CF"/>
    <w:rsid w:val="00CE1DE9"/>
    <w:rsid w:val="00CF1D50"/>
    <w:rsid w:val="00D05E8B"/>
    <w:rsid w:val="00D22938"/>
    <w:rsid w:val="00D33773"/>
    <w:rsid w:val="00DD2E42"/>
    <w:rsid w:val="00DE5116"/>
    <w:rsid w:val="00DF265F"/>
    <w:rsid w:val="00DF6410"/>
    <w:rsid w:val="00E244AC"/>
    <w:rsid w:val="00E71620"/>
    <w:rsid w:val="00E7331E"/>
    <w:rsid w:val="00E839AF"/>
    <w:rsid w:val="00E83EF1"/>
    <w:rsid w:val="00E91D3E"/>
    <w:rsid w:val="00ED005D"/>
    <w:rsid w:val="00F125F3"/>
    <w:rsid w:val="00F24008"/>
    <w:rsid w:val="00F71DCE"/>
    <w:rsid w:val="00F9112E"/>
    <w:rsid w:val="00F93BB6"/>
    <w:rsid w:val="00FA647E"/>
    <w:rsid w:val="00FC40C4"/>
    <w:rsid w:val="00FC4D06"/>
    <w:rsid w:val="00FF0623"/>
    <w:rsid w:val="0146450A"/>
    <w:rsid w:val="05A44FC2"/>
    <w:rsid w:val="068C13C4"/>
    <w:rsid w:val="0C7E713D"/>
    <w:rsid w:val="0E4C5641"/>
    <w:rsid w:val="127B233A"/>
    <w:rsid w:val="145B5B11"/>
    <w:rsid w:val="1A280476"/>
    <w:rsid w:val="1A880C85"/>
    <w:rsid w:val="1AA82B76"/>
    <w:rsid w:val="1BFC6FC8"/>
    <w:rsid w:val="1C8540E8"/>
    <w:rsid w:val="1DC14F58"/>
    <w:rsid w:val="213813B5"/>
    <w:rsid w:val="22076390"/>
    <w:rsid w:val="2A467D32"/>
    <w:rsid w:val="2A8A25B9"/>
    <w:rsid w:val="2B133230"/>
    <w:rsid w:val="2BFF49DD"/>
    <w:rsid w:val="2C204DB0"/>
    <w:rsid w:val="2E344ABE"/>
    <w:rsid w:val="323A6DE2"/>
    <w:rsid w:val="32995B6D"/>
    <w:rsid w:val="34FF3650"/>
    <w:rsid w:val="355B788F"/>
    <w:rsid w:val="3AB27432"/>
    <w:rsid w:val="3EA63831"/>
    <w:rsid w:val="41BE6868"/>
    <w:rsid w:val="422F7CC4"/>
    <w:rsid w:val="4BFE090A"/>
    <w:rsid w:val="4EF3571C"/>
    <w:rsid w:val="4F895D76"/>
    <w:rsid w:val="53A23CA4"/>
    <w:rsid w:val="55BB080C"/>
    <w:rsid w:val="5AED746F"/>
    <w:rsid w:val="62F744F6"/>
    <w:rsid w:val="63872668"/>
    <w:rsid w:val="663E5BCD"/>
    <w:rsid w:val="6F1D0157"/>
    <w:rsid w:val="781B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1749</Words>
  <Characters>9974</Characters>
  <Lines>83</Lines>
  <Paragraphs>23</Paragraphs>
  <TotalTime>181</TotalTime>
  <ScaleCrop>false</ScaleCrop>
  <LinksUpToDate>false</LinksUpToDate>
  <CharactersWithSpaces>11700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2018-03-07T07:13:00Z</dcterms:created>
  <dc:creator>Administrator</dc:creator>
  <cp:lastModifiedBy>111</cp:lastModifiedBy>
  <cp:lastPrinted>2021-08-06T05:39:00Z</cp:lastPrinted>
  <dcterms:modified xsi:type="dcterms:W3CDTF">2021-08-30T01:42:18Z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EF2169F5C8CC4FB68E6E9A1BB975FDEA</vt:lpwstr>
  </property>
</Properties>
</file>