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_GB2312" w:hAnsi="宋体" w:eastAsia="楷体_GB2312"/>
          <w:sz w:val="28"/>
          <w:szCs w:val="28"/>
          <w:lang w:val="en-US" w:eastAsia="zh-CN"/>
        </w:rPr>
      </w:pPr>
      <w:r>
        <w:rPr>
          <w:rFonts w:hint="eastAsia" w:ascii="楷体_GB2312" w:hAnsi="宋体" w:eastAsia="楷体_GB2312"/>
          <w:sz w:val="28"/>
          <w:szCs w:val="28"/>
        </w:rPr>
        <w:t>ZB202</w:t>
      </w:r>
      <w:r>
        <w:rPr>
          <w:rFonts w:hint="eastAsia" w:ascii="楷体_GB2312" w:hAnsi="宋体" w:eastAsia="楷体_GB2312"/>
          <w:sz w:val="28"/>
          <w:szCs w:val="28"/>
          <w:lang w:val="en-US" w:eastAsia="zh-CN"/>
        </w:rPr>
        <w:t>1-11</w:t>
      </w:r>
    </w:p>
    <w:p>
      <w:pPr>
        <w:jc w:val="center"/>
        <w:rPr>
          <w:rFonts w:ascii="楷体_GB2312" w:hAnsi="宋体" w:eastAsia="楷体_GB2312"/>
          <w:b/>
          <w:bCs/>
          <w:sz w:val="52"/>
          <w:szCs w:val="52"/>
        </w:rPr>
      </w:pPr>
      <w:r>
        <w:rPr>
          <w:rFonts w:hint="eastAsia" w:ascii="楷体_GB2312" w:hAnsi="宋体" w:eastAsia="楷体_GB2312"/>
          <w:b/>
          <w:bCs/>
          <w:sz w:val="52"/>
          <w:szCs w:val="52"/>
        </w:rPr>
        <w:t>202</w:t>
      </w:r>
      <w:r>
        <w:rPr>
          <w:rFonts w:ascii="楷体_GB2312" w:hAnsi="宋体" w:eastAsia="楷体_GB2312"/>
          <w:b/>
          <w:bCs/>
          <w:sz w:val="52"/>
          <w:szCs w:val="52"/>
        </w:rPr>
        <w:t>1</w:t>
      </w:r>
      <w:r>
        <w:rPr>
          <w:rFonts w:hint="eastAsia" w:ascii="楷体_GB2312" w:hAnsi="宋体" w:eastAsia="楷体_GB2312"/>
          <w:b/>
          <w:bCs/>
          <w:sz w:val="52"/>
          <w:szCs w:val="52"/>
        </w:rPr>
        <w:t>年武汉网锐检测科技有限公司</w:t>
      </w:r>
    </w:p>
    <w:p>
      <w:pPr>
        <w:jc w:val="center"/>
        <w:rPr>
          <w:rFonts w:ascii="宋体" w:hAnsi="宋体"/>
          <w:b/>
          <w:bCs/>
          <w:sz w:val="72"/>
        </w:rPr>
      </w:pPr>
    </w:p>
    <w:p>
      <w:pPr>
        <w:jc w:val="center"/>
        <w:rPr>
          <w:rFonts w:ascii="宋体" w:hAnsi="宋体"/>
          <w:b/>
          <w:bCs/>
          <w:sz w:val="72"/>
        </w:rPr>
      </w:pPr>
    </w:p>
    <w:p>
      <w:pPr>
        <w:jc w:val="center"/>
        <w:rPr>
          <w:rFonts w:ascii="宋体" w:hAnsi="宋体"/>
          <w:b/>
          <w:bCs/>
          <w:sz w:val="72"/>
        </w:rPr>
      </w:pPr>
      <w:r>
        <w:rPr>
          <w:rFonts w:hint="eastAsia" w:ascii="宋体" w:hAnsi="宋体"/>
          <w:b/>
          <w:bCs/>
          <w:sz w:val="72"/>
        </w:rPr>
        <w:t>招</w:t>
      </w:r>
    </w:p>
    <w:p>
      <w:pPr>
        <w:jc w:val="center"/>
        <w:rPr>
          <w:rFonts w:ascii="宋体" w:hAnsi="宋体"/>
          <w:b/>
          <w:bCs/>
          <w:sz w:val="72"/>
        </w:rPr>
      </w:pPr>
    </w:p>
    <w:p>
      <w:pPr>
        <w:jc w:val="center"/>
        <w:rPr>
          <w:rFonts w:ascii="宋体" w:hAnsi="宋体"/>
          <w:b/>
          <w:bCs/>
          <w:sz w:val="72"/>
        </w:rPr>
      </w:pPr>
      <w:r>
        <w:rPr>
          <w:rFonts w:hint="eastAsia" w:ascii="宋体" w:hAnsi="宋体"/>
          <w:b/>
          <w:bCs/>
          <w:sz w:val="72"/>
        </w:rPr>
        <w:t>标</w:t>
      </w:r>
    </w:p>
    <w:p>
      <w:pPr>
        <w:jc w:val="center"/>
        <w:rPr>
          <w:rFonts w:ascii="宋体" w:hAnsi="宋体"/>
          <w:b/>
          <w:bCs/>
          <w:sz w:val="72"/>
        </w:rPr>
      </w:pPr>
    </w:p>
    <w:p>
      <w:pPr>
        <w:jc w:val="center"/>
        <w:rPr>
          <w:rFonts w:ascii="宋体" w:hAnsi="宋体"/>
          <w:b/>
          <w:bCs/>
          <w:sz w:val="72"/>
        </w:rPr>
      </w:pPr>
      <w:r>
        <w:rPr>
          <w:rFonts w:hint="eastAsia" w:ascii="宋体" w:hAnsi="宋体"/>
          <w:b/>
          <w:bCs/>
          <w:sz w:val="72"/>
        </w:rPr>
        <w:t>书</w:t>
      </w:r>
    </w:p>
    <w:p>
      <w:pPr>
        <w:jc w:val="center"/>
        <w:rPr>
          <w:rFonts w:ascii="宋体" w:hAnsi="宋体"/>
          <w:b/>
          <w:bCs/>
          <w:sz w:val="44"/>
        </w:rPr>
      </w:pPr>
    </w:p>
    <w:p>
      <w:pPr>
        <w:jc w:val="center"/>
        <w:rPr>
          <w:rFonts w:ascii="宋体" w:hAnsi="宋体"/>
          <w:b/>
          <w:bCs/>
          <w:sz w:val="44"/>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r>
        <w:rPr>
          <w:rFonts w:ascii="宋体" w:hAnsi="宋体"/>
          <w:b/>
          <w:bCs/>
          <w:sz w:val="30"/>
        </w:rPr>
        <w:t>20</w:t>
      </w:r>
      <w:r>
        <w:rPr>
          <w:rFonts w:hint="eastAsia" w:ascii="宋体" w:hAnsi="宋体"/>
          <w:b/>
          <w:bCs/>
          <w:sz w:val="30"/>
        </w:rPr>
        <w:t>2</w:t>
      </w:r>
      <w:r>
        <w:rPr>
          <w:rFonts w:ascii="宋体" w:hAnsi="宋体"/>
          <w:b/>
          <w:bCs/>
          <w:sz w:val="30"/>
        </w:rPr>
        <w:t>1</w:t>
      </w:r>
      <w:r>
        <w:rPr>
          <w:rFonts w:hint="eastAsia" w:ascii="宋体" w:hAnsi="宋体"/>
          <w:b/>
          <w:bCs/>
          <w:sz w:val="30"/>
        </w:rPr>
        <w:t xml:space="preserve">年 </w:t>
      </w:r>
      <w:r>
        <w:rPr>
          <w:rFonts w:hint="eastAsia" w:ascii="宋体" w:hAnsi="宋体"/>
          <w:b/>
          <w:bCs/>
          <w:sz w:val="30"/>
          <w:lang w:val="en-US" w:eastAsia="zh-CN"/>
        </w:rPr>
        <w:t>8</w:t>
      </w:r>
      <w:r>
        <w:rPr>
          <w:rFonts w:hint="eastAsia" w:ascii="宋体" w:hAnsi="宋体"/>
          <w:b/>
          <w:bCs/>
          <w:sz w:val="30"/>
        </w:rPr>
        <w:t>月</w:t>
      </w:r>
    </w:p>
    <w:p>
      <w:pPr>
        <w:jc w:val="center"/>
        <w:rPr>
          <w:rFonts w:ascii="宋体" w:hAnsi="宋体"/>
          <w:b/>
          <w:bCs/>
          <w:sz w:val="30"/>
        </w:rPr>
      </w:pPr>
    </w:p>
    <w:p>
      <w:pPr>
        <w:jc w:val="center"/>
        <w:rPr>
          <w:rFonts w:hint="eastAsia" w:ascii="宋体" w:hAnsi="宋体"/>
          <w:b/>
          <w:bCs/>
          <w:sz w:val="30"/>
        </w:rPr>
        <w:sectPr>
          <w:headerReference r:id="rId4" w:type="first"/>
          <w:footerReference r:id="rId6" w:type="first"/>
          <w:headerReference r:id="rId3" w:type="default"/>
          <w:footerReference r:id="rId5" w:type="default"/>
          <w:pgSz w:w="12240" w:h="15840"/>
          <w:pgMar w:top="1440" w:right="1797" w:bottom="1440" w:left="1797" w:header="720" w:footer="720" w:gutter="0"/>
          <w:pgNumType w:fmt="decimal" w:start="1"/>
          <w:cols w:space="720" w:num="1"/>
          <w:titlePg/>
        </w:sectPr>
      </w:pPr>
    </w:p>
    <w:p>
      <w:pPr>
        <w:jc w:val="center"/>
      </w:pPr>
      <w:r>
        <w:rPr>
          <w:rFonts w:hint="eastAsia" w:ascii="宋体" w:hAnsi="宋体"/>
          <w:b/>
          <w:bCs/>
          <w:sz w:val="30"/>
        </w:rPr>
        <w:t>目录</w:t>
      </w:r>
      <w:bookmarkStart w:id="0" w:name="_Toc365364655"/>
      <w:r>
        <w:rPr>
          <w:rFonts w:ascii="宋体" w:hAnsi="宋体"/>
          <w:b/>
          <w:bCs/>
          <w:sz w:val="30"/>
        </w:rPr>
        <w:fldChar w:fldCharType="begin"/>
      </w:r>
      <w:r>
        <w:rPr>
          <w:rFonts w:ascii="宋体" w:hAnsi="宋体"/>
          <w:b/>
          <w:bCs/>
          <w:sz w:val="30"/>
        </w:rPr>
        <w:instrText xml:space="preserve"> TOC \o "1-3" \h \z \u </w:instrText>
      </w:r>
      <w:r>
        <w:rPr>
          <w:rFonts w:ascii="宋体" w:hAnsi="宋体"/>
          <w:b/>
          <w:bCs/>
          <w:sz w:val="30"/>
        </w:rPr>
        <w:fldChar w:fldCharType="separate"/>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"_Toc74734395" </w:instrText>
      </w:r>
      <w:r>
        <w:fldChar w:fldCharType="separate"/>
      </w:r>
      <w:r>
        <w:rPr>
          <w:rStyle w:val="58"/>
          <w:rFonts w:hint="eastAsia" w:ascii="宋体" w:hAnsi="宋体"/>
        </w:rPr>
        <w:t>投标邀请书</w:t>
      </w:r>
      <w:r>
        <w:tab/>
      </w:r>
      <w:r>
        <w:fldChar w:fldCharType="begin"/>
      </w:r>
      <w:r>
        <w:instrText xml:space="preserve"> PAGEREF _Toc74734395 \h </w:instrText>
      </w:r>
      <w:r>
        <w:fldChar w:fldCharType="separate"/>
      </w:r>
      <w:r>
        <w:t>3</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"_Toc74734396" </w:instrText>
      </w:r>
      <w:r>
        <w:fldChar w:fldCharType="separate"/>
      </w:r>
      <w:r>
        <w:rPr>
          <w:rStyle w:val="58"/>
          <w:rFonts w:hint="eastAsia"/>
        </w:rPr>
        <w:t>投标人须知</w:t>
      </w:r>
      <w:r>
        <w:tab/>
      </w:r>
      <w:r>
        <w:fldChar w:fldCharType="begin"/>
      </w:r>
      <w:r>
        <w:instrText xml:space="preserve"> PAGEREF _Toc74734396 \h </w:instrText>
      </w:r>
      <w:r>
        <w:fldChar w:fldCharType="separate"/>
      </w:r>
      <w:r>
        <w:t>3</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"_Toc74734397" </w:instrText>
      </w:r>
      <w:r>
        <w:fldChar w:fldCharType="separate"/>
      </w:r>
      <w:r>
        <w:rPr>
          <w:rStyle w:val="58"/>
          <w:rFonts w:hint="eastAsia"/>
        </w:rPr>
        <w:t>一、概述</w:t>
      </w:r>
      <w:r>
        <w:tab/>
      </w:r>
      <w:r>
        <w:fldChar w:fldCharType="begin"/>
      </w:r>
      <w:r>
        <w:instrText xml:space="preserve"> PAGEREF _Toc74734397 \h </w:instrText>
      </w:r>
      <w:r>
        <w:fldChar w:fldCharType="separate"/>
      </w:r>
      <w:r>
        <w:t>3</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"_Toc74734398" </w:instrText>
      </w:r>
      <w:r>
        <w:fldChar w:fldCharType="separate"/>
      </w:r>
      <w:r>
        <w:rPr>
          <w:rStyle w:val="58"/>
          <w:rFonts w:hint="eastAsia" w:ascii="宋体" w:hAnsi="宋体"/>
        </w:rPr>
        <w:t>二、招标范围</w:t>
      </w:r>
      <w:r>
        <w:tab/>
      </w:r>
      <w:r>
        <w:fldChar w:fldCharType="begin"/>
      </w:r>
      <w:r>
        <w:instrText xml:space="preserve"> PAGEREF _Toc74734398 \h </w:instrText>
      </w:r>
      <w:r>
        <w:fldChar w:fldCharType="separate"/>
      </w:r>
      <w:r>
        <w:t>4</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"_Toc74734399" </w:instrText>
      </w:r>
      <w:r>
        <w:fldChar w:fldCharType="separate"/>
      </w:r>
      <w:r>
        <w:rPr>
          <w:rStyle w:val="58"/>
          <w:rFonts w:hint="eastAsia" w:ascii="宋体" w:hAnsi="宋体"/>
        </w:rPr>
        <w:t>三、投标人资格</w:t>
      </w:r>
      <w:r>
        <w:tab/>
      </w:r>
      <w:r>
        <w:fldChar w:fldCharType="begin"/>
      </w:r>
      <w:r>
        <w:instrText xml:space="preserve"> PAGEREF _Toc74734399 \h </w:instrText>
      </w:r>
      <w:r>
        <w:fldChar w:fldCharType="separate"/>
      </w:r>
      <w:r>
        <w:t>4</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"_Toc74734400" </w:instrText>
      </w:r>
      <w:r>
        <w:fldChar w:fldCharType="separate"/>
      </w:r>
      <w:r>
        <w:rPr>
          <w:rStyle w:val="58"/>
          <w:rFonts w:hint="eastAsia" w:ascii="宋体" w:hAnsi="宋体"/>
        </w:rPr>
        <w:t>四、投标费用</w:t>
      </w:r>
      <w:r>
        <w:tab/>
      </w:r>
      <w:r>
        <w:fldChar w:fldCharType="begin"/>
      </w:r>
      <w:r>
        <w:instrText xml:space="preserve"> PAGEREF _Toc74734400 \h </w:instrText>
      </w:r>
      <w:r>
        <w:fldChar w:fldCharType="separate"/>
      </w:r>
      <w:r>
        <w:t>4</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"_Toc74734401" </w:instrText>
      </w:r>
      <w:r>
        <w:fldChar w:fldCharType="separate"/>
      </w:r>
      <w:r>
        <w:rPr>
          <w:rStyle w:val="58"/>
          <w:rFonts w:hint="eastAsia"/>
        </w:rPr>
        <w:t>招标标的</w:t>
      </w:r>
      <w:r>
        <w:tab/>
      </w:r>
      <w:r>
        <w:fldChar w:fldCharType="begin"/>
      </w:r>
      <w:r>
        <w:instrText xml:space="preserve"> PAGEREF _Toc74734401 \h </w:instrText>
      </w:r>
      <w:r>
        <w:fldChar w:fldCharType="separate"/>
      </w:r>
      <w:r>
        <w:t>5</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"_Toc74734402" </w:instrText>
      </w:r>
      <w:r>
        <w:fldChar w:fldCharType="separate"/>
      </w:r>
      <w:r>
        <w:rPr>
          <w:rStyle w:val="58"/>
          <w:rFonts w:hint="eastAsia" w:ascii="宋体" w:hAnsi="宋体"/>
        </w:rPr>
        <w:t>招标文件</w:t>
      </w:r>
      <w:r>
        <w:tab/>
      </w:r>
      <w:r>
        <w:fldChar w:fldCharType="begin"/>
      </w:r>
      <w:r>
        <w:instrText xml:space="preserve"> PAGEREF _Toc74734402 \h </w:instrText>
      </w:r>
      <w:r>
        <w:fldChar w:fldCharType="separate"/>
      </w:r>
      <w:r>
        <w:t>6</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"_Toc74734403" </w:instrText>
      </w:r>
      <w:r>
        <w:fldChar w:fldCharType="separate"/>
      </w:r>
      <w:r>
        <w:rPr>
          <w:rStyle w:val="58"/>
          <w:rFonts w:hint="eastAsia" w:ascii="宋体" w:hAnsi="宋体"/>
        </w:rPr>
        <w:t>招标文件的发放</w:t>
      </w:r>
      <w:r>
        <w:tab/>
      </w:r>
      <w:r>
        <w:fldChar w:fldCharType="begin"/>
      </w:r>
      <w:r>
        <w:instrText xml:space="preserve"> PAGEREF _Toc74734403 \h </w:instrText>
      </w:r>
      <w:r>
        <w:fldChar w:fldCharType="separate"/>
      </w:r>
      <w:r>
        <w:t>6</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"_Toc74734404" </w:instrText>
      </w:r>
      <w:r>
        <w:fldChar w:fldCharType="separate"/>
      </w:r>
      <w:r>
        <w:rPr>
          <w:rStyle w:val="58"/>
          <w:rFonts w:hint="eastAsia" w:ascii="宋体" w:hAnsi="宋体"/>
        </w:rPr>
        <w:t>招标文件的组成</w:t>
      </w:r>
      <w:r>
        <w:tab/>
      </w:r>
      <w:r>
        <w:fldChar w:fldCharType="begin"/>
      </w:r>
      <w:r>
        <w:instrText xml:space="preserve"> PAGEREF _Toc74734404 \h </w:instrText>
      </w:r>
      <w:r>
        <w:fldChar w:fldCharType="separate"/>
      </w:r>
      <w:r>
        <w:t>6</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"_Toc74734405" </w:instrText>
      </w:r>
      <w:r>
        <w:fldChar w:fldCharType="separate"/>
      </w:r>
      <w:r>
        <w:rPr>
          <w:rStyle w:val="58"/>
          <w:rFonts w:hint="eastAsia" w:ascii="宋体" w:hAnsi="宋体"/>
        </w:rPr>
        <w:t>招标文件的解释</w:t>
      </w:r>
      <w:r>
        <w:tab/>
      </w:r>
      <w:r>
        <w:fldChar w:fldCharType="begin"/>
      </w:r>
      <w:r>
        <w:instrText xml:space="preserve"> PAGEREF _Toc74734405 \h </w:instrText>
      </w:r>
      <w:r>
        <w:fldChar w:fldCharType="separate"/>
      </w:r>
      <w:r>
        <w:t>6</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"_Toc74734406" </w:instrText>
      </w:r>
      <w:r>
        <w:fldChar w:fldCharType="separate"/>
      </w:r>
      <w:r>
        <w:rPr>
          <w:rStyle w:val="58"/>
          <w:rFonts w:hint="eastAsia" w:ascii="宋体" w:hAnsi="宋体"/>
        </w:rPr>
        <w:t>招标文件的修改</w:t>
      </w:r>
      <w:r>
        <w:tab/>
      </w:r>
      <w:r>
        <w:fldChar w:fldCharType="begin"/>
      </w:r>
      <w:r>
        <w:instrText xml:space="preserve"> PAGEREF _Toc74734406 \h </w:instrText>
      </w:r>
      <w:r>
        <w:fldChar w:fldCharType="separate"/>
      </w:r>
      <w:r>
        <w:t>6</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"_Toc74734407" </w:instrText>
      </w:r>
      <w:r>
        <w:fldChar w:fldCharType="separate"/>
      </w:r>
      <w:r>
        <w:rPr>
          <w:rStyle w:val="58"/>
          <w:rFonts w:hint="eastAsia" w:ascii="宋体" w:hAnsi="宋体"/>
        </w:rPr>
        <w:t>投标文件</w:t>
      </w:r>
      <w:r>
        <w:tab/>
      </w:r>
      <w:r>
        <w:fldChar w:fldCharType="begin"/>
      </w:r>
      <w:r>
        <w:instrText xml:space="preserve"> PAGEREF _Toc74734407 \h </w:instrText>
      </w:r>
      <w:r>
        <w:fldChar w:fldCharType="separate"/>
      </w:r>
      <w:r>
        <w:t>7</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"_Toc74734408" </w:instrText>
      </w:r>
      <w:r>
        <w:fldChar w:fldCharType="separate"/>
      </w:r>
      <w:r>
        <w:rPr>
          <w:rStyle w:val="58"/>
          <w:rFonts w:hint="eastAsia" w:ascii="宋体" w:hAnsi="宋体"/>
        </w:rPr>
        <w:t>投标文件的组成</w:t>
      </w:r>
      <w:r>
        <w:tab/>
      </w:r>
      <w:r>
        <w:fldChar w:fldCharType="begin"/>
      </w:r>
      <w:r>
        <w:instrText xml:space="preserve"> PAGEREF _Toc74734408 \h </w:instrText>
      </w:r>
      <w:r>
        <w:fldChar w:fldCharType="separate"/>
      </w:r>
      <w:r>
        <w:t>7</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"_Toc74734409" </w:instrText>
      </w:r>
      <w:r>
        <w:fldChar w:fldCharType="separate"/>
      </w:r>
      <w:r>
        <w:rPr>
          <w:rStyle w:val="58"/>
          <w:rFonts w:hint="eastAsia" w:ascii="宋体" w:hAnsi="宋体"/>
        </w:rPr>
        <w:t>投标价格</w:t>
      </w:r>
      <w:r>
        <w:tab/>
      </w:r>
      <w:r>
        <w:fldChar w:fldCharType="begin"/>
      </w:r>
      <w:r>
        <w:instrText xml:space="preserve"> PAGEREF _Toc74734409 \h </w:instrText>
      </w:r>
      <w:r>
        <w:fldChar w:fldCharType="separate"/>
      </w:r>
      <w:r>
        <w:t>7</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"_Toc74734410" </w:instrText>
      </w:r>
      <w:r>
        <w:fldChar w:fldCharType="separate"/>
      </w:r>
      <w:r>
        <w:rPr>
          <w:rStyle w:val="58"/>
          <w:rFonts w:hint="eastAsia" w:ascii="宋体" w:hAnsi="宋体"/>
        </w:rPr>
        <w:t>投标货币</w:t>
      </w:r>
      <w:r>
        <w:tab/>
      </w:r>
      <w:r>
        <w:fldChar w:fldCharType="begin"/>
      </w:r>
      <w:r>
        <w:instrText xml:space="preserve"> PAGEREF _Toc74734410 \h </w:instrText>
      </w:r>
      <w:r>
        <w:fldChar w:fldCharType="separate"/>
      </w:r>
      <w:r>
        <w:t>8</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"_Toc74734411" </w:instrText>
      </w:r>
      <w:r>
        <w:fldChar w:fldCharType="separate"/>
      </w:r>
      <w:r>
        <w:rPr>
          <w:rStyle w:val="58"/>
          <w:rFonts w:hint="eastAsia" w:ascii="宋体" w:hAnsi="宋体"/>
        </w:rPr>
        <w:t>投标文件的密封和递交</w:t>
      </w:r>
      <w:r>
        <w:tab/>
      </w:r>
      <w:r>
        <w:fldChar w:fldCharType="begin"/>
      </w:r>
      <w:r>
        <w:instrText xml:space="preserve"> PAGEREF _Toc74734411 \h </w:instrText>
      </w:r>
      <w:r>
        <w:fldChar w:fldCharType="separate"/>
      </w:r>
      <w:r>
        <w:t>8</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"_Toc74734412" </w:instrText>
      </w:r>
      <w:r>
        <w:fldChar w:fldCharType="separate"/>
      </w:r>
      <w:r>
        <w:rPr>
          <w:rStyle w:val="58"/>
          <w:rFonts w:hint="eastAsia" w:ascii="宋体" w:hAnsi="宋体"/>
        </w:rPr>
        <w:t>开标与评标</w:t>
      </w:r>
      <w:r>
        <w:tab/>
      </w:r>
      <w:r>
        <w:fldChar w:fldCharType="begin"/>
      </w:r>
      <w:r>
        <w:instrText xml:space="preserve"> PAGEREF _Toc74734412 \h </w:instrText>
      </w:r>
      <w:r>
        <w:fldChar w:fldCharType="separate"/>
      </w:r>
      <w:r>
        <w:t>9</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"_Toc74734413" </w:instrText>
      </w:r>
      <w:r>
        <w:fldChar w:fldCharType="separate"/>
      </w:r>
      <w:r>
        <w:rPr>
          <w:rStyle w:val="58"/>
          <w:rFonts w:hint="eastAsia" w:ascii="宋体" w:hAnsi="宋体"/>
        </w:rPr>
        <w:t>开标</w:t>
      </w:r>
      <w:r>
        <w:tab/>
      </w:r>
      <w:r>
        <w:fldChar w:fldCharType="begin"/>
      </w:r>
      <w:r>
        <w:instrText xml:space="preserve"> PAGEREF _Toc74734413 \h </w:instrText>
      </w:r>
      <w:r>
        <w:fldChar w:fldCharType="separate"/>
      </w:r>
      <w:r>
        <w:t>9</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"_Toc74734414" </w:instrText>
      </w:r>
      <w:r>
        <w:fldChar w:fldCharType="separate"/>
      </w:r>
      <w:r>
        <w:rPr>
          <w:rStyle w:val="58"/>
          <w:rFonts w:hint="eastAsia" w:ascii="宋体" w:hAnsi="宋体"/>
        </w:rPr>
        <w:t>评标</w:t>
      </w:r>
      <w:r>
        <w:tab/>
      </w:r>
      <w:r>
        <w:fldChar w:fldCharType="begin"/>
      </w:r>
      <w:r>
        <w:instrText xml:space="preserve"> PAGEREF _Toc74734414 \h </w:instrText>
      </w:r>
      <w:r>
        <w:fldChar w:fldCharType="separate"/>
      </w:r>
      <w:r>
        <w:t>9</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"_Toc74734415" </w:instrText>
      </w:r>
      <w:r>
        <w:fldChar w:fldCharType="separate"/>
      </w:r>
      <w:r>
        <w:rPr>
          <w:rStyle w:val="58"/>
          <w:rFonts w:hint="eastAsia" w:ascii="宋体" w:hAnsi="宋体"/>
        </w:rPr>
        <w:t>投标文件的澄清</w:t>
      </w:r>
      <w:r>
        <w:tab/>
      </w:r>
      <w:r>
        <w:fldChar w:fldCharType="begin"/>
      </w:r>
      <w:r>
        <w:instrText xml:space="preserve"> PAGEREF _Toc74734415 \h </w:instrText>
      </w:r>
      <w:r>
        <w:fldChar w:fldCharType="separate"/>
      </w:r>
      <w:r>
        <w:t>9</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"_Toc74734416" </w:instrText>
      </w:r>
      <w:r>
        <w:fldChar w:fldCharType="separate"/>
      </w:r>
      <w:r>
        <w:rPr>
          <w:rStyle w:val="58"/>
          <w:rFonts w:hint="eastAsia" w:ascii="宋体" w:hAnsi="宋体"/>
        </w:rPr>
        <w:t>废标条款</w:t>
      </w:r>
      <w:r>
        <w:tab/>
      </w:r>
      <w:r>
        <w:fldChar w:fldCharType="begin"/>
      </w:r>
      <w:r>
        <w:instrText xml:space="preserve"> PAGEREF _Toc74734416 \h </w:instrText>
      </w:r>
      <w:r>
        <w:fldChar w:fldCharType="separate"/>
      </w:r>
      <w:r>
        <w:t>9</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"_Toc74734417" </w:instrText>
      </w:r>
      <w:r>
        <w:fldChar w:fldCharType="separate"/>
      </w:r>
      <w:r>
        <w:rPr>
          <w:rStyle w:val="58"/>
          <w:rFonts w:hint="eastAsia" w:ascii="宋体" w:hAnsi="宋体"/>
        </w:rPr>
        <w:t>授予合同</w:t>
      </w:r>
      <w:r>
        <w:tab/>
      </w:r>
      <w:r>
        <w:fldChar w:fldCharType="begin"/>
      </w:r>
      <w:r>
        <w:instrText xml:space="preserve"> PAGEREF _Toc74734417 \h </w:instrText>
      </w:r>
      <w:r>
        <w:fldChar w:fldCharType="separate"/>
      </w:r>
      <w:r>
        <w:t>11</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"_Toc74734418" </w:instrText>
      </w:r>
      <w:r>
        <w:fldChar w:fldCharType="separate"/>
      </w:r>
      <w:r>
        <w:rPr>
          <w:rStyle w:val="58"/>
          <w:rFonts w:hint="eastAsia" w:ascii="宋体" w:hAnsi="宋体"/>
        </w:rPr>
        <w:t>定标原则</w:t>
      </w:r>
      <w:r>
        <w:tab/>
      </w:r>
      <w:r>
        <w:fldChar w:fldCharType="begin"/>
      </w:r>
      <w:r>
        <w:instrText xml:space="preserve"> PAGEREF _Toc74734418 \h </w:instrText>
      </w:r>
      <w:r>
        <w:fldChar w:fldCharType="separate"/>
      </w:r>
      <w:r>
        <w:t>11</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"_Toc74734419" </w:instrText>
      </w:r>
      <w:r>
        <w:fldChar w:fldCharType="separate"/>
      </w:r>
      <w:r>
        <w:rPr>
          <w:rStyle w:val="58"/>
          <w:rFonts w:hint="eastAsia" w:ascii="宋体" w:hAnsi="宋体"/>
        </w:rPr>
        <w:t>中标通知</w:t>
      </w:r>
      <w:r>
        <w:tab/>
      </w:r>
      <w:r>
        <w:fldChar w:fldCharType="begin"/>
      </w:r>
      <w:r>
        <w:instrText xml:space="preserve"> PAGEREF _Toc74734419 \h </w:instrText>
      </w:r>
      <w:r>
        <w:fldChar w:fldCharType="separate"/>
      </w:r>
      <w:r>
        <w:t>11</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"_Toc74734420" </w:instrText>
      </w:r>
      <w:r>
        <w:fldChar w:fldCharType="separate"/>
      </w:r>
      <w:r>
        <w:rPr>
          <w:rStyle w:val="58"/>
          <w:rFonts w:hint="eastAsia" w:ascii="宋体" w:hAnsi="宋体"/>
        </w:rPr>
        <w:t>授予合同时变更数量的权利</w:t>
      </w:r>
      <w:r>
        <w:tab/>
      </w:r>
      <w:r>
        <w:fldChar w:fldCharType="begin"/>
      </w:r>
      <w:r>
        <w:instrText xml:space="preserve"> PAGEREF _Toc74734420 \h </w:instrText>
      </w:r>
      <w:r>
        <w:fldChar w:fldCharType="separate"/>
      </w:r>
      <w:r>
        <w:t>11</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"_Toc74734421" </w:instrText>
      </w:r>
      <w:r>
        <w:fldChar w:fldCharType="separate"/>
      </w:r>
      <w:r>
        <w:rPr>
          <w:rStyle w:val="58"/>
          <w:rFonts w:hint="eastAsia"/>
        </w:rPr>
        <w:t>合同签订</w:t>
      </w:r>
      <w:r>
        <w:tab/>
      </w:r>
      <w:r>
        <w:fldChar w:fldCharType="begin"/>
      </w:r>
      <w:r>
        <w:instrText xml:space="preserve"> PAGEREF _Toc74734421 \h </w:instrText>
      </w:r>
      <w:r>
        <w:fldChar w:fldCharType="separate"/>
      </w:r>
      <w:r>
        <w:t>11</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"_Toc74734422" </w:instrText>
      </w:r>
      <w:r>
        <w:fldChar w:fldCharType="separate"/>
      </w:r>
      <w:r>
        <w:rPr>
          <w:rStyle w:val="58"/>
          <w:rFonts w:hint="eastAsia" w:ascii="宋体" w:hAnsi="宋体"/>
        </w:rPr>
        <w:t>运输及其保险</w:t>
      </w:r>
      <w:r>
        <w:tab/>
      </w:r>
      <w:r>
        <w:fldChar w:fldCharType="begin"/>
      </w:r>
      <w:r>
        <w:instrText xml:space="preserve"> PAGEREF _Toc74734422 \h </w:instrText>
      </w:r>
      <w:r>
        <w:fldChar w:fldCharType="separate"/>
      </w:r>
      <w:r>
        <w:t>11</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"_Toc74734423" </w:instrText>
      </w:r>
      <w:r>
        <w:fldChar w:fldCharType="separate"/>
      </w:r>
      <w:r>
        <w:rPr>
          <w:rStyle w:val="58"/>
          <w:rFonts w:hint="eastAsia" w:ascii="宋体" w:hAnsi="宋体"/>
        </w:rPr>
        <w:t>交货地点及交货方式</w:t>
      </w:r>
      <w:r>
        <w:tab/>
      </w:r>
      <w:r>
        <w:fldChar w:fldCharType="begin"/>
      </w:r>
      <w:r>
        <w:instrText xml:space="preserve"> PAGEREF _Toc74734423 \h </w:instrText>
      </w:r>
      <w:r>
        <w:fldChar w:fldCharType="separate"/>
      </w:r>
      <w:r>
        <w:t>12</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"_Toc74734424" </w:instrText>
      </w:r>
      <w:r>
        <w:fldChar w:fldCharType="separate"/>
      </w:r>
      <w:r>
        <w:rPr>
          <w:rStyle w:val="58"/>
          <w:rFonts w:hint="eastAsia" w:ascii="宋体" w:hAnsi="宋体"/>
        </w:rPr>
        <w:t>付款方式和付款比例</w:t>
      </w:r>
      <w:r>
        <w:tab/>
      </w:r>
      <w:r>
        <w:fldChar w:fldCharType="begin"/>
      </w:r>
      <w:r>
        <w:instrText xml:space="preserve"> PAGEREF _Toc74734424 \h </w:instrText>
      </w:r>
      <w:r>
        <w:fldChar w:fldCharType="separate"/>
      </w:r>
      <w:r>
        <w:t>12</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"_Toc74734425" </w:instrText>
      </w:r>
      <w:r>
        <w:fldChar w:fldCharType="separate"/>
      </w:r>
      <w:r>
        <w:rPr>
          <w:rStyle w:val="58"/>
          <w:rFonts w:hint="eastAsia" w:ascii="宋体" w:hAnsi="宋体"/>
        </w:rPr>
        <w:t>售后服务约定</w:t>
      </w:r>
      <w:r>
        <w:tab/>
      </w:r>
      <w:r>
        <w:fldChar w:fldCharType="begin"/>
      </w:r>
      <w:r>
        <w:instrText xml:space="preserve"> PAGEREF _Toc74734425 \h </w:instrText>
      </w:r>
      <w:r>
        <w:fldChar w:fldCharType="separate"/>
      </w:r>
      <w:r>
        <w:t>13</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"_Toc74734426" </w:instrText>
      </w:r>
      <w:r>
        <w:fldChar w:fldCharType="separate"/>
      </w:r>
      <w:r>
        <w:rPr>
          <w:rStyle w:val="58"/>
          <w:rFonts w:hint="eastAsia" w:ascii="宋体" w:hAnsi="宋体"/>
        </w:rPr>
        <w:t>税</w:t>
      </w:r>
      <w:r>
        <w:tab/>
      </w:r>
      <w:r>
        <w:fldChar w:fldCharType="begin"/>
      </w:r>
      <w:r>
        <w:instrText xml:space="preserve"> PAGEREF _Toc74734426 \h </w:instrText>
      </w:r>
      <w:r>
        <w:fldChar w:fldCharType="separate"/>
      </w:r>
      <w:r>
        <w:t>13</w:t>
      </w:r>
      <w:r>
        <w:fldChar w:fldCharType="end"/>
      </w:r>
      <w:r>
        <w:fldChar w:fldCharType="end"/>
      </w:r>
    </w:p>
    <w:p>
      <w:pPr>
        <w:pStyle w:val="33"/>
        <w:rPr>
          <w:rFonts w:asciiTheme="minorHAnsi" w:hAnsiTheme="minorHAnsi" w:eastAsiaTheme="minorEastAsia" w:cstheme="minorBidi"/>
          <w:b w:val="0"/>
          <w:smallCaps w:val="0"/>
          <w:kern w:val="2"/>
          <w:sz w:val="21"/>
          <w:szCs w:val="22"/>
        </w:rPr>
      </w:pPr>
      <w:r>
        <w:fldChar w:fldCharType="begin"/>
      </w:r>
      <w:r>
        <w:instrText xml:space="preserve"> HYPERLINK \l "_Toc74734427" </w:instrText>
      </w:r>
      <w:r>
        <w:fldChar w:fldCharType="separate"/>
      </w:r>
      <w:r>
        <w:rPr>
          <w:rStyle w:val="58"/>
          <w:rFonts w:hint="eastAsia" w:ascii="宋体" w:hAnsi="宋体"/>
        </w:rPr>
        <w:t>投标人须知附件</w:t>
      </w:r>
      <w:r>
        <w:tab/>
      </w:r>
      <w:r>
        <w:fldChar w:fldCharType="begin"/>
      </w:r>
      <w:r>
        <w:instrText xml:space="preserve"> PAGEREF _Toc74734427 \h </w:instrText>
      </w:r>
      <w:r>
        <w:fldChar w:fldCharType="separate"/>
      </w:r>
      <w:r>
        <w:t>14</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"_Toc74734428" </w:instrText>
      </w:r>
      <w:r>
        <w:fldChar w:fldCharType="separate"/>
      </w:r>
      <w:r>
        <w:rPr>
          <w:rStyle w:val="58"/>
          <w:rFonts w:hint="eastAsia" w:ascii="宋体" w:hAnsi="宋体"/>
        </w:rPr>
        <w:t>投标人须知附件</w:t>
      </w:r>
      <w:r>
        <w:rPr>
          <w:rStyle w:val="58"/>
          <w:rFonts w:ascii="宋体" w:hAnsi="宋体"/>
        </w:rPr>
        <w:t xml:space="preserve">1: </w:t>
      </w:r>
      <w:r>
        <w:rPr>
          <w:rStyle w:val="58"/>
          <w:rFonts w:hint="eastAsia" w:ascii="宋体" w:hAnsi="宋体"/>
        </w:rPr>
        <w:t>廉政协议</w:t>
      </w:r>
      <w:r>
        <w:rPr>
          <w:rStyle w:val="58"/>
          <w:rFonts w:ascii="宋体" w:hAnsi="宋体"/>
        </w:rPr>
        <w:t xml:space="preserve"> (</w:t>
      </w:r>
      <w:r>
        <w:rPr>
          <w:rStyle w:val="58"/>
          <w:rFonts w:hint="eastAsia" w:ascii="宋体" w:hAnsi="宋体"/>
        </w:rPr>
        <w:t>格式</w:t>
      </w:r>
      <w:r>
        <w:rPr>
          <w:rStyle w:val="58"/>
          <w:rFonts w:ascii="宋体" w:hAnsi="宋体"/>
        </w:rPr>
        <w:t>)</w:t>
      </w:r>
      <w:r>
        <w:tab/>
      </w:r>
      <w:r>
        <w:fldChar w:fldCharType="begin"/>
      </w:r>
      <w:r>
        <w:instrText xml:space="preserve"> PAGEREF _Toc74734428 \h </w:instrText>
      </w:r>
      <w:r>
        <w:fldChar w:fldCharType="separate"/>
      </w:r>
      <w:r>
        <w:t>14</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"_Toc74734429" </w:instrText>
      </w:r>
      <w:r>
        <w:fldChar w:fldCharType="separate"/>
      </w:r>
      <w:r>
        <w:rPr>
          <w:rStyle w:val="58"/>
          <w:rFonts w:hint="eastAsia" w:ascii="黑体"/>
        </w:rPr>
        <w:t>投标人须知附件</w:t>
      </w:r>
      <w:r>
        <w:rPr>
          <w:rStyle w:val="58"/>
          <w:rFonts w:ascii="黑体"/>
        </w:rPr>
        <w:t>2</w:t>
      </w:r>
      <w:r>
        <w:rPr>
          <w:rStyle w:val="58"/>
          <w:rFonts w:hint="eastAsia" w:ascii="黑体"/>
        </w:rPr>
        <w:t>：</w:t>
      </w:r>
      <w:r>
        <w:rPr>
          <w:rStyle w:val="58"/>
          <w:rFonts w:hint="eastAsia" w:ascii="宋体" w:hAnsi="宋体"/>
        </w:rPr>
        <w:t>投标函</w:t>
      </w:r>
      <w:r>
        <w:rPr>
          <w:rStyle w:val="58"/>
          <w:rFonts w:hint="eastAsia" w:ascii="黑体"/>
        </w:rPr>
        <w:t>（格式）</w:t>
      </w:r>
      <w:r>
        <w:tab/>
      </w:r>
      <w:r>
        <w:fldChar w:fldCharType="begin"/>
      </w:r>
      <w:r>
        <w:instrText xml:space="preserve"> PAGEREF _Toc74734429 \h </w:instrText>
      </w:r>
      <w:r>
        <w:fldChar w:fldCharType="separate"/>
      </w:r>
      <w:r>
        <w:t>16</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"_Toc74734430" </w:instrText>
      </w:r>
      <w:r>
        <w:fldChar w:fldCharType="separate"/>
      </w:r>
      <w:r>
        <w:rPr>
          <w:rStyle w:val="58"/>
          <w:rFonts w:hint="eastAsia" w:ascii="黑体"/>
        </w:rPr>
        <w:t>附件</w:t>
      </w:r>
      <w:r>
        <w:rPr>
          <w:rStyle w:val="58"/>
          <w:rFonts w:ascii="黑体"/>
        </w:rPr>
        <w:t xml:space="preserve">3 </w:t>
      </w:r>
      <w:r>
        <w:rPr>
          <w:rStyle w:val="58"/>
          <w:rFonts w:hint="eastAsia" w:ascii="黑体"/>
        </w:rPr>
        <w:t>开标一览表（格式）</w:t>
      </w:r>
      <w:r>
        <w:tab/>
      </w:r>
      <w:r>
        <w:fldChar w:fldCharType="begin"/>
      </w:r>
      <w:r>
        <w:instrText xml:space="preserve"> PAGEREF _Toc74734430 \h </w:instrText>
      </w:r>
      <w:r>
        <w:fldChar w:fldCharType="separate"/>
      </w:r>
      <w:r>
        <w:t>17</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"_Toc74734431" </w:instrText>
      </w:r>
      <w:r>
        <w:fldChar w:fldCharType="separate"/>
      </w:r>
      <w:r>
        <w:rPr>
          <w:rStyle w:val="58"/>
          <w:rFonts w:hint="eastAsia" w:ascii="黑体"/>
        </w:rPr>
        <w:t>投标人须知附件</w:t>
      </w:r>
      <w:r>
        <w:rPr>
          <w:rStyle w:val="58"/>
          <w:rFonts w:ascii="黑体"/>
        </w:rPr>
        <w:t xml:space="preserve">4: </w:t>
      </w:r>
      <w:r>
        <w:rPr>
          <w:rStyle w:val="58"/>
          <w:rFonts w:hint="eastAsia" w:ascii="黑体"/>
        </w:rPr>
        <w:t>法定代表人授权书（格式）</w:t>
      </w:r>
      <w:r>
        <w:tab/>
      </w:r>
      <w:r>
        <w:fldChar w:fldCharType="begin"/>
      </w:r>
      <w:r>
        <w:instrText xml:space="preserve"> PAGEREF _Toc74734431 \h </w:instrText>
      </w:r>
      <w:r>
        <w:fldChar w:fldCharType="separate"/>
      </w:r>
      <w:r>
        <w:t>18</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"_Toc74734432" </w:instrText>
      </w:r>
      <w:r>
        <w:fldChar w:fldCharType="separate"/>
      </w:r>
      <w:r>
        <w:rPr>
          <w:rStyle w:val="58"/>
          <w:rFonts w:hint="eastAsia" w:ascii="黑体"/>
        </w:rPr>
        <w:t>投标人须知附件</w:t>
      </w:r>
      <w:r>
        <w:rPr>
          <w:rStyle w:val="58"/>
          <w:rFonts w:ascii="黑体"/>
        </w:rPr>
        <w:t>5</w:t>
      </w:r>
      <w:r>
        <w:rPr>
          <w:rStyle w:val="58"/>
          <w:rFonts w:hint="eastAsia" w:ascii="黑体"/>
        </w:rPr>
        <w:t>：商务偏离表（格式）</w:t>
      </w:r>
      <w:r>
        <w:tab/>
      </w:r>
      <w:r>
        <w:fldChar w:fldCharType="begin"/>
      </w:r>
      <w:r>
        <w:instrText xml:space="preserve"> PAGEREF _Toc74734432 \h </w:instrText>
      </w:r>
      <w:r>
        <w:fldChar w:fldCharType="separate"/>
      </w:r>
      <w:r>
        <w:t>19</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"_Toc74734433" </w:instrText>
      </w:r>
      <w:r>
        <w:fldChar w:fldCharType="separate"/>
      </w:r>
      <w:r>
        <w:rPr>
          <w:rStyle w:val="58"/>
          <w:rFonts w:hint="eastAsia" w:ascii="黑体"/>
        </w:rPr>
        <w:t>投标人须知附件</w:t>
      </w:r>
      <w:r>
        <w:rPr>
          <w:rStyle w:val="58"/>
          <w:rFonts w:ascii="黑体"/>
        </w:rPr>
        <w:t xml:space="preserve">6: </w:t>
      </w:r>
      <w:r>
        <w:rPr>
          <w:rStyle w:val="58"/>
          <w:rFonts w:hint="eastAsia" w:ascii="黑体"/>
        </w:rPr>
        <w:t>技术偏离表</w:t>
      </w:r>
      <w:r>
        <w:tab/>
      </w:r>
      <w:r>
        <w:fldChar w:fldCharType="begin"/>
      </w:r>
      <w:r>
        <w:instrText xml:space="preserve"> PAGEREF _Toc74734433 \h </w:instrText>
      </w:r>
      <w:r>
        <w:fldChar w:fldCharType="separate"/>
      </w:r>
      <w:r>
        <w:t>20</w:t>
      </w:r>
      <w:r>
        <w:fldChar w:fldCharType="end"/>
      </w:r>
      <w:r>
        <w:fldChar w:fldCharType="end"/>
      </w:r>
    </w:p>
    <w:p>
      <w:pPr>
        <w:pStyle w:val="44"/>
        <w:rPr>
          <w:rFonts w:asciiTheme="minorHAnsi" w:hAnsiTheme="minorHAnsi" w:eastAsiaTheme="minorEastAsia" w:cstheme="minorBidi"/>
          <w:smallCaps w:val="0"/>
          <w:kern w:val="2"/>
          <w:sz w:val="21"/>
          <w:szCs w:val="22"/>
        </w:rPr>
      </w:pPr>
      <w:r>
        <w:fldChar w:fldCharType="begin"/>
      </w:r>
      <w:r>
        <w:instrText xml:space="preserve"> HYPERLINK \l "_Toc74734434" </w:instrText>
      </w:r>
      <w:r>
        <w:fldChar w:fldCharType="separate"/>
      </w:r>
      <w:r>
        <w:rPr>
          <w:rStyle w:val="58"/>
          <w:rFonts w:hint="eastAsia" w:ascii="黑体"/>
        </w:rPr>
        <w:t>投标人须知附件</w:t>
      </w:r>
      <w:r>
        <w:rPr>
          <w:rStyle w:val="58"/>
          <w:rFonts w:ascii="黑体"/>
        </w:rPr>
        <w:t>10</w:t>
      </w:r>
      <w:r>
        <w:rPr>
          <w:rStyle w:val="58"/>
          <w:rFonts w:hint="eastAsia" w:ascii="黑体"/>
        </w:rPr>
        <w:t>：近二年同类方案部署业绩表（格式）</w:t>
      </w:r>
      <w:r>
        <w:tab/>
      </w:r>
      <w:r>
        <w:fldChar w:fldCharType="begin"/>
      </w:r>
      <w:r>
        <w:instrText xml:space="preserve"> PAGEREF _Toc74734434 \h </w:instrText>
      </w:r>
      <w:r>
        <w:fldChar w:fldCharType="separate"/>
      </w:r>
      <w:r>
        <w:t>21</w:t>
      </w:r>
      <w:r>
        <w:fldChar w:fldCharType="end"/>
      </w:r>
      <w:r>
        <w:fldChar w:fldCharType="end"/>
      </w:r>
    </w:p>
    <w:p>
      <w:pPr>
        <w:jc w:val="center"/>
        <w:rPr>
          <w:rFonts w:ascii="宋体" w:hAnsi="宋体"/>
          <w:b/>
          <w:bCs/>
          <w:sz w:val="30"/>
        </w:rPr>
        <w:sectPr>
          <w:footerReference r:id="rId8" w:type="first"/>
          <w:footerReference r:id="rId7" w:type="default"/>
          <w:pgSz w:w="12240" w:h="15840"/>
          <w:pgMar w:top="1440" w:right="1797" w:bottom="1440" w:left="1797" w:header="720" w:footer="720" w:gutter="0"/>
          <w:pgNumType w:fmt="decimal" w:start="1"/>
          <w:cols w:space="720" w:num="1"/>
          <w:titlePg/>
        </w:sectPr>
      </w:pPr>
      <w:r>
        <w:rPr>
          <w:rFonts w:ascii="宋体" w:hAnsi="宋体"/>
          <w:b/>
          <w:bCs/>
          <w:sz w:val="30"/>
        </w:rPr>
        <w:fldChar w:fldCharType="end"/>
      </w:r>
    </w:p>
    <w:p>
      <w:pPr>
        <w:pStyle w:val="2"/>
        <w:keepNext w:val="0"/>
        <w:keepLines w:val="0"/>
        <w:pageBreakBefore/>
        <w:widowControl/>
        <w:pBdr>
          <w:bottom w:val="single" w:color="808080" w:sz="36" w:space="3"/>
        </w:pBdr>
        <w:spacing w:before="0" w:after="240" w:line="240" w:lineRule="auto"/>
        <w:jc w:val="left"/>
        <w:rPr>
          <w:rFonts w:ascii="宋体" w:hAnsi="宋体"/>
          <w:b w:val="0"/>
          <w:bCs w:val="0"/>
          <w:sz w:val="30"/>
          <w:u w:val="single"/>
        </w:rPr>
      </w:pPr>
      <w:bookmarkStart w:id="1" w:name="_Toc74734395"/>
      <w:r>
        <w:rPr>
          <w:rFonts w:hint="eastAsia" w:ascii="宋体" w:hAnsi="宋体"/>
          <w:b w:val="0"/>
          <w:bCs w:val="0"/>
          <w:sz w:val="30"/>
        </w:rPr>
        <w:t>投标邀请书</w:t>
      </w:r>
      <w:bookmarkEnd w:id="1"/>
    </w:p>
    <w:bookmarkEnd w:id="0"/>
    <w:p>
      <w:pPr>
        <w:jc w:val="center"/>
        <w:rPr>
          <w:rFonts w:ascii="宋体" w:hAnsi="宋体"/>
          <w:sz w:val="32"/>
        </w:rPr>
      </w:pPr>
      <w:bookmarkStart w:id="2" w:name="_Toc365364656"/>
      <w:r>
        <w:rPr>
          <w:rFonts w:ascii="宋体" w:hAnsi="宋体"/>
          <w:sz w:val="32"/>
        </w:rPr>
        <w:t>投标邀请书</w:t>
      </w:r>
    </w:p>
    <w:p>
      <w:pPr>
        <w:rPr>
          <w:rFonts w:ascii="宋体" w:hAnsi="宋体"/>
        </w:rPr>
      </w:pPr>
      <w:r>
        <w:rPr>
          <w:rFonts w:ascii="宋体" w:hAnsi="宋体"/>
          <w:u w:val="single"/>
        </w:rPr>
        <w:t xml:space="preserve">                    </w:t>
      </w:r>
      <w:r>
        <w:rPr>
          <w:rFonts w:ascii="宋体" w:hAnsi="宋体"/>
        </w:rPr>
        <w:t>：</w:t>
      </w:r>
    </w:p>
    <w:p>
      <w:pPr>
        <w:ind w:firstLine="420" w:firstLineChars="200"/>
        <w:rPr>
          <w:rFonts w:ascii="宋体" w:hAnsi="宋体"/>
          <w:b/>
          <w:bCs/>
        </w:rPr>
      </w:pPr>
      <w:r>
        <w:rPr>
          <w:rFonts w:hint="eastAsia" w:ascii="宋体" w:hAnsi="宋体"/>
        </w:rPr>
        <w:t>武汉网锐检测科技有限公司 2021年</w:t>
      </w:r>
      <w:r>
        <w:rPr>
          <w:rFonts w:hint="eastAsia" w:ascii="宋体" w:hAnsi="宋体"/>
          <w:b/>
          <w:bCs/>
          <w:lang w:val="en-US" w:eastAsia="zh-CN"/>
        </w:rPr>
        <w:t>测试设备</w:t>
      </w:r>
      <w:r>
        <w:rPr>
          <w:rFonts w:hint="eastAsia" w:ascii="宋体" w:hAnsi="宋体"/>
        </w:rPr>
        <w:t>采购采取公开邀标方式</w:t>
      </w:r>
      <w:r>
        <w:rPr>
          <w:rFonts w:ascii="宋体" w:hAnsi="宋体"/>
        </w:rPr>
        <w:t>，要求具有</w:t>
      </w:r>
      <w:r>
        <w:rPr>
          <w:rFonts w:hint="eastAsia" w:ascii="宋体" w:hAnsi="宋体"/>
        </w:rPr>
        <w:t>相应</w:t>
      </w:r>
      <w:r>
        <w:rPr>
          <w:rFonts w:ascii="宋体" w:hAnsi="宋体"/>
        </w:rPr>
        <w:t>资质的</w:t>
      </w:r>
      <w:r>
        <w:rPr>
          <w:rFonts w:hint="eastAsia" w:ascii="宋体" w:hAnsi="宋体"/>
        </w:rPr>
        <w:t>设备提供方</w:t>
      </w:r>
      <w:r>
        <w:rPr>
          <w:rFonts w:ascii="宋体" w:hAnsi="宋体"/>
        </w:rPr>
        <w:t>参加竞标。经资格审查后，现邀请贵单位前来</w:t>
      </w:r>
      <w:r>
        <w:rPr>
          <w:rFonts w:hint="eastAsia" w:ascii="宋体" w:hAnsi="宋体"/>
        </w:rPr>
        <w:t>对</w:t>
      </w:r>
      <w:r>
        <w:rPr>
          <w:rFonts w:hint="eastAsia" w:ascii="宋体" w:hAnsi="宋体"/>
          <w:b/>
          <w:color w:val="FF0000"/>
          <w:u w:val="single"/>
          <w:lang w:val="en-US" w:eastAsia="zh-CN"/>
        </w:rPr>
        <w:t>氙灯老化试验箱</w:t>
      </w:r>
      <w:r>
        <w:rPr>
          <w:rFonts w:hint="eastAsia" w:ascii="宋体" w:hAnsi="宋体"/>
        </w:rPr>
        <w:t>标段进行</w:t>
      </w:r>
      <w:r>
        <w:rPr>
          <w:rFonts w:ascii="宋体" w:hAnsi="宋体"/>
        </w:rPr>
        <w:t>投标。</w:t>
      </w:r>
      <w:r>
        <w:rPr>
          <w:rFonts w:hint="eastAsia" w:ascii="宋体" w:hAnsi="宋体"/>
        </w:rPr>
        <w:t xml:space="preserve">   </w:t>
      </w:r>
    </w:p>
    <w:p>
      <w:pPr>
        <w:widowControl/>
        <w:numPr>
          <w:ilvl w:val="0"/>
          <w:numId w:val="1"/>
        </w:numPr>
        <w:spacing w:after="120" w:line="400" w:lineRule="exact"/>
        <w:jc w:val="left"/>
        <w:rPr>
          <w:rFonts w:ascii="宋体" w:hAnsi="宋体"/>
        </w:rPr>
      </w:pPr>
      <w:r>
        <w:rPr>
          <w:rFonts w:ascii="宋体" w:hAnsi="宋体"/>
        </w:rPr>
        <w:t>招标</w:t>
      </w:r>
      <w:r>
        <w:rPr>
          <w:rFonts w:hint="eastAsia" w:ascii="宋体" w:hAnsi="宋体"/>
        </w:rPr>
        <w:t>对象：</w:t>
      </w:r>
      <w:r>
        <w:rPr>
          <w:rFonts w:hint="eastAsia" w:ascii="宋体" w:hAnsi="宋体"/>
          <w:u w:val="single"/>
        </w:rPr>
        <w:t xml:space="preserve">       </w:t>
      </w:r>
    </w:p>
    <w:p>
      <w:pPr>
        <w:widowControl/>
        <w:numPr>
          <w:ilvl w:val="0"/>
          <w:numId w:val="1"/>
        </w:numPr>
        <w:spacing w:after="120" w:line="400" w:lineRule="exact"/>
        <w:jc w:val="left"/>
        <w:rPr>
          <w:rFonts w:ascii="宋体" w:hAnsi="宋体"/>
        </w:rPr>
      </w:pPr>
      <w:r>
        <w:rPr>
          <w:rFonts w:hint="eastAsia" w:ascii="宋体" w:hAnsi="宋体"/>
        </w:rPr>
        <w:t>用户</w:t>
      </w:r>
      <w:r>
        <w:rPr>
          <w:rFonts w:ascii="宋体" w:hAnsi="宋体"/>
        </w:rPr>
        <w:t>：</w:t>
      </w:r>
      <w:r>
        <w:rPr>
          <w:rFonts w:hint="eastAsia" w:ascii="宋体" w:hAnsi="宋体"/>
        </w:rPr>
        <w:t>武汉网锐检测科技有限公司</w:t>
      </w:r>
    </w:p>
    <w:p>
      <w:pPr>
        <w:widowControl/>
        <w:numPr>
          <w:ilvl w:val="0"/>
          <w:numId w:val="1"/>
        </w:numPr>
        <w:spacing w:after="120" w:line="400" w:lineRule="exact"/>
        <w:jc w:val="left"/>
        <w:rPr>
          <w:rFonts w:ascii="宋体" w:hAnsi="宋体"/>
        </w:rPr>
      </w:pPr>
      <w:r>
        <w:rPr>
          <w:rFonts w:ascii="宋体" w:hAnsi="宋体"/>
        </w:rPr>
        <w:t>招标文件</w:t>
      </w:r>
      <w:r>
        <w:rPr>
          <w:rFonts w:hint="eastAsia" w:ascii="宋体" w:hAnsi="宋体"/>
        </w:rPr>
        <w:t>发放</w:t>
      </w:r>
      <w:r>
        <w:rPr>
          <w:rFonts w:ascii="宋体" w:hAnsi="宋体"/>
        </w:rPr>
        <w:t>时间</w:t>
      </w:r>
      <w:r>
        <w:rPr>
          <w:rFonts w:hint="eastAsia" w:ascii="宋体" w:hAnsi="宋体"/>
        </w:rPr>
        <w:t>：</w:t>
      </w:r>
      <w:r>
        <w:rPr>
          <w:rFonts w:ascii="宋体" w:hAnsi="宋体"/>
          <w:b/>
          <w:color w:val="FF0000"/>
        </w:rPr>
        <w:t>20</w:t>
      </w:r>
      <w:r>
        <w:rPr>
          <w:rFonts w:hint="eastAsia" w:ascii="宋体" w:hAnsi="宋体"/>
          <w:b/>
          <w:color w:val="FF0000"/>
        </w:rPr>
        <w:t>2</w:t>
      </w:r>
      <w:r>
        <w:rPr>
          <w:rFonts w:ascii="宋体" w:hAnsi="宋体"/>
          <w:b/>
          <w:color w:val="FF0000"/>
        </w:rPr>
        <w:t>1年</w:t>
      </w:r>
      <w:r>
        <w:rPr>
          <w:rFonts w:hint="eastAsia" w:ascii="宋体" w:hAnsi="宋体"/>
          <w:b/>
          <w:color w:val="FF0000"/>
          <w:lang w:val="en-US" w:eastAsia="zh-CN"/>
        </w:rPr>
        <w:t>8</w:t>
      </w:r>
      <w:r>
        <w:rPr>
          <w:rFonts w:ascii="宋体" w:hAnsi="宋体"/>
          <w:b/>
          <w:color w:val="FF0000"/>
        </w:rPr>
        <w:t>月</w:t>
      </w:r>
      <w:r>
        <w:rPr>
          <w:rFonts w:hint="eastAsia" w:ascii="宋体" w:hAnsi="宋体"/>
          <w:b/>
          <w:color w:val="FF0000"/>
          <w:lang w:val="en-US" w:eastAsia="zh-CN"/>
        </w:rPr>
        <w:t>16</w:t>
      </w:r>
      <w:r>
        <w:rPr>
          <w:rFonts w:ascii="宋体" w:hAnsi="宋体"/>
          <w:b/>
          <w:color w:val="FF0000"/>
        </w:rPr>
        <w:t>日</w:t>
      </w:r>
      <w:r>
        <w:rPr>
          <w:rFonts w:ascii="宋体" w:hAnsi="宋体"/>
          <w:color w:val="FF0000"/>
        </w:rPr>
        <w:t xml:space="preserve"> </w:t>
      </w:r>
    </w:p>
    <w:p>
      <w:pPr>
        <w:widowControl/>
        <w:numPr>
          <w:ilvl w:val="0"/>
          <w:numId w:val="1"/>
        </w:numPr>
        <w:spacing w:after="120" w:line="400" w:lineRule="exact"/>
        <w:jc w:val="left"/>
        <w:rPr>
          <w:rFonts w:ascii="宋体" w:hAnsi="宋体"/>
        </w:rPr>
      </w:pPr>
      <w:r>
        <w:rPr>
          <w:rFonts w:hint="eastAsia" w:ascii="宋体" w:hAnsi="宋体"/>
        </w:rPr>
        <w:t>招标范围及具体要求详见本文件及附件</w:t>
      </w:r>
      <w:r>
        <w:rPr>
          <w:rFonts w:hint="eastAsia" w:ascii="宋体" w:hAnsi="宋体"/>
          <w:lang w:val="en-US" w:eastAsia="zh-CN"/>
        </w:rPr>
        <w:t>的技术规格书</w:t>
      </w:r>
    </w:p>
    <w:p>
      <w:pPr>
        <w:widowControl/>
        <w:numPr>
          <w:ilvl w:val="0"/>
          <w:numId w:val="1"/>
        </w:numPr>
        <w:spacing w:after="120" w:line="400" w:lineRule="exact"/>
        <w:jc w:val="left"/>
        <w:rPr>
          <w:rFonts w:ascii="宋体" w:hAnsi="宋体"/>
        </w:rPr>
      </w:pPr>
      <w:r>
        <w:rPr>
          <w:rFonts w:hint="eastAsia" w:ascii="宋体" w:hAnsi="宋体"/>
        </w:rPr>
        <w:t>本次招标开标前不举行集中答疑会，若有疑问，请及时与招标人联系。</w:t>
      </w:r>
    </w:p>
    <w:p>
      <w:pPr>
        <w:widowControl/>
        <w:numPr>
          <w:ilvl w:val="0"/>
          <w:numId w:val="1"/>
        </w:numPr>
        <w:spacing w:after="120" w:line="400" w:lineRule="exact"/>
        <w:jc w:val="left"/>
        <w:rPr>
          <w:rFonts w:ascii="宋体" w:hAnsi="宋体"/>
        </w:rPr>
      </w:pPr>
      <w:r>
        <w:rPr>
          <w:rFonts w:ascii="宋体" w:hAnsi="宋体"/>
        </w:rPr>
        <w:t>招标文件</w:t>
      </w:r>
      <w:r>
        <w:rPr>
          <w:rFonts w:hint="eastAsia" w:ascii="宋体" w:hAnsi="宋体"/>
        </w:rPr>
        <w:t>发放</w:t>
      </w:r>
      <w:r>
        <w:rPr>
          <w:rFonts w:ascii="宋体" w:hAnsi="宋体"/>
        </w:rPr>
        <w:t>地址:</w:t>
      </w:r>
      <w:r>
        <w:rPr>
          <w:rFonts w:hint="eastAsia" w:ascii="宋体" w:hAnsi="宋体"/>
        </w:rPr>
        <w:t>武汉网锐检测科技有限公司网站（www.wrilab.com）</w:t>
      </w:r>
    </w:p>
    <w:p>
      <w:pPr>
        <w:widowControl/>
        <w:numPr>
          <w:ilvl w:val="0"/>
          <w:numId w:val="1"/>
        </w:numPr>
        <w:spacing w:after="120" w:line="400" w:lineRule="exact"/>
        <w:jc w:val="left"/>
        <w:rPr>
          <w:rFonts w:ascii="宋体" w:hAnsi="宋体"/>
          <w:color w:val="FF0000"/>
        </w:rPr>
      </w:pPr>
      <w:r>
        <w:rPr>
          <w:rFonts w:hint="eastAsia" w:ascii="宋体" w:hAnsi="宋体"/>
        </w:rPr>
        <w:t>标书投递截止时间（以送达指定地点的时间为准）：</w:t>
      </w:r>
      <w:r>
        <w:rPr>
          <w:rFonts w:ascii="宋体" w:hAnsi="宋体"/>
          <w:b/>
          <w:color w:val="FF0000"/>
        </w:rPr>
        <w:t>20</w:t>
      </w:r>
      <w:r>
        <w:rPr>
          <w:rFonts w:hint="eastAsia" w:ascii="宋体" w:hAnsi="宋体"/>
          <w:b/>
          <w:color w:val="FF0000"/>
        </w:rPr>
        <w:t>2</w:t>
      </w:r>
      <w:r>
        <w:rPr>
          <w:rFonts w:ascii="宋体" w:hAnsi="宋体"/>
          <w:b/>
          <w:color w:val="FF0000"/>
        </w:rPr>
        <w:t>1年</w:t>
      </w:r>
      <w:r>
        <w:rPr>
          <w:rFonts w:hint="eastAsia" w:ascii="宋体" w:hAnsi="宋体"/>
          <w:b/>
          <w:color w:val="FF0000"/>
          <w:lang w:val="en-US" w:eastAsia="zh-CN"/>
        </w:rPr>
        <w:t>8</w:t>
      </w:r>
      <w:r>
        <w:rPr>
          <w:rFonts w:ascii="宋体" w:hAnsi="宋体"/>
          <w:b/>
          <w:color w:val="FF0000"/>
        </w:rPr>
        <w:t>月</w:t>
      </w:r>
      <w:r>
        <w:rPr>
          <w:rFonts w:hint="eastAsia" w:ascii="宋体" w:hAnsi="宋体"/>
          <w:b/>
          <w:color w:val="FF0000"/>
          <w:lang w:val="en-US" w:eastAsia="zh-CN"/>
        </w:rPr>
        <w:t>27</w:t>
      </w:r>
      <w:r>
        <w:rPr>
          <w:rFonts w:hint="eastAsia" w:ascii="宋体" w:hAnsi="宋体"/>
          <w:b/>
          <w:color w:val="FF0000"/>
        </w:rPr>
        <w:t>日上午</w:t>
      </w:r>
      <w:r>
        <w:rPr>
          <w:rFonts w:hint="eastAsia" w:ascii="宋体" w:hAnsi="宋体"/>
          <w:b/>
          <w:color w:val="FF0000"/>
          <w:lang w:val="en-US" w:eastAsia="zh-CN"/>
        </w:rPr>
        <w:t>11</w:t>
      </w:r>
      <w:r>
        <w:rPr>
          <w:rFonts w:hint="eastAsia" w:ascii="宋体" w:hAnsi="宋体"/>
          <w:b/>
          <w:color w:val="FF0000"/>
        </w:rPr>
        <w:t>点整</w:t>
      </w:r>
    </w:p>
    <w:p>
      <w:pPr>
        <w:widowControl/>
        <w:numPr>
          <w:ilvl w:val="0"/>
          <w:numId w:val="1"/>
        </w:numPr>
        <w:spacing w:after="120" w:line="400" w:lineRule="exact"/>
        <w:jc w:val="left"/>
        <w:rPr>
          <w:rFonts w:ascii="宋体" w:hAnsi="宋体"/>
          <w:color w:val="FF0000"/>
        </w:rPr>
      </w:pPr>
      <w:r>
        <w:rPr>
          <w:rFonts w:ascii="宋体" w:hAnsi="宋体"/>
        </w:rPr>
        <w:t>开标时间：</w:t>
      </w:r>
      <w:r>
        <w:rPr>
          <w:rFonts w:ascii="宋体" w:hAnsi="宋体"/>
          <w:b/>
          <w:color w:val="FF0000"/>
        </w:rPr>
        <w:t>20</w:t>
      </w:r>
      <w:r>
        <w:rPr>
          <w:rFonts w:hint="eastAsia" w:ascii="宋体" w:hAnsi="宋体"/>
          <w:b/>
          <w:color w:val="FF0000"/>
        </w:rPr>
        <w:t>2</w:t>
      </w:r>
      <w:r>
        <w:rPr>
          <w:rFonts w:ascii="宋体" w:hAnsi="宋体"/>
          <w:b/>
          <w:color w:val="FF0000"/>
        </w:rPr>
        <w:t>1年</w:t>
      </w:r>
      <w:r>
        <w:rPr>
          <w:rFonts w:hint="eastAsia" w:ascii="宋体" w:hAnsi="宋体"/>
          <w:b/>
          <w:color w:val="FF0000"/>
          <w:lang w:val="en-US" w:eastAsia="zh-CN"/>
        </w:rPr>
        <w:t>8</w:t>
      </w:r>
      <w:r>
        <w:rPr>
          <w:rFonts w:ascii="宋体" w:hAnsi="宋体"/>
          <w:b/>
          <w:color w:val="FF0000"/>
        </w:rPr>
        <w:t>月</w:t>
      </w:r>
      <w:r>
        <w:rPr>
          <w:rFonts w:hint="eastAsia" w:ascii="宋体" w:hAnsi="宋体"/>
          <w:b/>
          <w:color w:val="FF0000"/>
          <w:lang w:val="en-US" w:eastAsia="zh-CN"/>
        </w:rPr>
        <w:t>27</w:t>
      </w:r>
      <w:r>
        <w:rPr>
          <w:rFonts w:hint="eastAsia" w:ascii="宋体" w:hAnsi="宋体"/>
          <w:b/>
          <w:color w:val="FF0000"/>
        </w:rPr>
        <w:t>日下午2点3</w:t>
      </w:r>
      <w:r>
        <w:rPr>
          <w:rFonts w:ascii="宋体" w:hAnsi="宋体"/>
          <w:b/>
          <w:color w:val="FF0000"/>
        </w:rPr>
        <w:t>0</w:t>
      </w:r>
      <w:r>
        <w:rPr>
          <w:rFonts w:hint="eastAsia" w:ascii="宋体" w:hAnsi="宋体"/>
          <w:b/>
          <w:color w:val="FF0000"/>
        </w:rPr>
        <w:t>分</w:t>
      </w:r>
    </w:p>
    <w:p>
      <w:pPr>
        <w:widowControl/>
        <w:numPr>
          <w:ilvl w:val="0"/>
          <w:numId w:val="1"/>
        </w:numPr>
        <w:spacing w:after="120" w:line="400" w:lineRule="exact"/>
        <w:jc w:val="left"/>
        <w:rPr>
          <w:rFonts w:ascii="宋体" w:hAnsi="宋体"/>
        </w:rPr>
      </w:pPr>
      <w:r>
        <w:rPr>
          <w:rFonts w:ascii="宋体" w:hAnsi="宋体"/>
        </w:rPr>
        <w:t>开标地点</w:t>
      </w:r>
      <w:r>
        <w:rPr>
          <w:rFonts w:hint="eastAsia" w:ascii="宋体" w:hAnsi="宋体"/>
        </w:rPr>
        <w:t>：武汉网锐检测科技有限公司会议室。</w:t>
      </w:r>
      <w:bookmarkStart w:id="194" w:name="_GoBack"/>
      <w:bookmarkEnd w:id="194"/>
    </w:p>
    <w:p>
      <w:pPr>
        <w:rPr>
          <w:rFonts w:ascii="宋体" w:hAnsi="宋体"/>
        </w:rPr>
      </w:pPr>
    </w:p>
    <w:p>
      <w:pPr>
        <w:spacing w:line="360" w:lineRule="auto"/>
        <w:rPr>
          <w:rFonts w:hint="eastAsia" w:ascii="宋体" w:hAnsi="宋体" w:eastAsia="宋体"/>
          <w:sz w:val="28"/>
          <w:szCs w:val="28"/>
          <w:lang w:val="en-US" w:eastAsia="zh-CN"/>
        </w:rPr>
      </w:pPr>
      <w:r>
        <w:rPr>
          <w:rFonts w:ascii="宋体" w:hAnsi="宋体"/>
        </w:rPr>
        <w:t>联系人:</w:t>
      </w:r>
      <w:r>
        <w:rPr>
          <w:rFonts w:hint="eastAsia" w:ascii="宋体" w:hAnsi="宋体"/>
        </w:rPr>
        <w:t xml:space="preserve"> </w:t>
      </w:r>
      <w:r>
        <w:rPr>
          <w:rFonts w:hint="eastAsia" w:ascii="宋体" w:hAnsi="宋体"/>
          <w:lang w:val="en-US" w:eastAsia="zh-CN"/>
        </w:rPr>
        <w:t>刘瑛</w:t>
      </w:r>
    </w:p>
    <w:p>
      <w:pPr>
        <w:rPr>
          <w:rFonts w:ascii="宋体" w:hAnsi="宋体"/>
        </w:rPr>
      </w:pPr>
      <w:r>
        <w:rPr>
          <w:rFonts w:ascii="宋体" w:hAnsi="宋体"/>
        </w:rPr>
        <w:t>电话:</w:t>
      </w:r>
      <w:r>
        <w:rPr>
          <w:rFonts w:hint="eastAsia" w:ascii="宋体" w:hAnsi="宋体"/>
        </w:rPr>
        <w:t xml:space="preserve">  027-87691279</w:t>
      </w:r>
    </w:p>
    <w:p>
      <w:pPr>
        <w:pStyle w:val="2"/>
      </w:pPr>
      <w:bookmarkStart w:id="3" w:name="_Toc74734396"/>
      <w:r>
        <w:t>投标人须知</w:t>
      </w:r>
      <w:bookmarkEnd w:id="2"/>
      <w:bookmarkEnd w:id="3"/>
    </w:p>
    <w:p>
      <w:pPr>
        <w:pStyle w:val="3"/>
      </w:pPr>
      <w:bookmarkStart w:id="4" w:name="_Toc74734397"/>
      <w:bookmarkStart w:id="5" w:name="_Toc365364657"/>
      <w:r>
        <w:rPr>
          <w:rFonts w:hint="eastAsia"/>
        </w:rPr>
        <w:t>一、概述</w:t>
      </w:r>
      <w:bookmarkEnd w:id="4"/>
      <w:bookmarkEnd w:id="5"/>
    </w:p>
    <w:p>
      <w:pPr>
        <w:pStyle w:val="6"/>
        <w:numPr>
          <w:ilvl w:val="0"/>
          <w:numId w:val="2"/>
        </w:numPr>
        <w:spacing w:after="120" w:line="400" w:lineRule="exact"/>
        <w:rPr>
          <w:rFonts w:ascii="宋体" w:hAnsi="宋体"/>
        </w:rPr>
      </w:pPr>
      <w:r>
        <w:rPr>
          <w:rFonts w:hint="eastAsia" w:ascii="宋体" w:hAnsi="宋体"/>
        </w:rPr>
        <w:t>项目地点：武汉网锐检测科技有限公司</w:t>
      </w:r>
    </w:p>
    <w:p>
      <w:pPr>
        <w:pStyle w:val="6"/>
        <w:numPr>
          <w:ilvl w:val="0"/>
          <w:numId w:val="2"/>
        </w:numPr>
        <w:spacing w:after="120" w:line="400" w:lineRule="exact"/>
        <w:rPr>
          <w:rFonts w:ascii="宋体" w:hAnsi="宋体"/>
        </w:rPr>
      </w:pPr>
      <w:r>
        <w:rPr>
          <w:rFonts w:hint="eastAsia" w:ascii="宋体" w:hAnsi="宋体"/>
        </w:rPr>
        <w:t>资金来源：自筹资金。</w:t>
      </w:r>
    </w:p>
    <w:p>
      <w:pPr>
        <w:pStyle w:val="6"/>
        <w:numPr>
          <w:ilvl w:val="0"/>
          <w:numId w:val="2"/>
        </w:numPr>
        <w:spacing w:after="120" w:line="400" w:lineRule="exact"/>
        <w:rPr>
          <w:rFonts w:ascii="宋体" w:hAnsi="宋体"/>
        </w:rPr>
      </w:pPr>
      <w:r>
        <w:rPr>
          <w:rFonts w:hint="eastAsia" w:ascii="宋体" w:hAnsi="宋体"/>
        </w:rPr>
        <w:t xml:space="preserve">招标人：武汉网锐检测科技有限公司 </w:t>
      </w:r>
    </w:p>
    <w:p>
      <w:pPr>
        <w:pStyle w:val="6"/>
        <w:numPr>
          <w:ilvl w:val="0"/>
          <w:numId w:val="2"/>
        </w:numPr>
        <w:spacing w:after="120" w:line="400" w:lineRule="exact"/>
        <w:rPr>
          <w:rFonts w:ascii="宋体" w:hAnsi="宋体"/>
        </w:rPr>
      </w:pPr>
      <w:r>
        <w:rPr>
          <w:rFonts w:hint="eastAsia" w:ascii="宋体" w:hAnsi="宋体"/>
        </w:rPr>
        <w:t>项目单位：武汉网锐检测科技有限公司</w:t>
      </w:r>
    </w:p>
    <w:p>
      <w:pPr>
        <w:pStyle w:val="6"/>
        <w:numPr>
          <w:ilvl w:val="0"/>
          <w:numId w:val="2"/>
        </w:numPr>
        <w:spacing w:after="120" w:line="400" w:lineRule="exact"/>
        <w:rPr>
          <w:rFonts w:ascii="宋体" w:hAnsi="宋体"/>
        </w:rPr>
      </w:pPr>
      <w:r>
        <w:rPr>
          <w:rFonts w:hint="eastAsia" w:ascii="宋体" w:hAnsi="宋体"/>
        </w:rPr>
        <w:t>投标人：符合本次招标所规定的相应资格条件的潜在投标人。</w:t>
      </w:r>
    </w:p>
    <w:p>
      <w:pPr>
        <w:pStyle w:val="6"/>
        <w:numPr>
          <w:ilvl w:val="0"/>
          <w:numId w:val="2"/>
        </w:numPr>
        <w:spacing w:after="120" w:line="400" w:lineRule="exact"/>
        <w:rPr>
          <w:rFonts w:ascii="宋体" w:hAnsi="宋体"/>
        </w:rPr>
      </w:pPr>
      <w:r>
        <w:rPr>
          <w:rFonts w:hint="eastAsia" w:ascii="宋体" w:hAnsi="宋体"/>
        </w:rPr>
        <w:t>中标人：最终被授予合同的投标人。</w:t>
      </w:r>
    </w:p>
    <w:p>
      <w:pPr>
        <w:pStyle w:val="6"/>
        <w:numPr>
          <w:ilvl w:val="0"/>
          <w:numId w:val="2"/>
        </w:numPr>
        <w:spacing w:after="120" w:line="400" w:lineRule="exact"/>
        <w:rPr>
          <w:rFonts w:ascii="宋体" w:hAnsi="宋体"/>
        </w:rPr>
      </w:pPr>
      <w:r>
        <w:rPr>
          <w:rFonts w:hint="eastAsia" w:ascii="宋体" w:hAnsi="宋体"/>
        </w:rPr>
        <w:t>买方：在招标阶段称为招标人(或招标人委托的项目实施单位)，在确定中标人以后的签约阶段称为买方。</w:t>
      </w:r>
    </w:p>
    <w:p>
      <w:pPr>
        <w:pStyle w:val="6"/>
        <w:numPr>
          <w:ilvl w:val="0"/>
          <w:numId w:val="2"/>
        </w:numPr>
        <w:spacing w:after="120" w:line="400" w:lineRule="exact"/>
        <w:rPr>
          <w:rFonts w:ascii="宋体" w:hAnsi="宋体"/>
        </w:rPr>
      </w:pPr>
      <w:r>
        <w:rPr>
          <w:rFonts w:hint="eastAsia" w:ascii="宋体" w:hAnsi="宋体"/>
        </w:rPr>
        <w:t>卖方：在招标阶段称为投标人，在确定其为中标人以后的签约阶段称为卖方。</w:t>
      </w:r>
    </w:p>
    <w:p>
      <w:pPr>
        <w:pStyle w:val="6"/>
        <w:numPr>
          <w:ilvl w:val="0"/>
          <w:numId w:val="2"/>
        </w:numPr>
        <w:spacing w:after="156" w:line="400" w:lineRule="exact"/>
        <w:rPr>
          <w:rFonts w:ascii="宋体" w:hAnsi="宋体"/>
        </w:rPr>
      </w:pPr>
      <w:r>
        <w:rPr>
          <w:rFonts w:hint="eastAsia" w:ascii="宋体" w:hAnsi="宋体"/>
        </w:rPr>
        <w:t>拒绝所有投标的权利</w:t>
      </w:r>
    </w:p>
    <w:p>
      <w:pPr>
        <w:ind w:firstLine="420" w:firstLineChars="200"/>
        <w:rPr>
          <w:rFonts w:ascii="宋体" w:hAnsi="宋体"/>
        </w:rPr>
      </w:pPr>
      <w:r>
        <w:rPr>
          <w:rFonts w:hint="eastAsia" w:ascii="宋体" w:hAnsi="宋体"/>
        </w:rPr>
        <w:t>发出中标通知书前，招标人保留拒绝所有投标的权利。</w:t>
      </w:r>
    </w:p>
    <w:p>
      <w:pPr>
        <w:pStyle w:val="3"/>
        <w:rPr>
          <w:rFonts w:ascii="宋体" w:hAnsi="宋体"/>
        </w:rPr>
      </w:pPr>
      <w:bookmarkStart w:id="6" w:name="_Toc94175697"/>
      <w:bookmarkStart w:id="7" w:name="_Toc74734398"/>
      <w:bookmarkStart w:id="8" w:name="_Toc365364658"/>
      <w:bookmarkStart w:id="9" w:name="_Toc363569304"/>
      <w:bookmarkStart w:id="10" w:name="_Toc133775939"/>
      <w:bookmarkStart w:id="11" w:name="_Toc268096549"/>
      <w:r>
        <w:rPr>
          <w:rFonts w:hint="eastAsia" w:ascii="宋体" w:hAnsi="宋体"/>
        </w:rPr>
        <w:t>二、招标范围</w:t>
      </w:r>
      <w:bookmarkEnd w:id="6"/>
      <w:bookmarkEnd w:id="7"/>
      <w:bookmarkEnd w:id="8"/>
      <w:bookmarkEnd w:id="9"/>
      <w:bookmarkEnd w:id="10"/>
      <w:bookmarkEnd w:id="11"/>
    </w:p>
    <w:p>
      <w:pPr>
        <w:ind w:firstLine="480" w:firstLineChars="200"/>
        <w:rPr>
          <w:rFonts w:ascii="宋体" w:hAnsi="宋体"/>
          <w:kern w:val="0"/>
          <w:sz w:val="24"/>
          <w:szCs w:val="20"/>
        </w:rPr>
      </w:pPr>
      <w:r>
        <w:rPr>
          <w:rFonts w:hint="eastAsia" w:ascii="宋体" w:hAnsi="宋体"/>
          <w:kern w:val="0"/>
          <w:sz w:val="24"/>
          <w:szCs w:val="20"/>
        </w:rPr>
        <w:t>详见</w:t>
      </w:r>
      <w:r>
        <w:rPr>
          <w:rFonts w:hint="eastAsia" w:ascii="宋体" w:hAnsi="宋体"/>
          <w:kern w:val="0"/>
          <w:sz w:val="24"/>
          <w:szCs w:val="20"/>
          <w:lang w:val="en-US" w:eastAsia="zh-CN"/>
        </w:rPr>
        <w:t>本招标书招标标的</w:t>
      </w:r>
      <w:r>
        <w:rPr>
          <w:rFonts w:hint="eastAsia" w:ascii="宋体" w:hAnsi="宋体"/>
          <w:kern w:val="0"/>
          <w:sz w:val="24"/>
          <w:szCs w:val="20"/>
        </w:rPr>
        <w:t>和附件技术规范书的要求</w:t>
      </w:r>
    </w:p>
    <w:p>
      <w:pPr>
        <w:pStyle w:val="3"/>
        <w:rPr>
          <w:rFonts w:ascii="宋体" w:hAnsi="宋体"/>
        </w:rPr>
      </w:pPr>
      <w:bookmarkStart w:id="12" w:name="_Toc133775940"/>
      <w:bookmarkStart w:id="13" w:name="_Toc365364659"/>
      <w:bookmarkStart w:id="14" w:name="_Toc74734399"/>
      <w:bookmarkStart w:id="15" w:name="_Toc94175698"/>
      <w:bookmarkStart w:id="16" w:name="_Toc268096550"/>
      <w:bookmarkStart w:id="17" w:name="_Toc363569305"/>
      <w:r>
        <w:rPr>
          <w:rFonts w:hint="eastAsia" w:ascii="宋体" w:hAnsi="宋体"/>
        </w:rPr>
        <w:t>三</w:t>
      </w:r>
      <w:bookmarkStart w:id="18" w:name="_Hlk511916002"/>
      <w:r>
        <w:rPr>
          <w:rFonts w:hint="eastAsia" w:ascii="宋体" w:hAnsi="宋体"/>
        </w:rPr>
        <w:t>、投标人资格</w:t>
      </w:r>
      <w:bookmarkEnd w:id="12"/>
      <w:bookmarkEnd w:id="13"/>
      <w:bookmarkEnd w:id="14"/>
      <w:bookmarkEnd w:id="15"/>
      <w:bookmarkEnd w:id="16"/>
      <w:bookmarkEnd w:id="17"/>
    </w:p>
    <w:p>
      <w:pPr>
        <w:spacing w:line="360" w:lineRule="auto"/>
        <w:ind w:firstLine="252" w:firstLineChars="120"/>
        <w:rPr>
          <w:rFonts w:ascii="宋体" w:hAnsi="宋体"/>
        </w:rPr>
      </w:pPr>
      <w:r>
        <w:rPr>
          <w:rFonts w:hint="eastAsia" w:ascii="宋体" w:hAnsi="宋体"/>
          <w:bCs/>
          <w:color w:val="FF0000"/>
        </w:rPr>
        <w:t xml:space="preserve"> </w:t>
      </w:r>
      <w:r>
        <w:rPr>
          <w:rFonts w:hint="eastAsia" w:ascii="宋体" w:hAnsi="宋体" w:eastAsia="宋体" w:cs="Times New Roman"/>
          <w:kern w:val="0"/>
          <w:sz w:val="24"/>
          <w:szCs w:val="20"/>
          <w:lang w:val="en-US" w:eastAsia="zh-CN" w:bidi="ar-SA"/>
        </w:rPr>
        <w:t>投标人必须满足本条款所有资格要求：</w:t>
      </w:r>
    </w:p>
    <w:p>
      <w:pPr>
        <w:pStyle w:val="6"/>
        <w:numPr>
          <w:ilvl w:val="0"/>
          <w:numId w:val="3"/>
        </w:numPr>
        <w:spacing w:after="156" w:line="400" w:lineRule="exact"/>
        <w:rPr>
          <w:rFonts w:ascii="宋体" w:hAnsi="宋体"/>
        </w:rPr>
      </w:pPr>
      <w:bookmarkStart w:id="19" w:name="_Toc133775941"/>
      <w:bookmarkStart w:id="20" w:name="_Toc94175699"/>
      <w:bookmarkStart w:id="21" w:name="_Toc268096551"/>
      <w:r>
        <w:rPr>
          <w:rFonts w:hint="eastAsia" w:ascii="宋体" w:hAnsi="宋体"/>
        </w:rPr>
        <w:t>具有法人资格，有生产能力的企业单位或取得生产厂商授权的代理商。</w:t>
      </w:r>
    </w:p>
    <w:p>
      <w:pPr>
        <w:pStyle w:val="6"/>
        <w:numPr>
          <w:ilvl w:val="0"/>
          <w:numId w:val="3"/>
        </w:numPr>
        <w:spacing w:after="156" w:line="400" w:lineRule="exact"/>
        <w:rPr>
          <w:rFonts w:ascii="宋体" w:hAnsi="宋体"/>
        </w:rPr>
      </w:pPr>
      <w:r>
        <w:rPr>
          <w:rFonts w:hint="eastAsia" w:ascii="宋体" w:hAnsi="宋体"/>
        </w:rPr>
        <w:t>代理商要有</w:t>
      </w:r>
      <w:r>
        <w:rPr>
          <w:rFonts w:ascii="宋体" w:hAnsi="宋体"/>
        </w:rPr>
        <w:t>服务能力，并且是唯一的（</w:t>
      </w:r>
      <w:r>
        <w:rPr>
          <w:rFonts w:hint="eastAsia" w:ascii="宋体" w:hAnsi="宋体"/>
        </w:rPr>
        <w:t>同一品牌</w:t>
      </w:r>
      <w:r>
        <w:rPr>
          <w:rFonts w:ascii="宋体" w:hAnsi="宋体"/>
        </w:rPr>
        <w:t>）</w:t>
      </w:r>
      <w:r>
        <w:rPr>
          <w:rFonts w:hint="eastAsia" w:ascii="宋体" w:hAnsi="宋体"/>
        </w:rPr>
        <w:t>。</w:t>
      </w:r>
    </w:p>
    <w:p>
      <w:pPr>
        <w:pStyle w:val="6"/>
        <w:numPr>
          <w:ilvl w:val="0"/>
          <w:numId w:val="3"/>
        </w:numPr>
        <w:spacing w:after="156" w:line="400" w:lineRule="exact"/>
        <w:rPr>
          <w:rFonts w:ascii="宋体" w:hAnsi="宋体"/>
        </w:rPr>
      </w:pPr>
      <w:r>
        <w:rPr>
          <w:rFonts w:hint="eastAsia" w:ascii="宋体" w:hAnsi="宋体"/>
        </w:rPr>
        <w:t>投标人应有良好的财务状况和商业信誉。</w:t>
      </w:r>
    </w:p>
    <w:p>
      <w:pPr>
        <w:pStyle w:val="6"/>
        <w:numPr>
          <w:ilvl w:val="0"/>
          <w:numId w:val="3"/>
        </w:numPr>
        <w:spacing w:after="156" w:line="400" w:lineRule="exact"/>
        <w:rPr>
          <w:rFonts w:ascii="宋体" w:hAnsi="宋体"/>
        </w:rPr>
      </w:pPr>
      <w:r>
        <w:rPr>
          <w:rFonts w:hint="eastAsia" w:ascii="宋体" w:hAnsi="宋体"/>
          <w:color w:val="000000" w:themeColor="text1"/>
          <w14:textFill>
            <w14:solidFill>
              <w14:schemeClr w14:val="tx1"/>
            </w14:solidFill>
          </w14:textFill>
        </w:rPr>
        <w:t>具有有效的ISO9000系列</w:t>
      </w:r>
      <w:r>
        <w:rPr>
          <w:rFonts w:hint="eastAsia" w:ascii="宋体" w:hAnsi="宋体"/>
          <w:color w:val="000000" w:themeColor="text1"/>
          <w:lang w:val="en-US" w:eastAsia="zh-CN"/>
          <w14:textFill>
            <w14:solidFill>
              <w14:schemeClr w14:val="tx1"/>
            </w14:solidFill>
          </w14:textFill>
        </w:rPr>
        <w:t>或</w:t>
      </w:r>
      <w:r>
        <w:rPr>
          <w:rFonts w:hint="eastAsia" w:ascii="宋体" w:hAnsi="宋体"/>
          <w:color w:val="000000" w:themeColor="text1"/>
          <w14:textFill>
            <w14:solidFill>
              <w14:schemeClr w14:val="tx1"/>
            </w14:solidFill>
          </w14:textFill>
        </w:rPr>
        <w:t>等同质量保证体系认证书；</w:t>
      </w:r>
    </w:p>
    <w:p>
      <w:pPr>
        <w:pStyle w:val="6"/>
        <w:numPr>
          <w:ilvl w:val="0"/>
          <w:numId w:val="3"/>
        </w:numPr>
        <w:spacing w:after="156" w:line="400" w:lineRule="exact"/>
        <w:rPr>
          <w:rFonts w:ascii="宋体" w:hAnsi="宋体"/>
        </w:rPr>
      </w:pPr>
      <w:r>
        <w:rPr>
          <w:rFonts w:hint="eastAsia" w:ascii="宋体" w:hAnsi="宋体"/>
        </w:rPr>
        <w:t>中华人民共和国境内注册的企业法人；注册资金≥</w:t>
      </w:r>
      <w:r>
        <w:rPr>
          <w:rFonts w:ascii="宋体" w:hAnsi="宋体"/>
        </w:rPr>
        <w:t>100</w:t>
      </w:r>
      <w:r>
        <w:rPr>
          <w:rFonts w:hint="eastAsia" w:ascii="宋体" w:hAnsi="宋体"/>
        </w:rPr>
        <w:t>万元</w:t>
      </w:r>
      <w:r>
        <w:rPr>
          <w:rFonts w:ascii="宋体" w:hAnsi="宋体"/>
        </w:rPr>
        <w:t xml:space="preserve">。 </w:t>
      </w:r>
    </w:p>
    <w:p>
      <w:pPr>
        <w:pStyle w:val="6"/>
        <w:numPr>
          <w:ilvl w:val="0"/>
          <w:numId w:val="3"/>
        </w:numPr>
        <w:spacing w:after="156" w:line="400" w:lineRule="exact"/>
        <w:rPr>
          <w:rFonts w:ascii="宋体" w:hAnsi="宋体"/>
        </w:rPr>
      </w:pPr>
      <w:r>
        <w:rPr>
          <w:rFonts w:hint="eastAsia" w:ascii="宋体" w:hAnsi="宋体"/>
        </w:rPr>
        <w:t>法定代表人为同一个人的两个及两个以上法人，母公司、全资子公司及其控股公司，只能有一家参加同一标段（或子标段）的投标；</w:t>
      </w:r>
    </w:p>
    <w:bookmarkEnd w:id="18"/>
    <w:bookmarkEnd w:id="19"/>
    <w:bookmarkEnd w:id="20"/>
    <w:bookmarkEnd w:id="21"/>
    <w:p>
      <w:pPr>
        <w:pStyle w:val="3"/>
        <w:rPr>
          <w:rFonts w:ascii="宋体" w:hAnsi="宋体"/>
        </w:rPr>
      </w:pPr>
      <w:bookmarkStart w:id="22" w:name="_Toc268096552"/>
      <w:bookmarkStart w:id="23" w:name="_Toc365364660"/>
      <w:bookmarkStart w:id="24" w:name="_Toc133775942"/>
      <w:bookmarkStart w:id="25" w:name="_Toc74734400"/>
      <w:bookmarkStart w:id="26" w:name="_Toc94175700"/>
      <w:r>
        <w:rPr>
          <w:rFonts w:hint="eastAsia" w:ascii="宋体" w:hAnsi="宋体"/>
        </w:rPr>
        <w:t>四、投标费用</w:t>
      </w:r>
      <w:bookmarkEnd w:id="22"/>
      <w:bookmarkEnd w:id="23"/>
      <w:bookmarkEnd w:id="24"/>
      <w:bookmarkEnd w:id="25"/>
      <w:bookmarkEnd w:id="26"/>
    </w:p>
    <w:p>
      <w:pPr>
        <w:autoSpaceDE w:val="0"/>
        <w:autoSpaceDN w:val="0"/>
        <w:adjustRightInd w:val="0"/>
        <w:spacing w:line="360" w:lineRule="auto"/>
        <w:ind w:left="1" w:firstLine="480" w:firstLineChars="200"/>
        <w:rPr>
          <w:rFonts w:ascii="宋体" w:hAnsi="宋体"/>
          <w:kern w:val="0"/>
          <w:sz w:val="24"/>
          <w:szCs w:val="20"/>
        </w:rPr>
      </w:pPr>
      <w:r>
        <w:rPr>
          <w:rFonts w:hint="eastAsia" w:ascii="宋体" w:hAnsi="宋体"/>
          <w:kern w:val="0"/>
          <w:sz w:val="24"/>
          <w:szCs w:val="20"/>
        </w:rPr>
        <w:t>投标人在投标过程中的一切费用，无论中标与否，招标人对上述费用不予承担任何责任，且投标文件均不退还。</w:t>
      </w:r>
    </w:p>
    <w:p>
      <w:pPr>
        <w:pStyle w:val="2"/>
        <w:keepNext w:val="0"/>
        <w:keepLines w:val="0"/>
        <w:pageBreakBefore/>
        <w:widowControl/>
        <w:pBdr>
          <w:bottom w:val="single" w:color="808080" w:sz="36" w:space="3"/>
        </w:pBdr>
        <w:spacing w:before="0" w:after="240" w:line="240" w:lineRule="auto"/>
        <w:jc w:val="left"/>
      </w:pPr>
      <w:bookmarkStart w:id="27" w:name="_Toc94175701"/>
      <w:bookmarkStart w:id="28" w:name="_Toc133775943"/>
      <w:bookmarkStart w:id="29" w:name="_Toc268096553"/>
      <w:bookmarkStart w:id="30" w:name="_Toc365364661"/>
      <w:bookmarkStart w:id="31" w:name="_Toc363569306"/>
      <w:bookmarkStart w:id="32" w:name="_Toc74734401"/>
      <w:r>
        <w:rPr>
          <w:rFonts w:hint="eastAsia"/>
        </w:rPr>
        <w:t>招标</w:t>
      </w:r>
      <w:bookmarkEnd w:id="27"/>
      <w:bookmarkEnd w:id="28"/>
      <w:bookmarkEnd w:id="29"/>
      <w:bookmarkEnd w:id="30"/>
      <w:bookmarkEnd w:id="31"/>
      <w:r>
        <w:rPr>
          <w:rFonts w:hint="eastAsia"/>
        </w:rPr>
        <w:t>标的</w:t>
      </w:r>
      <w:bookmarkEnd w:id="32"/>
    </w:p>
    <w:tbl>
      <w:tblPr>
        <w:tblStyle w:val="51"/>
        <w:tblW w:w="922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560"/>
        <w:gridCol w:w="3519"/>
        <w:gridCol w:w="1133"/>
        <w:gridCol w:w="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993" w:type="dxa"/>
            <w:tcBorders>
              <w:bottom w:val="single" w:color="auto" w:sz="4" w:space="0"/>
            </w:tcBorders>
            <w:vAlign w:val="center"/>
          </w:tcPr>
          <w:p>
            <w:pPr>
              <w:jc w:val="center"/>
              <w:rPr>
                <w:sz w:val="24"/>
              </w:rPr>
            </w:pPr>
            <w:r>
              <w:rPr>
                <w:rFonts w:hint="eastAsia"/>
                <w:sz w:val="24"/>
              </w:rPr>
              <w:t>序号</w:t>
            </w:r>
          </w:p>
        </w:tc>
        <w:tc>
          <w:tcPr>
            <w:tcW w:w="1560" w:type="dxa"/>
            <w:tcBorders>
              <w:bottom w:val="single" w:color="auto" w:sz="4" w:space="0"/>
            </w:tcBorders>
            <w:vAlign w:val="center"/>
          </w:tcPr>
          <w:p>
            <w:pPr>
              <w:jc w:val="center"/>
              <w:rPr>
                <w:sz w:val="24"/>
              </w:rPr>
            </w:pPr>
            <w:r>
              <w:rPr>
                <w:rFonts w:hint="eastAsia"/>
                <w:sz w:val="24"/>
              </w:rPr>
              <w:t>预算编号</w:t>
            </w:r>
          </w:p>
        </w:tc>
        <w:tc>
          <w:tcPr>
            <w:tcW w:w="3519" w:type="dxa"/>
            <w:tcBorders>
              <w:bottom w:val="single" w:color="auto" w:sz="4" w:space="0"/>
              <w:right w:val="single" w:color="auto" w:sz="4" w:space="0"/>
            </w:tcBorders>
            <w:vAlign w:val="center"/>
          </w:tcPr>
          <w:p>
            <w:pPr>
              <w:jc w:val="center"/>
              <w:rPr>
                <w:sz w:val="24"/>
              </w:rPr>
            </w:pPr>
            <w:r>
              <w:rPr>
                <w:rFonts w:hint="eastAsia"/>
                <w:sz w:val="24"/>
                <w:lang w:val="en-US" w:eastAsia="zh-CN"/>
              </w:rPr>
              <w:t>项目</w:t>
            </w:r>
            <w:r>
              <w:rPr>
                <w:rFonts w:hint="eastAsia"/>
                <w:sz w:val="24"/>
              </w:rPr>
              <w:t>名称</w:t>
            </w:r>
          </w:p>
        </w:tc>
        <w:tc>
          <w:tcPr>
            <w:tcW w:w="1133" w:type="dxa"/>
            <w:tcBorders>
              <w:left w:val="single" w:color="auto" w:sz="4" w:space="0"/>
              <w:bottom w:val="single" w:color="auto" w:sz="4" w:space="0"/>
            </w:tcBorders>
            <w:vAlign w:val="center"/>
          </w:tcPr>
          <w:p>
            <w:pPr>
              <w:jc w:val="center"/>
              <w:rPr>
                <w:sz w:val="24"/>
              </w:rPr>
            </w:pPr>
            <w:r>
              <w:rPr>
                <w:rFonts w:hint="eastAsia"/>
                <w:sz w:val="24"/>
              </w:rPr>
              <w:t>数量</w:t>
            </w:r>
          </w:p>
        </w:tc>
        <w:tc>
          <w:tcPr>
            <w:tcW w:w="2020" w:type="dxa"/>
            <w:tcBorders>
              <w:left w:val="single" w:color="auto" w:sz="4" w:space="0"/>
              <w:bottom w:val="single" w:color="auto" w:sz="4" w:space="0"/>
            </w:tcBorders>
          </w:tcPr>
          <w:p>
            <w:pPr>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993"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rPr>
            </w:pPr>
            <w:r>
              <w:rPr>
                <w:rFonts w:hint="eastAsia" w:ascii="宋体" w:hAnsi="宋体"/>
                <w:sz w:val="24"/>
              </w:rPr>
              <w:t>1</w:t>
            </w:r>
          </w:p>
        </w:tc>
        <w:tc>
          <w:tcPr>
            <w:tcW w:w="1560" w:type="dxa"/>
            <w:tcBorders>
              <w:top w:val="single" w:color="auto" w:sz="4" w:space="0"/>
              <w:left w:val="single" w:color="auto" w:sz="4" w:space="0"/>
              <w:right w:val="single" w:color="auto" w:sz="4" w:space="0"/>
            </w:tcBorders>
            <w:vAlign w:val="center"/>
          </w:tcPr>
          <w:p>
            <w:pPr>
              <w:rPr>
                <w:rFonts w:hint="default" w:ascii="宋体" w:hAnsi="宋体" w:eastAsia="宋体" w:cs="宋体"/>
                <w:color w:val="FF0000"/>
                <w:kern w:val="0"/>
                <w:szCs w:val="21"/>
                <w:lang w:val="en-US" w:eastAsia="zh-CN"/>
              </w:rPr>
            </w:pPr>
            <w:r>
              <w:rPr>
                <w:rFonts w:hint="eastAsia" w:ascii="宋体" w:hAnsi="宋体"/>
                <w:sz w:val="24"/>
              </w:rPr>
              <w:t>YS2021-</w:t>
            </w:r>
            <w:r>
              <w:rPr>
                <w:rFonts w:hint="eastAsia" w:ascii="宋体" w:hAnsi="宋体"/>
                <w:sz w:val="24"/>
                <w:lang w:val="en-US" w:eastAsia="zh-CN"/>
              </w:rPr>
              <w:t>46</w:t>
            </w:r>
          </w:p>
        </w:tc>
        <w:tc>
          <w:tcPr>
            <w:tcW w:w="3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氙灯老化试验箱</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 台</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jc w:val="left"/>
        <w:rPr>
          <w:bCs/>
          <w:szCs w:val="21"/>
        </w:rPr>
      </w:pPr>
      <w:bookmarkStart w:id="33" w:name="_Toc363569307"/>
      <w:bookmarkStart w:id="34" w:name="_Toc133775944"/>
      <w:bookmarkStart w:id="35" w:name="_Toc268096554"/>
      <w:bookmarkStart w:id="36" w:name="_Toc365364662"/>
      <w:bookmarkStart w:id="37" w:name="_Toc94175702"/>
      <w:r>
        <w:rPr>
          <w:rFonts w:hint="eastAsia" w:ascii="宋体" w:hAnsi="宋体"/>
        </w:rPr>
        <w:t>说明：上表中出现在一个预算编号下有多台设备的情况，表示这些设备在一个标段进行招标采购。</w:t>
      </w:r>
    </w:p>
    <w:p>
      <w:pPr>
        <w:pStyle w:val="2"/>
        <w:keepNext w:val="0"/>
        <w:keepLines w:val="0"/>
        <w:pageBreakBefore/>
        <w:widowControl/>
        <w:pBdr>
          <w:bottom w:val="single" w:color="808080" w:sz="36" w:space="3"/>
        </w:pBdr>
        <w:spacing w:before="0" w:after="240" w:line="240" w:lineRule="auto"/>
        <w:jc w:val="left"/>
        <w:rPr>
          <w:rFonts w:ascii="宋体" w:hAnsi="宋体"/>
        </w:rPr>
      </w:pPr>
      <w:bookmarkStart w:id="38" w:name="_Toc74734402"/>
      <w:r>
        <w:rPr>
          <w:rFonts w:hint="eastAsia" w:ascii="宋体" w:hAnsi="宋体"/>
        </w:rPr>
        <w:t>招标文件</w:t>
      </w:r>
      <w:bookmarkEnd w:id="38"/>
    </w:p>
    <w:p>
      <w:pPr>
        <w:pStyle w:val="3"/>
        <w:keepLines w:val="0"/>
        <w:widowControl/>
        <w:numPr>
          <w:ilvl w:val="1"/>
          <w:numId w:val="0"/>
        </w:numPr>
        <w:spacing w:before="240" w:after="120" w:line="400" w:lineRule="exact"/>
        <w:jc w:val="left"/>
        <w:rPr>
          <w:rFonts w:ascii="宋体" w:hAnsi="宋体"/>
        </w:rPr>
      </w:pPr>
      <w:bookmarkStart w:id="39" w:name="_Toc74734403"/>
      <w:r>
        <w:rPr>
          <w:rFonts w:hint="eastAsia" w:ascii="宋体" w:hAnsi="宋体"/>
        </w:rPr>
        <w:t>招标文件的发放</w:t>
      </w:r>
      <w:bookmarkEnd w:id="33"/>
      <w:bookmarkEnd w:id="34"/>
      <w:bookmarkEnd w:id="35"/>
      <w:bookmarkEnd w:id="36"/>
      <w:bookmarkEnd w:id="37"/>
      <w:bookmarkEnd w:id="39"/>
    </w:p>
    <w:p>
      <w:pPr>
        <w:pStyle w:val="6"/>
        <w:numPr>
          <w:ilvl w:val="0"/>
          <w:numId w:val="4"/>
        </w:numPr>
        <w:spacing w:after="120" w:line="400" w:lineRule="exact"/>
        <w:rPr>
          <w:rFonts w:ascii="宋体" w:hAnsi="宋体"/>
        </w:rPr>
      </w:pPr>
      <w:r>
        <w:rPr>
          <w:rFonts w:hint="eastAsia" w:ascii="宋体" w:hAnsi="宋体"/>
        </w:rPr>
        <w:t>本次招标采取公开邀请招标方式，招标公告将明确对供应商的资质要求、发放招标文件的日期和地点、投标、开标等事宜。</w:t>
      </w:r>
    </w:p>
    <w:p>
      <w:pPr>
        <w:pStyle w:val="6"/>
        <w:numPr>
          <w:ilvl w:val="0"/>
          <w:numId w:val="4"/>
        </w:numPr>
        <w:spacing w:after="120" w:line="400" w:lineRule="exact"/>
        <w:rPr>
          <w:rFonts w:ascii="宋体" w:hAnsi="宋体"/>
        </w:rPr>
      </w:pPr>
      <w:r>
        <w:rPr>
          <w:rFonts w:hint="eastAsia" w:ascii="宋体" w:hAnsi="宋体"/>
        </w:rPr>
        <w:t>本招标文件为免费发放。</w:t>
      </w:r>
    </w:p>
    <w:p>
      <w:pPr>
        <w:pStyle w:val="6"/>
        <w:numPr>
          <w:ilvl w:val="0"/>
          <w:numId w:val="4"/>
        </w:numPr>
        <w:spacing w:after="120" w:line="400" w:lineRule="exact"/>
        <w:rPr>
          <w:rFonts w:ascii="宋体" w:hAnsi="宋体"/>
        </w:rPr>
      </w:pPr>
      <w:r>
        <w:rPr>
          <w:rFonts w:hint="eastAsia" w:ascii="宋体" w:hAnsi="宋体"/>
        </w:rPr>
        <w:t>与本次招标有关的联系方式为武汉市江夏区藏龙岛谭湖路2号武汉网锐检测科技有限公司</w:t>
      </w:r>
    </w:p>
    <w:p>
      <w:pPr>
        <w:pStyle w:val="6"/>
        <w:spacing w:after="120" w:line="400" w:lineRule="exact"/>
        <w:ind w:left="420"/>
        <w:rPr>
          <w:rFonts w:ascii="宋体" w:hAnsi="宋体"/>
        </w:rPr>
      </w:pPr>
      <w:r>
        <w:rPr>
          <w:rFonts w:hint="eastAsia" w:ascii="宋体" w:hAnsi="宋体"/>
        </w:rPr>
        <w:t>文件接收人：</w:t>
      </w:r>
      <w:r>
        <w:rPr>
          <w:rFonts w:hint="eastAsia" w:ascii="宋体" w:hAnsi="宋体"/>
          <w:lang w:val="en-US" w:eastAsia="zh-CN"/>
        </w:rPr>
        <w:t>刘 瑛</w:t>
      </w:r>
      <w:r>
        <w:rPr>
          <w:rFonts w:hint="eastAsia" w:ascii="宋体" w:hAnsi="宋体"/>
        </w:rPr>
        <w:t xml:space="preserve"> 电话：027-87691279。</w:t>
      </w:r>
    </w:p>
    <w:p>
      <w:pPr>
        <w:pStyle w:val="3"/>
        <w:keepLines w:val="0"/>
        <w:widowControl/>
        <w:numPr>
          <w:ilvl w:val="1"/>
          <w:numId w:val="0"/>
        </w:numPr>
        <w:spacing w:before="240" w:after="120" w:line="400" w:lineRule="exact"/>
        <w:jc w:val="left"/>
        <w:rPr>
          <w:rFonts w:ascii="宋体" w:hAnsi="宋体"/>
        </w:rPr>
      </w:pPr>
      <w:bookmarkStart w:id="40" w:name="_Toc268096555"/>
      <w:bookmarkStart w:id="41" w:name="_Toc94175703"/>
      <w:bookmarkStart w:id="42" w:name="_Toc363569308"/>
      <w:bookmarkStart w:id="43" w:name="_Toc74734404"/>
      <w:bookmarkStart w:id="44" w:name="_Toc133775945"/>
      <w:bookmarkStart w:id="45" w:name="_Toc365364663"/>
      <w:r>
        <w:rPr>
          <w:rFonts w:hint="eastAsia" w:ascii="宋体" w:hAnsi="宋体"/>
        </w:rPr>
        <w:t>招标文件的组成</w:t>
      </w:r>
      <w:bookmarkEnd w:id="40"/>
      <w:bookmarkEnd w:id="41"/>
      <w:bookmarkEnd w:id="42"/>
      <w:bookmarkEnd w:id="43"/>
      <w:bookmarkEnd w:id="44"/>
      <w:bookmarkEnd w:id="45"/>
    </w:p>
    <w:p>
      <w:pPr>
        <w:pStyle w:val="14"/>
        <w:ind w:left="0"/>
      </w:pPr>
      <w:r>
        <w:rPr>
          <w:rFonts w:hint="eastAsia"/>
        </w:rPr>
        <w:t>1.    招标文件由投标人须知、合同主要条款、技术要求及投标文件内容及附件等组成。</w:t>
      </w:r>
    </w:p>
    <w:p>
      <w:pPr>
        <w:pStyle w:val="14"/>
        <w:ind w:left="0"/>
      </w:pPr>
      <w:r>
        <w:rPr>
          <w:rFonts w:hint="eastAsia"/>
        </w:rPr>
        <w:t>2.    投标人应认真阅读招标文件中的所有内容。如果投标人编制的投标文件实质上不响应招标文件要求，其投标文件将被招标人拒绝。</w:t>
      </w:r>
    </w:p>
    <w:p>
      <w:pPr>
        <w:pStyle w:val="3"/>
        <w:keepLines w:val="0"/>
        <w:widowControl/>
        <w:numPr>
          <w:ilvl w:val="1"/>
          <w:numId w:val="0"/>
        </w:numPr>
        <w:spacing w:before="240" w:after="120" w:line="400" w:lineRule="exact"/>
        <w:jc w:val="left"/>
        <w:rPr>
          <w:sz w:val="24"/>
        </w:rPr>
      </w:pPr>
      <w:bookmarkStart w:id="46" w:name="_Toc74734405"/>
      <w:bookmarkStart w:id="47" w:name="_Toc365364664"/>
      <w:bookmarkStart w:id="48" w:name="_Toc361389263"/>
      <w:r>
        <w:rPr>
          <w:rFonts w:hint="eastAsia" w:ascii="宋体" w:hAnsi="宋体"/>
        </w:rPr>
        <w:t>招标文件的解释</w:t>
      </w:r>
      <w:bookmarkEnd w:id="46"/>
    </w:p>
    <w:p>
      <w:pPr>
        <w:spacing w:line="360" w:lineRule="auto"/>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招标文件作为报价、评标、定标、签订合同的依据。投标人应认真阅读招标文件，若有问题以书面形式向招标人提出，招标人以书面形式予以解答，如未提交书面疑问的，将视作对招标文件的认同。</w:t>
      </w:r>
    </w:p>
    <w:p>
      <w:pPr>
        <w:pStyle w:val="3"/>
        <w:keepLines w:val="0"/>
        <w:widowControl/>
        <w:numPr>
          <w:ilvl w:val="1"/>
          <w:numId w:val="0"/>
        </w:numPr>
        <w:spacing w:before="240" w:after="120" w:line="400" w:lineRule="exact"/>
        <w:jc w:val="left"/>
        <w:rPr>
          <w:rFonts w:ascii="宋体" w:hAnsi="宋体"/>
        </w:rPr>
      </w:pPr>
      <w:bookmarkStart w:id="49" w:name="_Toc74734406"/>
      <w:r>
        <w:rPr>
          <w:rFonts w:hint="eastAsia" w:ascii="宋体" w:hAnsi="宋体"/>
        </w:rPr>
        <w:t>招标文件的修改</w:t>
      </w:r>
      <w:bookmarkEnd w:id="49"/>
    </w:p>
    <w:p>
      <w:pPr>
        <w:pStyle w:val="14"/>
        <w:ind w:left="0"/>
      </w:pPr>
      <w:r>
        <w:rPr>
          <w:rFonts w:hint="eastAsia"/>
        </w:rPr>
        <w:t>1.　投标截止日期前，招标人可以以补充通知的方式修改或补充招标文件。</w:t>
      </w:r>
    </w:p>
    <w:p>
      <w:pPr>
        <w:pStyle w:val="14"/>
        <w:ind w:left="0"/>
      </w:pPr>
      <w:r>
        <w:rPr>
          <w:rFonts w:hint="eastAsia"/>
        </w:rPr>
        <w:t>2.　补充通知将以书面形式发给所有获得招标文件的投标人，补充通知作为招标文件的组成部分，对投标人起约束作用。</w:t>
      </w:r>
    </w:p>
    <w:p>
      <w:pPr>
        <w:pStyle w:val="14"/>
        <w:ind w:left="0"/>
      </w:pPr>
      <w:r>
        <w:rPr>
          <w:rFonts w:hint="eastAsia"/>
        </w:rPr>
        <w:t>3.　为使投标人在编制投标文件时能把补充通知内容考虑进去，变更较大时招标人将酌情延长提交投标文件的截止时间。</w:t>
      </w:r>
    </w:p>
    <w:bookmarkEnd w:id="47"/>
    <w:bookmarkEnd w:id="48"/>
    <w:p>
      <w:pPr>
        <w:pStyle w:val="2"/>
        <w:keepNext w:val="0"/>
        <w:keepLines w:val="0"/>
        <w:pageBreakBefore/>
        <w:widowControl/>
        <w:pBdr>
          <w:bottom w:val="single" w:color="808080" w:sz="36" w:space="3"/>
        </w:pBdr>
        <w:spacing w:before="0" w:after="240" w:line="240" w:lineRule="auto"/>
        <w:jc w:val="left"/>
        <w:rPr>
          <w:rFonts w:ascii="宋体" w:hAnsi="宋体"/>
        </w:rPr>
      </w:pPr>
      <w:bookmarkStart w:id="50" w:name="_Toc363569310"/>
      <w:bookmarkStart w:id="51" w:name="_Toc365364665"/>
      <w:bookmarkStart w:id="52" w:name="_Toc94175705"/>
      <w:bookmarkStart w:id="53" w:name="_Toc133775947"/>
      <w:bookmarkStart w:id="54" w:name="_Toc268096557"/>
      <w:bookmarkStart w:id="55" w:name="_Toc74734407"/>
      <w:r>
        <w:rPr>
          <w:rFonts w:hint="eastAsia" w:ascii="宋体" w:hAnsi="宋体"/>
        </w:rPr>
        <w:t>投标文件</w:t>
      </w:r>
      <w:bookmarkEnd w:id="50"/>
      <w:bookmarkEnd w:id="51"/>
      <w:bookmarkEnd w:id="52"/>
      <w:bookmarkEnd w:id="53"/>
      <w:bookmarkEnd w:id="54"/>
      <w:bookmarkEnd w:id="55"/>
    </w:p>
    <w:p>
      <w:pPr>
        <w:pStyle w:val="3"/>
        <w:keepLines w:val="0"/>
        <w:widowControl/>
        <w:numPr>
          <w:ilvl w:val="1"/>
          <w:numId w:val="0"/>
        </w:numPr>
        <w:spacing w:before="240" w:after="120" w:line="400" w:lineRule="exact"/>
        <w:jc w:val="left"/>
        <w:rPr>
          <w:rFonts w:ascii="宋体" w:hAnsi="宋体"/>
        </w:rPr>
      </w:pPr>
      <w:bookmarkStart w:id="56" w:name="_Toc365364666"/>
      <w:bookmarkStart w:id="57" w:name="_Toc74734408"/>
      <w:r>
        <w:rPr>
          <w:rFonts w:ascii="宋体" w:hAnsi="宋体"/>
        </w:rPr>
        <w:t>投标文件</w:t>
      </w:r>
      <w:bookmarkEnd w:id="56"/>
      <w:r>
        <w:rPr>
          <w:rFonts w:hint="eastAsia" w:ascii="宋体" w:hAnsi="宋体"/>
        </w:rPr>
        <w:t>的组成</w:t>
      </w:r>
      <w:bookmarkEnd w:id="57"/>
    </w:p>
    <w:p>
      <w:r>
        <w:rPr>
          <w:rFonts w:hint="eastAsia"/>
        </w:rPr>
        <w:t>（投标人应按以下规定提供所有资料，</w:t>
      </w:r>
      <w:r>
        <w:t>若缺项将影响评标分数或作废标处理</w:t>
      </w:r>
      <w:r>
        <w:rPr>
          <w:rFonts w:hint="eastAsia"/>
        </w:rPr>
        <w:t>，</w:t>
      </w:r>
      <w:r>
        <w:t>打</w:t>
      </w:r>
      <w:r>
        <w:rPr>
          <w:b/>
        </w:rPr>
        <w:t>星号</w:t>
      </w:r>
      <w:r>
        <w:t>的项目为必须提交</w:t>
      </w:r>
      <w:r>
        <w:rPr>
          <w:rFonts w:hint="eastAsia"/>
        </w:rPr>
        <w:t>）</w:t>
      </w:r>
    </w:p>
    <w:p>
      <w:pPr>
        <w:pStyle w:val="6"/>
        <w:numPr>
          <w:ilvl w:val="0"/>
          <w:numId w:val="5"/>
        </w:numPr>
        <w:spacing w:after="120" w:line="400" w:lineRule="exact"/>
        <w:rPr>
          <w:rFonts w:ascii="宋体" w:hAnsi="宋体"/>
        </w:rPr>
      </w:pPr>
      <w:r>
        <w:rPr>
          <w:rFonts w:hint="eastAsia" w:ascii="宋体" w:hAnsi="宋体"/>
          <w:b/>
        </w:rPr>
        <w:t>※开标一览表</w:t>
      </w:r>
      <w:r>
        <w:rPr>
          <w:rFonts w:hint="eastAsia" w:ascii="宋体" w:hAnsi="宋体"/>
        </w:rPr>
        <w:t>，请投标人按照</w:t>
      </w:r>
      <w:r>
        <w:rPr>
          <w:rFonts w:hint="eastAsia" w:ascii="宋体" w:hAnsi="宋体"/>
          <w:b/>
        </w:rPr>
        <w:t>招标标的</w:t>
      </w:r>
      <w:r>
        <w:rPr>
          <w:rFonts w:ascii="宋体" w:hAnsi="宋体"/>
        </w:rPr>
        <w:t>部分的表格</w:t>
      </w:r>
      <w:r>
        <w:rPr>
          <w:rFonts w:hint="eastAsia" w:ascii="宋体" w:hAnsi="宋体"/>
        </w:rPr>
        <w:t>对</w:t>
      </w:r>
      <w:r>
        <w:rPr>
          <w:rFonts w:hint="eastAsia" w:ascii="宋体" w:hAnsi="宋体"/>
          <w:b/>
        </w:rPr>
        <w:t>每种</w:t>
      </w:r>
      <w:r>
        <w:rPr>
          <w:rFonts w:ascii="宋体" w:hAnsi="宋体"/>
          <w:b/>
        </w:rPr>
        <w:t>产品</w:t>
      </w:r>
      <w:r>
        <w:rPr>
          <w:rFonts w:ascii="宋体" w:hAnsi="宋体"/>
        </w:rPr>
        <w:t>分别</w:t>
      </w:r>
      <w:r>
        <w:rPr>
          <w:rFonts w:hint="eastAsia" w:ascii="宋体" w:hAnsi="宋体"/>
        </w:rPr>
        <w:t>进行报价（</w:t>
      </w:r>
      <w:r>
        <w:rPr>
          <w:rFonts w:hint="eastAsia" w:ascii="宋体" w:hAnsi="宋体"/>
          <w:b/>
        </w:rPr>
        <w:t>单价</w:t>
      </w:r>
      <w:r>
        <w:rPr>
          <w:rFonts w:hint="eastAsia" w:ascii="宋体" w:hAnsi="宋体"/>
        </w:rPr>
        <w:t>），并确保所报价格准确有效；报价币种为人民币。</w:t>
      </w:r>
    </w:p>
    <w:p>
      <w:pPr>
        <w:pStyle w:val="6"/>
        <w:numPr>
          <w:ilvl w:val="0"/>
          <w:numId w:val="5"/>
        </w:numPr>
        <w:spacing w:after="120" w:line="400" w:lineRule="exact"/>
        <w:rPr>
          <w:rFonts w:ascii="宋体" w:hAnsi="宋体"/>
        </w:rPr>
      </w:pPr>
      <w:r>
        <w:rPr>
          <w:rFonts w:hint="eastAsia" w:ascii="宋体" w:hAnsi="宋体"/>
          <w:b/>
        </w:rPr>
        <w:t>※</w:t>
      </w:r>
      <w:r>
        <w:rPr>
          <w:rFonts w:hint="eastAsia" w:ascii="宋体" w:hAnsi="宋体"/>
        </w:rPr>
        <w:t>企业简介、经营状况和财务状况。</w:t>
      </w:r>
    </w:p>
    <w:p>
      <w:pPr>
        <w:pStyle w:val="6"/>
        <w:numPr>
          <w:ilvl w:val="0"/>
          <w:numId w:val="5"/>
        </w:numPr>
        <w:spacing w:after="120" w:line="400" w:lineRule="exact"/>
        <w:rPr>
          <w:rFonts w:ascii="宋体" w:hAnsi="宋体"/>
        </w:rPr>
      </w:pPr>
      <w:r>
        <w:rPr>
          <w:rFonts w:hint="eastAsia" w:ascii="宋体" w:hAnsi="宋体"/>
          <w:b/>
        </w:rPr>
        <w:t>※企业资质证明文件</w:t>
      </w:r>
      <w:r>
        <w:rPr>
          <w:rFonts w:hint="eastAsia" w:ascii="宋体" w:hAnsi="宋体"/>
        </w:rPr>
        <w:t>（须在有效期内，且年检符合相关要求）。包括但不限于营业执照（副本），组织机构代码证，税务登记证，以及和标的物相关的专业资格证书等。代理商参加投标必须提供厂家有效授权文件及相关资质文件。</w:t>
      </w:r>
    </w:p>
    <w:p>
      <w:pPr>
        <w:pStyle w:val="6"/>
        <w:numPr>
          <w:ilvl w:val="0"/>
          <w:numId w:val="5"/>
        </w:numPr>
        <w:spacing w:after="120" w:line="400" w:lineRule="exact"/>
        <w:rPr>
          <w:rFonts w:ascii="宋体" w:hAnsi="宋体"/>
          <w:b/>
          <w:bCs w:val="0"/>
        </w:rPr>
      </w:pPr>
      <w:r>
        <w:rPr>
          <w:rFonts w:hint="eastAsia" w:ascii="宋体" w:hAnsi="宋体"/>
          <w:b/>
          <w:bCs w:val="0"/>
        </w:rPr>
        <w:t>※近期相关业绩证明。</w:t>
      </w:r>
    </w:p>
    <w:p>
      <w:pPr>
        <w:pStyle w:val="6"/>
        <w:numPr>
          <w:ilvl w:val="0"/>
          <w:numId w:val="5"/>
        </w:numPr>
        <w:spacing w:after="120" w:line="400" w:lineRule="exact"/>
        <w:rPr>
          <w:rFonts w:ascii="宋体" w:hAnsi="宋体"/>
        </w:rPr>
      </w:pPr>
      <w:r>
        <w:rPr>
          <w:rFonts w:hint="eastAsia" w:ascii="宋体" w:hAnsi="宋体"/>
        </w:rPr>
        <w:t>维护经验</w:t>
      </w:r>
      <w:r>
        <w:rPr>
          <w:rFonts w:ascii="宋体" w:hAnsi="宋体"/>
        </w:rPr>
        <w:t>以及案例说明</w:t>
      </w:r>
    </w:p>
    <w:p>
      <w:pPr>
        <w:pStyle w:val="6"/>
        <w:numPr>
          <w:ilvl w:val="0"/>
          <w:numId w:val="5"/>
        </w:numPr>
        <w:spacing w:after="120" w:line="400" w:lineRule="exact"/>
        <w:rPr>
          <w:rFonts w:ascii="宋体" w:hAnsi="宋体"/>
        </w:rPr>
      </w:pPr>
      <w:r>
        <w:rPr>
          <w:rFonts w:hint="eastAsia" w:ascii="宋体" w:hAnsi="宋体"/>
        </w:rPr>
        <w:t>其他应当提供的资料</w:t>
      </w:r>
    </w:p>
    <w:p>
      <w:pPr>
        <w:pStyle w:val="3"/>
        <w:keepLines w:val="0"/>
        <w:widowControl/>
        <w:numPr>
          <w:ilvl w:val="1"/>
          <w:numId w:val="0"/>
        </w:numPr>
        <w:spacing w:before="240" w:after="120" w:line="400" w:lineRule="exact"/>
        <w:jc w:val="left"/>
        <w:rPr>
          <w:rFonts w:ascii="宋体" w:hAnsi="宋体"/>
        </w:rPr>
      </w:pPr>
      <w:bookmarkStart w:id="58" w:name="_Toc365364667"/>
      <w:bookmarkStart w:id="59" w:name="_Toc268096561"/>
      <w:bookmarkStart w:id="60" w:name="_Toc94175709"/>
      <w:bookmarkStart w:id="61" w:name="_Toc363569314"/>
      <w:bookmarkStart w:id="62" w:name="_Toc74734409"/>
      <w:bookmarkStart w:id="63" w:name="_Toc133775951"/>
      <w:r>
        <w:rPr>
          <w:rFonts w:hint="eastAsia" w:ascii="宋体" w:hAnsi="宋体"/>
        </w:rPr>
        <w:t>投标价格</w:t>
      </w:r>
      <w:bookmarkEnd w:id="58"/>
      <w:bookmarkEnd w:id="59"/>
      <w:bookmarkEnd w:id="60"/>
      <w:bookmarkEnd w:id="61"/>
      <w:bookmarkEnd w:id="62"/>
      <w:bookmarkEnd w:id="63"/>
    </w:p>
    <w:p>
      <w:pPr>
        <w:pStyle w:val="6"/>
        <w:numPr>
          <w:ilvl w:val="0"/>
          <w:numId w:val="6"/>
        </w:numPr>
        <w:spacing w:after="120" w:line="400" w:lineRule="exact"/>
        <w:rPr>
          <w:rFonts w:ascii="宋体" w:hAnsi="宋体"/>
        </w:rPr>
      </w:pPr>
      <w:r>
        <w:rPr>
          <w:rFonts w:hint="eastAsia" w:ascii="宋体" w:hAnsi="宋体"/>
        </w:rPr>
        <w:t>投标人应按招标文件所附的格式填写报价表格，并明确标明：</w:t>
      </w:r>
    </w:p>
    <w:p>
      <w:pPr>
        <w:numPr>
          <w:ilvl w:val="0"/>
          <w:numId w:val="7"/>
        </w:numPr>
        <w:autoSpaceDE w:val="0"/>
        <w:autoSpaceDN w:val="0"/>
        <w:adjustRightInd w:val="0"/>
        <w:spacing w:line="360" w:lineRule="auto"/>
        <w:ind w:left="840" w:leftChars="400"/>
        <w:rPr>
          <w:rFonts w:ascii="宋体"/>
        </w:rPr>
      </w:pPr>
      <w:r>
        <w:rPr>
          <w:rFonts w:hint="eastAsia" w:ascii="宋体"/>
        </w:rPr>
        <w:t>出厂单价</w:t>
      </w:r>
    </w:p>
    <w:p>
      <w:pPr>
        <w:numPr>
          <w:ilvl w:val="0"/>
          <w:numId w:val="7"/>
        </w:numPr>
        <w:autoSpaceDE w:val="0"/>
        <w:autoSpaceDN w:val="0"/>
        <w:adjustRightInd w:val="0"/>
        <w:spacing w:line="360" w:lineRule="auto"/>
        <w:ind w:left="840" w:leftChars="400"/>
        <w:rPr>
          <w:rFonts w:ascii="宋体"/>
        </w:rPr>
      </w:pPr>
      <w:r>
        <w:rPr>
          <w:rFonts w:ascii="Wingdings" w:hAnsi="Wingdings"/>
        </w:rPr>
        <w:t>出厂总价</w:t>
      </w:r>
    </w:p>
    <w:p>
      <w:pPr>
        <w:numPr>
          <w:ilvl w:val="0"/>
          <w:numId w:val="7"/>
        </w:numPr>
        <w:autoSpaceDE w:val="0"/>
        <w:autoSpaceDN w:val="0"/>
        <w:adjustRightInd w:val="0"/>
        <w:spacing w:line="360" w:lineRule="auto"/>
        <w:ind w:left="840" w:leftChars="400"/>
        <w:rPr>
          <w:rFonts w:ascii="宋体"/>
        </w:rPr>
      </w:pPr>
      <w:r>
        <w:rPr>
          <w:rFonts w:ascii="Wingdings" w:hAnsi="Wingdings"/>
        </w:rPr>
        <w:t>运输和保险费</w:t>
      </w:r>
    </w:p>
    <w:p>
      <w:pPr>
        <w:numPr>
          <w:ilvl w:val="0"/>
          <w:numId w:val="7"/>
        </w:numPr>
        <w:autoSpaceDE w:val="0"/>
        <w:autoSpaceDN w:val="0"/>
        <w:adjustRightInd w:val="0"/>
        <w:spacing w:line="360" w:lineRule="auto"/>
        <w:ind w:left="840" w:leftChars="400"/>
        <w:rPr>
          <w:rFonts w:ascii="宋体"/>
        </w:rPr>
      </w:pPr>
      <w:r>
        <w:rPr>
          <w:rFonts w:ascii="Wingdings" w:hAnsi="Wingdings"/>
        </w:rPr>
        <w:t>安装调试费用</w:t>
      </w:r>
    </w:p>
    <w:p>
      <w:pPr>
        <w:numPr>
          <w:ilvl w:val="0"/>
          <w:numId w:val="7"/>
        </w:numPr>
        <w:autoSpaceDE w:val="0"/>
        <w:autoSpaceDN w:val="0"/>
        <w:adjustRightInd w:val="0"/>
        <w:spacing w:line="360" w:lineRule="auto"/>
        <w:ind w:left="840" w:leftChars="400"/>
        <w:rPr>
          <w:rFonts w:ascii="宋体"/>
        </w:rPr>
      </w:pPr>
      <w:r>
        <w:rPr>
          <w:rFonts w:ascii="Wingdings" w:hAnsi="Wingdings"/>
        </w:rPr>
        <w:t>投标价格</w:t>
      </w:r>
    </w:p>
    <w:p>
      <w:pPr>
        <w:numPr>
          <w:ilvl w:val="0"/>
          <w:numId w:val="7"/>
        </w:numPr>
        <w:autoSpaceDE w:val="0"/>
        <w:autoSpaceDN w:val="0"/>
        <w:adjustRightInd w:val="0"/>
        <w:spacing w:line="360" w:lineRule="auto"/>
        <w:ind w:left="840" w:leftChars="400"/>
        <w:rPr>
          <w:rFonts w:ascii="宋体"/>
        </w:rPr>
      </w:pPr>
      <w:r>
        <w:rPr>
          <w:rFonts w:ascii="Wingdings" w:hAnsi="Wingdings"/>
        </w:rPr>
        <w:t>易损件和售后技术服务费</w:t>
      </w:r>
    </w:p>
    <w:p>
      <w:pPr>
        <w:adjustRightInd w:val="0"/>
        <w:snapToGrid w:val="0"/>
        <w:spacing w:before="120" w:line="360" w:lineRule="auto"/>
        <w:ind w:firstLine="360" w:firstLineChars="150"/>
        <w:rPr>
          <w:rFonts w:ascii="宋体" w:hAnsi="宋体"/>
          <w:kern w:val="0"/>
          <w:sz w:val="24"/>
          <w:szCs w:val="20"/>
        </w:rPr>
      </w:pPr>
      <w:r>
        <w:rPr>
          <w:rFonts w:hint="eastAsia" w:ascii="宋体" w:hAnsi="宋体"/>
          <w:kern w:val="0"/>
          <w:sz w:val="24"/>
          <w:szCs w:val="20"/>
        </w:rPr>
        <w:t>投标价格一般包含所需货物及包装费、保险费、各种税费、运杂费等招标方指定地点及规定的交货状态交货的全部费用和技术配合、设计、安装调试和技术服务等费用，即到货价。</w:t>
      </w:r>
    </w:p>
    <w:p>
      <w:pPr>
        <w:adjustRightInd w:val="0"/>
        <w:snapToGrid w:val="0"/>
        <w:spacing w:before="120" w:line="360" w:lineRule="auto"/>
        <w:ind w:left="315" w:leftChars="150"/>
        <w:rPr>
          <w:rFonts w:ascii="宋体" w:hAnsi="宋体"/>
          <w:kern w:val="0"/>
          <w:sz w:val="24"/>
          <w:szCs w:val="20"/>
        </w:rPr>
      </w:pPr>
      <w:r>
        <w:rPr>
          <w:rFonts w:hint="eastAsia" w:ascii="宋体" w:hAnsi="宋体"/>
          <w:kern w:val="0"/>
          <w:sz w:val="24"/>
          <w:szCs w:val="20"/>
        </w:rPr>
        <w:t>投标价格除包含向中华人民共和国政府缴纳的增值税和其它税，还应包括对以下（a）、（b）两项已缴纳或应缴纳的全部关税、增值税和其它税：</w:t>
      </w:r>
    </w:p>
    <w:p>
      <w:pPr>
        <w:adjustRightInd w:val="0"/>
        <w:snapToGrid w:val="0"/>
        <w:spacing w:before="120" w:line="360" w:lineRule="auto"/>
        <w:ind w:firstLine="360" w:firstLineChars="150"/>
        <w:rPr>
          <w:rFonts w:ascii="宋体" w:hAnsi="宋体"/>
          <w:kern w:val="0"/>
          <w:sz w:val="24"/>
          <w:szCs w:val="20"/>
        </w:rPr>
      </w:pPr>
      <w:r>
        <w:rPr>
          <w:rFonts w:hint="eastAsia" w:ascii="宋体" w:hAnsi="宋体"/>
          <w:kern w:val="0"/>
          <w:sz w:val="24"/>
          <w:szCs w:val="20"/>
        </w:rPr>
        <w:t>（a）货物在制造或组装时使用的部件和原材料是以前从国外进口的；</w:t>
      </w:r>
    </w:p>
    <w:p>
      <w:pPr>
        <w:adjustRightInd w:val="0"/>
        <w:snapToGrid w:val="0"/>
        <w:spacing w:before="120" w:line="360" w:lineRule="auto"/>
        <w:ind w:firstLine="360" w:firstLineChars="150"/>
        <w:rPr>
          <w:rFonts w:ascii="宋体" w:hAnsi="宋体"/>
          <w:kern w:val="0"/>
          <w:sz w:val="24"/>
          <w:szCs w:val="20"/>
        </w:rPr>
      </w:pPr>
      <w:r>
        <w:rPr>
          <w:rFonts w:hint="eastAsia" w:ascii="宋体" w:hAnsi="宋体"/>
          <w:kern w:val="0"/>
          <w:sz w:val="24"/>
          <w:szCs w:val="20"/>
        </w:rPr>
        <w:t>（b）货物是以前从国外进口的货物。</w:t>
      </w:r>
    </w:p>
    <w:p>
      <w:pPr>
        <w:pStyle w:val="6"/>
        <w:numPr>
          <w:ilvl w:val="0"/>
          <w:numId w:val="6"/>
        </w:numPr>
        <w:spacing w:after="120" w:line="400" w:lineRule="exact"/>
        <w:rPr>
          <w:rFonts w:ascii="宋体" w:hAnsi="宋体"/>
        </w:rPr>
      </w:pPr>
      <w:r>
        <w:rPr>
          <w:rFonts w:hint="eastAsia" w:ascii="宋体" w:hAnsi="宋体"/>
        </w:rPr>
        <w:t>投标人应按本招标文件技术部分的规定，用图纸、清单和文字来界定供货和服务的范围和界限。</w:t>
      </w:r>
    </w:p>
    <w:p>
      <w:pPr>
        <w:pStyle w:val="6"/>
        <w:numPr>
          <w:ilvl w:val="0"/>
          <w:numId w:val="6"/>
        </w:numPr>
        <w:spacing w:after="120" w:line="400" w:lineRule="exact"/>
        <w:rPr>
          <w:rFonts w:ascii="宋体" w:hAnsi="宋体"/>
        </w:rPr>
      </w:pPr>
      <w:r>
        <w:rPr>
          <w:rFonts w:hint="eastAsia" w:ascii="宋体" w:hAnsi="宋体"/>
        </w:rPr>
        <w:t>投标人所报价格应为固定不变价格。投标人未单独列明的分项价格将被视为该项目的费用已包括在其他分项中，合同执行中不另行支付。</w:t>
      </w:r>
    </w:p>
    <w:p>
      <w:pPr>
        <w:pStyle w:val="3"/>
        <w:keepLines w:val="0"/>
        <w:widowControl/>
        <w:numPr>
          <w:ilvl w:val="1"/>
          <w:numId w:val="0"/>
        </w:numPr>
        <w:spacing w:before="240" w:after="120" w:line="400" w:lineRule="exact"/>
        <w:jc w:val="left"/>
        <w:rPr>
          <w:rFonts w:ascii="宋体" w:hAnsi="宋体"/>
        </w:rPr>
      </w:pPr>
      <w:bookmarkStart w:id="64" w:name="_Toc133775952"/>
      <w:bookmarkStart w:id="65" w:name="_Toc268096562"/>
      <w:bookmarkStart w:id="66" w:name="_Toc365364668"/>
      <w:bookmarkStart w:id="67" w:name="_Toc94175710"/>
      <w:bookmarkStart w:id="68" w:name="_Toc363569315"/>
      <w:bookmarkStart w:id="69" w:name="_Toc74734410"/>
      <w:r>
        <w:rPr>
          <w:rFonts w:hint="eastAsia" w:ascii="宋体" w:hAnsi="宋体"/>
        </w:rPr>
        <w:t>投标货币</w:t>
      </w:r>
      <w:bookmarkEnd w:id="64"/>
      <w:bookmarkEnd w:id="65"/>
      <w:bookmarkEnd w:id="66"/>
      <w:bookmarkEnd w:id="67"/>
      <w:bookmarkEnd w:id="68"/>
      <w:bookmarkEnd w:id="69"/>
    </w:p>
    <w:p>
      <w:pPr>
        <w:autoSpaceDE w:val="0"/>
        <w:autoSpaceDN w:val="0"/>
        <w:adjustRightInd w:val="0"/>
        <w:spacing w:before="78" w:beforeLines="25" w:line="360" w:lineRule="auto"/>
        <w:ind w:firstLine="480" w:firstLineChars="200"/>
        <w:rPr>
          <w:rFonts w:ascii="宋体"/>
          <w:sz w:val="24"/>
        </w:rPr>
      </w:pPr>
      <w:r>
        <w:rPr>
          <w:rFonts w:hint="eastAsia" w:ascii="宋体"/>
          <w:sz w:val="24"/>
        </w:rPr>
        <w:t>投标文件报价中的单价、合价和总价全部以</w:t>
      </w:r>
      <w:r>
        <w:rPr>
          <w:rFonts w:hint="eastAsia" w:ascii="宋体"/>
          <w:color w:val="FF0000"/>
          <w:sz w:val="24"/>
        </w:rPr>
        <w:t>人民币</w:t>
      </w:r>
      <w:r>
        <w:rPr>
          <w:rFonts w:hint="eastAsia" w:ascii="宋体"/>
          <w:sz w:val="24"/>
        </w:rPr>
        <w:t>报价（必须同时用文字和数字表示投标总价）。</w:t>
      </w:r>
    </w:p>
    <w:p>
      <w:pPr>
        <w:pStyle w:val="3"/>
        <w:keepLines w:val="0"/>
        <w:widowControl/>
        <w:numPr>
          <w:ilvl w:val="1"/>
          <w:numId w:val="0"/>
        </w:numPr>
        <w:spacing w:before="240" w:after="120" w:line="400" w:lineRule="exact"/>
        <w:jc w:val="left"/>
        <w:rPr>
          <w:rFonts w:ascii="宋体" w:hAnsi="宋体"/>
        </w:rPr>
      </w:pPr>
      <w:bookmarkStart w:id="70" w:name="_Toc74734411"/>
      <w:r>
        <w:rPr>
          <w:rFonts w:ascii="宋体" w:hAnsi="宋体"/>
        </w:rPr>
        <w:t>投标文件的密封和递交</w:t>
      </w:r>
      <w:bookmarkEnd w:id="70"/>
    </w:p>
    <w:p>
      <w:pPr>
        <w:widowControl/>
        <w:numPr>
          <w:ilvl w:val="0"/>
          <w:numId w:val="8"/>
        </w:numPr>
        <w:spacing w:after="120" w:line="400" w:lineRule="exact"/>
        <w:jc w:val="left"/>
        <w:rPr>
          <w:rFonts w:ascii="宋体" w:hAnsi="宋体"/>
          <w:sz w:val="24"/>
        </w:rPr>
      </w:pPr>
      <w:r>
        <w:rPr>
          <w:rFonts w:hint="eastAsia" w:ascii="宋体" w:hAnsi="宋体"/>
          <w:b/>
          <w:color w:val="FF0000"/>
        </w:rPr>
        <w:t>投标报价部分（开标一览表）应单独密封。</w:t>
      </w:r>
    </w:p>
    <w:p>
      <w:pPr>
        <w:widowControl/>
        <w:numPr>
          <w:ilvl w:val="0"/>
          <w:numId w:val="8"/>
        </w:numPr>
        <w:spacing w:after="120" w:line="360" w:lineRule="auto"/>
        <w:jc w:val="left"/>
        <w:rPr>
          <w:rFonts w:ascii="宋体" w:hAnsi="宋体"/>
          <w:sz w:val="24"/>
        </w:rPr>
      </w:pPr>
      <w:r>
        <w:rPr>
          <w:rFonts w:ascii="宋体" w:hAnsi="宋体"/>
          <w:sz w:val="24"/>
        </w:rPr>
        <w:t>投标人应将投标文件正本(</w:t>
      </w:r>
      <w:r>
        <w:rPr>
          <w:rFonts w:ascii="宋体" w:hAnsi="宋体"/>
          <w:color w:val="FF0000"/>
          <w:sz w:val="24"/>
        </w:rPr>
        <w:t>一套</w:t>
      </w:r>
      <w:r>
        <w:rPr>
          <w:rFonts w:ascii="宋体" w:hAnsi="宋体"/>
          <w:sz w:val="24"/>
        </w:rPr>
        <w:t>)和副本(</w:t>
      </w:r>
      <w:r>
        <w:rPr>
          <w:rFonts w:hint="eastAsia" w:ascii="宋体" w:hAnsi="宋体"/>
          <w:color w:val="FF0000"/>
          <w:sz w:val="24"/>
        </w:rPr>
        <w:t>四套</w:t>
      </w:r>
      <w:r>
        <w:rPr>
          <w:rFonts w:ascii="宋体" w:hAnsi="宋体"/>
          <w:sz w:val="24"/>
        </w:rPr>
        <w:t>)用牛皮纸袋密封，并在封面上明确标明正本和副本字样，一旦正本与副本不符，以正本为准</w:t>
      </w:r>
      <w:r>
        <w:rPr>
          <w:rFonts w:hint="eastAsia" w:ascii="宋体" w:hAnsi="宋体"/>
          <w:sz w:val="24"/>
        </w:rPr>
        <w:t>。</w:t>
      </w:r>
    </w:p>
    <w:p>
      <w:pPr>
        <w:widowControl/>
        <w:numPr>
          <w:ilvl w:val="0"/>
          <w:numId w:val="8"/>
        </w:numPr>
        <w:spacing w:after="120" w:line="360" w:lineRule="auto"/>
        <w:jc w:val="left"/>
        <w:rPr>
          <w:rFonts w:ascii="宋体" w:hAnsi="宋体"/>
          <w:sz w:val="24"/>
        </w:rPr>
      </w:pPr>
      <w:r>
        <w:rPr>
          <w:rFonts w:ascii="宋体" w:hAnsi="宋体"/>
          <w:sz w:val="24"/>
        </w:rPr>
        <w:t>封袋上应工整清晰打印单位名称</w:t>
      </w:r>
      <w:r>
        <w:rPr>
          <w:rFonts w:hint="eastAsia" w:ascii="宋体" w:hAnsi="宋体"/>
          <w:sz w:val="24"/>
        </w:rPr>
        <w:t>、</w:t>
      </w:r>
      <w:r>
        <w:rPr>
          <w:rFonts w:ascii="宋体" w:hAnsi="宋体"/>
          <w:sz w:val="24"/>
        </w:rPr>
        <w:t>投标标段信息</w:t>
      </w:r>
      <w:r>
        <w:rPr>
          <w:rFonts w:hint="eastAsia" w:ascii="宋体" w:hAnsi="宋体"/>
          <w:sz w:val="24"/>
        </w:rPr>
        <w:t>。</w:t>
      </w:r>
      <w:r>
        <w:rPr>
          <w:rFonts w:ascii="宋体" w:hAnsi="宋体"/>
          <w:sz w:val="24"/>
        </w:rPr>
        <w:t xml:space="preserve"> </w:t>
      </w:r>
    </w:p>
    <w:p>
      <w:pPr>
        <w:widowControl/>
        <w:numPr>
          <w:ilvl w:val="0"/>
          <w:numId w:val="8"/>
        </w:numPr>
        <w:spacing w:after="120" w:line="360" w:lineRule="auto"/>
        <w:jc w:val="left"/>
        <w:rPr>
          <w:rFonts w:ascii="宋体" w:hAnsi="宋体"/>
          <w:sz w:val="24"/>
        </w:rPr>
      </w:pPr>
      <w:r>
        <w:rPr>
          <w:rFonts w:ascii="宋体" w:hAnsi="宋体"/>
          <w:sz w:val="24"/>
        </w:rPr>
        <w:t>投标文件须在投标截止时间前递交至开标地点</w:t>
      </w:r>
      <w:r>
        <w:rPr>
          <w:rFonts w:hint="eastAsia" w:ascii="宋体" w:hAnsi="宋体"/>
          <w:sz w:val="24"/>
        </w:rPr>
        <w:t>。</w:t>
      </w:r>
    </w:p>
    <w:p>
      <w:pPr>
        <w:spacing w:line="360" w:lineRule="auto"/>
        <w:ind w:firstLine="480" w:firstLineChars="200"/>
        <w:rPr>
          <w:rFonts w:ascii="宋体" w:hAnsi="宋体"/>
          <w:bCs/>
          <w:sz w:val="24"/>
        </w:rPr>
      </w:pPr>
      <w:r>
        <w:rPr>
          <w:rFonts w:ascii="宋体" w:hAnsi="宋体"/>
          <w:sz w:val="24"/>
        </w:rPr>
        <w:t>如果评标委员会认定任何一家投标人有违反上述规定的行为，</w:t>
      </w:r>
      <w:r>
        <w:rPr>
          <w:rFonts w:hint="eastAsia" w:ascii="宋体" w:hAnsi="宋体"/>
          <w:bCs/>
          <w:sz w:val="24"/>
        </w:rPr>
        <w:t xml:space="preserve"> 招标人有权决定取消其投标资格。</w:t>
      </w:r>
    </w:p>
    <w:p>
      <w:pPr>
        <w:autoSpaceDE w:val="0"/>
        <w:autoSpaceDN w:val="0"/>
        <w:adjustRightInd w:val="0"/>
        <w:spacing w:before="156" w:beforeLines="50" w:line="360" w:lineRule="auto"/>
        <w:ind w:left="997" w:leftChars="200" w:hanging="577" w:hangingChars="275"/>
        <w:rPr>
          <w:rFonts w:ascii="宋体"/>
        </w:rPr>
      </w:pPr>
    </w:p>
    <w:p>
      <w:pPr>
        <w:pStyle w:val="2"/>
        <w:keepNext w:val="0"/>
        <w:keepLines w:val="0"/>
        <w:pageBreakBefore/>
        <w:widowControl/>
        <w:pBdr>
          <w:bottom w:val="single" w:color="808080" w:sz="36" w:space="3"/>
        </w:pBdr>
        <w:spacing w:before="0" w:after="240" w:line="240" w:lineRule="auto"/>
        <w:jc w:val="left"/>
        <w:rPr>
          <w:rFonts w:ascii="宋体" w:hAnsi="宋体"/>
        </w:rPr>
      </w:pPr>
      <w:bookmarkStart w:id="71" w:name="_Toc133775961"/>
      <w:bookmarkStart w:id="72" w:name="_Toc268096571"/>
      <w:bookmarkStart w:id="73" w:name="_Toc363569322"/>
      <w:bookmarkStart w:id="74" w:name="_Toc365364672"/>
      <w:bookmarkStart w:id="75" w:name="_Toc74734412"/>
      <w:bookmarkStart w:id="76" w:name="_Toc94175719"/>
      <w:r>
        <w:rPr>
          <w:rFonts w:hint="eastAsia" w:ascii="宋体" w:hAnsi="宋体"/>
        </w:rPr>
        <w:t>开标与评标</w:t>
      </w:r>
      <w:bookmarkEnd w:id="71"/>
      <w:bookmarkEnd w:id="72"/>
      <w:bookmarkEnd w:id="73"/>
      <w:bookmarkEnd w:id="74"/>
      <w:bookmarkEnd w:id="75"/>
      <w:bookmarkEnd w:id="76"/>
    </w:p>
    <w:p>
      <w:pPr>
        <w:pStyle w:val="3"/>
        <w:keepLines w:val="0"/>
        <w:widowControl/>
        <w:numPr>
          <w:ilvl w:val="1"/>
          <w:numId w:val="0"/>
        </w:numPr>
        <w:spacing w:before="240" w:after="120" w:line="400" w:lineRule="exact"/>
        <w:jc w:val="left"/>
        <w:rPr>
          <w:rFonts w:ascii="宋体" w:hAnsi="宋体"/>
        </w:rPr>
      </w:pPr>
      <w:bookmarkStart w:id="77" w:name="_Toc94175720"/>
      <w:bookmarkStart w:id="78" w:name="_Toc363569323"/>
      <w:bookmarkStart w:id="79" w:name="_Toc133775962"/>
      <w:bookmarkStart w:id="80" w:name="_Toc74734413"/>
      <w:bookmarkStart w:id="81" w:name="_Toc365364673"/>
      <w:bookmarkStart w:id="82" w:name="_Toc268096572"/>
      <w:r>
        <w:rPr>
          <w:rFonts w:hint="eastAsia" w:ascii="宋体" w:hAnsi="宋体"/>
        </w:rPr>
        <w:t>开标</w:t>
      </w:r>
      <w:bookmarkEnd w:id="77"/>
      <w:bookmarkEnd w:id="78"/>
      <w:bookmarkEnd w:id="79"/>
      <w:bookmarkEnd w:id="80"/>
      <w:bookmarkEnd w:id="81"/>
      <w:bookmarkEnd w:id="82"/>
    </w:p>
    <w:p>
      <w:pPr>
        <w:pStyle w:val="6"/>
        <w:numPr>
          <w:ilvl w:val="0"/>
          <w:numId w:val="9"/>
        </w:numPr>
        <w:spacing w:after="120" w:line="400" w:lineRule="exact"/>
        <w:rPr>
          <w:rFonts w:ascii="宋体" w:hAnsi="宋体"/>
        </w:rPr>
      </w:pPr>
      <w:r>
        <w:rPr>
          <w:rFonts w:hint="eastAsia" w:ascii="宋体" w:hAnsi="宋体"/>
        </w:rPr>
        <w:t>合格投标人可参加同一标段的开标会议。</w:t>
      </w:r>
    </w:p>
    <w:p>
      <w:pPr>
        <w:pStyle w:val="6"/>
        <w:numPr>
          <w:ilvl w:val="0"/>
          <w:numId w:val="9"/>
        </w:numPr>
        <w:spacing w:after="120" w:line="400" w:lineRule="exact"/>
        <w:rPr>
          <w:rFonts w:ascii="宋体" w:hAnsi="宋体"/>
        </w:rPr>
      </w:pPr>
      <w:r>
        <w:rPr>
          <w:rFonts w:hint="eastAsia" w:ascii="宋体" w:hAnsi="宋体"/>
        </w:rPr>
        <w:t>整个开标过程将由监察审计人员监督。</w:t>
      </w:r>
    </w:p>
    <w:p>
      <w:pPr>
        <w:pStyle w:val="6"/>
        <w:numPr>
          <w:ilvl w:val="0"/>
          <w:numId w:val="9"/>
        </w:numPr>
        <w:spacing w:after="120" w:line="400" w:lineRule="exact"/>
        <w:rPr>
          <w:rFonts w:ascii="宋体" w:hAnsi="宋体"/>
          <w:color w:val="FF0000"/>
        </w:rPr>
      </w:pPr>
      <w:r>
        <w:rPr>
          <w:rFonts w:hint="eastAsia" w:ascii="宋体" w:hAnsi="宋体"/>
          <w:color w:val="FF0000"/>
        </w:rPr>
        <w:t>开标会议由招标人主持，投标人需派1～2名代表参加开标会议。</w:t>
      </w:r>
    </w:p>
    <w:p>
      <w:pPr>
        <w:pStyle w:val="3"/>
        <w:keepLines w:val="0"/>
        <w:widowControl/>
        <w:numPr>
          <w:ilvl w:val="1"/>
          <w:numId w:val="0"/>
        </w:numPr>
        <w:spacing w:before="240" w:after="120" w:line="400" w:lineRule="exact"/>
        <w:jc w:val="left"/>
        <w:rPr>
          <w:rFonts w:ascii="宋体" w:hAnsi="宋体"/>
        </w:rPr>
      </w:pPr>
      <w:bookmarkStart w:id="83" w:name="_Toc74734414"/>
      <w:bookmarkStart w:id="84" w:name="_Toc363569324"/>
      <w:bookmarkStart w:id="85" w:name="_Toc365364674"/>
      <w:bookmarkStart w:id="86" w:name="_Toc94175721"/>
      <w:bookmarkStart w:id="87" w:name="_Toc268096573"/>
      <w:bookmarkStart w:id="88" w:name="_Toc133775963"/>
      <w:r>
        <w:rPr>
          <w:rFonts w:hint="eastAsia" w:ascii="宋体" w:hAnsi="宋体"/>
        </w:rPr>
        <w:t>评标</w:t>
      </w:r>
      <w:bookmarkEnd w:id="83"/>
      <w:bookmarkEnd w:id="84"/>
      <w:bookmarkEnd w:id="85"/>
      <w:bookmarkEnd w:id="86"/>
      <w:bookmarkEnd w:id="87"/>
      <w:bookmarkEnd w:id="88"/>
    </w:p>
    <w:p>
      <w:pPr>
        <w:pStyle w:val="6"/>
        <w:numPr>
          <w:ilvl w:val="0"/>
          <w:numId w:val="10"/>
        </w:numPr>
        <w:spacing w:after="120" w:line="400" w:lineRule="exact"/>
        <w:rPr>
          <w:rFonts w:ascii="宋体" w:hAnsi="宋体"/>
        </w:rPr>
      </w:pPr>
      <w:r>
        <w:rPr>
          <w:rFonts w:hint="eastAsia" w:ascii="宋体" w:hAnsi="宋体"/>
        </w:rPr>
        <w:t>招标人将本着公平、公正的原则进行评标，按招标人预先确定的招标方案规定的程序和标准进行评定。</w:t>
      </w:r>
    </w:p>
    <w:p>
      <w:pPr>
        <w:pStyle w:val="6"/>
        <w:numPr>
          <w:ilvl w:val="0"/>
          <w:numId w:val="10"/>
        </w:numPr>
        <w:spacing w:after="120" w:line="400" w:lineRule="exact"/>
        <w:rPr>
          <w:rFonts w:ascii="宋体" w:hAnsi="宋体"/>
        </w:rPr>
      </w:pPr>
      <w:r>
        <w:rPr>
          <w:rFonts w:hint="eastAsia" w:ascii="宋体" w:hAnsi="宋体"/>
        </w:rPr>
        <w:t>招标人在评标时除考虑投标价格外，还将考虑投标人须知资料表中所列出的内容。</w:t>
      </w:r>
    </w:p>
    <w:p>
      <w:pPr>
        <w:pStyle w:val="6"/>
        <w:numPr>
          <w:ilvl w:val="0"/>
          <w:numId w:val="10"/>
        </w:numPr>
        <w:spacing w:after="120" w:line="400" w:lineRule="exact"/>
        <w:rPr>
          <w:rFonts w:ascii="宋体" w:hAnsi="宋体"/>
        </w:rPr>
      </w:pPr>
      <w:r>
        <w:rPr>
          <w:rFonts w:hint="eastAsia" w:ascii="宋体" w:hAnsi="宋体"/>
        </w:rPr>
        <w:t>供货范围的缺漏项调整，对于投标人在投标报价中已有投标单价的，将按照该投标人所报单价进行调整；对于投标文件中无投标单价的，将按本次招标其他合格投标人相应项目的最高报价加入该投标人的投标价格。</w:t>
      </w:r>
    </w:p>
    <w:p>
      <w:pPr>
        <w:pStyle w:val="6"/>
        <w:numPr>
          <w:ilvl w:val="0"/>
          <w:numId w:val="10"/>
        </w:numPr>
        <w:spacing w:after="120" w:line="400" w:lineRule="exact"/>
        <w:rPr>
          <w:rFonts w:ascii="宋体" w:hAnsi="宋体"/>
        </w:rPr>
      </w:pPr>
      <w:r>
        <w:rPr>
          <w:rFonts w:hint="eastAsia" w:ascii="宋体" w:hAnsi="宋体"/>
        </w:rPr>
        <w:t>计算评标价格时，以货物到达招标文件指定交货地点为依据，即出厂价及运杂费、保险费之和，及投标人须知资料表中规定的商务和技术评标因素，加上投标人在投标文件中列明的技术服务等全部费用为基础。</w:t>
      </w:r>
    </w:p>
    <w:p>
      <w:pPr>
        <w:pStyle w:val="6"/>
        <w:numPr>
          <w:ilvl w:val="0"/>
          <w:numId w:val="10"/>
        </w:numPr>
        <w:spacing w:after="120" w:line="400" w:lineRule="exact"/>
        <w:rPr>
          <w:rFonts w:ascii="宋体"/>
        </w:rPr>
      </w:pPr>
      <w:r>
        <w:rPr>
          <w:rFonts w:hint="eastAsia" w:ascii="宋体" w:hAnsi="宋体"/>
        </w:rPr>
        <w:t>综合得分的计算将根据</w:t>
      </w:r>
      <w:r>
        <w:rPr>
          <w:rFonts w:hint="eastAsia" w:ascii="宋体" w:hAnsi="宋体"/>
          <w:b/>
          <w:color w:val="FF0000"/>
          <w:u w:val="none"/>
          <w:lang w:val="en-US" w:eastAsia="zh-CN"/>
        </w:rPr>
        <w:t>氙灯老化试验箱评分规则</w:t>
      </w:r>
      <w:r>
        <w:rPr>
          <w:rFonts w:hint="eastAsia" w:ascii="宋体" w:hAnsi="宋体"/>
        </w:rPr>
        <w:t>对有效投标人的投标文件进行</w:t>
      </w:r>
      <w:r>
        <w:rPr>
          <w:rFonts w:ascii="宋体" w:hAnsi="宋体"/>
        </w:rPr>
        <w:t>综合评分</w:t>
      </w:r>
      <w:r>
        <w:rPr>
          <w:rFonts w:hint="eastAsia" w:ascii="宋体" w:hAnsi="宋体"/>
        </w:rPr>
        <w:t>。其中</w:t>
      </w:r>
      <w:r>
        <w:rPr>
          <w:rFonts w:ascii="宋体" w:hAnsi="宋体"/>
        </w:rPr>
        <w:t>商务评分</w:t>
      </w:r>
      <w:r>
        <w:rPr>
          <w:rFonts w:hint="eastAsia" w:ascii="宋体" w:hAnsi="宋体"/>
          <w:color w:val="auto"/>
          <w:lang w:val="en-US" w:eastAsia="zh-CN"/>
        </w:rPr>
        <w:t>2</w:t>
      </w:r>
      <w:r>
        <w:rPr>
          <w:rFonts w:hint="eastAsia" w:ascii="宋体" w:hAnsi="宋体"/>
          <w:color w:val="auto"/>
        </w:rPr>
        <w:t>0</w:t>
      </w:r>
      <w:r>
        <w:rPr>
          <w:rFonts w:hint="eastAsia" w:ascii="宋体" w:hAnsi="宋体"/>
          <w:color w:val="auto"/>
          <w:lang w:val="en-US" w:eastAsia="zh-CN"/>
        </w:rPr>
        <w:t>分</w:t>
      </w:r>
      <w:r>
        <w:rPr>
          <w:rFonts w:ascii="宋体" w:hAnsi="宋体"/>
          <w:color w:val="auto"/>
        </w:rPr>
        <w:t>，技术评分</w:t>
      </w:r>
      <w:r>
        <w:rPr>
          <w:rFonts w:hint="eastAsia" w:ascii="宋体" w:hAnsi="宋体"/>
          <w:color w:val="auto"/>
          <w:lang w:val="en-US" w:eastAsia="zh-CN"/>
        </w:rPr>
        <w:t>4</w:t>
      </w:r>
      <w:r>
        <w:rPr>
          <w:rFonts w:hint="eastAsia" w:ascii="宋体" w:hAnsi="宋体"/>
          <w:color w:val="auto"/>
        </w:rPr>
        <w:t>0</w:t>
      </w:r>
      <w:r>
        <w:rPr>
          <w:rFonts w:hint="eastAsia" w:ascii="宋体" w:hAnsi="宋体"/>
          <w:color w:val="auto"/>
          <w:lang w:val="en-US" w:eastAsia="zh-CN"/>
        </w:rPr>
        <w:t>分</w:t>
      </w:r>
      <w:r>
        <w:rPr>
          <w:rFonts w:ascii="宋体" w:hAnsi="宋体"/>
          <w:color w:val="auto"/>
        </w:rPr>
        <w:t>，价格评分</w:t>
      </w:r>
      <w:r>
        <w:rPr>
          <w:rFonts w:hint="eastAsia" w:ascii="宋体" w:hAnsi="宋体"/>
          <w:color w:val="auto"/>
          <w:lang w:val="en-US" w:eastAsia="zh-CN"/>
        </w:rPr>
        <w:t>4</w:t>
      </w:r>
      <w:r>
        <w:rPr>
          <w:rFonts w:hint="eastAsia" w:ascii="宋体" w:hAnsi="宋体"/>
          <w:color w:val="auto"/>
        </w:rPr>
        <w:t>0</w:t>
      </w:r>
      <w:r>
        <w:rPr>
          <w:rFonts w:hint="eastAsia" w:ascii="宋体" w:hAnsi="宋体"/>
          <w:color w:val="auto"/>
          <w:lang w:val="en-US" w:eastAsia="zh-CN"/>
        </w:rPr>
        <w:t>分</w:t>
      </w:r>
      <w:r>
        <w:rPr>
          <w:rFonts w:ascii="宋体" w:hAnsi="宋体"/>
        </w:rPr>
        <w:t>。</w:t>
      </w:r>
    </w:p>
    <w:p>
      <w:pPr>
        <w:pStyle w:val="3"/>
        <w:keepLines w:val="0"/>
        <w:widowControl/>
        <w:numPr>
          <w:ilvl w:val="1"/>
          <w:numId w:val="0"/>
        </w:numPr>
        <w:spacing w:before="240" w:after="120" w:line="400" w:lineRule="exact"/>
        <w:jc w:val="left"/>
        <w:rPr>
          <w:rFonts w:ascii="宋体" w:hAnsi="宋体"/>
        </w:rPr>
      </w:pPr>
      <w:bookmarkStart w:id="89" w:name="_Toc94175723"/>
      <w:bookmarkStart w:id="90" w:name="_Toc363569325"/>
      <w:bookmarkStart w:id="91" w:name="_Toc74734415"/>
      <w:bookmarkStart w:id="92" w:name="_Toc268096574"/>
      <w:bookmarkStart w:id="93" w:name="_Toc133775964"/>
      <w:bookmarkStart w:id="94" w:name="_Toc365364675"/>
      <w:r>
        <w:rPr>
          <w:rFonts w:hint="eastAsia" w:ascii="宋体" w:hAnsi="宋体"/>
        </w:rPr>
        <w:t>投标文件的澄清</w:t>
      </w:r>
      <w:bookmarkEnd w:id="89"/>
      <w:bookmarkEnd w:id="90"/>
      <w:bookmarkEnd w:id="91"/>
      <w:bookmarkEnd w:id="92"/>
      <w:bookmarkEnd w:id="93"/>
      <w:bookmarkEnd w:id="94"/>
    </w:p>
    <w:p>
      <w:pPr>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为有助于投标文件的审查，招标人可要求投标人对其投标文件进行澄清。澄清和答复应以书面形式，但对投标文件不得做实质性变更。</w:t>
      </w:r>
    </w:p>
    <w:p>
      <w:pPr>
        <w:pStyle w:val="3"/>
        <w:keepLines w:val="0"/>
        <w:widowControl/>
        <w:numPr>
          <w:ilvl w:val="1"/>
          <w:numId w:val="0"/>
        </w:numPr>
        <w:spacing w:before="240" w:after="120" w:line="400" w:lineRule="exact"/>
        <w:jc w:val="left"/>
        <w:rPr>
          <w:rFonts w:ascii="宋体" w:hAnsi="宋体"/>
        </w:rPr>
      </w:pPr>
      <w:bookmarkStart w:id="95" w:name="_Toc74734416"/>
      <w:bookmarkStart w:id="96" w:name="_Toc94175725"/>
      <w:bookmarkStart w:id="97" w:name="_Toc133775966"/>
      <w:bookmarkStart w:id="98" w:name="_Toc365364676"/>
      <w:bookmarkStart w:id="99" w:name="_Toc268096576"/>
      <w:bookmarkStart w:id="100" w:name="_Toc363569327"/>
      <w:r>
        <w:rPr>
          <w:rFonts w:hint="eastAsia" w:ascii="宋体" w:hAnsi="宋体"/>
        </w:rPr>
        <w:t>废标条款</w:t>
      </w:r>
      <w:bookmarkEnd w:id="95"/>
    </w:p>
    <w:p>
      <w:pPr>
        <w:pStyle w:val="25"/>
        <w:spacing w:line="540" w:lineRule="exact"/>
        <w:ind w:firstLine="240" w:firstLineChars="100"/>
        <w:rPr>
          <w:rFonts w:hAnsi="Times New Roman"/>
        </w:rPr>
      </w:pPr>
      <w:r>
        <w:rPr>
          <w:rFonts w:hint="eastAsia" w:hAnsi="Times New Roman"/>
        </w:rPr>
        <w:t>（一）投标文件有下列之一的，应作废标处理：</w:t>
      </w:r>
    </w:p>
    <w:p>
      <w:pPr>
        <w:pStyle w:val="25"/>
        <w:spacing w:line="540" w:lineRule="exact"/>
        <w:ind w:firstLine="240" w:firstLineChars="100"/>
        <w:rPr>
          <w:rFonts w:hAnsi="Times New Roman"/>
        </w:rPr>
      </w:pPr>
      <w:r>
        <w:rPr>
          <w:rFonts w:hint="eastAsia" w:hAnsi="Times New Roman"/>
        </w:rPr>
        <w:t>1、投标文件送达的时间超过规定的投标截止时间的；</w:t>
      </w:r>
    </w:p>
    <w:p>
      <w:pPr>
        <w:pStyle w:val="25"/>
        <w:spacing w:line="540" w:lineRule="exact"/>
        <w:ind w:firstLine="240" w:firstLineChars="100"/>
        <w:rPr>
          <w:rFonts w:hAnsi="Times New Roman"/>
        </w:rPr>
      </w:pPr>
      <w:r>
        <w:rPr>
          <w:rFonts w:hint="eastAsia" w:hAnsi="Times New Roman"/>
        </w:rPr>
        <w:t>2、投标文件无法定代表人或授权委托代理人签字、盖公章的；</w:t>
      </w:r>
    </w:p>
    <w:p>
      <w:pPr>
        <w:pStyle w:val="25"/>
        <w:spacing w:line="540" w:lineRule="exact"/>
        <w:ind w:firstLine="240" w:firstLineChars="100"/>
        <w:rPr>
          <w:rFonts w:hint="eastAsia" w:hAnsi="Times New Roman"/>
        </w:rPr>
      </w:pPr>
      <w:r>
        <w:rPr>
          <w:rFonts w:hint="eastAsia" w:hAnsi="Times New Roman"/>
        </w:rPr>
        <w:t>3、签字人无法定代表人（企业负责人）有效授权书的；</w:t>
      </w:r>
    </w:p>
    <w:p>
      <w:pPr>
        <w:pStyle w:val="25"/>
        <w:spacing w:line="540" w:lineRule="exact"/>
        <w:ind w:firstLine="240" w:firstLineChars="100"/>
        <w:rPr>
          <w:rFonts w:hAnsi="Times New Roman"/>
        </w:rPr>
      </w:pPr>
      <w:r>
        <w:rPr>
          <w:rFonts w:hint="eastAsia" w:hAnsi="Times New Roman"/>
        </w:rPr>
        <w:t>4、投标报价未按招标文件的内容和要求编写，内容不全或字迹无法辨认的；</w:t>
      </w:r>
    </w:p>
    <w:p>
      <w:pPr>
        <w:tabs>
          <w:tab w:val="left" w:pos="210"/>
        </w:tabs>
        <w:spacing w:line="540" w:lineRule="exact"/>
        <w:ind w:firstLine="240" w:firstLineChars="100"/>
        <w:rPr>
          <w:rFonts w:hint="eastAsia" w:ascii="宋体" w:hAnsi="Times New Roman" w:eastAsia="宋体" w:cs="Times New Roman"/>
          <w:kern w:val="0"/>
          <w:sz w:val="24"/>
          <w:szCs w:val="20"/>
          <w:lang w:val="en-US" w:eastAsia="zh-CN" w:bidi="ar-SA"/>
        </w:rPr>
      </w:pPr>
      <w:r>
        <w:rPr>
          <w:rFonts w:hint="eastAsia" w:ascii="宋体" w:hAnsi="Times New Roman" w:eastAsia="宋体" w:cs="Times New Roman"/>
          <w:kern w:val="0"/>
          <w:sz w:val="24"/>
          <w:szCs w:val="20"/>
          <w:lang w:val="en-US" w:eastAsia="zh-CN" w:bidi="ar-SA"/>
        </w:rPr>
        <w:t>5、资质评审不合格的；</w:t>
      </w:r>
    </w:p>
    <w:p>
      <w:pPr>
        <w:tabs>
          <w:tab w:val="left" w:pos="210"/>
        </w:tabs>
        <w:spacing w:line="540" w:lineRule="exact"/>
        <w:ind w:firstLine="210" w:firstLineChars="100"/>
        <w:rPr>
          <w:rFonts w:hint="eastAsia" w:ascii="宋体" w:hAnsi="Times New Roman" w:eastAsia="宋体" w:cs="Times New Roman"/>
          <w:kern w:val="0"/>
          <w:sz w:val="24"/>
          <w:szCs w:val="20"/>
          <w:lang w:val="en-US" w:eastAsia="zh-CN" w:bidi="ar-SA"/>
        </w:rPr>
      </w:pPr>
      <w:r>
        <w:rPr>
          <w:rFonts w:hint="eastAsia" w:ascii="宋体"/>
        </w:rPr>
        <w:t>6、</w:t>
      </w:r>
      <w:r>
        <w:rPr>
          <w:rFonts w:hint="eastAsia" w:ascii="宋体" w:hAnsi="Times New Roman" w:eastAsia="宋体" w:cs="Times New Roman"/>
          <w:kern w:val="0"/>
          <w:sz w:val="24"/>
          <w:szCs w:val="20"/>
          <w:lang w:val="en-US" w:eastAsia="zh-CN" w:bidi="ar-SA"/>
        </w:rPr>
        <w:t>标书有缺项或未实质响应招标文件的，根据情节轻重，由评标委员会决议，可要求投标方现场口头澄清，签署书面承诺书，评标扣分，直至取消本次投标资格，作废标处理。</w:t>
      </w:r>
    </w:p>
    <w:p>
      <w:pPr>
        <w:pStyle w:val="25"/>
        <w:spacing w:line="540" w:lineRule="exact"/>
        <w:ind w:firstLine="240" w:firstLineChars="100"/>
        <w:rPr>
          <w:rFonts w:hAnsi="Times New Roman"/>
        </w:rPr>
      </w:pPr>
      <w:r>
        <w:rPr>
          <w:rFonts w:hint="eastAsia" w:hAnsi="Times New Roman"/>
        </w:rPr>
        <w:t>（二）招投标过程中有下列行为之一者，应作废标处理：</w:t>
      </w:r>
    </w:p>
    <w:p>
      <w:pPr>
        <w:pStyle w:val="25"/>
        <w:spacing w:line="540" w:lineRule="exact"/>
        <w:ind w:firstLine="240" w:firstLineChars="100"/>
        <w:rPr>
          <w:rFonts w:hAnsi="Times New Roman"/>
        </w:rPr>
      </w:pPr>
      <w:r>
        <w:rPr>
          <w:rFonts w:hint="eastAsia" w:hAnsi="Times New Roman"/>
        </w:rPr>
        <w:t>1、出现影响公正的违法、违规行为的；</w:t>
      </w:r>
    </w:p>
    <w:p>
      <w:pPr>
        <w:pStyle w:val="25"/>
        <w:spacing w:line="540" w:lineRule="exact"/>
        <w:ind w:firstLine="240" w:firstLineChars="100"/>
        <w:rPr>
          <w:rFonts w:hAnsi="Times New Roman"/>
        </w:rPr>
      </w:pPr>
      <w:r>
        <w:rPr>
          <w:rFonts w:hint="eastAsia" w:hAnsi="Times New Roman"/>
        </w:rPr>
        <w:t>2、投标人报价明显高于项目造价的；</w:t>
      </w:r>
    </w:p>
    <w:p>
      <w:pPr>
        <w:tabs>
          <w:tab w:val="left" w:pos="210"/>
        </w:tabs>
        <w:spacing w:line="540" w:lineRule="exact"/>
        <w:ind w:firstLine="240" w:firstLineChars="100"/>
        <w:rPr>
          <w:rFonts w:ascii="宋体"/>
          <w:kern w:val="0"/>
          <w:sz w:val="24"/>
          <w:szCs w:val="20"/>
        </w:rPr>
      </w:pPr>
      <w:r>
        <w:rPr>
          <w:rFonts w:hint="eastAsia" w:ascii="宋体"/>
          <w:kern w:val="0"/>
          <w:sz w:val="24"/>
          <w:szCs w:val="20"/>
        </w:rPr>
        <w:t>3、因重大变故，该项目取消的；</w:t>
      </w:r>
    </w:p>
    <w:p>
      <w:pPr>
        <w:pStyle w:val="2"/>
        <w:keepNext w:val="0"/>
        <w:keepLines w:val="0"/>
        <w:pageBreakBefore/>
        <w:widowControl/>
        <w:pBdr>
          <w:bottom w:val="single" w:color="808080" w:sz="36" w:space="3"/>
        </w:pBdr>
        <w:spacing w:before="0" w:after="240" w:line="240" w:lineRule="auto"/>
        <w:jc w:val="left"/>
        <w:rPr>
          <w:rFonts w:ascii="宋体" w:hAnsi="宋体"/>
        </w:rPr>
      </w:pPr>
      <w:bookmarkStart w:id="101" w:name="_Toc74734417"/>
      <w:r>
        <w:rPr>
          <w:rFonts w:hint="eastAsia" w:ascii="宋体" w:hAnsi="宋体"/>
        </w:rPr>
        <w:t>授予合同</w:t>
      </w:r>
      <w:bookmarkEnd w:id="96"/>
      <w:bookmarkEnd w:id="97"/>
      <w:bookmarkEnd w:id="98"/>
      <w:bookmarkEnd w:id="99"/>
      <w:bookmarkEnd w:id="100"/>
      <w:bookmarkEnd w:id="101"/>
    </w:p>
    <w:p>
      <w:pPr>
        <w:pStyle w:val="3"/>
        <w:keepLines w:val="0"/>
        <w:widowControl/>
        <w:numPr>
          <w:ilvl w:val="1"/>
          <w:numId w:val="0"/>
        </w:numPr>
        <w:spacing w:before="240" w:after="120" w:line="400" w:lineRule="exact"/>
        <w:jc w:val="left"/>
        <w:rPr>
          <w:rFonts w:ascii="宋体" w:hAnsi="宋体"/>
        </w:rPr>
      </w:pPr>
      <w:bookmarkStart w:id="102" w:name="_Toc74734418"/>
      <w:bookmarkStart w:id="103" w:name="_Toc363569328"/>
      <w:bookmarkStart w:id="104" w:name="_Toc365364677"/>
      <w:r>
        <w:rPr>
          <w:rFonts w:hint="eastAsia" w:ascii="宋体" w:hAnsi="宋体"/>
        </w:rPr>
        <w:t>定标原则</w:t>
      </w:r>
      <w:bookmarkEnd w:id="102"/>
      <w:bookmarkEnd w:id="103"/>
      <w:bookmarkEnd w:id="104"/>
    </w:p>
    <w:p>
      <w:pPr>
        <w:pStyle w:val="6"/>
        <w:numPr>
          <w:ilvl w:val="0"/>
          <w:numId w:val="11"/>
        </w:numPr>
        <w:spacing w:after="120" w:line="400" w:lineRule="exact"/>
        <w:rPr>
          <w:rFonts w:ascii="宋体" w:hAnsi="宋体"/>
        </w:rPr>
      </w:pPr>
      <w:r>
        <w:rPr>
          <w:rFonts w:hint="eastAsia" w:ascii="宋体" w:hAnsi="宋体"/>
        </w:rPr>
        <w:t>合同将授予符合下列条件的投标人：</w:t>
      </w:r>
    </w:p>
    <w:p>
      <w:pPr>
        <w:numPr>
          <w:ilvl w:val="0"/>
          <w:numId w:val="12"/>
        </w:numPr>
        <w:autoSpaceDE w:val="0"/>
        <w:autoSpaceDN w:val="0"/>
        <w:adjustRightInd w:val="0"/>
        <w:spacing w:before="78" w:beforeLines="25" w:line="360" w:lineRule="auto"/>
        <w:rPr>
          <w:rFonts w:ascii="宋体"/>
        </w:rPr>
      </w:pPr>
      <w:r>
        <w:rPr>
          <w:rFonts w:hint="eastAsia" w:ascii="宋体"/>
        </w:rPr>
        <w:t>投标文件及其澄清文件实质性响应招标文件要求；</w:t>
      </w:r>
    </w:p>
    <w:p>
      <w:pPr>
        <w:numPr>
          <w:ilvl w:val="0"/>
          <w:numId w:val="12"/>
        </w:numPr>
        <w:autoSpaceDE w:val="0"/>
        <w:autoSpaceDN w:val="0"/>
        <w:adjustRightInd w:val="0"/>
        <w:spacing w:before="78" w:beforeLines="25" w:line="360" w:lineRule="auto"/>
        <w:rPr>
          <w:rFonts w:ascii="宋体"/>
        </w:rPr>
      </w:pPr>
      <w:r>
        <w:rPr>
          <w:rFonts w:hint="eastAsia" w:ascii="宋体"/>
        </w:rPr>
        <w:t>评标委员会根据</w:t>
      </w:r>
      <w:r>
        <w:rPr>
          <w:rFonts w:hint="eastAsia" w:ascii="宋体"/>
          <w:lang w:val="en-US" w:eastAsia="zh-CN"/>
        </w:rPr>
        <w:t>公布的评分规则</w:t>
      </w:r>
      <w:r>
        <w:rPr>
          <w:rFonts w:hint="eastAsia" w:ascii="宋体"/>
        </w:rPr>
        <w:t>综合评价，评出的最大限度满足招标要求的投标人；</w:t>
      </w:r>
    </w:p>
    <w:p>
      <w:pPr>
        <w:pStyle w:val="6"/>
        <w:numPr>
          <w:ilvl w:val="0"/>
          <w:numId w:val="11"/>
        </w:numPr>
        <w:spacing w:after="120" w:line="400" w:lineRule="exact"/>
        <w:rPr>
          <w:rFonts w:ascii="宋体" w:hAnsi="宋体"/>
        </w:rPr>
      </w:pPr>
      <w:r>
        <w:rPr>
          <w:rFonts w:hint="eastAsia" w:ascii="宋体" w:hAnsi="宋体"/>
        </w:rPr>
        <w:t>对未中标的原因，招标人不予解释。</w:t>
      </w:r>
    </w:p>
    <w:p>
      <w:pPr>
        <w:pStyle w:val="3"/>
        <w:keepLines w:val="0"/>
        <w:widowControl/>
        <w:numPr>
          <w:ilvl w:val="1"/>
          <w:numId w:val="0"/>
        </w:numPr>
        <w:spacing w:before="240" w:after="120" w:line="400" w:lineRule="exact"/>
        <w:jc w:val="left"/>
        <w:rPr>
          <w:rFonts w:ascii="宋体" w:hAnsi="宋体"/>
        </w:rPr>
      </w:pPr>
      <w:bookmarkStart w:id="105" w:name="_Toc363569329"/>
      <w:bookmarkStart w:id="106" w:name="_Toc365364678"/>
      <w:bookmarkStart w:id="107" w:name="_Toc74734419"/>
      <w:r>
        <w:rPr>
          <w:rFonts w:hint="eastAsia" w:ascii="宋体" w:hAnsi="宋体"/>
        </w:rPr>
        <w:t>中标通知</w:t>
      </w:r>
      <w:bookmarkEnd w:id="105"/>
      <w:bookmarkEnd w:id="106"/>
      <w:bookmarkEnd w:id="107"/>
    </w:p>
    <w:p>
      <w:pPr>
        <w:autoSpaceDE w:val="0"/>
        <w:autoSpaceDN w:val="0"/>
        <w:adjustRightInd w:val="0"/>
        <w:spacing w:before="78" w:beforeLines="25" w:line="360" w:lineRule="auto"/>
        <w:ind w:left="1006" w:leftChars="229" w:hanging="525" w:hangingChars="250"/>
        <w:rPr>
          <w:rFonts w:ascii="宋体"/>
        </w:rPr>
      </w:pPr>
      <w:r>
        <w:rPr>
          <w:rFonts w:hint="eastAsia"/>
        </w:rPr>
        <w:t>中标人确定后，招标人将向中标人发出《中标通知书》。</w:t>
      </w:r>
    </w:p>
    <w:p>
      <w:pPr>
        <w:pStyle w:val="3"/>
        <w:keepLines w:val="0"/>
        <w:widowControl/>
        <w:numPr>
          <w:ilvl w:val="1"/>
          <w:numId w:val="0"/>
        </w:numPr>
        <w:spacing w:before="240" w:after="120" w:line="400" w:lineRule="exact"/>
        <w:jc w:val="left"/>
        <w:rPr>
          <w:rFonts w:ascii="宋体" w:hAnsi="宋体"/>
        </w:rPr>
      </w:pPr>
      <w:bookmarkStart w:id="108" w:name="_Toc363569330"/>
      <w:bookmarkStart w:id="109" w:name="_Toc74734420"/>
      <w:bookmarkStart w:id="110" w:name="_Toc365364679"/>
      <w:r>
        <w:rPr>
          <w:rFonts w:hint="eastAsia" w:ascii="宋体" w:hAnsi="宋体"/>
        </w:rPr>
        <w:t>授予合同时变更数量的权利</w:t>
      </w:r>
      <w:bookmarkEnd w:id="108"/>
      <w:bookmarkEnd w:id="109"/>
      <w:bookmarkEnd w:id="110"/>
    </w:p>
    <w:p>
      <w:pPr>
        <w:spacing w:line="360" w:lineRule="auto"/>
        <w:ind w:firstLine="420" w:firstLineChars="200"/>
        <w:rPr>
          <w:rFonts w:ascii="宋体"/>
        </w:rPr>
      </w:pPr>
      <w:r>
        <w:rPr>
          <w:rFonts w:hint="eastAsia" w:ascii="宋体"/>
        </w:rPr>
        <w:t>项目单位在合同签订时有权对招标文件中规定的货物数量和服务予以增加或减少，并相应地以单价为基础增减费用。</w:t>
      </w:r>
    </w:p>
    <w:p>
      <w:pPr>
        <w:pStyle w:val="3"/>
        <w:keepLines w:val="0"/>
        <w:widowControl/>
        <w:numPr>
          <w:ilvl w:val="1"/>
          <w:numId w:val="0"/>
        </w:numPr>
        <w:spacing w:before="240" w:after="120" w:line="400" w:lineRule="exact"/>
        <w:jc w:val="left"/>
      </w:pPr>
      <w:bookmarkStart w:id="111" w:name="_Toc74734421"/>
      <w:r>
        <w:rPr>
          <w:rFonts w:hint="eastAsia"/>
        </w:rPr>
        <w:t>合同签订</w:t>
      </w:r>
      <w:bookmarkEnd w:id="111"/>
    </w:p>
    <w:p>
      <w:pPr>
        <w:pStyle w:val="6"/>
        <w:numPr>
          <w:ilvl w:val="0"/>
          <w:numId w:val="13"/>
        </w:numPr>
        <w:spacing w:after="120" w:line="400" w:lineRule="exact"/>
        <w:rPr>
          <w:rFonts w:ascii="宋体" w:hAnsi="宋体"/>
        </w:rPr>
      </w:pPr>
      <w:r>
        <w:rPr>
          <w:rFonts w:hint="eastAsia" w:ascii="宋体" w:hAnsi="宋体"/>
        </w:rPr>
        <w:t>中标通知书发出之日起五个工作日内，中标人应带好所有签订合同所需的资料（包括但不限于法定代表人授权书、技术规范、技术图纸等），并按照招标文件和中标人的投标文件与买方订立书面合同。中标人不得与买方再订立背离合同实质性内容的其他协议。</w:t>
      </w:r>
    </w:p>
    <w:p>
      <w:pPr>
        <w:pStyle w:val="6"/>
        <w:numPr>
          <w:ilvl w:val="0"/>
          <w:numId w:val="13"/>
        </w:numPr>
        <w:spacing w:after="120" w:line="400" w:lineRule="exact"/>
        <w:rPr>
          <w:rFonts w:ascii="宋体" w:hAnsi="宋体"/>
        </w:rPr>
      </w:pPr>
      <w:r>
        <w:rPr>
          <w:rFonts w:hint="eastAsia" w:ascii="宋体" w:hAnsi="宋体"/>
        </w:rPr>
        <w:t>如果中标人拒绝按规定签订合同的，招标人将有权取消该中标人在今后一段时间内的投标资格。</w:t>
      </w:r>
    </w:p>
    <w:p>
      <w:pPr>
        <w:rPr>
          <w:rFonts w:ascii="宋体"/>
        </w:rPr>
      </w:pPr>
    </w:p>
    <w:p>
      <w:pPr>
        <w:pStyle w:val="3"/>
        <w:keepLines w:val="0"/>
        <w:widowControl/>
        <w:numPr>
          <w:ilvl w:val="1"/>
          <w:numId w:val="0"/>
        </w:numPr>
        <w:spacing w:before="240" w:after="120" w:line="400" w:lineRule="exact"/>
        <w:jc w:val="left"/>
        <w:rPr>
          <w:rFonts w:ascii="宋体" w:hAnsi="宋体"/>
          <w:smallCaps/>
        </w:rPr>
      </w:pPr>
      <w:bookmarkStart w:id="112" w:name="_Toc381600291"/>
      <w:bookmarkStart w:id="113" w:name="_Toc133775993"/>
      <w:bookmarkStart w:id="114" w:name="_Toc381600800"/>
      <w:bookmarkStart w:id="115" w:name="_Toc41724788"/>
      <w:bookmarkStart w:id="116" w:name="_Toc74734422"/>
      <w:bookmarkStart w:id="117" w:name="_Toc365364681"/>
      <w:bookmarkStart w:id="118" w:name="_Toc268096607"/>
      <w:bookmarkStart w:id="119" w:name="_Toc27812989"/>
      <w:bookmarkStart w:id="120" w:name="_Toc41734164"/>
      <w:bookmarkStart w:id="121" w:name="_Toc381669536"/>
      <w:bookmarkStart w:id="122" w:name="_Toc371904371"/>
      <w:bookmarkStart w:id="123" w:name="_Toc41724670"/>
      <w:r>
        <w:rPr>
          <w:rFonts w:hint="eastAsia" w:ascii="宋体" w:hAnsi="宋体"/>
          <w:smallCaps/>
        </w:rPr>
        <w:t>运输及其保险</w:t>
      </w:r>
      <w:bookmarkEnd w:id="112"/>
      <w:bookmarkEnd w:id="113"/>
      <w:bookmarkEnd w:id="114"/>
      <w:bookmarkEnd w:id="115"/>
      <w:bookmarkEnd w:id="116"/>
      <w:bookmarkEnd w:id="117"/>
      <w:bookmarkEnd w:id="118"/>
      <w:bookmarkEnd w:id="119"/>
      <w:bookmarkEnd w:id="120"/>
      <w:bookmarkEnd w:id="121"/>
      <w:bookmarkEnd w:id="122"/>
      <w:bookmarkEnd w:id="123"/>
    </w:p>
    <w:p>
      <w:pPr>
        <w:pStyle w:val="6"/>
        <w:numPr>
          <w:ilvl w:val="0"/>
          <w:numId w:val="14"/>
        </w:numPr>
        <w:spacing w:after="120" w:line="400" w:lineRule="exact"/>
        <w:rPr>
          <w:rFonts w:ascii="宋体" w:hAnsi="宋体"/>
        </w:rPr>
      </w:pPr>
      <w:bookmarkStart w:id="124" w:name="_Toc381600292"/>
      <w:bookmarkStart w:id="125" w:name="_Toc381669537"/>
      <w:bookmarkStart w:id="126" w:name="_Toc371904372"/>
      <w:bookmarkStart w:id="127" w:name="_Toc381600801"/>
      <w:r>
        <w:rPr>
          <w:rFonts w:hint="eastAsia" w:ascii="宋体" w:hAnsi="宋体"/>
        </w:rPr>
        <w:t>卖方负责办理货物运输和保险：卖方负责向承运部门办理申请发运货物所需要的车船，并负责办理货物从出厂至指定的交货地点运输途中的保险，保险受益人为卖方，保险范围应包括卖方装运的全部货物，保险应以人民币按照货物价值的百分之一百一十办理“一切险”，运杂费、保险费由卖方承担。货物运抵并卸至指定交货地点前的一切质量和安全方面的风险责任由卖方承担。同时，卖方应负责尽快自费对丢失的合同设备补充供货，和</w:t>
      </w:r>
      <w:r>
        <w:rPr>
          <w:rFonts w:ascii="宋体" w:hAnsi="宋体"/>
        </w:rPr>
        <w:t>/</w:t>
      </w:r>
      <w:r>
        <w:rPr>
          <w:rFonts w:hint="eastAsia" w:ascii="宋体" w:hAnsi="宋体"/>
        </w:rPr>
        <w:t>或修理和</w:t>
      </w:r>
      <w:r>
        <w:rPr>
          <w:rFonts w:ascii="宋体" w:hAnsi="宋体"/>
        </w:rPr>
        <w:t>/</w:t>
      </w:r>
      <w:r>
        <w:rPr>
          <w:rFonts w:hint="eastAsia" w:ascii="宋体" w:hAnsi="宋体"/>
        </w:rPr>
        <w:t>或更换损坏的合同设备，并承担由于补充和/或修理和/或更换损坏的合同货物而发生的一切费用。</w:t>
      </w:r>
    </w:p>
    <w:p>
      <w:pPr>
        <w:pStyle w:val="6"/>
        <w:numPr>
          <w:ilvl w:val="0"/>
          <w:numId w:val="14"/>
        </w:numPr>
        <w:spacing w:after="120" w:line="400" w:lineRule="exact"/>
        <w:rPr>
          <w:rFonts w:ascii="宋体" w:hAnsi="宋体"/>
        </w:rPr>
      </w:pPr>
      <w:r>
        <w:rPr>
          <w:rFonts w:hint="eastAsia" w:ascii="宋体" w:hAnsi="宋体"/>
        </w:rPr>
        <w:t>在保证期内和在保证期满后至第一次大修时止发现经双方确认的由于卖方的过失或疏忽造成的供应货物（或部分）损坏或潜在缺陷，而动用了买方库存中的备品备件，则卖方负责免费在2个月内将动用的备品备件补齐，运到指定目的车站，并且通知买方。</w:t>
      </w:r>
    </w:p>
    <w:p>
      <w:pPr>
        <w:pStyle w:val="6"/>
        <w:numPr>
          <w:ilvl w:val="0"/>
          <w:numId w:val="14"/>
        </w:numPr>
        <w:spacing w:after="120" w:line="400" w:lineRule="exact"/>
        <w:rPr>
          <w:rFonts w:ascii="宋体" w:hAnsi="宋体"/>
        </w:rPr>
      </w:pPr>
      <w:r>
        <w:rPr>
          <w:rFonts w:hint="eastAsia" w:ascii="宋体" w:hAnsi="宋体"/>
        </w:rPr>
        <w:t>卖方应按技术协议的规定，向买方分批提供满足工程设计所需的厂家图纸、资料、技术文件及全部安装图纸、资料、技术文件。</w:t>
      </w:r>
    </w:p>
    <w:p>
      <w:pPr>
        <w:pStyle w:val="6"/>
        <w:numPr>
          <w:ilvl w:val="0"/>
          <w:numId w:val="14"/>
        </w:numPr>
        <w:spacing w:after="120" w:line="400" w:lineRule="exact"/>
        <w:rPr>
          <w:rFonts w:ascii="宋体" w:hAnsi="宋体"/>
        </w:rPr>
      </w:pPr>
      <w:r>
        <w:rPr>
          <w:rFonts w:hint="eastAsia" w:ascii="宋体" w:hAnsi="宋体"/>
        </w:rPr>
        <w:t>每批技术资料交邮后，卖方在</w:t>
      </w:r>
      <w:r>
        <w:rPr>
          <w:rFonts w:ascii="宋体" w:hAnsi="宋体"/>
        </w:rPr>
        <w:t>24</w:t>
      </w:r>
      <w:r>
        <w:rPr>
          <w:rFonts w:hint="eastAsia" w:ascii="宋体" w:hAnsi="宋体"/>
        </w:rPr>
        <w:t>小时内将技术资料的交邮日期、邮单号、技术资料的详细清单、件数及重量、合同号等以传真通知买方和设计方。</w:t>
      </w:r>
    </w:p>
    <w:p>
      <w:pPr>
        <w:pStyle w:val="6"/>
        <w:numPr>
          <w:ilvl w:val="0"/>
          <w:numId w:val="14"/>
        </w:numPr>
        <w:spacing w:after="120" w:line="400" w:lineRule="exact"/>
        <w:rPr>
          <w:rFonts w:ascii="宋体" w:hAnsi="宋体"/>
        </w:rPr>
      </w:pPr>
      <w:r>
        <w:rPr>
          <w:rFonts w:hint="eastAsia" w:ascii="宋体" w:hAnsi="宋体"/>
        </w:rPr>
        <w:t>买方有权派遣代表到卖方工厂及装货车站检查包装质量和监督装车情况。卖方提前7天通知买方交运日期。如果买方代表不参加或不能及时参加检验时，卖方有权按原定时间发货。（上述买方代表的检查与监督不能免除卖方应负的责任）</w:t>
      </w:r>
    </w:p>
    <w:p>
      <w:pPr>
        <w:pStyle w:val="6"/>
        <w:numPr>
          <w:ilvl w:val="0"/>
          <w:numId w:val="14"/>
        </w:numPr>
        <w:spacing w:after="120" w:line="400" w:lineRule="exact"/>
        <w:rPr>
          <w:rFonts w:ascii="宋体" w:hAnsi="宋体"/>
        </w:rPr>
      </w:pPr>
      <w:r>
        <w:rPr>
          <w:rFonts w:hint="eastAsia" w:ascii="宋体" w:hAnsi="宋体"/>
        </w:rPr>
        <w:t>本合同供货范围包括了所有货物、资料、备品配件、设计服务及技术指导，但在执行合同过程中如发现有任何漏项和短缺，在发货清单中虽未列入但确实是卖方供货范围中应该有的，并且是满足合同招标文件技术部分对合同货物的性能保证值所必需的，须经双方确认无误后，均应由卖方负责将所缺的货物及备品配件、资料等补上，且不再发生费用问题。</w:t>
      </w:r>
    </w:p>
    <w:bookmarkEnd w:id="124"/>
    <w:bookmarkEnd w:id="125"/>
    <w:bookmarkEnd w:id="126"/>
    <w:bookmarkEnd w:id="127"/>
    <w:p>
      <w:pPr>
        <w:pStyle w:val="3"/>
        <w:keepLines w:val="0"/>
        <w:widowControl/>
        <w:numPr>
          <w:ilvl w:val="1"/>
          <w:numId w:val="0"/>
        </w:numPr>
        <w:spacing w:before="240" w:after="120" w:line="400" w:lineRule="exact"/>
        <w:jc w:val="left"/>
        <w:rPr>
          <w:rFonts w:ascii="宋体" w:hAnsi="宋体"/>
        </w:rPr>
      </w:pPr>
      <w:bookmarkStart w:id="128" w:name="_Hlt19434325"/>
      <w:bookmarkEnd w:id="128"/>
      <w:bookmarkStart w:id="129" w:name="_Toc27812993"/>
      <w:bookmarkStart w:id="130" w:name="_Toc381600295"/>
      <w:bookmarkStart w:id="131" w:name="_Toc371904375"/>
      <w:bookmarkStart w:id="132" w:name="_Toc133775997"/>
      <w:bookmarkStart w:id="133" w:name="_Toc381600804"/>
      <w:bookmarkStart w:id="134" w:name="_Toc268096611"/>
      <w:bookmarkStart w:id="135" w:name="_Toc41724674"/>
      <w:bookmarkStart w:id="136" w:name="_Toc41724792"/>
      <w:bookmarkStart w:id="137" w:name="_Toc365364683"/>
      <w:bookmarkStart w:id="138" w:name="_Toc74734423"/>
      <w:bookmarkStart w:id="139" w:name="_Toc381669540"/>
      <w:bookmarkStart w:id="140" w:name="_Toc41734168"/>
      <w:r>
        <w:rPr>
          <w:rFonts w:hint="eastAsia" w:ascii="宋体" w:hAnsi="宋体"/>
        </w:rPr>
        <w:t>交货地点及交货方式</w:t>
      </w:r>
      <w:bookmarkEnd w:id="129"/>
      <w:bookmarkEnd w:id="130"/>
      <w:bookmarkEnd w:id="131"/>
      <w:bookmarkEnd w:id="132"/>
      <w:bookmarkEnd w:id="133"/>
      <w:bookmarkEnd w:id="134"/>
      <w:bookmarkEnd w:id="135"/>
      <w:bookmarkEnd w:id="136"/>
      <w:bookmarkEnd w:id="137"/>
      <w:bookmarkEnd w:id="138"/>
      <w:bookmarkEnd w:id="139"/>
      <w:bookmarkEnd w:id="140"/>
    </w:p>
    <w:p>
      <w:pPr>
        <w:pStyle w:val="6"/>
        <w:numPr>
          <w:ilvl w:val="0"/>
          <w:numId w:val="15"/>
        </w:numPr>
        <w:spacing w:after="120" w:line="400" w:lineRule="exact"/>
        <w:rPr>
          <w:rFonts w:ascii="宋体" w:hAnsi="宋体"/>
        </w:rPr>
      </w:pPr>
      <w:bookmarkStart w:id="141" w:name="_Toc27812988"/>
      <w:bookmarkStart w:id="142" w:name="_Toc381600290"/>
      <w:bookmarkStart w:id="143" w:name="_Toc41734163"/>
      <w:bookmarkStart w:id="144" w:name="_Toc381600799"/>
      <w:bookmarkStart w:id="145" w:name="_Toc365364684"/>
      <w:bookmarkStart w:id="146" w:name="_Toc268096606"/>
      <w:bookmarkStart w:id="147" w:name="_Toc133775992"/>
      <w:bookmarkStart w:id="148" w:name="_Toc41724669"/>
      <w:bookmarkStart w:id="149" w:name="_Toc381669535"/>
      <w:bookmarkStart w:id="150" w:name="_Toc371904370"/>
      <w:bookmarkStart w:id="151" w:name="_Toc41724787"/>
      <w:r>
        <w:rPr>
          <w:rFonts w:hint="eastAsia" w:ascii="宋体" w:hAnsi="宋体"/>
        </w:rPr>
        <w:t>交货时间：合同签订后</w:t>
      </w:r>
      <w:r>
        <w:rPr>
          <w:rFonts w:hint="eastAsia" w:ascii="宋体" w:hAnsi="宋体"/>
          <w:color w:val="FF0000"/>
          <w:u w:val="single"/>
          <w:lang w:val="en-US" w:eastAsia="zh-CN"/>
        </w:rPr>
        <w:t>120</w:t>
      </w:r>
      <w:r>
        <w:rPr>
          <w:rFonts w:hint="eastAsia" w:ascii="宋体" w:hAnsi="宋体"/>
        </w:rPr>
        <w:t>日内完成货物的安装、调试和验收。</w:t>
      </w:r>
      <w:r>
        <w:rPr>
          <w:rFonts w:hint="eastAsia" w:ascii="宋体" w:hAnsi="宋体"/>
          <w:b/>
        </w:rPr>
        <w:t>注</w:t>
      </w:r>
      <w:r>
        <w:rPr>
          <w:rFonts w:hint="eastAsia" w:ascii="宋体" w:hAnsi="宋体"/>
        </w:rPr>
        <w:t>：以相应设备技术文件中的交货时间为准，未作规定的则以本时间为准。</w:t>
      </w:r>
    </w:p>
    <w:p>
      <w:pPr>
        <w:pStyle w:val="6"/>
        <w:numPr>
          <w:ilvl w:val="0"/>
          <w:numId w:val="15"/>
        </w:numPr>
        <w:spacing w:after="120" w:line="400" w:lineRule="exact"/>
        <w:rPr>
          <w:rFonts w:ascii="宋体" w:hAnsi="宋体"/>
        </w:rPr>
      </w:pPr>
      <w:r>
        <w:rPr>
          <w:rFonts w:hint="eastAsia" w:ascii="宋体" w:hAnsi="宋体"/>
        </w:rPr>
        <w:t>交货地点：湖北省武汉市江夏区藏龙岛开发区谭湖路2号武汉网锐检测科技有限公司</w:t>
      </w:r>
    </w:p>
    <w:p>
      <w:pPr>
        <w:pStyle w:val="3"/>
        <w:keepLines w:val="0"/>
        <w:widowControl/>
        <w:numPr>
          <w:ilvl w:val="1"/>
          <w:numId w:val="0"/>
        </w:numPr>
        <w:spacing w:before="240" w:after="120" w:line="400" w:lineRule="exact"/>
        <w:jc w:val="left"/>
        <w:rPr>
          <w:rFonts w:ascii="宋体" w:hAnsi="宋体"/>
        </w:rPr>
      </w:pPr>
      <w:bookmarkStart w:id="152" w:name="_Toc74734424"/>
      <w:r>
        <w:rPr>
          <w:rFonts w:hint="eastAsia" w:ascii="宋体" w:hAnsi="宋体"/>
        </w:rPr>
        <w:t>付款方式和付款比例</w:t>
      </w:r>
      <w:bookmarkEnd w:id="141"/>
      <w:bookmarkEnd w:id="142"/>
      <w:bookmarkEnd w:id="143"/>
      <w:bookmarkEnd w:id="144"/>
      <w:bookmarkEnd w:id="145"/>
      <w:bookmarkEnd w:id="146"/>
      <w:bookmarkEnd w:id="147"/>
      <w:bookmarkEnd w:id="148"/>
      <w:bookmarkEnd w:id="149"/>
      <w:bookmarkEnd w:id="150"/>
      <w:bookmarkEnd w:id="151"/>
      <w:bookmarkEnd w:id="152"/>
    </w:p>
    <w:p>
      <w:pPr>
        <w:pStyle w:val="6"/>
        <w:numPr>
          <w:ilvl w:val="0"/>
          <w:numId w:val="15"/>
        </w:numPr>
        <w:spacing w:after="120" w:line="400" w:lineRule="exact"/>
        <w:rPr>
          <w:rFonts w:ascii="宋体" w:hAnsi="宋体"/>
        </w:rPr>
      </w:pPr>
      <w:r>
        <w:rPr>
          <w:rFonts w:hint="eastAsia" w:ascii="宋体" w:hAnsi="宋体"/>
        </w:rPr>
        <w:t>本合同计价货币为人民币。</w:t>
      </w:r>
    </w:p>
    <w:p>
      <w:pPr>
        <w:pStyle w:val="6"/>
        <w:numPr>
          <w:ilvl w:val="0"/>
          <w:numId w:val="15"/>
        </w:numPr>
        <w:spacing w:after="120" w:line="400" w:lineRule="exact"/>
        <w:rPr>
          <w:rFonts w:ascii="宋体" w:hAnsi="宋体"/>
        </w:rPr>
      </w:pPr>
      <w:r>
        <w:rPr>
          <w:rFonts w:hint="eastAsia" w:ascii="宋体" w:hAnsi="宋体"/>
        </w:rPr>
        <w:t>付款方式</w:t>
      </w:r>
      <w:r>
        <w:rPr>
          <w:rFonts w:ascii="宋体" w:hAnsi="宋体"/>
        </w:rPr>
        <w:t>：</w:t>
      </w:r>
      <w:r>
        <w:rPr>
          <w:rFonts w:hint="eastAsia" w:ascii="宋体" w:hAnsi="宋体"/>
        </w:rPr>
        <w:t>电汇、汇票或支票。</w:t>
      </w:r>
    </w:p>
    <w:p>
      <w:pPr>
        <w:pStyle w:val="6"/>
        <w:numPr>
          <w:ilvl w:val="0"/>
          <w:numId w:val="15"/>
        </w:numPr>
        <w:spacing w:after="120" w:line="400" w:lineRule="exact"/>
        <w:rPr>
          <w:rFonts w:ascii="宋体" w:hAnsi="宋体"/>
        </w:rPr>
      </w:pPr>
      <w:r>
        <w:rPr>
          <w:rFonts w:hint="eastAsia" w:ascii="宋体" w:hAnsi="宋体"/>
        </w:rPr>
        <w:t>合同价款支付比例：</w:t>
      </w:r>
    </w:p>
    <w:p>
      <w:pPr>
        <w:spacing w:line="360" w:lineRule="auto"/>
        <w:ind w:left="1109" w:leftChars="228" w:hanging="630" w:hangingChars="300"/>
        <w:rPr>
          <w:rFonts w:ascii="宋体" w:hAnsi="宋体"/>
        </w:rPr>
      </w:pPr>
      <w:r>
        <w:rPr>
          <w:rFonts w:hint="eastAsia" w:ascii="宋体" w:hAnsi="宋体"/>
        </w:rPr>
        <w:t>(</w:t>
      </w:r>
      <w:r>
        <w:rPr>
          <w:rFonts w:hint="eastAsia" w:ascii="宋体" w:hAnsi="宋体"/>
          <w:lang w:val="en-US" w:eastAsia="zh-CN"/>
        </w:rPr>
        <w:t>1</w:t>
      </w:r>
      <w:r>
        <w:rPr>
          <w:rFonts w:hint="eastAsia" w:ascii="宋体" w:hAnsi="宋体"/>
        </w:rPr>
        <w:t>)合同生效后，</w:t>
      </w:r>
      <w:r>
        <w:rPr>
          <w:rFonts w:hint="eastAsia" w:ascii="宋体" w:hAnsi="宋体"/>
          <w:lang w:val="en-US" w:eastAsia="zh-CN"/>
        </w:rPr>
        <w:t>买方</w:t>
      </w:r>
      <w:r>
        <w:rPr>
          <w:rFonts w:hint="eastAsia" w:ascii="宋体" w:hAnsi="宋体"/>
        </w:rPr>
        <w:t>支付合同总金额的30%作为预付款</w:t>
      </w:r>
      <w:r>
        <w:rPr>
          <w:rFonts w:hint="eastAsia" w:ascii="宋体" w:hAnsi="宋体"/>
          <w:lang w:eastAsia="zh-CN"/>
        </w:rPr>
        <w:t>，</w:t>
      </w:r>
      <w:r>
        <w:rPr>
          <w:rFonts w:hint="eastAsia" w:ascii="宋体" w:hAnsi="宋体"/>
          <w:lang w:val="en-US" w:eastAsia="zh-CN"/>
        </w:rPr>
        <w:t>卖方开具相应金额的发票</w:t>
      </w:r>
      <w:r>
        <w:rPr>
          <w:rFonts w:hint="eastAsia" w:ascii="宋体" w:hAnsi="宋体"/>
        </w:rPr>
        <w:t>。</w:t>
      </w:r>
    </w:p>
    <w:p>
      <w:pPr>
        <w:spacing w:line="360" w:lineRule="auto"/>
        <w:ind w:left="1109" w:leftChars="228" w:hanging="630" w:hangingChars="300"/>
        <w:rPr>
          <w:rFonts w:hint="eastAsia" w:ascii="宋体" w:hAnsi="宋体"/>
          <w:lang w:val="en-US" w:eastAsia="zh-CN"/>
        </w:rPr>
      </w:pPr>
      <w:r>
        <w:rPr>
          <w:rFonts w:hint="eastAsia" w:ascii="宋体" w:hAnsi="宋体"/>
        </w:rPr>
        <w:t>(</w:t>
      </w:r>
      <w:r>
        <w:rPr>
          <w:rFonts w:hint="eastAsia" w:ascii="宋体" w:hAnsi="宋体"/>
          <w:lang w:val="en-US" w:eastAsia="zh-CN"/>
        </w:rPr>
        <w:t>2</w:t>
      </w:r>
      <w:r>
        <w:rPr>
          <w:rFonts w:hint="eastAsia" w:ascii="宋体" w:hAnsi="宋体"/>
        </w:rPr>
        <w:t>)合同货物在现场完成</w:t>
      </w:r>
      <w:r>
        <w:rPr>
          <w:rFonts w:hint="eastAsia"/>
        </w:rPr>
        <w:t>安装、调试、性能试验和验收合格</w:t>
      </w:r>
      <w:r>
        <w:rPr>
          <w:rFonts w:hint="eastAsia" w:ascii="宋体" w:hAnsi="宋体"/>
        </w:rPr>
        <w:t>后，凭买方签发的</w:t>
      </w:r>
      <w:r>
        <w:rPr>
          <w:rFonts w:hint="eastAsia" w:ascii="宋体" w:hAnsi="宋体"/>
          <w:lang w:val="en-US" w:eastAsia="zh-CN"/>
        </w:rPr>
        <w:t>货物签收</w:t>
      </w:r>
    </w:p>
    <w:p>
      <w:pPr>
        <w:spacing w:line="360" w:lineRule="auto"/>
        <w:ind w:left="1109" w:leftChars="228" w:hanging="630" w:hangingChars="300"/>
        <w:rPr>
          <w:rFonts w:ascii="宋体" w:hAnsi="宋体"/>
        </w:rPr>
      </w:pPr>
      <w:r>
        <w:rPr>
          <w:rFonts w:hint="eastAsia" w:ascii="宋体" w:hAnsi="宋体"/>
          <w:lang w:val="en-US" w:eastAsia="zh-CN"/>
        </w:rPr>
        <w:t>单和验收</w:t>
      </w:r>
      <w:r>
        <w:rPr>
          <w:rFonts w:hint="eastAsia" w:ascii="宋体" w:hAnsi="宋体"/>
        </w:rPr>
        <w:t>单、卖方出具</w:t>
      </w:r>
      <w:r>
        <w:rPr>
          <w:rFonts w:hint="eastAsia" w:ascii="宋体" w:hAnsi="宋体"/>
          <w:lang w:val="en-US" w:eastAsia="zh-CN"/>
        </w:rPr>
        <w:t>的100%合同额</w:t>
      </w:r>
      <w:r>
        <w:rPr>
          <w:rFonts w:hint="eastAsia" w:ascii="宋体" w:hAnsi="宋体"/>
        </w:rPr>
        <w:t>发票</w:t>
      </w:r>
      <w:r>
        <w:rPr>
          <w:rFonts w:hint="eastAsia" w:ascii="宋体" w:hAnsi="宋体"/>
          <w:lang w:eastAsia="zh-CN"/>
        </w:rPr>
        <w:t>，</w:t>
      </w:r>
      <w:r>
        <w:rPr>
          <w:rFonts w:hint="eastAsia" w:ascii="宋体" w:hAnsi="宋体"/>
          <w:lang w:val="en-US" w:eastAsia="zh-CN"/>
        </w:rPr>
        <w:t>买方</w:t>
      </w:r>
      <w:r>
        <w:rPr>
          <w:rFonts w:hint="eastAsia" w:ascii="宋体" w:hAnsi="宋体"/>
        </w:rPr>
        <w:t>支付合同总金额的60%。</w:t>
      </w:r>
    </w:p>
    <w:p>
      <w:pPr>
        <w:spacing w:line="360" w:lineRule="auto"/>
        <w:ind w:left="1109" w:leftChars="228" w:hanging="630" w:hangingChars="30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)合同产品质保期满或</w:t>
      </w:r>
      <w:r>
        <w:rPr>
          <w:rFonts w:hint="eastAsia" w:ascii="宋体"/>
        </w:rPr>
        <w:t>最后一批产品到货满质保期后（期限以先到之日为准）</w:t>
      </w:r>
      <w:r>
        <w:rPr>
          <w:rFonts w:hint="eastAsia" w:ascii="宋体" w:hAnsi="宋体"/>
        </w:rPr>
        <w:t>，并无</w:t>
      </w:r>
    </w:p>
    <w:p>
      <w:pPr>
        <w:spacing w:line="360" w:lineRule="auto"/>
        <w:ind w:left="1109" w:leftChars="228" w:hanging="630" w:hangingChars="300"/>
        <w:rPr>
          <w:rFonts w:ascii="宋体" w:hAnsi="宋体"/>
        </w:rPr>
      </w:pPr>
      <w:r>
        <w:rPr>
          <w:rFonts w:hint="eastAsia" w:ascii="宋体" w:hAnsi="宋体"/>
        </w:rPr>
        <w:t>索赔（有索赔待索赔完成后</w:t>
      </w:r>
      <w:r>
        <w:rPr>
          <w:rFonts w:hint="eastAsia" w:ascii="宋体" w:hAnsi="宋体"/>
          <w:lang w:eastAsia="zh-CN"/>
        </w:rPr>
        <w:t>）</w:t>
      </w:r>
      <w:r>
        <w:rPr>
          <w:rFonts w:hint="eastAsia" w:ascii="宋体" w:hAnsi="宋体"/>
        </w:rPr>
        <w:t>，</w:t>
      </w:r>
      <w:r>
        <w:rPr>
          <w:rFonts w:hint="eastAsia" w:ascii="宋体" w:hAnsi="宋体"/>
          <w:lang w:val="en-US" w:eastAsia="zh-CN"/>
        </w:rPr>
        <w:t>买方</w:t>
      </w:r>
      <w:r>
        <w:rPr>
          <w:rFonts w:hint="eastAsia" w:ascii="宋体" w:hAnsi="宋体"/>
        </w:rPr>
        <w:t>支付合同余款（合同总金额的10%）。</w:t>
      </w:r>
    </w:p>
    <w:p>
      <w:pPr>
        <w:pStyle w:val="6"/>
        <w:numPr>
          <w:ilvl w:val="0"/>
          <w:numId w:val="15"/>
        </w:numPr>
        <w:spacing w:after="120" w:line="400" w:lineRule="exact"/>
        <w:rPr>
          <w:rFonts w:ascii="宋体" w:hAnsi="宋体"/>
        </w:rPr>
      </w:pPr>
      <w:r>
        <w:rPr>
          <w:rFonts w:hint="eastAsia" w:ascii="宋体" w:hAnsi="宋体"/>
        </w:rPr>
        <w:t>每批合同货物的付款日期以买方在银行办理电汇或汇票的日期为准。</w:t>
      </w:r>
    </w:p>
    <w:p>
      <w:pPr>
        <w:pStyle w:val="6"/>
        <w:numPr>
          <w:ilvl w:val="0"/>
          <w:numId w:val="15"/>
        </w:numPr>
        <w:spacing w:after="120" w:line="400" w:lineRule="exact"/>
        <w:rPr>
          <w:rFonts w:ascii="宋体" w:hAnsi="宋体"/>
        </w:rPr>
      </w:pPr>
      <w:r>
        <w:rPr>
          <w:rFonts w:hint="eastAsia" w:ascii="宋体" w:hAnsi="宋体"/>
        </w:rPr>
        <w:t>买方有权从到期的付款中扣除合同规定卖方有责任支付的违约金。</w:t>
      </w:r>
    </w:p>
    <w:p>
      <w:pPr>
        <w:pStyle w:val="3"/>
        <w:keepLines w:val="0"/>
        <w:widowControl/>
        <w:numPr>
          <w:ilvl w:val="1"/>
          <w:numId w:val="0"/>
        </w:numPr>
        <w:spacing w:before="240" w:after="120" w:line="400" w:lineRule="exact"/>
        <w:jc w:val="left"/>
        <w:rPr>
          <w:rFonts w:ascii="宋体" w:hAnsi="宋体"/>
        </w:rPr>
      </w:pPr>
      <w:bookmarkStart w:id="153" w:name="_Toc74734425"/>
      <w:r>
        <w:rPr>
          <w:rFonts w:hint="eastAsia" w:ascii="宋体" w:hAnsi="宋体"/>
        </w:rPr>
        <w:t>售后服务约定</w:t>
      </w:r>
      <w:bookmarkEnd w:id="153"/>
    </w:p>
    <w:p>
      <w:pPr>
        <w:pStyle w:val="6"/>
        <w:numPr>
          <w:ilvl w:val="0"/>
          <w:numId w:val="16"/>
        </w:numPr>
        <w:spacing w:after="120" w:line="400" w:lineRule="exact"/>
        <w:rPr>
          <w:rFonts w:ascii="宋体" w:hAnsi="宋体"/>
        </w:rPr>
      </w:pPr>
      <w:r>
        <w:rPr>
          <w:rFonts w:hint="eastAsia" w:ascii="宋体" w:hAnsi="宋体"/>
        </w:rPr>
        <w:t>投标方应免费派出技术人员，负责货物在招标方现场的安装、调试、直到招标方验收合格。</w:t>
      </w:r>
    </w:p>
    <w:p>
      <w:pPr>
        <w:pStyle w:val="6"/>
        <w:numPr>
          <w:ilvl w:val="0"/>
          <w:numId w:val="16"/>
        </w:numPr>
        <w:spacing w:after="120" w:line="400" w:lineRule="exact"/>
        <w:rPr>
          <w:rFonts w:ascii="宋体" w:hAnsi="宋体"/>
        </w:rPr>
      </w:pPr>
      <w:r>
        <w:rPr>
          <w:rFonts w:hint="eastAsia" w:ascii="宋体" w:hAnsi="宋体"/>
        </w:rPr>
        <w:t>货物在招标方现场运行期间，无论何种原因发生质量问题，投标方均应在收到招标方书面通知后24小时内到达招标方现场，配合招标方完成货物的运行恢复。</w:t>
      </w:r>
    </w:p>
    <w:p>
      <w:pPr>
        <w:pStyle w:val="6"/>
        <w:numPr>
          <w:ilvl w:val="0"/>
          <w:numId w:val="0"/>
        </w:numPr>
        <w:spacing w:after="120" w:line="400" w:lineRule="exact"/>
        <w:ind w:leftChars="0"/>
        <w:rPr>
          <w:rFonts w:ascii="宋体" w:hAnsi="宋体"/>
        </w:rPr>
      </w:pPr>
    </w:p>
    <w:p>
      <w:pPr>
        <w:pStyle w:val="3"/>
        <w:keepLines w:val="0"/>
        <w:widowControl/>
        <w:numPr>
          <w:ilvl w:val="1"/>
          <w:numId w:val="0"/>
        </w:numPr>
        <w:spacing w:before="240" w:after="120" w:line="400" w:lineRule="exact"/>
        <w:jc w:val="left"/>
        <w:rPr>
          <w:rFonts w:ascii="宋体" w:hAnsi="宋体"/>
        </w:rPr>
      </w:pPr>
      <w:bookmarkStart w:id="154" w:name="_Toc133776002"/>
      <w:bookmarkStart w:id="155" w:name="_Toc365364685"/>
      <w:bookmarkStart w:id="156" w:name="_Toc74734426"/>
      <w:bookmarkStart w:id="157" w:name="_Toc41724679"/>
      <w:bookmarkStart w:id="158" w:name="_Toc268096616"/>
      <w:bookmarkStart w:id="159" w:name="_Toc371904380"/>
      <w:bookmarkStart w:id="160" w:name="_Toc381600809"/>
      <w:bookmarkStart w:id="161" w:name="_Toc27812998"/>
      <w:bookmarkStart w:id="162" w:name="_Toc41734173"/>
      <w:bookmarkStart w:id="163" w:name="_Toc381600300"/>
      <w:bookmarkStart w:id="164" w:name="_Toc381669545"/>
      <w:bookmarkStart w:id="165" w:name="_Toc41724797"/>
      <w:r>
        <w:rPr>
          <w:rFonts w:hint="eastAsia" w:ascii="宋体" w:hAnsi="宋体"/>
        </w:rPr>
        <w:t>税</w:t>
      </w:r>
      <w:bookmarkEnd w:id="154"/>
      <w:bookmarkEnd w:id="155"/>
      <w:bookmarkEnd w:id="156"/>
      <w:bookmarkEnd w:id="157"/>
      <w:bookmarkEnd w:id="158"/>
      <w:bookmarkEnd w:id="159"/>
      <w:bookmarkEnd w:id="160"/>
      <w:bookmarkEnd w:id="161"/>
      <w:bookmarkEnd w:id="162"/>
      <w:bookmarkEnd w:id="163"/>
      <w:bookmarkEnd w:id="164"/>
      <w:bookmarkEnd w:id="165"/>
    </w:p>
    <w:p>
      <w:pPr>
        <w:pStyle w:val="6"/>
        <w:numPr>
          <w:ilvl w:val="0"/>
          <w:numId w:val="17"/>
        </w:numPr>
        <w:spacing w:after="120" w:line="400" w:lineRule="exact"/>
        <w:rPr>
          <w:rFonts w:ascii="宋体" w:hAnsi="宋体"/>
        </w:rPr>
      </w:pPr>
      <w:r>
        <w:rPr>
          <w:rFonts w:hint="eastAsia" w:ascii="宋体" w:hAnsi="宋体"/>
        </w:rPr>
        <w:t>与执行合同有关的由中国政府根据现行税收法向买方征收的全部税款应由买方负担。</w:t>
      </w:r>
    </w:p>
    <w:p>
      <w:pPr>
        <w:pStyle w:val="6"/>
        <w:numPr>
          <w:ilvl w:val="0"/>
          <w:numId w:val="17"/>
        </w:numPr>
        <w:spacing w:after="120" w:line="400" w:lineRule="exact"/>
        <w:rPr>
          <w:rFonts w:ascii="宋体" w:hAnsi="宋体"/>
        </w:rPr>
      </w:pPr>
      <w:r>
        <w:rPr>
          <w:rFonts w:hint="eastAsia" w:ascii="宋体" w:hAnsi="宋体"/>
        </w:rPr>
        <w:t>与执行合同有关的由中国政府根据现行税收法向卖方征收的全部税款应由卖方负担，合同价格已包括所有税收。</w:t>
      </w:r>
    </w:p>
    <w:p>
      <w:pPr>
        <w:pStyle w:val="6"/>
        <w:numPr>
          <w:ilvl w:val="0"/>
          <w:numId w:val="17"/>
        </w:numPr>
        <w:spacing w:after="120" w:line="400" w:lineRule="exact"/>
        <w:rPr>
          <w:rFonts w:ascii="宋体" w:hAnsi="宋体"/>
        </w:rPr>
      </w:pPr>
      <w:r>
        <w:rPr>
          <w:rFonts w:hint="eastAsia" w:ascii="宋体" w:hAnsi="宋体"/>
        </w:rPr>
        <w:t>与执行合同有关的出自中国以外的全部税款应由卖方负担。</w:t>
      </w:r>
    </w:p>
    <w:p>
      <w:pPr>
        <w:pStyle w:val="2"/>
        <w:keepNext w:val="0"/>
        <w:keepLines w:val="0"/>
        <w:pageBreakBefore/>
        <w:widowControl/>
        <w:pBdr>
          <w:bottom w:val="single" w:color="808080" w:sz="36" w:space="3"/>
        </w:pBdr>
        <w:spacing w:before="0" w:after="240" w:line="240" w:lineRule="auto"/>
        <w:jc w:val="left"/>
        <w:rPr>
          <w:rFonts w:ascii="宋体" w:hAnsi="宋体"/>
          <w:kern w:val="2"/>
          <w:sz w:val="28"/>
          <w:szCs w:val="28"/>
        </w:rPr>
      </w:pPr>
      <w:bookmarkStart w:id="166" w:name="_Toc74734427"/>
      <w:r>
        <w:rPr>
          <w:rFonts w:hint="eastAsia" w:ascii="宋体" w:hAnsi="宋体"/>
          <w:kern w:val="2"/>
          <w:sz w:val="28"/>
          <w:szCs w:val="28"/>
        </w:rPr>
        <w:t>投标人须知附件</w:t>
      </w:r>
      <w:bookmarkEnd w:id="166"/>
    </w:p>
    <w:p>
      <w:pPr>
        <w:pStyle w:val="3"/>
        <w:keepLines w:val="0"/>
        <w:widowControl/>
        <w:numPr>
          <w:ilvl w:val="1"/>
          <w:numId w:val="0"/>
        </w:numPr>
        <w:spacing w:before="240" w:after="120" w:line="400" w:lineRule="exact"/>
        <w:jc w:val="left"/>
        <w:rPr>
          <w:rFonts w:ascii="宋体" w:hAnsi="宋体"/>
          <w:b w:val="0"/>
          <w:szCs w:val="28"/>
        </w:rPr>
      </w:pPr>
      <w:bookmarkStart w:id="167" w:name="_Toc268096597"/>
      <w:bookmarkStart w:id="168" w:name="_Toc74734428"/>
      <w:r>
        <w:rPr>
          <w:rFonts w:hint="eastAsia" w:ascii="宋体" w:hAnsi="宋体"/>
          <w:b w:val="0"/>
          <w:bCs w:val="0"/>
          <w:szCs w:val="28"/>
        </w:rPr>
        <w:t>投标人须知附件1</w:t>
      </w:r>
      <w:r>
        <w:rPr>
          <w:rFonts w:ascii="宋体" w:hAnsi="宋体"/>
          <w:b w:val="0"/>
          <w:bCs w:val="0"/>
          <w:szCs w:val="28"/>
        </w:rPr>
        <w:t xml:space="preserve">: </w:t>
      </w:r>
      <w:r>
        <w:rPr>
          <w:rFonts w:hint="eastAsia" w:ascii="宋体" w:hAnsi="宋体"/>
          <w:b w:val="0"/>
          <w:bCs w:val="0"/>
          <w:szCs w:val="28"/>
        </w:rPr>
        <w:t>廉政协议</w:t>
      </w:r>
      <w:r>
        <w:rPr>
          <w:rFonts w:ascii="宋体" w:hAnsi="宋体"/>
          <w:b w:val="0"/>
          <w:bCs w:val="0"/>
          <w:szCs w:val="28"/>
        </w:rPr>
        <w:t xml:space="preserve"> (</w:t>
      </w:r>
      <w:r>
        <w:rPr>
          <w:rFonts w:hint="eastAsia" w:ascii="宋体" w:hAnsi="宋体"/>
          <w:b w:val="0"/>
          <w:bCs w:val="0"/>
          <w:szCs w:val="28"/>
        </w:rPr>
        <w:t>格式</w:t>
      </w:r>
      <w:r>
        <w:rPr>
          <w:rFonts w:ascii="宋体" w:hAnsi="宋体"/>
          <w:b w:val="0"/>
          <w:bCs w:val="0"/>
          <w:szCs w:val="28"/>
        </w:rPr>
        <w:t>)</w:t>
      </w:r>
      <w:bookmarkEnd w:id="167"/>
      <w:bookmarkEnd w:id="168"/>
    </w:p>
    <w:p>
      <w:pPr>
        <w:spacing w:line="360" w:lineRule="auto"/>
        <w:ind w:firstLine="3514" w:firstLineChars="1250"/>
        <w:rPr>
          <w:rFonts w:ascii="宋体" w:hAnsi="宋体"/>
          <w:b/>
          <w:sz w:val="28"/>
          <w:szCs w:val="28"/>
        </w:rPr>
      </w:pPr>
      <w:r>
        <w:rPr>
          <w:rFonts w:hint="eastAsia" w:ascii="宋体" w:hAnsi="宋体"/>
          <w:b/>
          <w:sz w:val="28"/>
          <w:szCs w:val="28"/>
        </w:rPr>
        <w:t>廉  政  协  议</w:t>
      </w:r>
    </w:p>
    <w:p>
      <w:pPr>
        <w:spacing w:line="360" w:lineRule="auto"/>
        <w:ind w:firstLine="420" w:firstLineChars="200"/>
      </w:pPr>
      <w:r>
        <w:rPr>
          <w:rFonts w:hint="eastAsia"/>
        </w:rPr>
        <w:t>为规范执行《中华人民共和国招投标法》，规范招投标双方在招投标活动中的行为，使双方对自身的行为负责并承担相应责任，特制订本廉政协议，在招投标双方签约后共同遵守。</w:t>
      </w:r>
    </w:p>
    <w:p>
      <w:pPr>
        <w:spacing w:line="360" w:lineRule="auto"/>
        <w:ind w:firstLine="420" w:firstLineChars="200"/>
      </w:pPr>
      <w:r>
        <w:rPr>
          <w:rFonts w:hint="eastAsia"/>
        </w:rPr>
        <w:t>招标方邀请的入围投标人（或公开招标的投标人）在购买标书时必须与武汉网锐检测科技有限公司签署本廉政协议，约束并规范双方在招标过程中的行为。各自对其行为及产生的后果负责。</w:t>
      </w:r>
    </w:p>
    <w:p>
      <w:pPr>
        <w:spacing w:line="360" w:lineRule="auto"/>
        <w:ind w:firstLine="420" w:firstLineChars="200"/>
      </w:pPr>
      <w:r>
        <w:rPr>
          <w:rFonts w:hint="eastAsia"/>
        </w:rPr>
        <w:t>本协议由武汉网锐检测科技有限公司上级管理部门武汉邮电科学研究院监督执行。</w:t>
      </w:r>
    </w:p>
    <w:p>
      <w:pPr>
        <w:spacing w:line="360" w:lineRule="auto"/>
      </w:pPr>
      <w:r>
        <w:rPr>
          <w:rFonts w:hint="eastAsia"/>
        </w:rPr>
        <w:t>一、招标人责任：</w:t>
      </w:r>
    </w:p>
    <w:p>
      <w:pPr>
        <w:spacing w:line="360" w:lineRule="auto"/>
      </w:pPr>
      <w:r>
        <w:rPr>
          <w:rFonts w:hint="eastAsia"/>
        </w:rPr>
        <w:t>1、以《中华人民共和国招投标法》中对招标人的要求为准则，严格遵守有关招标人的各项规定，并承担相应责任。</w:t>
      </w:r>
    </w:p>
    <w:p>
      <w:pPr>
        <w:spacing w:line="360" w:lineRule="auto"/>
      </w:pPr>
      <w:r>
        <w:rPr>
          <w:rFonts w:hint="eastAsia"/>
        </w:rPr>
        <w:t>2、严格按照国务院国资委和武汉邮电科学研究院相关管理规定，对于规定的招标项目，必须按照有关规定招标，在招标过程中必须坚持入围、评标、定标三分离的原则。</w:t>
      </w:r>
    </w:p>
    <w:p>
      <w:pPr>
        <w:spacing w:line="360" w:lineRule="auto"/>
      </w:pPr>
      <w:r>
        <w:rPr>
          <w:rFonts w:hint="eastAsia"/>
        </w:rPr>
        <w:t>3、必须认真执行《武汉邮电科学研究院招标管理办法（试行）》中所规定的招标工作各项管理职责、任务及管理权限。严格遵守招标工作流程，即时报送各相应材料到上级领导及有关部门，不得瞒压、涂改有关资料。根据招标领导小组和招标管理委员会的各项决议、要求办事，不得更改工作流程，不得擅自越权做出决定。</w:t>
      </w:r>
    </w:p>
    <w:p>
      <w:pPr>
        <w:spacing w:line="360" w:lineRule="auto"/>
      </w:pPr>
      <w:r>
        <w:rPr>
          <w:rFonts w:hint="eastAsia"/>
        </w:rPr>
        <w:t>4、招标工作人员应严格遵守武汉邮电科学研究院对工作人员的各项要求，认真贯彻执行《中华人民共和国招投标法》中对招标工作人员的纪律要求，不得违反。并接受武汉邮电科学研究院监察部门、各投标人及社会各方面的监督。如有违反法律法规行为应接受武汉邮电科学研究院的纪律处分，严重的应接受法律制裁。</w:t>
      </w:r>
    </w:p>
    <w:p>
      <w:pPr>
        <w:spacing w:line="360" w:lineRule="auto"/>
      </w:pPr>
      <w:r>
        <w:rPr>
          <w:rFonts w:hint="eastAsia"/>
        </w:rPr>
        <w:t>5、招标工作人员在招标工作中应认真执行《中华人民共和国招投标法》及武汉邮电科学研究院有关招标工作的各项规定，监督各投标人认真执行以上法规及规定。如发现投标人有违规或违法行为，应及时向有关部门汇报，并坚决制止违纪违法现象。</w:t>
      </w:r>
    </w:p>
    <w:p>
      <w:pPr>
        <w:spacing w:line="360" w:lineRule="auto"/>
      </w:pPr>
      <w:r>
        <w:rPr>
          <w:rFonts w:hint="eastAsia"/>
        </w:rPr>
        <w:t>二、投标人责任：</w:t>
      </w:r>
    </w:p>
    <w:p>
      <w:pPr>
        <w:spacing w:line="360" w:lineRule="auto"/>
      </w:pPr>
      <w:r>
        <w:rPr>
          <w:rFonts w:hint="eastAsia"/>
        </w:rPr>
        <w:t>1、以《中华人民共和国招投标法》中对投标人的要求为准则，严格遵守对投标人的各项规定，并承担相应责任。</w:t>
      </w:r>
    </w:p>
    <w:p>
      <w:pPr>
        <w:spacing w:line="360" w:lineRule="auto"/>
      </w:pPr>
      <w:r>
        <w:rPr>
          <w:rFonts w:hint="eastAsia"/>
        </w:rPr>
        <w:t>2、如实按招标人要求在标书中反映企业资质和企业经营情况。出具真实企业有关财务情况和有关银行证明，不得弄虚作假。</w:t>
      </w:r>
    </w:p>
    <w:p>
      <w:pPr>
        <w:spacing w:line="360" w:lineRule="auto"/>
      </w:pPr>
      <w:r>
        <w:rPr>
          <w:rFonts w:hint="eastAsia"/>
        </w:rPr>
        <w:t>3、如实按招标人要求在标书中反映企业技术现状、生产装备情况及企业的生产能力、生产管理情况，如实反映企业业绩，不得弄虚作假。</w:t>
      </w:r>
    </w:p>
    <w:p>
      <w:pPr>
        <w:spacing w:line="360" w:lineRule="auto"/>
      </w:pPr>
      <w:r>
        <w:rPr>
          <w:rFonts w:hint="eastAsia"/>
        </w:rPr>
        <w:t>4、在经武汉网锐检测科技有限公司确认入围，作为投标被邀请对象后（公开招标购买标书后），除正常业务关系外，不得与招标工作人员有工作以外的联系。不得以各种名义请招标工作人员参加各种消费，或赠送财物及各种有价（消费）证券。</w:t>
      </w:r>
    </w:p>
    <w:p>
      <w:pPr>
        <w:spacing w:line="360" w:lineRule="auto"/>
      </w:pPr>
      <w:r>
        <w:rPr>
          <w:rFonts w:hint="eastAsia"/>
        </w:rPr>
        <w:t>5、不得向招标工作人员打听有关招标、评标工作的有关情况，不得打听有关招标评标工作人员的名字、住址、工作单位和联系方式。不得打听评标地点和不得进入评标地点。</w:t>
      </w:r>
    </w:p>
    <w:p>
      <w:pPr>
        <w:spacing w:line="360" w:lineRule="auto"/>
      </w:pPr>
      <w:r>
        <w:rPr>
          <w:rFonts w:hint="eastAsia"/>
        </w:rPr>
        <w:t>三、双方权利：</w:t>
      </w:r>
    </w:p>
    <w:p>
      <w:pPr>
        <w:spacing w:line="360" w:lineRule="auto"/>
      </w:pPr>
      <w:r>
        <w:rPr>
          <w:rFonts w:hint="eastAsia"/>
        </w:rPr>
        <w:t>1、当投标人发现招标人有违反招标人责任行为后，应立即向武汉邮电科学研究院监察部门反映，在证据确凿情况下，可依法向检察机关报告。</w:t>
      </w:r>
    </w:p>
    <w:p>
      <w:pPr>
        <w:spacing w:line="360" w:lineRule="auto"/>
      </w:pPr>
      <w:r>
        <w:t>2</w:t>
      </w:r>
      <w:r>
        <w:rPr>
          <w:rFonts w:hint="eastAsia"/>
        </w:rPr>
        <w:t>、有权向武汉邮电科学研究院的上级部门和政府部门反映、控告在招标工作中的违纪违规行为。在检察部门介入的情况下积极配合调查并提供有关证据。</w:t>
      </w:r>
    </w:p>
    <w:p>
      <w:pPr>
        <w:spacing w:line="360" w:lineRule="auto"/>
      </w:pPr>
      <w:r>
        <w:t>3</w:t>
      </w:r>
      <w:r>
        <w:rPr>
          <w:rFonts w:hint="eastAsia"/>
        </w:rPr>
        <w:t>、当招标人发现投标人有违反投标人责任行为后，应及时向武汉邮电科学研究院监查部门、招标管理委员会和招标领导小组如实汇报情况。</w:t>
      </w:r>
    </w:p>
    <w:p>
      <w:pPr>
        <w:spacing w:line="360" w:lineRule="auto"/>
      </w:pPr>
      <w:r>
        <w:t>4</w:t>
      </w:r>
      <w:r>
        <w:rPr>
          <w:rFonts w:hint="eastAsia"/>
        </w:rPr>
        <w:t>、若招标人发现投标人的违规违纪行为，即使该投标人经评标委员会推荐为潜在中标对象的，武汉网锐检测科技有限公司也将取消其中标推荐名次或取消其中标资格，今后将不再认可其投标资格。同时，将上报武汉邮电科学研究院。</w:t>
      </w:r>
    </w:p>
    <w:p>
      <w:pPr>
        <w:spacing w:line="360" w:lineRule="auto"/>
      </w:pPr>
      <w:r>
        <w:t>5</w:t>
      </w:r>
      <w:r>
        <w:rPr>
          <w:rFonts w:hint="eastAsia"/>
        </w:rPr>
        <w:t>、若由于投标人的违法违纪行为及言论给武汉网锐检测科技有限公司的招标工作造成不良影响，影响武汉网锐检测科技有限公司和武汉邮电科学研究院形象的，武汉网锐检测科技有限公司将依法向有关部门提起诉讼。</w:t>
      </w:r>
    </w:p>
    <w:p>
      <w:pPr>
        <w:spacing w:line="360" w:lineRule="auto"/>
      </w:pPr>
    </w:p>
    <w:p>
      <w:pPr>
        <w:spacing w:line="360" w:lineRule="auto"/>
      </w:pPr>
      <w:r>
        <w:rPr>
          <w:rFonts w:hint="eastAsia"/>
        </w:rPr>
        <w:t>本协议一式四份，双方各保留两份。</w:t>
      </w:r>
    </w:p>
    <w:p>
      <w:pPr>
        <w:spacing w:line="360" w:lineRule="auto"/>
      </w:pPr>
    </w:p>
    <w:p>
      <w:pPr>
        <w:spacing w:line="360" w:lineRule="auto"/>
      </w:pPr>
      <w:r>
        <w:rPr>
          <w:rFonts w:hint="eastAsia"/>
        </w:rPr>
        <w:t xml:space="preserve">签约人：                                            年   月   日  </w:t>
      </w:r>
    </w:p>
    <w:p>
      <w:pPr>
        <w:spacing w:line="360" w:lineRule="auto"/>
      </w:pPr>
      <w:r>
        <w:rPr>
          <w:rFonts w:hint="eastAsia"/>
        </w:rPr>
        <w:t xml:space="preserve">签约人：                         </w:t>
      </w:r>
      <w:r>
        <w:t xml:space="preserve">                   </w:t>
      </w:r>
      <w:r>
        <w:rPr>
          <w:rFonts w:hint="eastAsia"/>
        </w:rPr>
        <w:t>年   月   日</w:t>
      </w:r>
    </w:p>
    <w:p>
      <w:pPr>
        <w:spacing w:line="360" w:lineRule="auto"/>
      </w:pPr>
    </w:p>
    <w:p>
      <w:pPr>
        <w:jc w:val="center"/>
      </w:pPr>
      <w:r>
        <w:rPr>
          <w:rFonts w:hint="eastAsia"/>
        </w:rPr>
        <w:t xml:space="preserve">   </w:t>
      </w:r>
    </w:p>
    <w:p>
      <w:pPr>
        <w:jc w:val="center"/>
      </w:pPr>
      <w:r>
        <w:br w:type="page"/>
      </w:r>
    </w:p>
    <w:p>
      <w:pPr>
        <w:pStyle w:val="3"/>
        <w:keepLines w:val="0"/>
        <w:widowControl/>
        <w:numPr>
          <w:ilvl w:val="1"/>
          <w:numId w:val="0"/>
        </w:numPr>
        <w:spacing w:before="240" w:after="120" w:line="400" w:lineRule="exact"/>
        <w:jc w:val="left"/>
        <w:rPr>
          <w:rFonts w:ascii="黑体"/>
          <w:bCs w:val="0"/>
        </w:rPr>
      </w:pPr>
      <w:bookmarkStart w:id="169" w:name="_Toc133775974"/>
      <w:bookmarkStart w:id="170" w:name="_Toc74734429"/>
      <w:bookmarkStart w:id="171" w:name="_Toc94175735"/>
      <w:bookmarkStart w:id="172" w:name="_Toc268096583"/>
      <w:r>
        <w:rPr>
          <w:rFonts w:hint="eastAsia" w:ascii="黑体"/>
          <w:bCs w:val="0"/>
        </w:rPr>
        <w:t>投标人须知附件2：</w:t>
      </w:r>
      <w:r>
        <w:rPr>
          <w:rFonts w:ascii="宋体" w:hAnsi="宋体"/>
        </w:rPr>
        <w:t>投标函</w:t>
      </w:r>
      <w:r>
        <w:rPr>
          <w:rFonts w:hint="eastAsia" w:ascii="黑体"/>
          <w:bCs w:val="0"/>
        </w:rPr>
        <w:t>（格式）</w:t>
      </w:r>
      <w:bookmarkEnd w:id="169"/>
      <w:bookmarkEnd w:id="170"/>
      <w:bookmarkEnd w:id="171"/>
      <w:bookmarkEnd w:id="172"/>
    </w:p>
    <w:p>
      <w:pPr>
        <w:spacing w:line="360" w:lineRule="auto"/>
        <w:jc w:val="center"/>
        <w:rPr>
          <w:rFonts w:ascii="宋体" w:hAnsi="Courier New"/>
          <w:sz w:val="28"/>
          <w:szCs w:val="28"/>
        </w:rPr>
      </w:pPr>
      <w:bookmarkStart w:id="173" w:name="_Toc98920284"/>
    </w:p>
    <w:bookmarkEnd w:id="173"/>
    <w:p>
      <w:pPr>
        <w:spacing w:line="360" w:lineRule="auto"/>
        <w:rPr>
          <w:rFonts w:ascii="宋体" w:hAnsi="宋体"/>
          <w:szCs w:val="28"/>
        </w:rPr>
      </w:pPr>
      <w:r>
        <w:rPr>
          <w:rFonts w:hint="eastAsia" w:ascii="宋体" w:hAnsi="宋体"/>
          <w:szCs w:val="28"/>
        </w:rPr>
        <w:t>武汉网锐检测科技有限公司</w:t>
      </w:r>
      <w:r>
        <w:rPr>
          <w:rFonts w:ascii="宋体" w:hAnsi="宋体"/>
          <w:szCs w:val="28"/>
        </w:rPr>
        <w:t xml:space="preserve">： </w:t>
      </w:r>
    </w:p>
    <w:p>
      <w:pPr>
        <w:widowControl/>
        <w:numPr>
          <w:ilvl w:val="0"/>
          <w:numId w:val="18"/>
        </w:numPr>
        <w:spacing w:after="120" w:line="360" w:lineRule="auto"/>
        <w:jc w:val="left"/>
        <w:rPr>
          <w:rFonts w:ascii="宋体" w:hAnsi="宋体"/>
          <w:szCs w:val="28"/>
        </w:rPr>
      </w:pPr>
      <w:r>
        <w:rPr>
          <w:rFonts w:ascii="宋体" w:hAnsi="宋体"/>
          <w:szCs w:val="28"/>
        </w:rPr>
        <w:t>在研究了</w:t>
      </w:r>
      <w:r>
        <w:rPr>
          <w:rFonts w:hint="eastAsia" w:ascii="宋体" w:hAnsi="宋体"/>
        </w:rPr>
        <w:t xml:space="preserve">武汉网锐检测科技有限公司 </w:t>
      </w:r>
      <w:r>
        <w:rPr>
          <w:rFonts w:hint="eastAsia" w:ascii="宋体" w:hAnsi="宋体"/>
          <w:u w:val="single"/>
        </w:rPr>
        <w:t xml:space="preserve">                  </w:t>
      </w:r>
      <w:r>
        <w:rPr>
          <w:rFonts w:hint="eastAsia" w:ascii="宋体" w:hAnsi="宋体"/>
        </w:rPr>
        <w:t>采购</w:t>
      </w:r>
      <w:r>
        <w:rPr>
          <w:rFonts w:ascii="宋体" w:hAnsi="宋体"/>
          <w:szCs w:val="28"/>
        </w:rPr>
        <w:t>的招标文件(含补充文件</w:t>
      </w:r>
      <w:r>
        <w:rPr>
          <w:rFonts w:hint="eastAsia" w:ascii="宋体" w:hAnsi="宋体"/>
          <w:szCs w:val="28"/>
        </w:rPr>
        <w:t>)</w:t>
      </w:r>
      <w:r>
        <w:rPr>
          <w:rFonts w:ascii="宋体" w:hAnsi="宋体"/>
          <w:szCs w:val="28"/>
        </w:rPr>
        <w:t>后，我们愿意按</w:t>
      </w:r>
      <w:r>
        <w:rPr>
          <w:rFonts w:hint="eastAsia" w:ascii="宋体" w:hAnsi="宋体"/>
          <w:szCs w:val="28"/>
        </w:rPr>
        <w:t>人民币</w:t>
      </w:r>
      <w:r>
        <w:rPr>
          <w:rFonts w:ascii="宋体" w:hAnsi="宋体"/>
          <w:szCs w:val="28"/>
        </w:rPr>
        <w:t>(大写)</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ascii="宋体" w:hAnsi="宋体"/>
          <w:szCs w:val="28"/>
        </w:rPr>
        <w:t>元(小写</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ascii="宋体" w:hAnsi="宋体"/>
          <w:szCs w:val="28"/>
        </w:rPr>
        <w:t>元)的投标总价遵照招标文件(含补充文件)的要求承担本合同</w:t>
      </w:r>
      <w:r>
        <w:rPr>
          <w:rFonts w:hint="eastAsia" w:ascii="宋体" w:hAnsi="宋体"/>
          <w:szCs w:val="28"/>
        </w:rPr>
        <w:t>项目</w:t>
      </w:r>
      <w:r>
        <w:rPr>
          <w:rFonts w:ascii="宋体" w:hAnsi="宋体"/>
          <w:szCs w:val="28"/>
        </w:rPr>
        <w:t>的实施，完成全部</w:t>
      </w:r>
      <w:r>
        <w:rPr>
          <w:rFonts w:hint="eastAsia" w:ascii="宋体" w:hAnsi="宋体"/>
          <w:szCs w:val="28"/>
        </w:rPr>
        <w:t>项目</w:t>
      </w:r>
      <w:r>
        <w:rPr>
          <w:rFonts w:ascii="宋体" w:hAnsi="宋体"/>
          <w:szCs w:val="28"/>
        </w:rPr>
        <w:t xml:space="preserve">内容。 </w:t>
      </w:r>
    </w:p>
    <w:p>
      <w:pPr>
        <w:widowControl/>
        <w:numPr>
          <w:ilvl w:val="0"/>
          <w:numId w:val="18"/>
        </w:numPr>
        <w:spacing w:after="120" w:line="360" w:lineRule="auto"/>
        <w:jc w:val="left"/>
        <w:rPr>
          <w:rFonts w:ascii="宋体" w:hAnsi="宋体"/>
          <w:szCs w:val="28"/>
        </w:rPr>
      </w:pPr>
      <w:r>
        <w:rPr>
          <w:rFonts w:ascii="宋体" w:hAnsi="宋体"/>
          <w:szCs w:val="28"/>
        </w:rPr>
        <w:t>我们同意在从规定的投标之日起____天的投标书有效期内严格遵守本投标书的各项承诺，在此期限届满之前，本投标书始终对我方具有约束力，并随时接受中标。</w:t>
      </w:r>
    </w:p>
    <w:p>
      <w:pPr>
        <w:widowControl/>
        <w:numPr>
          <w:ilvl w:val="0"/>
          <w:numId w:val="18"/>
        </w:numPr>
        <w:spacing w:after="120" w:line="360" w:lineRule="auto"/>
        <w:jc w:val="left"/>
        <w:rPr>
          <w:rFonts w:ascii="宋体" w:hAnsi="宋体"/>
          <w:szCs w:val="28"/>
        </w:rPr>
      </w:pPr>
      <w:r>
        <w:rPr>
          <w:rFonts w:ascii="宋体" w:hAnsi="宋体"/>
          <w:szCs w:val="28"/>
        </w:rPr>
        <w:t>在合同书正式签署生效之前，本投标书</w:t>
      </w:r>
      <w:r>
        <w:rPr>
          <w:rFonts w:hint="eastAsia" w:ascii="宋体" w:hAnsi="宋体"/>
          <w:szCs w:val="28"/>
        </w:rPr>
        <w:t>（</w:t>
      </w:r>
      <w:r>
        <w:rPr>
          <w:rFonts w:ascii="宋体" w:hAnsi="宋体"/>
          <w:szCs w:val="28"/>
        </w:rPr>
        <w:t>与招标文件有抵触的内容除外</w:t>
      </w:r>
      <w:r>
        <w:rPr>
          <w:rFonts w:hint="eastAsia" w:ascii="宋体" w:hAnsi="宋体"/>
          <w:szCs w:val="28"/>
        </w:rPr>
        <w:t>）</w:t>
      </w:r>
      <w:r>
        <w:rPr>
          <w:rFonts w:ascii="宋体" w:hAnsi="宋体"/>
          <w:szCs w:val="28"/>
        </w:rPr>
        <w:t>、招标文件、投标文件及有关招标文件的修订、更正及对投标文件的澄清和确认函连同贵方的中标通知书一起将构成我们</w:t>
      </w:r>
      <w:r>
        <w:rPr>
          <w:rFonts w:hint="eastAsia" w:ascii="宋体" w:hAnsi="宋体"/>
          <w:szCs w:val="28"/>
        </w:rPr>
        <w:t>双</w:t>
      </w:r>
      <w:r>
        <w:rPr>
          <w:rFonts w:ascii="宋体" w:hAnsi="宋体"/>
          <w:szCs w:val="28"/>
        </w:rPr>
        <w:t>方之间共同遵守的文件，对</w:t>
      </w:r>
      <w:r>
        <w:rPr>
          <w:rFonts w:hint="eastAsia" w:ascii="宋体" w:hAnsi="宋体"/>
          <w:szCs w:val="28"/>
        </w:rPr>
        <w:t>双</w:t>
      </w:r>
      <w:r>
        <w:rPr>
          <w:rFonts w:ascii="宋体" w:hAnsi="宋体"/>
          <w:szCs w:val="28"/>
        </w:rPr>
        <w:t>方都具有约束力。</w:t>
      </w:r>
    </w:p>
    <w:p>
      <w:pPr>
        <w:widowControl/>
        <w:numPr>
          <w:ilvl w:val="0"/>
          <w:numId w:val="18"/>
        </w:numPr>
        <w:spacing w:after="120" w:line="360" w:lineRule="auto"/>
        <w:jc w:val="left"/>
        <w:rPr>
          <w:rFonts w:ascii="宋体" w:hAnsi="宋体"/>
          <w:szCs w:val="28"/>
        </w:rPr>
      </w:pPr>
      <w:r>
        <w:rPr>
          <w:rFonts w:ascii="宋体" w:hAnsi="宋体"/>
          <w:szCs w:val="28"/>
        </w:rPr>
        <w:t xml:space="preserve">我们理解贵方不负担我们的任何投标费用。 </w:t>
      </w:r>
    </w:p>
    <w:p>
      <w:pPr>
        <w:widowControl/>
        <w:numPr>
          <w:ilvl w:val="0"/>
          <w:numId w:val="18"/>
        </w:numPr>
        <w:spacing w:after="120" w:line="360" w:lineRule="auto"/>
        <w:jc w:val="left"/>
        <w:rPr>
          <w:rFonts w:ascii="宋体" w:hAnsi="宋体"/>
          <w:szCs w:val="28"/>
        </w:rPr>
      </w:pPr>
      <w:r>
        <w:rPr>
          <w:rFonts w:ascii="宋体" w:hAnsi="宋体"/>
          <w:szCs w:val="28"/>
        </w:rPr>
        <w:t xml:space="preserve">我们理解最低投标价不是中标的充分条件。 </w:t>
      </w:r>
    </w:p>
    <w:p>
      <w:pPr>
        <w:spacing w:line="360" w:lineRule="auto"/>
        <w:rPr>
          <w:rFonts w:ascii="宋体" w:hAnsi="宋体"/>
          <w:szCs w:val="28"/>
        </w:rPr>
      </w:pPr>
      <w:r>
        <w:rPr>
          <w:rFonts w:ascii="宋体" w:hAnsi="宋体"/>
          <w:szCs w:val="28"/>
        </w:rPr>
        <w:t xml:space="preserve">    </w:t>
      </w:r>
    </w:p>
    <w:p>
      <w:pPr>
        <w:spacing w:line="360" w:lineRule="auto"/>
        <w:rPr>
          <w:rFonts w:ascii="宋体" w:hAnsi="宋体"/>
          <w:szCs w:val="28"/>
          <w:u w:val="single"/>
        </w:rPr>
      </w:pPr>
      <w:r>
        <w:rPr>
          <w:rFonts w:ascii="宋体" w:hAnsi="宋体"/>
          <w:szCs w:val="28"/>
        </w:rPr>
        <w:t>投标人:</w:t>
      </w:r>
      <w:r>
        <w:rPr>
          <w:rFonts w:ascii="宋体" w:hAnsi="宋体"/>
          <w:szCs w:val="28"/>
          <w:u w:val="single"/>
        </w:rPr>
        <w:t xml:space="preserve">                   </w:t>
      </w:r>
      <w:r>
        <w:rPr>
          <w:rFonts w:ascii="宋体" w:hAnsi="宋体"/>
          <w:szCs w:val="28"/>
        </w:rPr>
        <w:t xml:space="preserve">                 联系人:</w:t>
      </w:r>
      <w:r>
        <w:rPr>
          <w:rFonts w:ascii="宋体" w:hAnsi="宋体"/>
          <w:szCs w:val="28"/>
          <w:u w:val="single"/>
        </w:rPr>
        <w:t xml:space="preserve">  </w:t>
      </w:r>
      <w:r>
        <w:rPr>
          <w:rFonts w:hint="eastAsia" w:ascii="宋体" w:hAnsi="宋体"/>
          <w:szCs w:val="28"/>
          <w:u w:val="single"/>
        </w:rPr>
        <w:t>　　　　　　　　　</w:t>
      </w:r>
    </w:p>
    <w:p>
      <w:pPr>
        <w:spacing w:line="360" w:lineRule="auto"/>
        <w:rPr>
          <w:rFonts w:ascii="宋体" w:hAnsi="宋体"/>
          <w:szCs w:val="28"/>
          <w:u w:val="single"/>
        </w:rPr>
      </w:pPr>
      <w:r>
        <w:rPr>
          <w:rFonts w:ascii="宋体" w:hAnsi="宋体"/>
          <w:szCs w:val="28"/>
        </w:rPr>
        <w:t>地    址:</w:t>
      </w:r>
      <w:r>
        <w:rPr>
          <w:rFonts w:ascii="宋体" w:hAnsi="宋体"/>
          <w:szCs w:val="28"/>
          <w:u w:val="single"/>
        </w:rPr>
        <w:t xml:space="preserve">                   </w:t>
      </w:r>
      <w:r>
        <w:rPr>
          <w:rFonts w:ascii="宋体" w:hAnsi="宋体"/>
          <w:szCs w:val="28"/>
        </w:rPr>
        <w:t xml:space="preserve">               邮  编:</w:t>
      </w:r>
      <w:r>
        <w:rPr>
          <w:rFonts w:ascii="宋体" w:hAnsi="宋体"/>
          <w:szCs w:val="28"/>
          <w:u w:val="single"/>
        </w:rPr>
        <w:t xml:space="preserve">                   </w:t>
      </w:r>
    </w:p>
    <w:p>
      <w:pPr>
        <w:spacing w:line="360" w:lineRule="auto"/>
        <w:rPr>
          <w:rFonts w:ascii="宋体" w:hAnsi="宋体"/>
          <w:szCs w:val="28"/>
        </w:rPr>
      </w:pPr>
      <w:r>
        <w:rPr>
          <w:rFonts w:ascii="宋体" w:hAnsi="宋体"/>
          <w:szCs w:val="28"/>
        </w:rPr>
        <w:t>电    话:</w:t>
      </w:r>
      <w:r>
        <w:rPr>
          <w:rFonts w:ascii="宋体" w:hAnsi="宋体"/>
          <w:szCs w:val="28"/>
          <w:u w:val="single"/>
        </w:rPr>
        <w:t xml:space="preserve">                   </w:t>
      </w:r>
      <w:r>
        <w:rPr>
          <w:rFonts w:ascii="宋体" w:hAnsi="宋体"/>
          <w:szCs w:val="28"/>
        </w:rPr>
        <w:t xml:space="preserve">               传  真:</w:t>
      </w:r>
      <w:r>
        <w:rPr>
          <w:rFonts w:ascii="宋体" w:hAnsi="宋体"/>
          <w:szCs w:val="28"/>
          <w:u w:val="single"/>
        </w:rPr>
        <w:t xml:space="preserve">                   </w:t>
      </w:r>
      <w:r>
        <w:rPr>
          <w:rFonts w:ascii="宋体" w:hAnsi="宋体"/>
          <w:szCs w:val="28"/>
        </w:rPr>
        <w:t xml:space="preserve"> </w:t>
      </w:r>
    </w:p>
    <w:p>
      <w:pPr>
        <w:spacing w:line="360" w:lineRule="auto"/>
        <w:rPr>
          <w:rFonts w:ascii="宋体" w:hAnsi="宋体"/>
          <w:szCs w:val="28"/>
        </w:rPr>
      </w:pPr>
      <w:r>
        <w:rPr>
          <w:rFonts w:ascii="宋体" w:hAnsi="宋体"/>
          <w:szCs w:val="28"/>
        </w:rPr>
        <w:t>开户银行:</w:t>
      </w:r>
      <w:r>
        <w:rPr>
          <w:rFonts w:ascii="宋体" w:hAnsi="宋体"/>
          <w:szCs w:val="28"/>
          <w:u w:val="single"/>
        </w:rPr>
        <w:t xml:space="preserve">                   </w:t>
      </w:r>
      <w:r>
        <w:rPr>
          <w:rFonts w:ascii="宋体" w:hAnsi="宋体"/>
          <w:szCs w:val="28"/>
        </w:rPr>
        <w:t xml:space="preserve">               帐  号:</w:t>
      </w:r>
      <w:r>
        <w:rPr>
          <w:rFonts w:ascii="宋体" w:hAnsi="宋体"/>
          <w:szCs w:val="28"/>
          <w:u w:val="single"/>
        </w:rPr>
        <w:t xml:space="preserve">                   </w:t>
      </w:r>
      <w:r>
        <w:rPr>
          <w:rFonts w:ascii="宋体" w:hAnsi="宋体"/>
          <w:szCs w:val="28"/>
        </w:rPr>
        <w:t xml:space="preserve"> </w:t>
      </w:r>
    </w:p>
    <w:p>
      <w:pPr>
        <w:spacing w:line="360" w:lineRule="auto"/>
        <w:rPr>
          <w:rFonts w:ascii="宋体" w:hAnsi="宋体"/>
          <w:szCs w:val="28"/>
        </w:rPr>
      </w:pPr>
      <w:r>
        <w:rPr>
          <w:rFonts w:ascii="宋体" w:hAnsi="宋体"/>
          <w:szCs w:val="28"/>
        </w:rPr>
        <w:t>投标人:</w:t>
      </w:r>
      <w:r>
        <w:rPr>
          <w:rFonts w:ascii="宋体" w:hAnsi="宋体"/>
          <w:szCs w:val="28"/>
          <w:u w:val="single"/>
        </w:rPr>
        <w:t xml:space="preserve">       (公章)      </w:t>
      </w:r>
      <w:r>
        <w:rPr>
          <w:rFonts w:ascii="宋体" w:hAnsi="宋体"/>
          <w:szCs w:val="28"/>
        </w:rPr>
        <w:t xml:space="preserve">                法定代表人(或其授权代表): </w:t>
      </w:r>
    </w:p>
    <w:p>
      <w:pPr>
        <w:spacing w:line="360" w:lineRule="auto"/>
        <w:rPr>
          <w:rFonts w:ascii="宋体" w:hAnsi="宋体"/>
          <w:szCs w:val="28"/>
        </w:rPr>
      </w:pPr>
      <w:r>
        <w:rPr>
          <w:rFonts w:ascii="宋体" w:hAnsi="宋体"/>
          <w:szCs w:val="28"/>
          <w:u w:val="single"/>
        </w:rPr>
        <w:t xml:space="preserve">(签字、盖章) </w:t>
      </w:r>
    </w:p>
    <w:p>
      <w:pPr>
        <w:autoSpaceDE w:val="0"/>
        <w:autoSpaceDN w:val="0"/>
        <w:adjustRightInd w:val="0"/>
        <w:spacing w:line="360" w:lineRule="auto"/>
        <w:rPr>
          <w:rFonts w:ascii="宋体" w:hAnsi="宋体"/>
          <w:szCs w:val="28"/>
        </w:rPr>
      </w:pPr>
      <w:r>
        <w:rPr>
          <w:rFonts w:ascii="宋体" w:hAnsi="宋体"/>
          <w:szCs w:val="28"/>
        </w:rPr>
        <w:t>日    期:</w:t>
      </w:r>
      <w:r>
        <w:rPr>
          <w:rFonts w:ascii="宋体" w:hAnsi="宋体"/>
          <w:szCs w:val="28"/>
          <w:u w:val="single"/>
        </w:rPr>
        <w:t xml:space="preserve">      </w:t>
      </w:r>
      <w:r>
        <w:rPr>
          <w:rFonts w:ascii="宋体" w:hAnsi="宋体"/>
          <w:szCs w:val="28"/>
        </w:rPr>
        <w:t>年</w:t>
      </w:r>
      <w:r>
        <w:rPr>
          <w:rFonts w:ascii="宋体" w:hAnsi="宋体"/>
          <w:szCs w:val="28"/>
          <w:u w:val="single"/>
        </w:rPr>
        <w:t xml:space="preserve">     </w:t>
      </w:r>
      <w:r>
        <w:rPr>
          <w:rFonts w:ascii="宋体" w:hAnsi="宋体"/>
          <w:szCs w:val="28"/>
        </w:rPr>
        <w:t>月</w:t>
      </w:r>
      <w:r>
        <w:rPr>
          <w:rFonts w:ascii="宋体" w:hAnsi="宋体"/>
          <w:szCs w:val="28"/>
          <w:u w:val="single"/>
        </w:rPr>
        <w:t xml:space="preserve">     </w:t>
      </w:r>
      <w:r>
        <w:rPr>
          <w:rFonts w:ascii="宋体" w:hAnsi="宋体"/>
          <w:szCs w:val="28"/>
        </w:rPr>
        <w:t>日</w:t>
      </w:r>
    </w:p>
    <w:p>
      <w:pPr>
        <w:widowControl/>
        <w:jc w:val="left"/>
        <w:rPr>
          <w:rFonts w:ascii="宋体" w:hAnsi="宋体"/>
          <w:szCs w:val="28"/>
        </w:rPr>
      </w:pPr>
      <w:r>
        <w:rPr>
          <w:rFonts w:ascii="宋体" w:hAnsi="宋体"/>
          <w:szCs w:val="28"/>
        </w:rPr>
        <w:br w:type="page"/>
      </w:r>
    </w:p>
    <w:p>
      <w:pPr>
        <w:pStyle w:val="3"/>
        <w:keepLines w:val="0"/>
        <w:widowControl/>
        <w:numPr>
          <w:ilvl w:val="1"/>
          <w:numId w:val="0"/>
        </w:numPr>
        <w:spacing w:before="240" w:after="120" w:line="400" w:lineRule="exact"/>
        <w:jc w:val="left"/>
        <w:rPr>
          <w:rFonts w:ascii="黑体"/>
          <w:bCs w:val="0"/>
        </w:rPr>
      </w:pPr>
      <w:bookmarkStart w:id="174" w:name="_Toc74734430"/>
      <w:r>
        <w:rPr>
          <w:rFonts w:ascii="黑体"/>
          <w:bCs w:val="0"/>
        </w:rPr>
        <w:t>附件</w:t>
      </w:r>
      <w:r>
        <w:rPr>
          <w:rFonts w:hint="eastAsia" w:ascii="黑体"/>
          <w:bCs w:val="0"/>
        </w:rPr>
        <w:t xml:space="preserve">3 </w:t>
      </w:r>
      <w:r>
        <w:rPr>
          <w:rFonts w:ascii="黑体"/>
          <w:bCs w:val="0"/>
        </w:rPr>
        <w:t>开标一览表</w:t>
      </w:r>
      <w:r>
        <w:rPr>
          <w:rFonts w:hint="eastAsia" w:ascii="黑体"/>
          <w:bCs w:val="0"/>
        </w:rPr>
        <w:t>（格式）</w:t>
      </w:r>
      <w:bookmarkEnd w:id="174"/>
    </w:p>
    <w:p>
      <w:pPr>
        <w:autoSpaceDE w:val="0"/>
        <w:autoSpaceDN w:val="0"/>
        <w:adjustRightInd w:val="0"/>
        <w:spacing w:line="360" w:lineRule="auto"/>
        <w:jc w:val="center"/>
        <w:rPr>
          <w:rFonts w:ascii="宋体" w:hAnsi="宋体"/>
          <w:sz w:val="28"/>
          <w:szCs w:val="28"/>
        </w:rPr>
      </w:pPr>
      <w:r>
        <w:rPr>
          <w:rFonts w:ascii="宋体" w:hAnsi="宋体"/>
          <w:sz w:val="28"/>
          <w:szCs w:val="28"/>
        </w:rPr>
        <w:t>开标一览表</w:t>
      </w:r>
    </w:p>
    <w:p>
      <w:pPr>
        <w:autoSpaceDE w:val="0"/>
        <w:autoSpaceDN w:val="0"/>
        <w:adjustRightInd w:val="0"/>
        <w:spacing w:line="360" w:lineRule="auto"/>
        <w:ind w:leftChars="-337" w:right="-1191" w:rightChars="-567" w:hanging="707" w:hangingChars="337"/>
        <w:rPr>
          <w:rFonts w:ascii="宋体" w:hAnsi="宋体"/>
          <w:szCs w:val="28"/>
          <w:u w:val="single"/>
        </w:rPr>
      </w:pPr>
      <w:r>
        <w:rPr>
          <w:rFonts w:hint="eastAsia" w:ascii="宋体" w:hAnsi="宋体"/>
          <w:szCs w:val="28"/>
        </w:rPr>
        <w:t xml:space="preserve">       项目名称：</w:t>
      </w:r>
      <w:r>
        <w:rPr>
          <w:rFonts w:hint="eastAsia" w:ascii="宋体" w:hAnsi="宋体"/>
          <w:szCs w:val="28"/>
          <w:u w:val="single"/>
        </w:rPr>
        <w:t xml:space="preserve">             </w:t>
      </w:r>
      <w:r>
        <w:rPr>
          <w:rFonts w:hint="eastAsia" w:ascii="宋体" w:hAnsi="宋体"/>
          <w:szCs w:val="28"/>
        </w:rPr>
        <w:t xml:space="preserve">         </w:t>
      </w:r>
      <w:r>
        <w:rPr>
          <w:rFonts w:hint="eastAsia" w:ascii="宋体" w:hAnsi="宋体"/>
          <w:szCs w:val="28"/>
          <w:lang w:val="en-US" w:eastAsia="zh-CN"/>
        </w:rPr>
        <w:t xml:space="preserve">                       </w:t>
      </w:r>
      <w:r>
        <w:rPr>
          <w:rFonts w:hint="eastAsia" w:ascii="宋体" w:hAnsi="宋体"/>
          <w:szCs w:val="28"/>
        </w:rPr>
        <w:t xml:space="preserve">  投标人名称：</w:t>
      </w:r>
      <w:r>
        <w:rPr>
          <w:rFonts w:hint="eastAsia" w:ascii="宋体" w:hAnsi="宋体"/>
          <w:szCs w:val="28"/>
          <w:u w:val="single"/>
        </w:rPr>
        <w:t xml:space="preserve">           </w:t>
      </w:r>
    </w:p>
    <w:tbl>
      <w:tblPr>
        <w:tblStyle w:val="51"/>
        <w:tblW w:w="86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856"/>
        <w:gridCol w:w="1808"/>
        <w:gridCol w:w="1709"/>
        <w:gridCol w:w="18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4"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1856"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名    称</w:t>
            </w:r>
          </w:p>
        </w:tc>
        <w:tc>
          <w:tcPr>
            <w:tcW w:w="1808"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单价（元）</w:t>
            </w:r>
          </w:p>
        </w:tc>
        <w:tc>
          <w:tcPr>
            <w:tcW w:w="1709" w:type="dxa"/>
            <w:vAlign w:val="center"/>
          </w:tcPr>
          <w:p>
            <w:pPr>
              <w:ind w:firstLine="240" w:firstLineChars="10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数量</w:t>
            </w:r>
          </w:p>
        </w:tc>
        <w:tc>
          <w:tcPr>
            <w:tcW w:w="1847" w:type="dxa"/>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总 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94" w:type="dxa"/>
            <w:gridSpan w:val="5"/>
            <w:vAlign w:val="center"/>
          </w:tcPr>
          <w:p>
            <w:pPr>
              <w:ind w:firstLine="240" w:firstLine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产品或服务费用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4" w:type="dxa"/>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856" w:type="dxa"/>
            <w:vAlign w:val="center"/>
          </w:tcPr>
          <w:p>
            <w:pPr>
              <w:jc w:val="center"/>
              <w:rPr>
                <w:rFonts w:asciiTheme="minorEastAsia" w:hAnsiTheme="minorEastAsia" w:eastAsiaTheme="minorEastAsia"/>
                <w:color w:val="000000"/>
                <w:sz w:val="24"/>
              </w:rPr>
            </w:pPr>
          </w:p>
        </w:tc>
        <w:tc>
          <w:tcPr>
            <w:tcW w:w="1808" w:type="dxa"/>
          </w:tcPr>
          <w:p>
            <w:pPr>
              <w:rPr>
                <w:rFonts w:asciiTheme="minorEastAsia" w:hAnsiTheme="minorEastAsia" w:eastAsiaTheme="minorEastAsia"/>
                <w:color w:val="000000"/>
                <w:sz w:val="24"/>
              </w:rPr>
            </w:pPr>
          </w:p>
        </w:tc>
        <w:tc>
          <w:tcPr>
            <w:tcW w:w="1709" w:type="dxa"/>
          </w:tcPr>
          <w:p>
            <w:pPr>
              <w:rPr>
                <w:rFonts w:asciiTheme="minorEastAsia" w:hAnsiTheme="minorEastAsia" w:eastAsiaTheme="minorEastAsia"/>
                <w:color w:val="000000"/>
                <w:sz w:val="24"/>
              </w:rPr>
            </w:pPr>
          </w:p>
        </w:tc>
        <w:tc>
          <w:tcPr>
            <w:tcW w:w="1847" w:type="dxa"/>
          </w:tcPr>
          <w:p>
            <w:pP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74" w:type="dxa"/>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856" w:type="dxa"/>
            <w:vAlign w:val="center"/>
          </w:tcPr>
          <w:p>
            <w:pPr>
              <w:jc w:val="center"/>
              <w:rPr>
                <w:rFonts w:asciiTheme="minorEastAsia" w:hAnsiTheme="minorEastAsia" w:eastAsiaTheme="minorEastAsia"/>
                <w:color w:val="000000"/>
                <w:sz w:val="24"/>
              </w:rPr>
            </w:pPr>
          </w:p>
        </w:tc>
        <w:tc>
          <w:tcPr>
            <w:tcW w:w="1808" w:type="dxa"/>
          </w:tcPr>
          <w:p>
            <w:pPr>
              <w:rPr>
                <w:rFonts w:asciiTheme="minorEastAsia" w:hAnsiTheme="minorEastAsia" w:eastAsiaTheme="minorEastAsia"/>
                <w:color w:val="000000"/>
                <w:sz w:val="24"/>
              </w:rPr>
            </w:pPr>
          </w:p>
        </w:tc>
        <w:tc>
          <w:tcPr>
            <w:tcW w:w="1709" w:type="dxa"/>
          </w:tcPr>
          <w:p>
            <w:pPr>
              <w:rPr>
                <w:rFonts w:asciiTheme="minorEastAsia" w:hAnsiTheme="minorEastAsia" w:eastAsiaTheme="minorEastAsia"/>
                <w:color w:val="000000"/>
                <w:sz w:val="24"/>
              </w:rPr>
            </w:pPr>
          </w:p>
        </w:tc>
        <w:tc>
          <w:tcPr>
            <w:tcW w:w="1847" w:type="dxa"/>
          </w:tcPr>
          <w:p>
            <w:pP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74" w:type="dxa"/>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1856" w:type="dxa"/>
            <w:vAlign w:val="center"/>
          </w:tcPr>
          <w:p>
            <w:pPr>
              <w:jc w:val="center"/>
              <w:rPr>
                <w:rFonts w:asciiTheme="minorEastAsia" w:hAnsiTheme="minorEastAsia" w:eastAsiaTheme="minorEastAsia"/>
                <w:color w:val="000000"/>
                <w:sz w:val="24"/>
              </w:rPr>
            </w:pPr>
          </w:p>
        </w:tc>
        <w:tc>
          <w:tcPr>
            <w:tcW w:w="1808" w:type="dxa"/>
          </w:tcPr>
          <w:p>
            <w:pPr>
              <w:rPr>
                <w:rFonts w:asciiTheme="minorEastAsia" w:hAnsiTheme="minorEastAsia" w:eastAsiaTheme="minorEastAsia"/>
                <w:color w:val="000000"/>
                <w:sz w:val="24"/>
              </w:rPr>
            </w:pPr>
          </w:p>
        </w:tc>
        <w:tc>
          <w:tcPr>
            <w:tcW w:w="1709" w:type="dxa"/>
          </w:tcPr>
          <w:p>
            <w:pPr>
              <w:rPr>
                <w:rFonts w:asciiTheme="minorEastAsia" w:hAnsiTheme="minorEastAsia" w:eastAsiaTheme="minorEastAsia"/>
                <w:color w:val="000000"/>
                <w:sz w:val="24"/>
              </w:rPr>
            </w:pPr>
          </w:p>
        </w:tc>
        <w:tc>
          <w:tcPr>
            <w:tcW w:w="1847" w:type="dxa"/>
          </w:tcPr>
          <w:p>
            <w:pP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694" w:type="dxa"/>
            <w:gridSpan w:val="5"/>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其他费用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74" w:type="dxa"/>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856" w:type="dxa"/>
            <w:vAlign w:val="center"/>
          </w:tcPr>
          <w:p>
            <w:pPr>
              <w:jc w:val="center"/>
              <w:rPr>
                <w:rFonts w:asciiTheme="minorEastAsia" w:hAnsiTheme="minorEastAsia" w:eastAsiaTheme="minorEastAsia"/>
                <w:color w:val="000000"/>
                <w:sz w:val="24"/>
              </w:rPr>
            </w:pPr>
          </w:p>
        </w:tc>
        <w:tc>
          <w:tcPr>
            <w:tcW w:w="1808" w:type="dxa"/>
          </w:tcPr>
          <w:p>
            <w:pPr>
              <w:rPr>
                <w:rFonts w:asciiTheme="minorEastAsia" w:hAnsiTheme="minorEastAsia" w:eastAsiaTheme="minorEastAsia"/>
                <w:color w:val="000000"/>
                <w:sz w:val="24"/>
              </w:rPr>
            </w:pPr>
          </w:p>
        </w:tc>
        <w:tc>
          <w:tcPr>
            <w:tcW w:w="1709" w:type="dxa"/>
          </w:tcPr>
          <w:p>
            <w:pPr>
              <w:rPr>
                <w:rFonts w:asciiTheme="minorEastAsia" w:hAnsiTheme="minorEastAsia" w:eastAsiaTheme="minorEastAsia"/>
                <w:color w:val="000000"/>
                <w:sz w:val="24"/>
              </w:rPr>
            </w:pPr>
          </w:p>
        </w:tc>
        <w:tc>
          <w:tcPr>
            <w:tcW w:w="1847" w:type="dxa"/>
          </w:tcPr>
          <w:p>
            <w:pP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74" w:type="dxa"/>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856" w:type="dxa"/>
            <w:vAlign w:val="center"/>
          </w:tcPr>
          <w:p>
            <w:pPr>
              <w:jc w:val="center"/>
              <w:rPr>
                <w:rFonts w:asciiTheme="minorEastAsia" w:hAnsiTheme="minorEastAsia" w:eastAsiaTheme="minorEastAsia"/>
                <w:color w:val="000000"/>
                <w:sz w:val="24"/>
              </w:rPr>
            </w:pPr>
          </w:p>
        </w:tc>
        <w:tc>
          <w:tcPr>
            <w:tcW w:w="1808" w:type="dxa"/>
          </w:tcPr>
          <w:p>
            <w:pPr>
              <w:rPr>
                <w:rFonts w:asciiTheme="minorEastAsia" w:hAnsiTheme="minorEastAsia" w:eastAsiaTheme="minorEastAsia"/>
                <w:color w:val="000000"/>
                <w:sz w:val="24"/>
              </w:rPr>
            </w:pPr>
          </w:p>
        </w:tc>
        <w:tc>
          <w:tcPr>
            <w:tcW w:w="1709" w:type="dxa"/>
          </w:tcPr>
          <w:p>
            <w:pPr>
              <w:rPr>
                <w:rFonts w:asciiTheme="minorEastAsia" w:hAnsiTheme="minorEastAsia" w:eastAsiaTheme="minorEastAsia"/>
                <w:color w:val="000000"/>
                <w:sz w:val="24"/>
              </w:rPr>
            </w:pPr>
          </w:p>
        </w:tc>
        <w:tc>
          <w:tcPr>
            <w:tcW w:w="1847" w:type="dxa"/>
          </w:tcPr>
          <w:p>
            <w:pP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74" w:type="dxa"/>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合计</w:t>
            </w:r>
          </w:p>
        </w:tc>
        <w:tc>
          <w:tcPr>
            <w:tcW w:w="1856" w:type="dxa"/>
            <w:vAlign w:val="center"/>
          </w:tcPr>
          <w:p>
            <w:pPr>
              <w:jc w:val="center"/>
              <w:rPr>
                <w:rFonts w:asciiTheme="minorEastAsia" w:hAnsiTheme="minorEastAsia" w:eastAsiaTheme="minorEastAsia"/>
                <w:color w:val="000000"/>
                <w:sz w:val="24"/>
              </w:rPr>
            </w:pPr>
          </w:p>
        </w:tc>
        <w:tc>
          <w:tcPr>
            <w:tcW w:w="1808" w:type="dxa"/>
          </w:tcPr>
          <w:p>
            <w:pPr>
              <w:rPr>
                <w:rFonts w:asciiTheme="minorEastAsia" w:hAnsiTheme="minorEastAsia" w:eastAsiaTheme="minorEastAsia"/>
                <w:color w:val="000000"/>
                <w:sz w:val="24"/>
              </w:rPr>
            </w:pPr>
          </w:p>
        </w:tc>
        <w:tc>
          <w:tcPr>
            <w:tcW w:w="1709" w:type="dxa"/>
          </w:tcPr>
          <w:p>
            <w:pPr>
              <w:rPr>
                <w:rFonts w:asciiTheme="minorEastAsia" w:hAnsiTheme="minorEastAsia" w:eastAsiaTheme="minorEastAsia"/>
                <w:color w:val="000000"/>
                <w:sz w:val="24"/>
              </w:rPr>
            </w:pPr>
          </w:p>
        </w:tc>
        <w:tc>
          <w:tcPr>
            <w:tcW w:w="1847" w:type="dxa"/>
          </w:tcPr>
          <w:p>
            <w:pPr>
              <w:rPr>
                <w:rFonts w:asciiTheme="minorEastAsia" w:hAnsiTheme="minorEastAsia" w:eastAsiaTheme="minorEastAsia"/>
                <w:color w:val="000000"/>
                <w:sz w:val="24"/>
              </w:rPr>
            </w:pPr>
          </w:p>
        </w:tc>
      </w:tr>
    </w:tbl>
    <w:p>
      <w:pPr>
        <w:autoSpaceDE w:val="0"/>
        <w:autoSpaceDN w:val="0"/>
        <w:adjustRightInd w:val="0"/>
        <w:spacing w:line="360" w:lineRule="auto"/>
        <w:ind w:leftChars="-337" w:right="-1191" w:rightChars="-567" w:hanging="707" w:hangingChars="337"/>
        <w:rPr>
          <w:rFonts w:ascii="宋体" w:hAnsi="宋体"/>
          <w:szCs w:val="28"/>
          <w:u w:val="single"/>
        </w:rPr>
      </w:pPr>
    </w:p>
    <w:p>
      <w:pPr>
        <w:autoSpaceDE w:val="0"/>
        <w:autoSpaceDN w:val="0"/>
        <w:adjustRightInd w:val="0"/>
        <w:spacing w:line="360" w:lineRule="auto"/>
        <w:rPr>
          <w:rFonts w:ascii="宋体" w:hAnsi="宋体"/>
          <w:szCs w:val="28"/>
        </w:rPr>
      </w:pPr>
    </w:p>
    <w:p>
      <w:pPr>
        <w:autoSpaceDE w:val="0"/>
        <w:autoSpaceDN w:val="0"/>
        <w:adjustRightInd w:val="0"/>
        <w:spacing w:line="360" w:lineRule="auto"/>
        <w:rPr>
          <w:rFonts w:ascii="宋体" w:hAnsi="宋体"/>
          <w:szCs w:val="28"/>
          <w:u w:val="single"/>
        </w:rPr>
      </w:pPr>
      <w:r>
        <w:rPr>
          <w:rFonts w:hint="eastAsia" w:ascii="宋体" w:hAnsi="宋体"/>
          <w:szCs w:val="28"/>
        </w:rPr>
        <w:t>授权代表人签字</w:t>
      </w:r>
      <w:r>
        <w:rPr>
          <w:rFonts w:hint="eastAsia" w:ascii="宋体" w:hAnsi="宋体"/>
          <w:szCs w:val="28"/>
          <w:u w:val="single"/>
        </w:rPr>
        <w:t xml:space="preserve">                  </w:t>
      </w:r>
    </w:p>
    <w:p>
      <w:pPr>
        <w:autoSpaceDE w:val="0"/>
        <w:autoSpaceDN w:val="0"/>
        <w:adjustRightInd w:val="0"/>
        <w:spacing w:line="360" w:lineRule="auto"/>
        <w:rPr>
          <w:rFonts w:ascii="宋体" w:hAnsi="宋体"/>
          <w:szCs w:val="28"/>
        </w:rPr>
      </w:pPr>
      <w:r>
        <w:rPr>
          <w:rFonts w:ascii="宋体" w:hAnsi="宋体"/>
          <w:szCs w:val="28"/>
        </w:rPr>
        <w:t>注</w:t>
      </w:r>
      <w:r>
        <w:rPr>
          <w:rFonts w:hint="eastAsia" w:ascii="宋体" w:hAnsi="宋体"/>
          <w:szCs w:val="28"/>
        </w:rPr>
        <w:t>：</w:t>
      </w:r>
    </w:p>
    <w:p>
      <w:pPr>
        <w:pStyle w:val="134"/>
        <w:numPr>
          <w:ilvl w:val="1"/>
          <w:numId w:val="16"/>
        </w:numPr>
        <w:autoSpaceDE w:val="0"/>
        <w:autoSpaceDN w:val="0"/>
        <w:adjustRightInd w:val="0"/>
        <w:spacing w:line="360" w:lineRule="auto"/>
        <w:ind w:firstLineChars="0"/>
        <w:rPr>
          <w:rFonts w:ascii="宋体" w:hAnsi="宋体"/>
          <w:szCs w:val="28"/>
        </w:rPr>
      </w:pPr>
      <w:r>
        <w:rPr>
          <w:rFonts w:hint="eastAsia" w:ascii="宋体" w:hAnsi="宋体"/>
          <w:szCs w:val="28"/>
        </w:rPr>
        <w:t>投标总价应包括：设备主机和标注附件及必备件的价格；安装、调试、检验、培训和技术服务费；各种税费、运输费、保险费等。</w:t>
      </w:r>
    </w:p>
    <w:p>
      <w:pPr>
        <w:pStyle w:val="134"/>
        <w:numPr>
          <w:ilvl w:val="1"/>
          <w:numId w:val="16"/>
        </w:numPr>
        <w:autoSpaceDE w:val="0"/>
        <w:autoSpaceDN w:val="0"/>
        <w:adjustRightInd w:val="0"/>
        <w:spacing w:line="360" w:lineRule="auto"/>
        <w:ind w:firstLineChars="0"/>
        <w:rPr>
          <w:rFonts w:ascii="宋体" w:hAnsi="宋体"/>
          <w:szCs w:val="28"/>
        </w:rPr>
      </w:pPr>
      <w:r>
        <w:rPr>
          <w:rFonts w:ascii="宋体" w:hAnsi="宋体"/>
          <w:szCs w:val="28"/>
        </w:rPr>
        <w:t>此表应按包分别填写</w:t>
      </w:r>
      <w:r>
        <w:rPr>
          <w:rFonts w:hint="eastAsia" w:ascii="宋体" w:hAnsi="宋体"/>
          <w:szCs w:val="28"/>
        </w:rPr>
        <w:t>，</w:t>
      </w:r>
      <w:r>
        <w:rPr>
          <w:rFonts w:ascii="宋体" w:hAnsi="宋体"/>
          <w:szCs w:val="28"/>
        </w:rPr>
        <w:t>并</w:t>
      </w:r>
      <w:r>
        <w:rPr>
          <w:rFonts w:hint="eastAsia" w:ascii="宋体" w:hAnsi="宋体"/>
          <w:szCs w:val="28"/>
        </w:rPr>
        <w:t>单独密封和标记</w:t>
      </w:r>
      <w:bookmarkStart w:id="175" w:name="_Toc27813011"/>
      <w:bookmarkStart w:id="176" w:name="_Toc364830772"/>
      <w:bookmarkStart w:id="177" w:name="_Toc41724692"/>
      <w:bookmarkStart w:id="178" w:name="_Toc365078288"/>
      <w:bookmarkStart w:id="179" w:name="_Toc365078471"/>
      <w:bookmarkStart w:id="180" w:name="_Toc365076958"/>
      <w:bookmarkStart w:id="181" w:name="_Toc41734186"/>
      <w:bookmarkStart w:id="182" w:name="_Toc133775977"/>
      <w:bookmarkStart w:id="183" w:name="_Toc268096586"/>
      <w:bookmarkStart w:id="184" w:name="_Toc41724810"/>
    </w:p>
    <w:p>
      <w:pPr>
        <w:widowControl/>
        <w:jc w:val="left"/>
      </w:pPr>
      <w:r>
        <w:br w:type="page"/>
      </w:r>
    </w:p>
    <w:bookmarkEnd w:id="175"/>
    <w:bookmarkEnd w:id="176"/>
    <w:bookmarkEnd w:id="177"/>
    <w:bookmarkEnd w:id="178"/>
    <w:bookmarkEnd w:id="179"/>
    <w:bookmarkEnd w:id="180"/>
    <w:bookmarkEnd w:id="181"/>
    <w:bookmarkEnd w:id="182"/>
    <w:bookmarkEnd w:id="183"/>
    <w:bookmarkEnd w:id="184"/>
    <w:p>
      <w:pPr>
        <w:pStyle w:val="3"/>
        <w:keepLines w:val="0"/>
        <w:widowControl/>
        <w:numPr>
          <w:ilvl w:val="1"/>
          <w:numId w:val="0"/>
        </w:numPr>
        <w:spacing w:before="240" w:after="120" w:line="400" w:lineRule="exact"/>
        <w:jc w:val="left"/>
        <w:rPr>
          <w:rFonts w:ascii="黑体"/>
          <w:bCs w:val="0"/>
        </w:rPr>
      </w:pPr>
      <w:bookmarkStart w:id="185" w:name="_Toc94175742"/>
      <w:bookmarkStart w:id="186" w:name="_Toc133775982"/>
      <w:bookmarkStart w:id="187" w:name="_Toc74734431"/>
      <w:bookmarkStart w:id="188" w:name="_Toc268096590"/>
      <w:r>
        <w:rPr>
          <w:rFonts w:hint="eastAsia" w:ascii="黑体"/>
          <w:bCs w:val="0"/>
        </w:rPr>
        <w:t>投标人须知附件</w:t>
      </w:r>
      <w:r>
        <w:rPr>
          <w:rFonts w:ascii="黑体"/>
          <w:bCs w:val="0"/>
        </w:rPr>
        <w:t>4</w:t>
      </w:r>
      <w:r>
        <w:rPr>
          <w:rFonts w:hint="eastAsia" w:ascii="黑体"/>
          <w:bCs w:val="0"/>
        </w:rPr>
        <w:t>:</w:t>
      </w:r>
      <w:bookmarkEnd w:id="185"/>
      <w:r>
        <w:rPr>
          <w:rFonts w:hint="eastAsia" w:ascii="黑体"/>
          <w:bCs w:val="0"/>
        </w:rPr>
        <w:t xml:space="preserve"> 法定代表人授权书（格式）</w:t>
      </w:r>
      <w:bookmarkEnd w:id="186"/>
      <w:bookmarkEnd w:id="187"/>
      <w:bookmarkEnd w:id="188"/>
    </w:p>
    <w:p>
      <w:pPr>
        <w:spacing w:line="360" w:lineRule="auto"/>
      </w:pPr>
    </w:p>
    <w:p>
      <w:pPr>
        <w:spacing w:line="360" w:lineRule="auto"/>
        <w:rPr>
          <w:rFonts w:ascii="宋体" w:hAnsi="宋体"/>
          <w:color w:val="00B050"/>
        </w:rPr>
      </w:pPr>
      <w:bookmarkStart w:id="189" w:name="_Toc94175740"/>
    </w:p>
    <w:p>
      <w:pPr>
        <w:spacing w:line="360" w:lineRule="auto"/>
        <w:rPr>
          <w:rFonts w:ascii="宋体" w:hAnsi="宋体"/>
        </w:rPr>
      </w:pPr>
      <w:r>
        <w:rPr>
          <w:rFonts w:hint="eastAsia" w:ascii="宋体" w:hAnsi="宋体"/>
        </w:rPr>
        <w:t>武汉网锐检测科技有限公司</w:t>
      </w:r>
      <w:r>
        <w:rPr>
          <w:rFonts w:ascii="宋体" w:hAnsi="宋体"/>
        </w:rPr>
        <w:t>：</w:t>
      </w:r>
    </w:p>
    <w:p>
      <w:pPr>
        <w:spacing w:line="360" w:lineRule="auto"/>
        <w:ind w:firstLine="420" w:firstLineChars="200"/>
        <w:rPr>
          <w:rFonts w:ascii="宋体" w:hAnsi="宋体"/>
        </w:rPr>
      </w:pPr>
      <w:r>
        <w:rPr>
          <w:rFonts w:ascii="宋体" w:hAnsi="宋体"/>
        </w:rPr>
        <w:t>本授权委托书声明：我</w:t>
      </w:r>
      <w:r>
        <w:rPr>
          <w:rFonts w:ascii="宋体" w:hAnsi="宋体"/>
          <w:u w:val="single"/>
        </w:rPr>
        <w:t xml:space="preserve">  （法定代表人姓名）  </w:t>
      </w:r>
      <w:r>
        <w:rPr>
          <w:rFonts w:ascii="宋体" w:hAnsi="宋体"/>
        </w:rPr>
        <w:t>系注册于</w:t>
      </w:r>
      <w:r>
        <w:rPr>
          <w:rFonts w:ascii="宋体" w:hAnsi="宋体"/>
          <w:u w:val="single"/>
        </w:rPr>
        <w:t xml:space="preserve">    （投标人地址）    </w:t>
      </w:r>
      <w:r>
        <w:rPr>
          <w:rFonts w:ascii="宋体" w:hAnsi="宋体"/>
        </w:rPr>
        <w:t>的</w:t>
      </w:r>
      <w:r>
        <w:rPr>
          <w:rFonts w:ascii="宋体" w:hAnsi="宋体"/>
          <w:u w:val="single"/>
        </w:rPr>
        <w:t xml:space="preserve">   （投标人名称）  </w:t>
      </w:r>
      <w:r>
        <w:rPr>
          <w:rFonts w:ascii="宋体" w:hAnsi="宋体"/>
        </w:rPr>
        <w:t>的法定代表人，现代表公司授权下面签字的</w:t>
      </w:r>
      <w:r>
        <w:rPr>
          <w:rFonts w:ascii="宋体" w:hAnsi="宋体"/>
          <w:u w:val="single"/>
        </w:rPr>
        <w:t xml:space="preserve">  被授权人的姓名、职务  </w:t>
      </w:r>
      <w:r>
        <w:rPr>
          <w:rFonts w:ascii="宋体" w:hAnsi="宋体"/>
        </w:rPr>
        <w:t>为我公司合法代理人，代表本公司参加</w:t>
      </w:r>
      <w:r>
        <w:rPr>
          <w:rFonts w:hint="eastAsia" w:ascii="宋体" w:hAnsi="宋体"/>
        </w:rPr>
        <w:t>武汉网锐检测科技有限公司武汉网锐检测科技有限公司</w:t>
      </w:r>
      <w:r>
        <w:rPr>
          <w:rFonts w:hint="eastAsia" w:ascii="宋体" w:hAnsi="宋体"/>
          <w:u w:val="single"/>
        </w:rPr>
        <w:t xml:space="preserve">             </w:t>
      </w:r>
      <w:r>
        <w:rPr>
          <w:rFonts w:hint="eastAsia" w:ascii="宋体" w:hAnsi="宋体"/>
        </w:rPr>
        <w:t>采购</w:t>
      </w:r>
      <w:r>
        <w:rPr>
          <w:rFonts w:ascii="宋体" w:hAnsi="宋体"/>
        </w:rPr>
        <w:t>的投标活动。代表人有权在</w:t>
      </w:r>
      <w:r>
        <w:rPr>
          <w:rFonts w:hint="eastAsia" w:ascii="宋体" w:hAnsi="宋体"/>
        </w:rPr>
        <w:t>武汉网锐检测科技有限公司采购</w:t>
      </w:r>
      <w:r>
        <w:rPr>
          <w:rFonts w:ascii="宋体" w:hAnsi="宋体"/>
        </w:rPr>
        <w:t>的投标活动中，以我的名义签署投标书，参与开标、询标、与业主协商、签订合同书以及执行一切与此有关的事项，我公司均予承认。</w:t>
      </w:r>
    </w:p>
    <w:p>
      <w:pPr>
        <w:spacing w:line="360" w:lineRule="auto"/>
        <w:rPr>
          <w:rFonts w:ascii="宋体" w:hAnsi="宋体"/>
        </w:rPr>
      </w:pPr>
    </w:p>
    <w:p>
      <w:pPr>
        <w:spacing w:line="360" w:lineRule="auto"/>
        <w:rPr>
          <w:rFonts w:ascii="宋体" w:hAnsi="宋体"/>
        </w:rPr>
      </w:pPr>
      <w:r>
        <w:rPr>
          <w:rFonts w:ascii="宋体" w:hAnsi="宋体"/>
        </w:rPr>
        <w:t xml:space="preserve">本授权书于      年  </w:t>
      </w:r>
      <w:r>
        <w:rPr>
          <w:rFonts w:hint="eastAsia" w:ascii="宋体" w:hAnsi="宋体"/>
        </w:rPr>
        <w:t xml:space="preserve"> </w:t>
      </w:r>
      <w:r>
        <w:rPr>
          <w:rFonts w:ascii="宋体" w:hAnsi="宋体"/>
        </w:rPr>
        <w:t xml:space="preserve">月  </w:t>
      </w:r>
      <w:r>
        <w:rPr>
          <w:rFonts w:hint="eastAsia" w:ascii="宋体" w:hAnsi="宋体"/>
        </w:rPr>
        <w:t xml:space="preserve"> </w:t>
      </w:r>
      <w:r>
        <w:rPr>
          <w:rFonts w:ascii="宋体" w:hAnsi="宋体"/>
        </w:rPr>
        <w:t>日签字生效，特此声明。</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rPr>
        <w:t>投标人地址：                  投标人（盖章）：</w:t>
      </w:r>
    </w:p>
    <w:p>
      <w:pPr>
        <w:spacing w:line="360" w:lineRule="auto"/>
        <w:rPr>
          <w:rFonts w:ascii="宋体" w:hAnsi="宋体"/>
        </w:rPr>
      </w:pPr>
    </w:p>
    <w:p>
      <w:pPr>
        <w:spacing w:line="360" w:lineRule="auto"/>
        <w:rPr>
          <w:rFonts w:ascii="宋体" w:hAnsi="宋体"/>
        </w:rPr>
      </w:pPr>
      <w:r>
        <w:rPr>
          <w:rFonts w:ascii="宋体" w:hAnsi="宋体"/>
        </w:rPr>
        <w:t>法定代表人（职务、姓名）（签章）：</w:t>
      </w:r>
    </w:p>
    <w:p>
      <w:pPr>
        <w:spacing w:line="360" w:lineRule="auto"/>
        <w:rPr>
          <w:rFonts w:ascii="宋体" w:hAnsi="宋体"/>
        </w:rPr>
      </w:pPr>
    </w:p>
    <w:p>
      <w:pPr>
        <w:spacing w:line="360" w:lineRule="auto"/>
        <w:rPr>
          <w:rFonts w:ascii="宋体" w:hAnsi="宋体"/>
        </w:rPr>
      </w:pPr>
      <w:r>
        <w:rPr>
          <w:rFonts w:ascii="宋体" w:hAnsi="宋体"/>
        </w:rPr>
        <w:t>被授权代理人（职务、姓名、身份证号）（签章）：</w:t>
      </w:r>
    </w:p>
    <w:p>
      <w:pPr>
        <w:spacing w:line="360" w:lineRule="auto"/>
        <w:rPr>
          <w:rFonts w:ascii="宋体" w:hAnsi="宋体"/>
        </w:rPr>
      </w:pPr>
    </w:p>
    <w:p>
      <w:pPr>
        <w:spacing w:line="360" w:lineRule="auto"/>
        <w:rPr>
          <w:rFonts w:ascii="宋体" w:hAnsi="宋体"/>
        </w:rPr>
      </w:pPr>
      <w:r>
        <w:rPr>
          <w:rFonts w:ascii="宋体" w:hAnsi="宋体"/>
        </w:rPr>
        <w:t>日期：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日</w:t>
      </w:r>
    </w:p>
    <w:p>
      <w:pPr>
        <w:widowControl/>
        <w:jc w:val="left"/>
        <w:rPr>
          <w:rFonts w:ascii="宋体" w:hAnsi="宋体"/>
          <w:color w:val="00B050"/>
        </w:rPr>
      </w:pPr>
      <w:r>
        <w:rPr>
          <w:rFonts w:ascii="宋体" w:hAnsi="宋体"/>
          <w:color w:val="00B050"/>
        </w:rPr>
        <w:br w:type="page"/>
      </w:r>
    </w:p>
    <w:bookmarkEnd w:id="189"/>
    <w:p>
      <w:pPr>
        <w:pStyle w:val="3"/>
        <w:keepLines w:val="0"/>
        <w:widowControl/>
        <w:numPr>
          <w:ilvl w:val="1"/>
          <w:numId w:val="0"/>
        </w:numPr>
        <w:spacing w:before="240" w:after="120" w:line="400" w:lineRule="exact"/>
        <w:jc w:val="left"/>
        <w:rPr>
          <w:rFonts w:ascii="黑体"/>
          <w:bCs w:val="0"/>
        </w:rPr>
      </w:pPr>
      <w:bookmarkStart w:id="190" w:name="_Toc74734432"/>
      <w:r>
        <w:rPr>
          <w:rFonts w:hint="eastAsia" w:ascii="黑体"/>
          <w:bCs w:val="0"/>
        </w:rPr>
        <w:t>投标人须知附件</w:t>
      </w:r>
      <w:r>
        <w:rPr>
          <w:rFonts w:ascii="黑体"/>
          <w:bCs w:val="0"/>
        </w:rPr>
        <w:t>5</w:t>
      </w:r>
      <w:r>
        <w:rPr>
          <w:rFonts w:hint="eastAsia" w:ascii="黑体"/>
          <w:bCs w:val="0"/>
        </w:rPr>
        <w:t>：商务偏离表（格式）</w:t>
      </w:r>
      <w:bookmarkEnd w:id="190"/>
    </w:p>
    <w:p>
      <w:pPr>
        <w:autoSpaceDE w:val="0"/>
        <w:autoSpaceDN w:val="0"/>
        <w:adjustRightInd w:val="0"/>
        <w:spacing w:line="360" w:lineRule="atLeast"/>
        <w:jc w:val="center"/>
        <w:rPr>
          <w:rFonts w:ascii="宋体"/>
          <w:bCs/>
          <w:sz w:val="32"/>
        </w:rPr>
      </w:pPr>
      <w:r>
        <w:rPr>
          <w:rFonts w:hint="eastAsia" w:ascii="宋体"/>
          <w:bCs/>
          <w:sz w:val="32"/>
        </w:rPr>
        <w:t>投标偏离表（商务部分）</w:t>
      </w:r>
    </w:p>
    <w:p>
      <w:pPr>
        <w:autoSpaceDE w:val="0"/>
        <w:autoSpaceDN w:val="0"/>
        <w:adjustRightInd w:val="0"/>
        <w:spacing w:line="360" w:lineRule="atLeast"/>
        <w:rPr>
          <w:rFonts w:ascii="宋体"/>
          <w:bCs/>
        </w:rPr>
      </w:pPr>
    </w:p>
    <w:p>
      <w:pPr>
        <w:autoSpaceDE w:val="0"/>
        <w:autoSpaceDN w:val="0"/>
        <w:adjustRightInd w:val="0"/>
        <w:spacing w:line="360" w:lineRule="atLeast"/>
        <w:rPr>
          <w:rFonts w:ascii="宋体"/>
          <w:bCs/>
        </w:rPr>
      </w:pPr>
      <w:r>
        <w:rPr>
          <w:rFonts w:hint="eastAsia" w:ascii="宋体"/>
          <w:bCs/>
        </w:rPr>
        <w:t>项目编号：</w:t>
      </w:r>
      <w:r>
        <w:rPr>
          <w:rFonts w:hint="eastAsia" w:ascii="宋体"/>
          <w:bCs/>
          <w:u w:val="single"/>
        </w:rPr>
        <w:tab/>
      </w:r>
      <w:r>
        <w:rPr>
          <w:rFonts w:hint="eastAsia" w:ascii="宋体"/>
          <w:bCs/>
          <w:u w:val="single"/>
        </w:rPr>
        <w:tab/>
      </w:r>
      <w:r>
        <w:rPr>
          <w:rFonts w:hint="eastAsia" w:ascii="宋体"/>
          <w:bCs/>
          <w:u w:val="single"/>
        </w:rPr>
        <w:tab/>
      </w:r>
      <w:r>
        <w:rPr>
          <w:rFonts w:hint="eastAsia" w:ascii="宋体"/>
          <w:bCs/>
          <w:u w:val="single"/>
        </w:rPr>
        <w:tab/>
      </w:r>
    </w:p>
    <w:tbl>
      <w:tblPr>
        <w:tblStyle w:val="5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39"/>
        <w:gridCol w:w="1839"/>
        <w:gridCol w:w="19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pPr>
              <w:autoSpaceDE w:val="0"/>
              <w:autoSpaceDN w:val="0"/>
              <w:adjustRightInd w:val="0"/>
              <w:spacing w:line="360" w:lineRule="atLeast"/>
              <w:jc w:val="center"/>
              <w:rPr>
                <w:rFonts w:ascii="宋体"/>
              </w:rPr>
            </w:pPr>
            <w:r>
              <w:rPr>
                <w:rFonts w:hint="eastAsia" w:ascii="宋体"/>
              </w:rPr>
              <w:t>序号</w:t>
            </w:r>
          </w:p>
        </w:tc>
        <w:tc>
          <w:tcPr>
            <w:tcW w:w="1839" w:type="dxa"/>
            <w:vAlign w:val="center"/>
          </w:tcPr>
          <w:p>
            <w:pPr>
              <w:autoSpaceDE w:val="0"/>
              <w:autoSpaceDN w:val="0"/>
              <w:adjustRightInd w:val="0"/>
              <w:spacing w:line="360" w:lineRule="atLeast"/>
              <w:jc w:val="center"/>
              <w:rPr>
                <w:rFonts w:ascii="宋体"/>
              </w:rPr>
            </w:pPr>
            <w:r>
              <w:rPr>
                <w:rFonts w:hint="eastAsia" w:ascii="宋体"/>
              </w:rPr>
              <w:t>招标文件条目号</w:t>
            </w:r>
          </w:p>
        </w:tc>
        <w:tc>
          <w:tcPr>
            <w:tcW w:w="1839" w:type="dxa"/>
            <w:vAlign w:val="center"/>
          </w:tcPr>
          <w:p>
            <w:pPr>
              <w:autoSpaceDE w:val="0"/>
              <w:autoSpaceDN w:val="0"/>
              <w:adjustRightInd w:val="0"/>
              <w:spacing w:line="360" w:lineRule="atLeast"/>
              <w:jc w:val="center"/>
              <w:rPr>
                <w:rFonts w:ascii="宋体"/>
              </w:rPr>
            </w:pPr>
            <w:r>
              <w:rPr>
                <w:rFonts w:hint="eastAsia" w:ascii="宋体"/>
              </w:rPr>
              <w:t>招标文件条款</w:t>
            </w:r>
          </w:p>
        </w:tc>
        <w:tc>
          <w:tcPr>
            <w:tcW w:w="1992" w:type="dxa"/>
            <w:vAlign w:val="center"/>
          </w:tcPr>
          <w:p>
            <w:pPr>
              <w:autoSpaceDE w:val="0"/>
              <w:autoSpaceDN w:val="0"/>
              <w:adjustRightInd w:val="0"/>
              <w:spacing w:line="360" w:lineRule="atLeast"/>
              <w:jc w:val="center"/>
              <w:rPr>
                <w:rFonts w:ascii="宋体"/>
              </w:rPr>
            </w:pPr>
            <w:r>
              <w:rPr>
                <w:rFonts w:hint="eastAsia" w:ascii="宋体"/>
              </w:rPr>
              <w:t>投标文件条款</w:t>
            </w:r>
          </w:p>
        </w:tc>
        <w:tc>
          <w:tcPr>
            <w:tcW w:w="1991" w:type="dxa"/>
            <w:vAlign w:val="center"/>
          </w:tcPr>
          <w:p>
            <w:pPr>
              <w:autoSpaceDE w:val="0"/>
              <w:autoSpaceDN w:val="0"/>
              <w:adjustRightInd w:val="0"/>
              <w:spacing w:line="360" w:lineRule="atLeast"/>
              <w:jc w:val="center"/>
              <w:rPr>
                <w:rFonts w:ascii="宋体"/>
              </w:rPr>
            </w:pPr>
            <w:r>
              <w:rPr>
                <w:rFonts w:hint="eastAsia" w:asci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91" w:type="dxa"/>
          </w:tcPr>
          <w:p>
            <w:pPr>
              <w:autoSpaceDE w:val="0"/>
              <w:autoSpaceDN w:val="0"/>
              <w:adjustRightInd w:val="0"/>
              <w:spacing w:line="360" w:lineRule="atLeast"/>
              <w:rPr>
                <w:rFonts w:ascii="宋体"/>
              </w:rPr>
            </w:pPr>
          </w:p>
        </w:tc>
      </w:tr>
    </w:tbl>
    <w:p>
      <w:pPr>
        <w:autoSpaceDE w:val="0"/>
        <w:autoSpaceDN w:val="0"/>
        <w:adjustRightInd w:val="0"/>
        <w:spacing w:line="360" w:lineRule="atLeast"/>
        <w:rPr>
          <w:rFonts w:ascii="宋体"/>
        </w:rPr>
      </w:pPr>
      <w:r>
        <w:rPr>
          <w:rFonts w:hint="eastAsia" w:ascii="宋体"/>
        </w:rPr>
        <w:t>注：无论多么微小的偏离都应填写。</w:t>
      </w:r>
    </w:p>
    <w:p>
      <w:pPr>
        <w:ind w:firstLine="315" w:firstLineChars="150"/>
        <w:rPr>
          <w:rFonts w:ascii="宋体"/>
        </w:rPr>
      </w:pPr>
    </w:p>
    <w:p>
      <w:pPr>
        <w:ind w:firstLine="315" w:firstLineChars="150"/>
        <w:rPr>
          <w:rFonts w:ascii="宋体"/>
        </w:rPr>
      </w:pPr>
    </w:p>
    <w:p>
      <w:pPr>
        <w:ind w:firstLine="315" w:firstLineChars="150"/>
        <w:rPr>
          <w:rFonts w:ascii="宋体" w:hAnsi="宋体"/>
        </w:rPr>
      </w:pPr>
      <w:r>
        <w:rPr>
          <w:rFonts w:hint="eastAsia" w:ascii="宋体"/>
        </w:rPr>
        <w:t>授权代表签字：</w:t>
      </w:r>
      <w:r>
        <w:rPr>
          <w:rFonts w:ascii="宋体" w:hAnsi="宋体"/>
        </w:rPr>
        <w:t>___________</w:t>
      </w:r>
    </w:p>
    <w:p>
      <w:pPr>
        <w:spacing w:before="312" w:beforeLines="100"/>
        <w:ind w:firstLine="630" w:firstLineChars="300"/>
        <w:rPr>
          <w:rFonts w:ascii="宋体" w:hAnsi="宋体"/>
        </w:rPr>
      </w:pPr>
      <w:r>
        <w:rPr>
          <w:rFonts w:hint="eastAsia" w:ascii="宋体"/>
        </w:rPr>
        <w:t>公    章：</w:t>
      </w:r>
    </w:p>
    <w:p>
      <w:pPr>
        <w:jc w:val="center"/>
      </w:pPr>
      <w:r>
        <w:rPr>
          <w:rFonts w:ascii="宋体"/>
        </w:rPr>
        <w:br w:type="page"/>
      </w:r>
    </w:p>
    <w:p>
      <w:pPr>
        <w:pStyle w:val="3"/>
        <w:keepLines w:val="0"/>
        <w:widowControl/>
        <w:numPr>
          <w:ilvl w:val="1"/>
          <w:numId w:val="0"/>
        </w:numPr>
        <w:spacing w:before="240" w:after="120" w:line="400" w:lineRule="exact"/>
        <w:jc w:val="left"/>
        <w:rPr>
          <w:rFonts w:ascii="黑体"/>
          <w:bCs w:val="0"/>
        </w:rPr>
      </w:pPr>
      <w:bookmarkStart w:id="191" w:name="_Toc94175741"/>
      <w:bookmarkStart w:id="192" w:name="_Toc74734433"/>
      <w:r>
        <w:rPr>
          <w:rFonts w:hint="eastAsia" w:ascii="黑体"/>
          <w:bCs w:val="0"/>
        </w:rPr>
        <w:t>投标人须知附件</w:t>
      </w:r>
      <w:r>
        <w:rPr>
          <w:rFonts w:ascii="黑体"/>
          <w:bCs w:val="0"/>
        </w:rPr>
        <w:t>6</w:t>
      </w:r>
      <w:r>
        <w:rPr>
          <w:rFonts w:hint="eastAsia" w:ascii="黑体"/>
          <w:bCs w:val="0"/>
        </w:rPr>
        <w:t>:</w:t>
      </w:r>
      <w:bookmarkEnd w:id="191"/>
      <w:r>
        <w:rPr>
          <w:rFonts w:hint="eastAsia" w:ascii="黑体"/>
          <w:bCs w:val="0"/>
        </w:rPr>
        <w:t xml:space="preserve"> 技术偏离表</w:t>
      </w:r>
      <w:bookmarkEnd w:id="192"/>
    </w:p>
    <w:p>
      <w:pPr>
        <w:autoSpaceDE w:val="0"/>
        <w:autoSpaceDN w:val="0"/>
        <w:adjustRightInd w:val="0"/>
        <w:spacing w:line="360" w:lineRule="atLeast"/>
        <w:jc w:val="center"/>
        <w:rPr>
          <w:rFonts w:ascii="宋体"/>
          <w:bCs/>
          <w:sz w:val="32"/>
        </w:rPr>
      </w:pPr>
      <w:r>
        <w:rPr>
          <w:rFonts w:hint="eastAsia" w:ascii="宋体"/>
          <w:bCs/>
          <w:sz w:val="32"/>
        </w:rPr>
        <w:t>投标偏离表（技术部分）</w:t>
      </w:r>
    </w:p>
    <w:p>
      <w:pPr>
        <w:autoSpaceDE w:val="0"/>
        <w:autoSpaceDN w:val="0"/>
        <w:adjustRightInd w:val="0"/>
        <w:spacing w:line="360" w:lineRule="atLeast"/>
        <w:rPr>
          <w:rFonts w:ascii="宋体"/>
          <w:bCs/>
        </w:rPr>
      </w:pPr>
    </w:p>
    <w:p>
      <w:pPr>
        <w:autoSpaceDE w:val="0"/>
        <w:autoSpaceDN w:val="0"/>
        <w:adjustRightInd w:val="0"/>
        <w:spacing w:line="360" w:lineRule="atLeast"/>
        <w:rPr>
          <w:rFonts w:ascii="宋体"/>
          <w:bCs/>
        </w:rPr>
      </w:pPr>
      <w:r>
        <w:rPr>
          <w:rFonts w:hint="eastAsia" w:ascii="宋体"/>
          <w:bCs/>
        </w:rPr>
        <w:t>项目编号：</w:t>
      </w:r>
      <w:r>
        <w:rPr>
          <w:rFonts w:hint="eastAsia" w:ascii="宋体"/>
          <w:bCs/>
          <w:u w:val="single"/>
        </w:rPr>
        <w:tab/>
      </w:r>
      <w:r>
        <w:rPr>
          <w:rFonts w:hint="eastAsia" w:ascii="宋体"/>
          <w:bCs/>
          <w:u w:val="single"/>
        </w:rPr>
        <w:tab/>
      </w:r>
      <w:r>
        <w:rPr>
          <w:rFonts w:hint="eastAsia" w:ascii="宋体"/>
          <w:bCs/>
          <w:u w:val="single"/>
        </w:rPr>
        <w:tab/>
      </w:r>
      <w:r>
        <w:rPr>
          <w:rFonts w:hint="eastAsia" w:ascii="宋体"/>
          <w:bCs/>
          <w:u w:val="single"/>
        </w:rPr>
        <w:tab/>
      </w:r>
    </w:p>
    <w:tbl>
      <w:tblPr>
        <w:tblStyle w:val="5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39"/>
        <w:gridCol w:w="1839"/>
        <w:gridCol w:w="199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vAlign w:val="center"/>
          </w:tcPr>
          <w:p>
            <w:pPr>
              <w:autoSpaceDE w:val="0"/>
              <w:autoSpaceDN w:val="0"/>
              <w:adjustRightInd w:val="0"/>
              <w:spacing w:line="360" w:lineRule="atLeast"/>
              <w:jc w:val="center"/>
              <w:rPr>
                <w:rFonts w:ascii="宋体"/>
              </w:rPr>
            </w:pPr>
            <w:r>
              <w:rPr>
                <w:rFonts w:hint="eastAsia" w:ascii="宋体"/>
              </w:rPr>
              <w:t>序号</w:t>
            </w:r>
          </w:p>
        </w:tc>
        <w:tc>
          <w:tcPr>
            <w:tcW w:w="1839" w:type="dxa"/>
            <w:vAlign w:val="center"/>
          </w:tcPr>
          <w:p>
            <w:pPr>
              <w:autoSpaceDE w:val="0"/>
              <w:autoSpaceDN w:val="0"/>
              <w:adjustRightInd w:val="0"/>
              <w:spacing w:line="360" w:lineRule="atLeast"/>
              <w:jc w:val="center"/>
              <w:rPr>
                <w:rFonts w:ascii="宋体"/>
              </w:rPr>
            </w:pPr>
            <w:r>
              <w:rPr>
                <w:rFonts w:hint="eastAsia" w:ascii="宋体"/>
              </w:rPr>
              <w:t>招标文件条目号</w:t>
            </w:r>
          </w:p>
        </w:tc>
        <w:tc>
          <w:tcPr>
            <w:tcW w:w="1839" w:type="dxa"/>
            <w:vAlign w:val="center"/>
          </w:tcPr>
          <w:p>
            <w:pPr>
              <w:autoSpaceDE w:val="0"/>
              <w:autoSpaceDN w:val="0"/>
              <w:adjustRightInd w:val="0"/>
              <w:spacing w:line="360" w:lineRule="atLeast"/>
              <w:jc w:val="center"/>
              <w:rPr>
                <w:rFonts w:ascii="宋体"/>
              </w:rPr>
            </w:pPr>
            <w:r>
              <w:rPr>
                <w:rFonts w:hint="eastAsia" w:ascii="宋体"/>
              </w:rPr>
              <w:t>招标文件条款</w:t>
            </w:r>
          </w:p>
        </w:tc>
        <w:tc>
          <w:tcPr>
            <w:tcW w:w="1992" w:type="dxa"/>
            <w:vAlign w:val="center"/>
          </w:tcPr>
          <w:p>
            <w:pPr>
              <w:autoSpaceDE w:val="0"/>
              <w:autoSpaceDN w:val="0"/>
              <w:adjustRightInd w:val="0"/>
              <w:spacing w:line="360" w:lineRule="atLeast"/>
              <w:jc w:val="center"/>
              <w:rPr>
                <w:rFonts w:ascii="宋体"/>
              </w:rPr>
            </w:pPr>
            <w:r>
              <w:rPr>
                <w:rFonts w:hint="eastAsia" w:ascii="宋体"/>
              </w:rPr>
              <w:t>投标文件条款</w:t>
            </w:r>
          </w:p>
        </w:tc>
        <w:tc>
          <w:tcPr>
            <w:tcW w:w="1989" w:type="dxa"/>
            <w:vAlign w:val="center"/>
          </w:tcPr>
          <w:p>
            <w:pPr>
              <w:autoSpaceDE w:val="0"/>
              <w:autoSpaceDN w:val="0"/>
              <w:adjustRightInd w:val="0"/>
              <w:spacing w:line="360" w:lineRule="atLeast"/>
              <w:jc w:val="center"/>
              <w:rPr>
                <w:rFonts w:ascii="宋体"/>
              </w:rPr>
            </w:pPr>
            <w:r>
              <w:rPr>
                <w:rFonts w:hint="eastAsia" w:asci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3"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839" w:type="dxa"/>
          </w:tcPr>
          <w:p>
            <w:pPr>
              <w:autoSpaceDE w:val="0"/>
              <w:autoSpaceDN w:val="0"/>
              <w:adjustRightInd w:val="0"/>
              <w:spacing w:line="360" w:lineRule="atLeast"/>
              <w:rPr>
                <w:rFonts w:ascii="宋体"/>
              </w:rPr>
            </w:pPr>
          </w:p>
        </w:tc>
        <w:tc>
          <w:tcPr>
            <w:tcW w:w="1992" w:type="dxa"/>
          </w:tcPr>
          <w:p>
            <w:pPr>
              <w:autoSpaceDE w:val="0"/>
              <w:autoSpaceDN w:val="0"/>
              <w:adjustRightInd w:val="0"/>
              <w:spacing w:line="360" w:lineRule="atLeast"/>
              <w:rPr>
                <w:rFonts w:ascii="宋体"/>
              </w:rPr>
            </w:pPr>
          </w:p>
        </w:tc>
        <w:tc>
          <w:tcPr>
            <w:tcW w:w="1989" w:type="dxa"/>
          </w:tcPr>
          <w:p>
            <w:pPr>
              <w:autoSpaceDE w:val="0"/>
              <w:autoSpaceDN w:val="0"/>
              <w:adjustRightInd w:val="0"/>
              <w:spacing w:line="360" w:lineRule="atLeast"/>
              <w:rPr>
                <w:rFonts w:ascii="宋体"/>
              </w:rPr>
            </w:pPr>
          </w:p>
        </w:tc>
      </w:tr>
    </w:tbl>
    <w:p>
      <w:pPr>
        <w:autoSpaceDE w:val="0"/>
        <w:autoSpaceDN w:val="0"/>
        <w:adjustRightInd w:val="0"/>
        <w:spacing w:line="360" w:lineRule="atLeast"/>
        <w:rPr>
          <w:rFonts w:ascii="宋体"/>
        </w:rPr>
      </w:pPr>
      <w:r>
        <w:rPr>
          <w:rFonts w:hint="eastAsia" w:ascii="宋体"/>
        </w:rPr>
        <w:t>注：无论多么微小的偏离都应填写。</w:t>
      </w:r>
    </w:p>
    <w:p>
      <w:pPr>
        <w:ind w:firstLine="315" w:firstLineChars="150"/>
        <w:rPr>
          <w:rFonts w:ascii="宋体"/>
        </w:rPr>
      </w:pPr>
    </w:p>
    <w:p>
      <w:pPr>
        <w:ind w:firstLine="315" w:firstLineChars="150"/>
        <w:rPr>
          <w:rFonts w:ascii="宋体"/>
        </w:rPr>
      </w:pPr>
    </w:p>
    <w:p>
      <w:pPr>
        <w:ind w:firstLine="315" w:firstLineChars="150"/>
        <w:rPr>
          <w:rFonts w:ascii="宋体" w:hAnsi="宋体"/>
        </w:rPr>
      </w:pPr>
      <w:r>
        <w:rPr>
          <w:rFonts w:hint="eastAsia" w:ascii="宋体"/>
        </w:rPr>
        <w:t>授权代表签字：</w:t>
      </w:r>
      <w:r>
        <w:rPr>
          <w:rFonts w:ascii="宋体" w:hAnsi="宋体"/>
        </w:rPr>
        <w:t>___________</w:t>
      </w:r>
    </w:p>
    <w:p>
      <w:pPr>
        <w:spacing w:before="312" w:beforeLines="100"/>
        <w:ind w:firstLine="630" w:firstLineChars="300"/>
        <w:rPr>
          <w:rFonts w:ascii="宋体"/>
        </w:rPr>
      </w:pPr>
      <w:r>
        <w:rPr>
          <w:rFonts w:hint="eastAsia" w:ascii="宋体"/>
        </w:rPr>
        <w:t>公    章：</w:t>
      </w:r>
    </w:p>
    <w:p>
      <w:pPr>
        <w:pStyle w:val="14"/>
        <w:rPr>
          <w:b/>
        </w:rPr>
      </w:pPr>
    </w:p>
    <w:p>
      <w:pPr>
        <w:pStyle w:val="14"/>
        <w:rPr>
          <w:b/>
        </w:rPr>
      </w:pPr>
    </w:p>
    <w:p>
      <w:pPr>
        <w:pStyle w:val="14"/>
        <w:rPr>
          <w:b/>
        </w:rPr>
      </w:pPr>
    </w:p>
    <w:p>
      <w:pPr>
        <w:pStyle w:val="14"/>
        <w:rPr>
          <w:b/>
        </w:rPr>
      </w:pPr>
    </w:p>
    <w:p>
      <w:pPr>
        <w:pStyle w:val="14"/>
        <w:rPr>
          <w:b/>
        </w:rPr>
      </w:pPr>
    </w:p>
    <w:p>
      <w:pPr>
        <w:pStyle w:val="3"/>
        <w:keepLines w:val="0"/>
        <w:widowControl/>
        <w:numPr>
          <w:ilvl w:val="1"/>
          <w:numId w:val="0"/>
        </w:numPr>
        <w:spacing w:before="240" w:after="120" w:line="400" w:lineRule="exact"/>
        <w:jc w:val="left"/>
        <w:rPr>
          <w:rFonts w:ascii="黑体"/>
          <w:bCs w:val="0"/>
        </w:rPr>
      </w:pPr>
      <w:bookmarkStart w:id="193" w:name="_Toc74734434"/>
      <w:r>
        <w:rPr>
          <w:rFonts w:hint="eastAsia" w:ascii="黑体"/>
          <w:bCs w:val="0"/>
        </w:rPr>
        <w:t>投标人须知附件</w:t>
      </w:r>
      <w:r>
        <w:rPr>
          <w:rFonts w:ascii="黑体"/>
          <w:bCs w:val="0"/>
        </w:rPr>
        <w:t>10</w:t>
      </w:r>
      <w:r>
        <w:rPr>
          <w:rFonts w:hint="eastAsia" w:ascii="黑体"/>
          <w:bCs w:val="0"/>
        </w:rPr>
        <w:t>：近二年同类方案部署业绩表（格式）</w:t>
      </w:r>
      <w:bookmarkEnd w:id="193"/>
    </w:p>
    <w:p>
      <w:pPr>
        <w:spacing w:line="540" w:lineRule="exact"/>
        <w:rPr>
          <w:rFonts w:ascii="宋体" w:hAnsi="宋体"/>
          <w:sz w:val="28"/>
          <w:szCs w:val="28"/>
        </w:rPr>
      </w:pPr>
    </w:p>
    <w:tbl>
      <w:tblPr>
        <w:tblStyle w:val="5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68"/>
        <w:gridCol w:w="1350"/>
        <w:gridCol w:w="1774"/>
        <w:gridCol w:w="2175"/>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2" w:type="dxa"/>
            <w:vAlign w:val="center"/>
          </w:tcPr>
          <w:p>
            <w:pPr>
              <w:spacing w:line="540" w:lineRule="exact"/>
              <w:jc w:val="center"/>
              <w:rPr>
                <w:rFonts w:ascii="宋体" w:hAnsi="宋体"/>
                <w:sz w:val="28"/>
                <w:szCs w:val="28"/>
              </w:rPr>
            </w:pPr>
            <w:r>
              <w:rPr>
                <w:rFonts w:hint="eastAsia" w:ascii="宋体" w:hAnsi="宋体"/>
                <w:sz w:val="28"/>
                <w:szCs w:val="28"/>
              </w:rPr>
              <w:t>序号</w:t>
            </w:r>
          </w:p>
        </w:tc>
        <w:tc>
          <w:tcPr>
            <w:tcW w:w="1468" w:type="dxa"/>
            <w:vAlign w:val="center"/>
          </w:tcPr>
          <w:p>
            <w:pPr>
              <w:spacing w:line="540" w:lineRule="exact"/>
              <w:jc w:val="center"/>
              <w:rPr>
                <w:rFonts w:ascii="宋体" w:hAnsi="宋体"/>
                <w:sz w:val="28"/>
                <w:szCs w:val="28"/>
              </w:rPr>
            </w:pPr>
            <w:r>
              <w:rPr>
                <w:rFonts w:hint="eastAsia" w:ascii="宋体" w:hAnsi="宋体"/>
                <w:sz w:val="28"/>
                <w:szCs w:val="28"/>
              </w:rPr>
              <w:t>单位</w:t>
            </w:r>
          </w:p>
        </w:tc>
        <w:tc>
          <w:tcPr>
            <w:tcW w:w="1350" w:type="dxa"/>
            <w:vAlign w:val="center"/>
          </w:tcPr>
          <w:p>
            <w:pPr>
              <w:spacing w:line="540" w:lineRule="exact"/>
              <w:jc w:val="center"/>
              <w:rPr>
                <w:rFonts w:ascii="宋体" w:hAnsi="宋体"/>
                <w:sz w:val="28"/>
                <w:szCs w:val="28"/>
              </w:rPr>
            </w:pPr>
            <w:r>
              <w:rPr>
                <w:rFonts w:hint="eastAsia" w:ascii="宋体" w:hAnsi="宋体"/>
                <w:sz w:val="28"/>
                <w:szCs w:val="28"/>
              </w:rPr>
              <w:t>电话</w:t>
            </w:r>
          </w:p>
        </w:tc>
        <w:tc>
          <w:tcPr>
            <w:tcW w:w="1774" w:type="dxa"/>
            <w:vAlign w:val="center"/>
          </w:tcPr>
          <w:p>
            <w:pPr>
              <w:spacing w:line="540" w:lineRule="exact"/>
              <w:jc w:val="center"/>
              <w:rPr>
                <w:rFonts w:ascii="宋体" w:hAnsi="宋体"/>
                <w:sz w:val="28"/>
                <w:szCs w:val="28"/>
              </w:rPr>
            </w:pPr>
            <w:r>
              <w:rPr>
                <w:rFonts w:hint="eastAsia" w:ascii="宋体" w:hAnsi="宋体"/>
                <w:sz w:val="28"/>
                <w:szCs w:val="28"/>
              </w:rPr>
              <w:t>联系人</w:t>
            </w:r>
          </w:p>
        </w:tc>
        <w:tc>
          <w:tcPr>
            <w:tcW w:w="2175" w:type="dxa"/>
            <w:vAlign w:val="center"/>
          </w:tcPr>
          <w:p>
            <w:pPr>
              <w:spacing w:line="540" w:lineRule="exact"/>
              <w:jc w:val="center"/>
              <w:rPr>
                <w:rFonts w:ascii="宋体" w:hAnsi="宋体"/>
                <w:sz w:val="28"/>
                <w:szCs w:val="28"/>
              </w:rPr>
            </w:pPr>
            <w:r>
              <w:rPr>
                <w:rFonts w:hint="eastAsia" w:ascii="宋体" w:hAnsi="宋体"/>
                <w:sz w:val="28"/>
                <w:szCs w:val="28"/>
              </w:rPr>
              <w:t>规格</w:t>
            </w:r>
          </w:p>
        </w:tc>
        <w:tc>
          <w:tcPr>
            <w:tcW w:w="2169" w:type="dxa"/>
            <w:vAlign w:val="center"/>
          </w:tcPr>
          <w:p>
            <w:pPr>
              <w:spacing w:line="540" w:lineRule="exact"/>
              <w:jc w:val="center"/>
              <w:rPr>
                <w:rFonts w:ascii="宋体" w:hAnsi="宋体"/>
                <w:sz w:val="28"/>
                <w:szCs w:val="28"/>
              </w:rPr>
            </w:pPr>
            <w:r>
              <w:rPr>
                <w:rFonts w:hint="eastAsia" w:ascii="宋体" w:hAnsi="宋体"/>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62" w:type="dxa"/>
            <w:vAlign w:val="center"/>
          </w:tcPr>
          <w:p>
            <w:pPr>
              <w:spacing w:line="540" w:lineRule="exact"/>
              <w:jc w:val="center"/>
              <w:rPr>
                <w:rFonts w:ascii="宋体" w:hAnsi="宋体"/>
                <w:sz w:val="28"/>
                <w:szCs w:val="28"/>
              </w:rPr>
            </w:pPr>
            <w:r>
              <w:rPr>
                <w:rFonts w:hint="eastAsia" w:ascii="宋体" w:hAnsi="宋体"/>
                <w:sz w:val="28"/>
                <w:szCs w:val="28"/>
              </w:rPr>
              <w:t>1</w:t>
            </w:r>
          </w:p>
        </w:tc>
        <w:tc>
          <w:tcPr>
            <w:tcW w:w="1468" w:type="dxa"/>
            <w:vAlign w:val="center"/>
          </w:tcPr>
          <w:p>
            <w:pPr>
              <w:spacing w:line="540" w:lineRule="exact"/>
              <w:jc w:val="center"/>
              <w:rPr>
                <w:rFonts w:ascii="宋体" w:hAnsi="宋体"/>
                <w:sz w:val="28"/>
                <w:szCs w:val="28"/>
              </w:rPr>
            </w:pPr>
          </w:p>
        </w:tc>
        <w:tc>
          <w:tcPr>
            <w:tcW w:w="1350" w:type="dxa"/>
            <w:vAlign w:val="center"/>
          </w:tcPr>
          <w:p>
            <w:pPr>
              <w:spacing w:line="540" w:lineRule="exact"/>
              <w:jc w:val="center"/>
              <w:rPr>
                <w:rFonts w:ascii="宋体" w:hAnsi="宋体"/>
                <w:sz w:val="28"/>
                <w:szCs w:val="28"/>
              </w:rPr>
            </w:pPr>
          </w:p>
        </w:tc>
        <w:tc>
          <w:tcPr>
            <w:tcW w:w="1774" w:type="dxa"/>
            <w:vAlign w:val="center"/>
          </w:tcPr>
          <w:p>
            <w:pPr>
              <w:spacing w:line="540" w:lineRule="exact"/>
              <w:jc w:val="center"/>
              <w:rPr>
                <w:rFonts w:ascii="宋体" w:hAnsi="宋体"/>
                <w:sz w:val="28"/>
                <w:szCs w:val="28"/>
              </w:rPr>
            </w:pPr>
          </w:p>
        </w:tc>
        <w:tc>
          <w:tcPr>
            <w:tcW w:w="2175" w:type="dxa"/>
            <w:vAlign w:val="center"/>
          </w:tcPr>
          <w:p>
            <w:pPr>
              <w:spacing w:line="540" w:lineRule="exact"/>
              <w:jc w:val="center"/>
              <w:rPr>
                <w:rFonts w:ascii="宋体" w:hAnsi="宋体"/>
                <w:sz w:val="28"/>
                <w:szCs w:val="28"/>
              </w:rPr>
            </w:pPr>
          </w:p>
        </w:tc>
        <w:tc>
          <w:tcPr>
            <w:tcW w:w="2169" w:type="dxa"/>
            <w:vAlign w:val="center"/>
          </w:tcPr>
          <w:p>
            <w:pPr>
              <w:spacing w:line="5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2" w:type="dxa"/>
            <w:vAlign w:val="center"/>
          </w:tcPr>
          <w:p>
            <w:pPr>
              <w:spacing w:line="540" w:lineRule="exact"/>
              <w:jc w:val="center"/>
              <w:rPr>
                <w:rFonts w:ascii="宋体" w:hAnsi="宋体"/>
                <w:sz w:val="28"/>
                <w:szCs w:val="28"/>
              </w:rPr>
            </w:pPr>
            <w:r>
              <w:rPr>
                <w:rFonts w:hint="eastAsia" w:ascii="宋体" w:hAnsi="宋体"/>
                <w:sz w:val="28"/>
                <w:szCs w:val="28"/>
              </w:rPr>
              <w:t>2</w:t>
            </w:r>
          </w:p>
        </w:tc>
        <w:tc>
          <w:tcPr>
            <w:tcW w:w="1468" w:type="dxa"/>
            <w:vAlign w:val="center"/>
          </w:tcPr>
          <w:p>
            <w:pPr>
              <w:spacing w:line="540" w:lineRule="exact"/>
              <w:jc w:val="center"/>
              <w:rPr>
                <w:rFonts w:ascii="宋体" w:hAnsi="宋体"/>
                <w:sz w:val="28"/>
                <w:szCs w:val="28"/>
              </w:rPr>
            </w:pPr>
          </w:p>
        </w:tc>
        <w:tc>
          <w:tcPr>
            <w:tcW w:w="1350" w:type="dxa"/>
            <w:vAlign w:val="center"/>
          </w:tcPr>
          <w:p>
            <w:pPr>
              <w:spacing w:line="540" w:lineRule="exact"/>
              <w:jc w:val="center"/>
              <w:rPr>
                <w:rFonts w:ascii="宋体" w:hAnsi="宋体"/>
                <w:sz w:val="28"/>
                <w:szCs w:val="28"/>
              </w:rPr>
            </w:pPr>
          </w:p>
        </w:tc>
        <w:tc>
          <w:tcPr>
            <w:tcW w:w="1774" w:type="dxa"/>
            <w:vAlign w:val="center"/>
          </w:tcPr>
          <w:p>
            <w:pPr>
              <w:spacing w:line="540" w:lineRule="exact"/>
              <w:jc w:val="center"/>
              <w:rPr>
                <w:rFonts w:ascii="宋体" w:hAnsi="宋体"/>
                <w:sz w:val="28"/>
                <w:szCs w:val="28"/>
              </w:rPr>
            </w:pPr>
          </w:p>
        </w:tc>
        <w:tc>
          <w:tcPr>
            <w:tcW w:w="2175" w:type="dxa"/>
            <w:vAlign w:val="center"/>
          </w:tcPr>
          <w:p>
            <w:pPr>
              <w:spacing w:line="540" w:lineRule="exact"/>
              <w:jc w:val="center"/>
              <w:rPr>
                <w:rFonts w:ascii="宋体" w:hAnsi="宋体"/>
                <w:sz w:val="28"/>
                <w:szCs w:val="28"/>
              </w:rPr>
            </w:pPr>
          </w:p>
        </w:tc>
        <w:tc>
          <w:tcPr>
            <w:tcW w:w="2169" w:type="dxa"/>
            <w:vAlign w:val="center"/>
          </w:tcPr>
          <w:p>
            <w:pPr>
              <w:spacing w:line="5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62" w:type="dxa"/>
            <w:vAlign w:val="center"/>
          </w:tcPr>
          <w:p>
            <w:pPr>
              <w:spacing w:line="540" w:lineRule="exact"/>
              <w:jc w:val="center"/>
              <w:rPr>
                <w:rFonts w:ascii="宋体" w:hAnsi="宋体"/>
                <w:sz w:val="28"/>
                <w:szCs w:val="28"/>
              </w:rPr>
            </w:pPr>
            <w:r>
              <w:rPr>
                <w:rFonts w:hint="eastAsia" w:ascii="宋体" w:hAnsi="宋体"/>
                <w:sz w:val="28"/>
                <w:szCs w:val="28"/>
              </w:rPr>
              <w:t>3</w:t>
            </w:r>
          </w:p>
        </w:tc>
        <w:tc>
          <w:tcPr>
            <w:tcW w:w="1468" w:type="dxa"/>
            <w:vAlign w:val="center"/>
          </w:tcPr>
          <w:p>
            <w:pPr>
              <w:spacing w:line="540" w:lineRule="exact"/>
              <w:jc w:val="center"/>
              <w:rPr>
                <w:rFonts w:ascii="宋体" w:hAnsi="宋体"/>
                <w:sz w:val="28"/>
                <w:szCs w:val="28"/>
              </w:rPr>
            </w:pPr>
          </w:p>
        </w:tc>
        <w:tc>
          <w:tcPr>
            <w:tcW w:w="1350" w:type="dxa"/>
            <w:vAlign w:val="center"/>
          </w:tcPr>
          <w:p>
            <w:pPr>
              <w:spacing w:line="540" w:lineRule="exact"/>
              <w:jc w:val="center"/>
              <w:rPr>
                <w:rFonts w:ascii="宋体" w:hAnsi="宋体"/>
                <w:sz w:val="28"/>
                <w:szCs w:val="28"/>
              </w:rPr>
            </w:pPr>
          </w:p>
        </w:tc>
        <w:tc>
          <w:tcPr>
            <w:tcW w:w="1774" w:type="dxa"/>
            <w:vAlign w:val="center"/>
          </w:tcPr>
          <w:p>
            <w:pPr>
              <w:spacing w:line="540" w:lineRule="exact"/>
              <w:jc w:val="center"/>
              <w:rPr>
                <w:rFonts w:ascii="宋体" w:hAnsi="宋体"/>
                <w:sz w:val="28"/>
                <w:szCs w:val="28"/>
              </w:rPr>
            </w:pPr>
          </w:p>
        </w:tc>
        <w:tc>
          <w:tcPr>
            <w:tcW w:w="2175" w:type="dxa"/>
            <w:vAlign w:val="center"/>
          </w:tcPr>
          <w:p>
            <w:pPr>
              <w:spacing w:line="540" w:lineRule="exact"/>
              <w:jc w:val="center"/>
              <w:rPr>
                <w:rFonts w:ascii="宋体" w:hAnsi="宋体"/>
                <w:sz w:val="28"/>
                <w:szCs w:val="28"/>
              </w:rPr>
            </w:pPr>
          </w:p>
        </w:tc>
        <w:tc>
          <w:tcPr>
            <w:tcW w:w="2169" w:type="dxa"/>
            <w:vAlign w:val="center"/>
          </w:tcPr>
          <w:p>
            <w:pPr>
              <w:spacing w:line="5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2" w:type="dxa"/>
            <w:vAlign w:val="center"/>
          </w:tcPr>
          <w:p>
            <w:pPr>
              <w:spacing w:line="540" w:lineRule="exact"/>
              <w:jc w:val="center"/>
              <w:rPr>
                <w:rFonts w:ascii="宋体" w:hAnsi="宋体"/>
                <w:sz w:val="28"/>
                <w:szCs w:val="28"/>
              </w:rPr>
            </w:pPr>
            <w:r>
              <w:rPr>
                <w:rFonts w:hint="eastAsia" w:ascii="宋体" w:hAnsi="宋体"/>
                <w:sz w:val="28"/>
                <w:szCs w:val="28"/>
              </w:rPr>
              <w:t>…</w:t>
            </w:r>
          </w:p>
        </w:tc>
        <w:tc>
          <w:tcPr>
            <w:tcW w:w="1468" w:type="dxa"/>
            <w:vAlign w:val="center"/>
          </w:tcPr>
          <w:p>
            <w:pPr>
              <w:spacing w:line="540" w:lineRule="exact"/>
              <w:jc w:val="center"/>
              <w:rPr>
                <w:rFonts w:ascii="宋体" w:hAnsi="宋体"/>
                <w:sz w:val="28"/>
                <w:szCs w:val="28"/>
              </w:rPr>
            </w:pPr>
          </w:p>
        </w:tc>
        <w:tc>
          <w:tcPr>
            <w:tcW w:w="1350" w:type="dxa"/>
            <w:vAlign w:val="center"/>
          </w:tcPr>
          <w:p>
            <w:pPr>
              <w:spacing w:line="540" w:lineRule="exact"/>
              <w:jc w:val="center"/>
              <w:rPr>
                <w:rFonts w:ascii="宋体" w:hAnsi="宋体"/>
                <w:sz w:val="28"/>
                <w:szCs w:val="28"/>
              </w:rPr>
            </w:pPr>
          </w:p>
        </w:tc>
        <w:tc>
          <w:tcPr>
            <w:tcW w:w="1774" w:type="dxa"/>
            <w:vAlign w:val="center"/>
          </w:tcPr>
          <w:p>
            <w:pPr>
              <w:spacing w:line="540" w:lineRule="exact"/>
              <w:jc w:val="center"/>
              <w:rPr>
                <w:rFonts w:ascii="宋体" w:hAnsi="宋体"/>
                <w:sz w:val="28"/>
                <w:szCs w:val="28"/>
              </w:rPr>
            </w:pPr>
          </w:p>
        </w:tc>
        <w:tc>
          <w:tcPr>
            <w:tcW w:w="2175" w:type="dxa"/>
            <w:vAlign w:val="center"/>
          </w:tcPr>
          <w:p>
            <w:pPr>
              <w:spacing w:line="540" w:lineRule="exact"/>
              <w:jc w:val="center"/>
              <w:rPr>
                <w:rFonts w:ascii="宋体" w:hAnsi="宋体"/>
                <w:sz w:val="28"/>
                <w:szCs w:val="28"/>
              </w:rPr>
            </w:pPr>
          </w:p>
        </w:tc>
        <w:tc>
          <w:tcPr>
            <w:tcW w:w="2169" w:type="dxa"/>
            <w:vAlign w:val="center"/>
          </w:tcPr>
          <w:p>
            <w:pPr>
              <w:spacing w:line="5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62" w:type="dxa"/>
            <w:vAlign w:val="center"/>
          </w:tcPr>
          <w:p>
            <w:pPr>
              <w:spacing w:line="540" w:lineRule="exact"/>
              <w:jc w:val="center"/>
              <w:rPr>
                <w:rFonts w:ascii="宋体" w:hAnsi="宋体"/>
                <w:sz w:val="28"/>
                <w:szCs w:val="28"/>
              </w:rPr>
            </w:pPr>
          </w:p>
        </w:tc>
        <w:tc>
          <w:tcPr>
            <w:tcW w:w="1468" w:type="dxa"/>
            <w:vAlign w:val="center"/>
          </w:tcPr>
          <w:p>
            <w:pPr>
              <w:spacing w:line="540" w:lineRule="exact"/>
              <w:jc w:val="center"/>
              <w:rPr>
                <w:rFonts w:ascii="宋体" w:hAnsi="宋体"/>
                <w:sz w:val="28"/>
                <w:szCs w:val="28"/>
              </w:rPr>
            </w:pPr>
          </w:p>
        </w:tc>
        <w:tc>
          <w:tcPr>
            <w:tcW w:w="1350" w:type="dxa"/>
            <w:vAlign w:val="center"/>
          </w:tcPr>
          <w:p>
            <w:pPr>
              <w:spacing w:line="540" w:lineRule="exact"/>
              <w:jc w:val="center"/>
              <w:rPr>
                <w:rFonts w:ascii="宋体" w:hAnsi="宋体"/>
                <w:sz w:val="28"/>
                <w:szCs w:val="28"/>
              </w:rPr>
            </w:pPr>
          </w:p>
        </w:tc>
        <w:tc>
          <w:tcPr>
            <w:tcW w:w="1774" w:type="dxa"/>
            <w:vAlign w:val="center"/>
          </w:tcPr>
          <w:p>
            <w:pPr>
              <w:spacing w:line="540" w:lineRule="exact"/>
              <w:jc w:val="center"/>
              <w:rPr>
                <w:rFonts w:ascii="宋体" w:hAnsi="宋体"/>
                <w:sz w:val="28"/>
                <w:szCs w:val="28"/>
              </w:rPr>
            </w:pPr>
          </w:p>
        </w:tc>
        <w:tc>
          <w:tcPr>
            <w:tcW w:w="2175" w:type="dxa"/>
            <w:vAlign w:val="center"/>
          </w:tcPr>
          <w:p>
            <w:pPr>
              <w:spacing w:line="540" w:lineRule="exact"/>
              <w:jc w:val="center"/>
              <w:rPr>
                <w:rFonts w:ascii="宋体" w:hAnsi="宋体"/>
                <w:sz w:val="28"/>
                <w:szCs w:val="28"/>
              </w:rPr>
            </w:pPr>
          </w:p>
        </w:tc>
        <w:tc>
          <w:tcPr>
            <w:tcW w:w="2169" w:type="dxa"/>
            <w:vAlign w:val="center"/>
          </w:tcPr>
          <w:p>
            <w:pPr>
              <w:spacing w:line="5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62" w:type="dxa"/>
            <w:vAlign w:val="center"/>
          </w:tcPr>
          <w:p>
            <w:pPr>
              <w:spacing w:line="540" w:lineRule="exact"/>
              <w:jc w:val="center"/>
              <w:rPr>
                <w:rFonts w:ascii="宋体" w:hAnsi="宋体"/>
                <w:sz w:val="28"/>
                <w:szCs w:val="28"/>
              </w:rPr>
            </w:pPr>
          </w:p>
        </w:tc>
        <w:tc>
          <w:tcPr>
            <w:tcW w:w="1468" w:type="dxa"/>
            <w:vAlign w:val="center"/>
          </w:tcPr>
          <w:p>
            <w:pPr>
              <w:spacing w:line="540" w:lineRule="exact"/>
              <w:jc w:val="center"/>
              <w:rPr>
                <w:rFonts w:ascii="宋体" w:hAnsi="宋体"/>
                <w:sz w:val="28"/>
                <w:szCs w:val="28"/>
              </w:rPr>
            </w:pPr>
          </w:p>
        </w:tc>
        <w:tc>
          <w:tcPr>
            <w:tcW w:w="1350" w:type="dxa"/>
            <w:vAlign w:val="center"/>
          </w:tcPr>
          <w:p>
            <w:pPr>
              <w:spacing w:line="540" w:lineRule="exact"/>
              <w:jc w:val="center"/>
              <w:rPr>
                <w:rFonts w:ascii="宋体" w:hAnsi="宋体"/>
                <w:sz w:val="28"/>
                <w:szCs w:val="28"/>
              </w:rPr>
            </w:pPr>
          </w:p>
        </w:tc>
        <w:tc>
          <w:tcPr>
            <w:tcW w:w="1774" w:type="dxa"/>
            <w:vAlign w:val="center"/>
          </w:tcPr>
          <w:p>
            <w:pPr>
              <w:spacing w:line="540" w:lineRule="exact"/>
              <w:jc w:val="center"/>
              <w:rPr>
                <w:rFonts w:ascii="宋体" w:hAnsi="宋体"/>
                <w:sz w:val="28"/>
                <w:szCs w:val="28"/>
              </w:rPr>
            </w:pPr>
          </w:p>
        </w:tc>
        <w:tc>
          <w:tcPr>
            <w:tcW w:w="2175" w:type="dxa"/>
            <w:vAlign w:val="center"/>
          </w:tcPr>
          <w:p>
            <w:pPr>
              <w:spacing w:line="540" w:lineRule="exact"/>
              <w:jc w:val="center"/>
              <w:rPr>
                <w:rFonts w:ascii="宋体" w:hAnsi="宋体"/>
                <w:sz w:val="28"/>
                <w:szCs w:val="28"/>
              </w:rPr>
            </w:pPr>
          </w:p>
        </w:tc>
        <w:tc>
          <w:tcPr>
            <w:tcW w:w="2169" w:type="dxa"/>
            <w:vAlign w:val="center"/>
          </w:tcPr>
          <w:p>
            <w:pPr>
              <w:spacing w:line="540" w:lineRule="exact"/>
              <w:jc w:val="center"/>
              <w:rPr>
                <w:rFonts w:ascii="宋体" w:hAnsi="宋体"/>
                <w:sz w:val="28"/>
                <w:szCs w:val="28"/>
              </w:rPr>
            </w:pPr>
          </w:p>
        </w:tc>
      </w:tr>
    </w:tbl>
    <w:p>
      <w:pPr>
        <w:spacing w:line="500" w:lineRule="exact"/>
        <w:rPr>
          <w:rFonts w:ascii="宋体" w:hAnsi="宋体"/>
          <w:b/>
          <w:sz w:val="28"/>
          <w:szCs w:val="28"/>
        </w:rPr>
      </w:pPr>
    </w:p>
    <w:p>
      <w:pPr>
        <w:autoSpaceDE w:val="0"/>
        <w:autoSpaceDN w:val="0"/>
        <w:adjustRightInd w:val="0"/>
        <w:jc w:val="left"/>
        <w:rPr>
          <w:rFonts w:ascii="宋体" w:cs="宋体"/>
          <w:kern w:val="0"/>
          <w:sz w:val="28"/>
          <w:szCs w:val="28"/>
        </w:rPr>
      </w:pPr>
    </w:p>
    <w:p>
      <w:pPr>
        <w:spacing w:before="156" w:beforeLines="50" w:after="156" w:afterLines="50" w:line="360" w:lineRule="auto"/>
        <w:rPr>
          <w:sz w:val="28"/>
          <w:szCs w:val="28"/>
        </w:rPr>
      </w:pPr>
    </w:p>
    <w:p/>
    <w:p/>
    <w:sectPr>
      <w:head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Typewriter">
    <w:altName w:val="Yu Gothic UI"/>
    <w:panose1 w:val="020B0509030504030204"/>
    <w:charset w:val="00"/>
    <w:family w:val="modern"/>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汉仪中宋简">
    <w:altName w:val="宋体"/>
    <w:panose1 w:val="00000000000000000000"/>
    <w:charset w:val="86"/>
    <w:family w:val="auto"/>
    <w:pitch w:val="default"/>
    <w:sig w:usb0="00000000" w:usb1="00000000" w:usb2="00000002"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distribute"/>
      <w:rPr>
        <w:b/>
        <w:bCs/>
        <w:sz w:val="36"/>
        <w:szCs w:val="36"/>
      </w:rPr>
    </w:pPr>
    <w:r>
      <w:rPr>
        <w:rFonts w:hint="eastAsia"/>
        <w:b/>
        <w:bCs/>
        <w:sz w:val="36"/>
        <w:szCs w:val="36"/>
      </w:rPr>
      <w:t>武汉网锐检测科技有限公司</w:t>
    </w: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distribute"/>
      <w:rPr>
        <w:b/>
        <w:bCs/>
        <w:sz w:val="32"/>
      </w:rPr>
    </w:pPr>
    <w:r>
      <w:rPr>
        <w:rFonts w:hint="eastAsia"/>
        <w:b/>
        <w:bCs/>
        <w:sz w:val="32"/>
      </w:rPr>
      <w:t>武汉网锐检测科技有限公司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1"/>
    <w:multiLevelType w:val="multilevel"/>
    <w:tmpl w:val="00000021"/>
    <w:lvl w:ilvl="0" w:tentative="0">
      <w:start w:val="1"/>
      <w:numFmt w:val="decimal"/>
      <w:lvlText w:val="%1."/>
      <w:lvlJc w:val="left"/>
      <w:pPr>
        <w:tabs>
          <w:tab w:val="left" w:pos="420"/>
        </w:tabs>
        <w:ind w:left="420" w:hanging="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E"/>
    <w:multiLevelType w:val="multilevel"/>
    <w:tmpl w:val="0000002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7"/>
    <w:multiLevelType w:val="multilevel"/>
    <w:tmpl w:val="0000003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4B"/>
    <w:multiLevelType w:val="multilevel"/>
    <w:tmpl w:val="0000004B"/>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EF5C97"/>
    <w:multiLevelType w:val="multilevel"/>
    <w:tmpl w:val="08EF5C97"/>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1E3669D"/>
    <w:multiLevelType w:val="multilevel"/>
    <w:tmpl w:val="11E3669D"/>
    <w:lvl w:ilvl="0" w:tentative="0">
      <w:start w:val="1"/>
      <w:numFmt w:val="decimal"/>
      <w:lvlText w:val="（%1）"/>
      <w:lvlJc w:val="left"/>
      <w:pPr>
        <w:tabs>
          <w:tab w:val="left" w:pos="1560"/>
        </w:tabs>
        <w:ind w:left="1560" w:hanging="72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18731C65"/>
    <w:multiLevelType w:val="multilevel"/>
    <w:tmpl w:val="18731C65"/>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F22C9C"/>
    <w:multiLevelType w:val="multilevel"/>
    <w:tmpl w:val="27F22C9C"/>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CD70192"/>
    <w:multiLevelType w:val="multilevel"/>
    <w:tmpl w:val="2CD70192"/>
    <w:lvl w:ilvl="0" w:tentative="0">
      <w:start w:val="1"/>
      <w:numFmt w:val="decimal"/>
      <w:lvlText w:val="%1."/>
      <w:lvlJc w:val="left"/>
      <w:pPr>
        <w:tabs>
          <w:tab w:val="left" w:pos="420"/>
        </w:tabs>
        <w:ind w:left="420" w:hanging="420"/>
      </w:p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D3C1FFA"/>
    <w:multiLevelType w:val="multilevel"/>
    <w:tmpl w:val="2D3C1FFA"/>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572099"/>
    <w:multiLevelType w:val="multilevel"/>
    <w:tmpl w:val="3C57209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DA525C8"/>
    <w:multiLevelType w:val="multilevel"/>
    <w:tmpl w:val="3DA525C8"/>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05374EA"/>
    <w:multiLevelType w:val="multilevel"/>
    <w:tmpl w:val="405374EA"/>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F734076"/>
    <w:multiLevelType w:val="multilevel"/>
    <w:tmpl w:val="4F734076"/>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8E7E7A"/>
    <w:multiLevelType w:val="multilevel"/>
    <w:tmpl w:val="768E7E7A"/>
    <w:lvl w:ilvl="0" w:tentative="0">
      <w:start w:val="1"/>
      <w:numFmt w:val="decimal"/>
      <w:lvlText w:val="%1."/>
      <w:lvlJc w:val="left"/>
      <w:pPr>
        <w:tabs>
          <w:tab w:val="left" w:pos="420"/>
        </w:tabs>
        <w:ind w:left="420" w:hanging="420"/>
      </w:pPr>
    </w:lvl>
    <w:lvl w:ilvl="1" w:tentative="0">
      <w:start w:val="1"/>
      <w:numFmt w:val="decimal"/>
      <w:lvlText w:val="（%2）"/>
      <w:lvlJc w:val="left"/>
      <w:pPr>
        <w:ind w:left="1140" w:hanging="720"/>
      </w:pPr>
      <w:rPr>
        <w:rFonts w:hint="default"/>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B041B21"/>
    <w:multiLevelType w:val="multilevel"/>
    <w:tmpl w:val="7B041B21"/>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B1C3817"/>
    <w:multiLevelType w:val="multilevel"/>
    <w:tmpl w:val="7B1C3817"/>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DD63DE9"/>
    <w:multiLevelType w:val="multilevel"/>
    <w:tmpl w:val="7DD63DE9"/>
    <w:lvl w:ilvl="0" w:tentative="0">
      <w:start w:val="1"/>
      <w:numFmt w:val="decimal"/>
      <w:lvlText w:val="%1."/>
      <w:lvlJc w:val="left"/>
      <w:pPr>
        <w:tabs>
          <w:tab w:val="left" w:pos="420"/>
        </w:tabs>
        <w:ind w:left="420" w:hanging="420"/>
      </w:pPr>
      <w:rPr>
        <w:rFonts w:ascii="宋体" w:hAnsi="宋体" w:eastAsia="宋体"/>
      </w:rPr>
    </w:lvl>
    <w:lvl w:ilvl="1" w:tentative="0">
      <w:start w:val="6"/>
      <w:numFmt w:val="decimal"/>
      <w:lvlText w:val="%2．"/>
      <w:lvlJc w:val="left"/>
      <w:pPr>
        <w:tabs>
          <w:tab w:val="left" w:pos="1020"/>
        </w:tabs>
        <w:ind w:left="1020" w:hanging="600"/>
      </w:pPr>
      <w:rPr>
        <w:rFonts w:hint="eastAsia"/>
      </w:r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8"/>
  </w:num>
  <w:num w:numId="4">
    <w:abstractNumId w:val="4"/>
  </w:num>
  <w:num w:numId="5">
    <w:abstractNumId w:val="9"/>
  </w:num>
  <w:num w:numId="6">
    <w:abstractNumId w:val="12"/>
  </w:num>
  <w:num w:numId="7">
    <w:abstractNumId w:val="10"/>
  </w:num>
  <w:num w:numId="8">
    <w:abstractNumId w:val="1"/>
  </w:num>
  <w:num w:numId="9">
    <w:abstractNumId w:val="6"/>
  </w:num>
  <w:num w:numId="10">
    <w:abstractNumId w:val="17"/>
  </w:num>
  <w:num w:numId="11">
    <w:abstractNumId w:val="13"/>
  </w:num>
  <w:num w:numId="12">
    <w:abstractNumId w:val="5"/>
  </w:num>
  <w:num w:numId="13">
    <w:abstractNumId w:val="16"/>
  </w:num>
  <w:num w:numId="14">
    <w:abstractNumId w:val="11"/>
  </w:num>
  <w:num w:numId="15">
    <w:abstractNumId w:val="15"/>
  </w:num>
  <w:num w:numId="16">
    <w:abstractNumId w:val="1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14"/>
    <w:rsid w:val="00002E88"/>
    <w:rsid w:val="00020667"/>
    <w:rsid w:val="00074336"/>
    <w:rsid w:val="00080074"/>
    <w:rsid w:val="000C5640"/>
    <w:rsid w:val="000E6E0D"/>
    <w:rsid w:val="000F32F9"/>
    <w:rsid w:val="00101FE2"/>
    <w:rsid w:val="00125BC0"/>
    <w:rsid w:val="0015184D"/>
    <w:rsid w:val="0018229F"/>
    <w:rsid w:val="00197F4B"/>
    <w:rsid w:val="001A274A"/>
    <w:rsid w:val="001E5326"/>
    <w:rsid w:val="001F168C"/>
    <w:rsid w:val="0021764D"/>
    <w:rsid w:val="00227E18"/>
    <w:rsid w:val="00231B25"/>
    <w:rsid w:val="0026680E"/>
    <w:rsid w:val="00273324"/>
    <w:rsid w:val="002A678A"/>
    <w:rsid w:val="002B373C"/>
    <w:rsid w:val="003603C9"/>
    <w:rsid w:val="00393A7E"/>
    <w:rsid w:val="003F758A"/>
    <w:rsid w:val="00442894"/>
    <w:rsid w:val="00450A2E"/>
    <w:rsid w:val="004608C6"/>
    <w:rsid w:val="00465AA7"/>
    <w:rsid w:val="00480B1B"/>
    <w:rsid w:val="004F74F8"/>
    <w:rsid w:val="00510756"/>
    <w:rsid w:val="00560D14"/>
    <w:rsid w:val="00562B08"/>
    <w:rsid w:val="00570B96"/>
    <w:rsid w:val="005808C8"/>
    <w:rsid w:val="0059183E"/>
    <w:rsid w:val="005B4798"/>
    <w:rsid w:val="005C362B"/>
    <w:rsid w:val="005D3DCF"/>
    <w:rsid w:val="0060229F"/>
    <w:rsid w:val="00642ACD"/>
    <w:rsid w:val="0068357A"/>
    <w:rsid w:val="00696CA0"/>
    <w:rsid w:val="006A09D1"/>
    <w:rsid w:val="006E2F79"/>
    <w:rsid w:val="006F7A02"/>
    <w:rsid w:val="007108FE"/>
    <w:rsid w:val="00711DDE"/>
    <w:rsid w:val="00740A63"/>
    <w:rsid w:val="00747999"/>
    <w:rsid w:val="00762C1F"/>
    <w:rsid w:val="0078052B"/>
    <w:rsid w:val="007956A6"/>
    <w:rsid w:val="007A7AA0"/>
    <w:rsid w:val="007B3AE9"/>
    <w:rsid w:val="007E2E21"/>
    <w:rsid w:val="007E3D45"/>
    <w:rsid w:val="00821A75"/>
    <w:rsid w:val="00863DCB"/>
    <w:rsid w:val="008A2E1E"/>
    <w:rsid w:val="008B2688"/>
    <w:rsid w:val="008B7BF4"/>
    <w:rsid w:val="008B7EA2"/>
    <w:rsid w:val="008C0ED7"/>
    <w:rsid w:val="008D2928"/>
    <w:rsid w:val="00981801"/>
    <w:rsid w:val="009B0001"/>
    <w:rsid w:val="009D0BEF"/>
    <w:rsid w:val="009F2014"/>
    <w:rsid w:val="009F295D"/>
    <w:rsid w:val="00A07D20"/>
    <w:rsid w:val="00A15A9F"/>
    <w:rsid w:val="00A4000E"/>
    <w:rsid w:val="00A5739F"/>
    <w:rsid w:val="00A70AEA"/>
    <w:rsid w:val="00AB1839"/>
    <w:rsid w:val="00AB5490"/>
    <w:rsid w:val="00AB7963"/>
    <w:rsid w:val="00AC6358"/>
    <w:rsid w:val="00AE5FF7"/>
    <w:rsid w:val="00AF77A7"/>
    <w:rsid w:val="00B11B5A"/>
    <w:rsid w:val="00B13527"/>
    <w:rsid w:val="00B20DC9"/>
    <w:rsid w:val="00B270D7"/>
    <w:rsid w:val="00C01E8B"/>
    <w:rsid w:val="00C273E4"/>
    <w:rsid w:val="00CA4FED"/>
    <w:rsid w:val="00CC6844"/>
    <w:rsid w:val="00CD28CF"/>
    <w:rsid w:val="00CE1DE9"/>
    <w:rsid w:val="00CF1D50"/>
    <w:rsid w:val="00D05E8B"/>
    <w:rsid w:val="00D22938"/>
    <w:rsid w:val="00D33773"/>
    <w:rsid w:val="00DD2E42"/>
    <w:rsid w:val="00DE5116"/>
    <w:rsid w:val="00DF265F"/>
    <w:rsid w:val="00DF6410"/>
    <w:rsid w:val="00E244AC"/>
    <w:rsid w:val="00E71620"/>
    <w:rsid w:val="00E7331E"/>
    <w:rsid w:val="00E839AF"/>
    <w:rsid w:val="00E83EF1"/>
    <w:rsid w:val="00E91D3E"/>
    <w:rsid w:val="00ED005D"/>
    <w:rsid w:val="00F125F3"/>
    <w:rsid w:val="00F24008"/>
    <w:rsid w:val="00F71DCE"/>
    <w:rsid w:val="00F9112E"/>
    <w:rsid w:val="00F93BB6"/>
    <w:rsid w:val="00FA647E"/>
    <w:rsid w:val="00FC40C4"/>
    <w:rsid w:val="00FC4D06"/>
    <w:rsid w:val="00FF0623"/>
    <w:rsid w:val="0146450A"/>
    <w:rsid w:val="05A44FC2"/>
    <w:rsid w:val="0C7E713D"/>
    <w:rsid w:val="0E4C5641"/>
    <w:rsid w:val="127B233A"/>
    <w:rsid w:val="1A280476"/>
    <w:rsid w:val="1A880C85"/>
    <w:rsid w:val="1AA82B76"/>
    <w:rsid w:val="1BFC6FC8"/>
    <w:rsid w:val="1C8540E8"/>
    <w:rsid w:val="1DC14F58"/>
    <w:rsid w:val="213813B5"/>
    <w:rsid w:val="22076390"/>
    <w:rsid w:val="2A467D32"/>
    <w:rsid w:val="2A8A25B9"/>
    <w:rsid w:val="2B133230"/>
    <w:rsid w:val="2BFF49DD"/>
    <w:rsid w:val="2C204DB0"/>
    <w:rsid w:val="323A6DE2"/>
    <w:rsid w:val="32995B6D"/>
    <w:rsid w:val="34FF3650"/>
    <w:rsid w:val="355B788F"/>
    <w:rsid w:val="3AB27432"/>
    <w:rsid w:val="3EA63831"/>
    <w:rsid w:val="41BE6868"/>
    <w:rsid w:val="422F7CC4"/>
    <w:rsid w:val="4BFE090A"/>
    <w:rsid w:val="4EF3571C"/>
    <w:rsid w:val="4F895D76"/>
    <w:rsid w:val="53A23CA4"/>
    <w:rsid w:val="55BB080C"/>
    <w:rsid w:val="5AED746F"/>
    <w:rsid w:val="62F744F6"/>
    <w:rsid w:val="63872668"/>
    <w:rsid w:val="663E5BCD"/>
    <w:rsid w:val="6F1D0157"/>
    <w:rsid w:val="781B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qFormat/>
    <w:uiPriority w:val="0"/>
    <w:pPr>
      <w:keepNext/>
      <w:widowControl/>
      <w:spacing w:before="240" w:after="120" w:line="400" w:lineRule="exact"/>
      <w:jc w:val="left"/>
      <w:outlineLvl w:val="2"/>
    </w:pPr>
    <w:rPr>
      <w:b/>
      <w:kern w:val="0"/>
      <w:sz w:val="24"/>
      <w:szCs w:val="20"/>
    </w:rPr>
  </w:style>
  <w:style w:type="paragraph" w:styleId="5">
    <w:name w:val="heading 4"/>
    <w:basedOn w:val="6"/>
    <w:next w:val="1"/>
    <w:link w:val="66"/>
    <w:qFormat/>
    <w:uiPriority w:val="0"/>
    <w:pPr>
      <w:keepNext/>
      <w:spacing w:before="120"/>
      <w:ind w:left="1680" w:hanging="420"/>
      <w:outlineLvl w:val="3"/>
    </w:pPr>
    <w:rPr>
      <w:b/>
      <w:sz w:val="22"/>
    </w:rPr>
  </w:style>
  <w:style w:type="paragraph" w:styleId="7">
    <w:name w:val="heading 5"/>
    <w:basedOn w:val="6"/>
    <w:next w:val="1"/>
    <w:link w:val="67"/>
    <w:qFormat/>
    <w:uiPriority w:val="0"/>
    <w:pPr>
      <w:keepNext/>
      <w:spacing w:before="20"/>
      <w:ind w:left="2100" w:hanging="420"/>
      <w:outlineLvl w:val="4"/>
    </w:pPr>
    <w:rPr>
      <w:smallCaps/>
      <w:sz w:val="22"/>
    </w:rPr>
  </w:style>
  <w:style w:type="paragraph" w:styleId="8">
    <w:name w:val="heading 6"/>
    <w:basedOn w:val="1"/>
    <w:next w:val="1"/>
    <w:link w:val="68"/>
    <w:qFormat/>
    <w:uiPriority w:val="0"/>
    <w:pPr>
      <w:widowControl/>
      <w:spacing w:before="120" w:after="60" w:line="400" w:lineRule="exact"/>
      <w:ind w:left="2520" w:hanging="420"/>
      <w:jc w:val="left"/>
      <w:outlineLvl w:val="5"/>
    </w:pPr>
    <w:rPr>
      <w:i/>
      <w:kern w:val="0"/>
      <w:sz w:val="24"/>
      <w:szCs w:val="20"/>
    </w:rPr>
  </w:style>
  <w:style w:type="paragraph" w:styleId="9">
    <w:name w:val="heading 7"/>
    <w:basedOn w:val="1"/>
    <w:next w:val="1"/>
    <w:link w:val="69"/>
    <w:qFormat/>
    <w:uiPriority w:val="0"/>
    <w:pPr>
      <w:widowControl/>
      <w:spacing w:before="240" w:after="60" w:line="400" w:lineRule="exact"/>
      <w:ind w:left="2940" w:hanging="420"/>
      <w:jc w:val="left"/>
      <w:outlineLvl w:val="6"/>
    </w:pPr>
    <w:rPr>
      <w:rFonts w:ascii="Arial" w:hAnsi="Arial"/>
      <w:kern w:val="0"/>
      <w:sz w:val="24"/>
      <w:szCs w:val="20"/>
    </w:rPr>
  </w:style>
  <w:style w:type="paragraph" w:styleId="10">
    <w:name w:val="heading 8"/>
    <w:basedOn w:val="1"/>
    <w:next w:val="1"/>
    <w:link w:val="70"/>
    <w:qFormat/>
    <w:uiPriority w:val="0"/>
    <w:pPr>
      <w:widowControl/>
      <w:spacing w:before="240" w:after="60" w:line="400" w:lineRule="exact"/>
      <w:ind w:left="3360" w:hanging="420"/>
      <w:jc w:val="left"/>
      <w:outlineLvl w:val="7"/>
    </w:pPr>
    <w:rPr>
      <w:rFonts w:ascii="Arial" w:hAnsi="Arial"/>
      <w:i/>
      <w:kern w:val="0"/>
      <w:sz w:val="24"/>
      <w:szCs w:val="20"/>
    </w:rPr>
  </w:style>
  <w:style w:type="paragraph" w:styleId="11">
    <w:name w:val="heading 9"/>
    <w:basedOn w:val="1"/>
    <w:next w:val="1"/>
    <w:link w:val="71"/>
    <w:qFormat/>
    <w:uiPriority w:val="0"/>
    <w:pPr>
      <w:widowControl/>
      <w:spacing w:before="240" w:after="60" w:line="400" w:lineRule="exact"/>
      <w:ind w:left="3780" w:hanging="420"/>
      <w:jc w:val="left"/>
      <w:outlineLvl w:val="8"/>
    </w:pPr>
    <w:rPr>
      <w:rFonts w:ascii="Arial" w:hAnsi="Arial"/>
      <w:b/>
      <w:i/>
      <w:kern w:val="0"/>
      <w:sz w:val="18"/>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6">
    <w:name w:val="_Display Text"/>
    <w:qFormat/>
    <w:uiPriority w:val="0"/>
    <w:rPr>
      <w:rFonts w:ascii="Arial" w:hAnsi="Arial" w:eastAsia="宋体" w:cs="Times New Roman"/>
      <w:sz w:val="24"/>
      <w:lang w:val="en-US" w:eastAsia="zh-CN" w:bidi="ar-SA"/>
    </w:rPr>
  </w:style>
  <w:style w:type="paragraph" w:styleId="12">
    <w:name w:val="toc 7"/>
    <w:basedOn w:val="1"/>
    <w:next w:val="1"/>
    <w:qFormat/>
    <w:uiPriority w:val="0"/>
    <w:pPr>
      <w:widowControl/>
      <w:tabs>
        <w:tab w:val="right" w:leader="dot" w:pos="8640"/>
      </w:tabs>
      <w:spacing w:line="400" w:lineRule="exact"/>
      <w:ind w:left="1440"/>
      <w:jc w:val="left"/>
    </w:pPr>
    <w:rPr>
      <w:kern w:val="0"/>
      <w:sz w:val="18"/>
      <w:szCs w:val="20"/>
    </w:rPr>
  </w:style>
  <w:style w:type="paragraph" w:styleId="13">
    <w:name w:val="index 8"/>
    <w:basedOn w:val="1"/>
    <w:next w:val="1"/>
    <w:qFormat/>
    <w:uiPriority w:val="0"/>
    <w:pPr>
      <w:widowControl/>
      <w:spacing w:after="120" w:line="400" w:lineRule="exact"/>
      <w:ind w:left="1400" w:leftChars="1400"/>
      <w:jc w:val="left"/>
    </w:pPr>
    <w:rPr>
      <w:kern w:val="0"/>
      <w:sz w:val="24"/>
      <w:szCs w:val="20"/>
    </w:rPr>
  </w:style>
  <w:style w:type="paragraph" w:styleId="14">
    <w:name w:val="Normal Indent"/>
    <w:basedOn w:val="1"/>
    <w:qFormat/>
    <w:uiPriority w:val="0"/>
    <w:pPr>
      <w:widowControl/>
      <w:spacing w:after="120" w:line="400" w:lineRule="exact"/>
      <w:ind w:left="720"/>
      <w:jc w:val="left"/>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index 5"/>
    <w:basedOn w:val="1"/>
    <w:next w:val="1"/>
    <w:qFormat/>
    <w:uiPriority w:val="0"/>
    <w:pPr>
      <w:widowControl/>
      <w:spacing w:after="120" w:line="400" w:lineRule="exact"/>
      <w:ind w:left="800" w:leftChars="800"/>
      <w:jc w:val="left"/>
    </w:pPr>
    <w:rPr>
      <w:kern w:val="0"/>
      <w:sz w:val="24"/>
      <w:szCs w:val="20"/>
    </w:rPr>
  </w:style>
  <w:style w:type="paragraph" w:styleId="17">
    <w:name w:val="Document Map"/>
    <w:basedOn w:val="1"/>
    <w:link w:val="74"/>
    <w:unhideWhenUsed/>
    <w:qFormat/>
    <w:uiPriority w:val="99"/>
    <w:pPr>
      <w:widowControl/>
      <w:spacing w:after="120" w:line="400" w:lineRule="exact"/>
      <w:jc w:val="left"/>
    </w:pPr>
    <w:rPr>
      <w:rFonts w:ascii="宋体"/>
      <w:kern w:val="0"/>
      <w:sz w:val="18"/>
      <w:szCs w:val="18"/>
    </w:rPr>
  </w:style>
  <w:style w:type="paragraph" w:styleId="18">
    <w:name w:val="annotation text"/>
    <w:basedOn w:val="1"/>
    <w:link w:val="72"/>
    <w:unhideWhenUsed/>
    <w:qFormat/>
    <w:uiPriority w:val="0"/>
    <w:pPr>
      <w:jc w:val="left"/>
    </w:pPr>
  </w:style>
  <w:style w:type="paragraph" w:styleId="19">
    <w:name w:val="index 6"/>
    <w:basedOn w:val="1"/>
    <w:next w:val="1"/>
    <w:qFormat/>
    <w:uiPriority w:val="0"/>
    <w:pPr>
      <w:widowControl/>
      <w:spacing w:after="120" w:line="400" w:lineRule="exact"/>
      <w:ind w:left="1000" w:leftChars="1000"/>
      <w:jc w:val="left"/>
    </w:pPr>
    <w:rPr>
      <w:kern w:val="0"/>
      <w:sz w:val="24"/>
      <w:szCs w:val="20"/>
    </w:rPr>
  </w:style>
  <w:style w:type="paragraph" w:styleId="20">
    <w:name w:val="Body Text"/>
    <w:basedOn w:val="1"/>
    <w:link w:val="75"/>
    <w:qFormat/>
    <w:uiPriority w:val="0"/>
    <w:pPr>
      <w:spacing w:line="400" w:lineRule="exact"/>
    </w:pPr>
    <w:rPr>
      <w:sz w:val="24"/>
    </w:rPr>
  </w:style>
  <w:style w:type="paragraph" w:styleId="21">
    <w:name w:val="Body Text Indent"/>
    <w:basedOn w:val="1"/>
    <w:link w:val="76"/>
    <w:qFormat/>
    <w:uiPriority w:val="0"/>
    <w:pPr>
      <w:spacing w:line="360" w:lineRule="auto"/>
      <w:ind w:left="720" w:firstLine="482"/>
    </w:pPr>
    <w:rPr>
      <w:rFonts w:asciiTheme="minorHAnsi" w:hAnsiTheme="minorHAnsi" w:eastAsiaTheme="minorEastAsia" w:cstheme="minorBidi"/>
      <w:sz w:val="24"/>
      <w:szCs w:val="22"/>
    </w:rPr>
  </w:style>
  <w:style w:type="paragraph" w:styleId="22">
    <w:name w:val="index 4"/>
    <w:basedOn w:val="1"/>
    <w:next w:val="1"/>
    <w:qFormat/>
    <w:uiPriority w:val="0"/>
    <w:pPr>
      <w:widowControl/>
      <w:spacing w:after="120" w:line="400" w:lineRule="exact"/>
      <w:ind w:left="600" w:leftChars="600"/>
      <w:jc w:val="left"/>
    </w:pPr>
    <w:rPr>
      <w:kern w:val="0"/>
      <w:sz w:val="24"/>
      <w:szCs w:val="20"/>
    </w:rPr>
  </w:style>
  <w:style w:type="paragraph" w:styleId="23">
    <w:name w:val="toc 5"/>
    <w:basedOn w:val="1"/>
    <w:next w:val="1"/>
    <w:qFormat/>
    <w:uiPriority w:val="0"/>
    <w:pPr>
      <w:widowControl/>
      <w:tabs>
        <w:tab w:val="right" w:leader="dot" w:pos="8640"/>
      </w:tabs>
      <w:spacing w:line="400" w:lineRule="exact"/>
      <w:ind w:left="960"/>
      <w:jc w:val="left"/>
    </w:pPr>
    <w:rPr>
      <w:kern w:val="0"/>
      <w:sz w:val="18"/>
      <w:szCs w:val="20"/>
    </w:rPr>
  </w:style>
  <w:style w:type="paragraph" w:styleId="24">
    <w:name w:val="toc 3"/>
    <w:basedOn w:val="1"/>
    <w:next w:val="1"/>
    <w:qFormat/>
    <w:uiPriority w:val="39"/>
    <w:pPr>
      <w:widowControl/>
      <w:tabs>
        <w:tab w:val="right" w:leader="dot" w:pos="8640"/>
      </w:tabs>
      <w:spacing w:line="400" w:lineRule="exact"/>
      <w:ind w:left="360"/>
      <w:jc w:val="left"/>
    </w:pPr>
    <w:rPr>
      <w:kern w:val="0"/>
      <w:sz w:val="24"/>
      <w:szCs w:val="20"/>
    </w:rPr>
  </w:style>
  <w:style w:type="paragraph" w:styleId="25">
    <w:name w:val="Plain Text"/>
    <w:basedOn w:val="1"/>
    <w:link w:val="77"/>
    <w:qFormat/>
    <w:uiPriority w:val="0"/>
    <w:pPr>
      <w:widowControl/>
      <w:spacing w:after="120" w:line="400" w:lineRule="exact"/>
      <w:jc w:val="left"/>
    </w:pPr>
    <w:rPr>
      <w:rFonts w:ascii="宋体" w:hAnsi="Courier New"/>
      <w:kern w:val="0"/>
      <w:sz w:val="24"/>
      <w:szCs w:val="20"/>
    </w:rPr>
  </w:style>
  <w:style w:type="paragraph" w:styleId="26">
    <w:name w:val="toc 8"/>
    <w:basedOn w:val="1"/>
    <w:next w:val="1"/>
    <w:qFormat/>
    <w:uiPriority w:val="0"/>
    <w:pPr>
      <w:widowControl/>
      <w:tabs>
        <w:tab w:val="right" w:leader="dot" w:pos="8640"/>
      </w:tabs>
      <w:spacing w:line="400" w:lineRule="exact"/>
      <w:ind w:left="1680"/>
      <w:jc w:val="left"/>
    </w:pPr>
    <w:rPr>
      <w:kern w:val="0"/>
      <w:sz w:val="18"/>
      <w:szCs w:val="20"/>
    </w:rPr>
  </w:style>
  <w:style w:type="paragraph" w:styleId="27">
    <w:name w:val="index 3"/>
    <w:basedOn w:val="1"/>
    <w:next w:val="1"/>
    <w:qFormat/>
    <w:uiPriority w:val="0"/>
    <w:pPr>
      <w:widowControl/>
      <w:spacing w:after="120" w:line="400" w:lineRule="exact"/>
      <w:ind w:left="400" w:leftChars="400"/>
      <w:jc w:val="left"/>
    </w:pPr>
    <w:rPr>
      <w:kern w:val="0"/>
      <w:sz w:val="24"/>
      <w:szCs w:val="20"/>
    </w:rPr>
  </w:style>
  <w:style w:type="paragraph" w:styleId="28">
    <w:name w:val="Date"/>
    <w:basedOn w:val="1"/>
    <w:next w:val="1"/>
    <w:link w:val="78"/>
    <w:qFormat/>
    <w:uiPriority w:val="0"/>
    <w:pPr>
      <w:ind w:left="100" w:leftChars="2500"/>
    </w:pPr>
    <w:rPr>
      <w:rFonts w:asciiTheme="minorHAnsi" w:hAnsiTheme="minorHAnsi" w:eastAsiaTheme="minorEastAsia" w:cstheme="minorBidi"/>
    </w:rPr>
  </w:style>
  <w:style w:type="paragraph" w:styleId="29">
    <w:name w:val="Body Text Indent 2"/>
    <w:basedOn w:val="1"/>
    <w:link w:val="79"/>
    <w:qFormat/>
    <w:uiPriority w:val="0"/>
    <w:pPr>
      <w:widowControl/>
      <w:spacing w:beforeLines="50" w:afterLines="50" w:line="400" w:lineRule="exact"/>
      <w:ind w:firstLine="440" w:firstLineChars="200"/>
      <w:jc w:val="left"/>
    </w:pPr>
    <w:rPr>
      <w:color w:val="000080"/>
      <w:kern w:val="0"/>
      <w:sz w:val="24"/>
      <w:szCs w:val="20"/>
    </w:rPr>
  </w:style>
  <w:style w:type="paragraph" w:styleId="30">
    <w:name w:val="Balloon Text"/>
    <w:basedOn w:val="1"/>
    <w:link w:val="80"/>
    <w:qFormat/>
    <w:uiPriority w:val="0"/>
    <w:pPr>
      <w:widowControl/>
      <w:spacing w:after="120" w:line="400" w:lineRule="exact"/>
      <w:jc w:val="left"/>
    </w:pPr>
    <w:rPr>
      <w:kern w:val="0"/>
      <w:sz w:val="18"/>
      <w:szCs w:val="18"/>
    </w:rPr>
  </w:style>
  <w:style w:type="paragraph" w:styleId="31">
    <w:name w:val="footer"/>
    <w:basedOn w:val="1"/>
    <w:link w:val="62"/>
    <w:unhideWhenUsed/>
    <w:qFormat/>
    <w:uiPriority w:val="99"/>
    <w:pPr>
      <w:tabs>
        <w:tab w:val="center" w:pos="4153"/>
        <w:tab w:val="right" w:pos="8306"/>
      </w:tabs>
      <w:snapToGrid w:val="0"/>
      <w:jc w:val="left"/>
    </w:pPr>
    <w:rPr>
      <w:sz w:val="18"/>
      <w:szCs w:val="18"/>
    </w:rPr>
  </w:style>
  <w:style w:type="paragraph" w:styleId="32">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widowControl/>
      <w:tabs>
        <w:tab w:val="right" w:leader="dot" w:pos="8640"/>
      </w:tabs>
      <w:spacing w:before="240" w:after="120" w:line="400" w:lineRule="exact"/>
      <w:jc w:val="left"/>
    </w:pPr>
    <w:rPr>
      <w:b/>
      <w:smallCaps/>
      <w:kern w:val="0"/>
      <w:sz w:val="24"/>
      <w:szCs w:val="20"/>
    </w:rPr>
  </w:style>
  <w:style w:type="paragraph" w:styleId="34">
    <w:name w:val="toc 4"/>
    <w:basedOn w:val="1"/>
    <w:next w:val="1"/>
    <w:qFormat/>
    <w:uiPriority w:val="0"/>
    <w:pPr>
      <w:widowControl/>
      <w:tabs>
        <w:tab w:val="right" w:leader="dot" w:pos="8640"/>
      </w:tabs>
      <w:spacing w:line="400" w:lineRule="exact"/>
      <w:ind w:left="720"/>
      <w:jc w:val="left"/>
    </w:pPr>
    <w:rPr>
      <w:kern w:val="0"/>
      <w:sz w:val="24"/>
      <w:szCs w:val="20"/>
    </w:rPr>
  </w:style>
  <w:style w:type="paragraph" w:styleId="35">
    <w:name w:val="index heading"/>
    <w:basedOn w:val="1"/>
    <w:next w:val="36"/>
    <w:qFormat/>
    <w:uiPriority w:val="0"/>
    <w:pPr>
      <w:widowControl/>
      <w:spacing w:after="120" w:line="400" w:lineRule="exact"/>
      <w:jc w:val="left"/>
    </w:pPr>
    <w:rPr>
      <w:kern w:val="0"/>
      <w:sz w:val="24"/>
      <w:szCs w:val="20"/>
    </w:rPr>
  </w:style>
  <w:style w:type="paragraph" w:styleId="36">
    <w:name w:val="index 1"/>
    <w:basedOn w:val="1"/>
    <w:next w:val="1"/>
    <w:unhideWhenUsed/>
    <w:qFormat/>
    <w:uiPriority w:val="0"/>
  </w:style>
  <w:style w:type="paragraph" w:styleId="37">
    <w:name w:val="Subtitle"/>
    <w:basedOn w:val="1"/>
    <w:next w:val="1"/>
    <w:link w:val="81"/>
    <w:qFormat/>
    <w:uiPriority w:val="11"/>
    <w:pPr>
      <w:widowControl/>
      <w:spacing w:before="240" w:after="60" w:line="312" w:lineRule="atLeast"/>
      <w:jc w:val="center"/>
      <w:outlineLvl w:val="1"/>
    </w:pPr>
    <w:rPr>
      <w:rFonts w:ascii="Cambria" w:hAnsi="Cambria"/>
      <w:b/>
      <w:bCs/>
      <w:kern w:val="28"/>
      <w:sz w:val="32"/>
      <w:szCs w:val="32"/>
    </w:rPr>
  </w:style>
  <w:style w:type="paragraph" w:styleId="38">
    <w:name w:val="footnote text"/>
    <w:basedOn w:val="1"/>
    <w:link w:val="82"/>
    <w:qFormat/>
    <w:uiPriority w:val="0"/>
    <w:pPr>
      <w:widowControl/>
      <w:spacing w:after="120" w:line="400" w:lineRule="exact"/>
      <w:jc w:val="left"/>
    </w:pPr>
    <w:rPr>
      <w:kern w:val="0"/>
      <w:sz w:val="18"/>
      <w:szCs w:val="20"/>
    </w:rPr>
  </w:style>
  <w:style w:type="paragraph" w:styleId="39">
    <w:name w:val="toc 6"/>
    <w:basedOn w:val="1"/>
    <w:next w:val="1"/>
    <w:qFormat/>
    <w:uiPriority w:val="0"/>
    <w:pPr>
      <w:widowControl/>
      <w:tabs>
        <w:tab w:val="right" w:leader="dot" w:pos="8640"/>
      </w:tabs>
      <w:spacing w:line="400" w:lineRule="exact"/>
      <w:ind w:left="1200"/>
      <w:jc w:val="left"/>
    </w:pPr>
    <w:rPr>
      <w:kern w:val="0"/>
      <w:sz w:val="18"/>
      <w:szCs w:val="20"/>
    </w:rPr>
  </w:style>
  <w:style w:type="paragraph" w:styleId="40">
    <w:name w:val="Body Text Indent 3"/>
    <w:basedOn w:val="1"/>
    <w:link w:val="83"/>
    <w:qFormat/>
    <w:uiPriority w:val="0"/>
    <w:pPr>
      <w:spacing w:line="400" w:lineRule="exact"/>
      <w:ind w:left="2159" w:leftChars="1028" w:firstLine="1"/>
    </w:pPr>
    <w:rPr>
      <w:sz w:val="28"/>
    </w:rPr>
  </w:style>
  <w:style w:type="paragraph" w:styleId="41">
    <w:name w:val="index 7"/>
    <w:basedOn w:val="1"/>
    <w:next w:val="1"/>
    <w:qFormat/>
    <w:uiPriority w:val="0"/>
    <w:pPr>
      <w:widowControl/>
      <w:spacing w:after="120" w:line="400" w:lineRule="exact"/>
      <w:ind w:left="1200" w:leftChars="1200"/>
      <w:jc w:val="left"/>
    </w:pPr>
    <w:rPr>
      <w:kern w:val="0"/>
      <w:sz w:val="24"/>
      <w:szCs w:val="20"/>
    </w:rPr>
  </w:style>
  <w:style w:type="paragraph" w:styleId="42">
    <w:name w:val="index 9"/>
    <w:basedOn w:val="1"/>
    <w:next w:val="1"/>
    <w:qFormat/>
    <w:uiPriority w:val="0"/>
    <w:pPr>
      <w:widowControl/>
      <w:spacing w:after="120" w:line="400" w:lineRule="exact"/>
      <w:ind w:left="1600" w:leftChars="1600"/>
      <w:jc w:val="left"/>
    </w:pPr>
    <w:rPr>
      <w:kern w:val="0"/>
      <w:sz w:val="24"/>
      <w:szCs w:val="20"/>
    </w:rPr>
  </w:style>
  <w:style w:type="paragraph" w:styleId="43">
    <w:name w:val="table of figures"/>
    <w:basedOn w:val="1"/>
    <w:next w:val="1"/>
    <w:qFormat/>
    <w:uiPriority w:val="0"/>
    <w:pPr>
      <w:widowControl/>
      <w:tabs>
        <w:tab w:val="right" w:leader="dot" w:pos="8640"/>
      </w:tabs>
      <w:spacing w:after="120" w:line="400" w:lineRule="exact"/>
      <w:ind w:left="400" w:hanging="400"/>
      <w:jc w:val="left"/>
    </w:pPr>
    <w:rPr>
      <w:kern w:val="0"/>
      <w:sz w:val="24"/>
      <w:szCs w:val="20"/>
    </w:rPr>
  </w:style>
  <w:style w:type="paragraph" w:styleId="44">
    <w:name w:val="toc 2"/>
    <w:basedOn w:val="1"/>
    <w:next w:val="1"/>
    <w:qFormat/>
    <w:uiPriority w:val="39"/>
    <w:pPr>
      <w:widowControl/>
      <w:tabs>
        <w:tab w:val="right" w:leader="dot" w:pos="8640"/>
      </w:tabs>
      <w:spacing w:line="400" w:lineRule="exact"/>
      <w:jc w:val="left"/>
    </w:pPr>
    <w:rPr>
      <w:smallCaps/>
      <w:kern w:val="0"/>
      <w:sz w:val="24"/>
      <w:szCs w:val="20"/>
    </w:rPr>
  </w:style>
  <w:style w:type="paragraph" w:styleId="45">
    <w:name w:val="toc 9"/>
    <w:basedOn w:val="1"/>
    <w:next w:val="1"/>
    <w:qFormat/>
    <w:uiPriority w:val="0"/>
    <w:pPr>
      <w:widowControl/>
      <w:tabs>
        <w:tab w:val="right" w:leader="dot" w:pos="8640"/>
      </w:tabs>
      <w:spacing w:line="400" w:lineRule="exact"/>
      <w:ind w:left="1920"/>
      <w:jc w:val="left"/>
    </w:pPr>
    <w:rPr>
      <w:kern w:val="0"/>
      <w:sz w:val="18"/>
      <w:szCs w:val="20"/>
    </w:rPr>
  </w:style>
  <w:style w:type="paragraph" w:styleId="46">
    <w:name w:val="HTML Preformatted"/>
    <w:basedOn w:val="1"/>
    <w:link w:val="84"/>
    <w:qFormat/>
    <w:uiPriority w:val="0"/>
    <w:pPr>
      <w:widowControl/>
      <w:spacing w:after="120" w:line="400" w:lineRule="exact"/>
      <w:jc w:val="left"/>
    </w:pPr>
    <w:rPr>
      <w:rFonts w:ascii="Courier New" w:hAnsi="Courier New" w:cs="Courier New" w:eastAsiaTheme="minorEastAsia"/>
      <w:szCs w:val="22"/>
    </w:rPr>
  </w:style>
  <w:style w:type="paragraph" w:styleId="47">
    <w:name w:val="Normal (Web)"/>
    <w:basedOn w:val="1"/>
    <w:qFormat/>
    <w:uiPriority w:val="0"/>
    <w:pPr>
      <w:widowControl/>
      <w:spacing w:before="100" w:beforeAutospacing="1" w:after="100" w:afterAutospacing="1" w:line="330" w:lineRule="atLeast"/>
      <w:jc w:val="left"/>
    </w:pPr>
    <w:rPr>
      <w:rFonts w:ascii="宋体" w:hAnsi="宋体"/>
      <w:color w:val="000000"/>
      <w:kern w:val="0"/>
      <w:sz w:val="22"/>
      <w:szCs w:val="22"/>
    </w:rPr>
  </w:style>
  <w:style w:type="paragraph" w:styleId="48">
    <w:name w:val="index 2"/>
    <w:basedOn w:val="1"/>
    <w:next w:val="1"/>
    <w:qFormat/>
    <w:uiPriority w:val="0"/>
    <w:pPr>
      <w:widowControl/>
      <w:spacing w:after="120" w:line="400" w:lineRule="exact"/>
      <w:ind w:left="200" w:leftChars="200"/>
      <w:jc w:val="left"/>
    </w:pPr>
    <w:rPr>
      <w:kern w:val="0"/>
      <w:sz w:val="24"/>
      <w:szCs w:val="20"/>
    </w:rPr>
  </w:style>
  <w:style w:type="paragraph" w:styleId="49">
    <w:name w:val="Title"/>
    <w:basedOn w:val="1"/>
    <w:link w:val="85"/>
    <w:qFormat/>
    <w:uiPriority w:val="0"/>
    <w:pPr>
      <w:widowControl/>
      <w:pBdr>
        <w:top w:val="double" w:color="auto" w:sz="6" w:space="6"/>
        <w:left w:val="double" w:color="auto" w:sz="6" w:space="6"/>
        <w:bottom w:val="double" w:color="auto" w:sz="6" w:space="6"/>
        <w:right w:val="double" w:color="auto" w:sz="6" w:space="6"/>
      </w:pBdr>
      <w:spacing w:after="240" w:line="400" w:lineRule="exact"/>
      <w:jc w:val="center"/>
    </w:pPr>
    <w:rPr>
      <w:rFonts w:ascii="Arial" w:hAnsi="Arial"/>
      <w:b/>
      <w:smallCaps/>
      <w:kern w:val="28"/>
      <w:sz w:val="36"/>
      <w:szCs w:val="20"/>
    </w:rPr>
  </w:style>
  <w:style w:type="paragraph" w:styleId="50">
    <w:name w:val="annotation subject"/>
    <w:basedOn w:val="18"/>
    <w:next w:val="18"/>
    <w:link w:val="73"/>
    <w:qFormat/>
    <w:uiPriority w:val="0"/>
    <w:pPr>
      <w:widowControl/>
      <w:spacing w:after="120" w:line="400" w:lineRule="exact"/>
    </w:pPr>
    <w:rPr>
      <w:b/>
      <w:bCs/>
      <w:kern w:val="0"/>
      <w:sz w:val="24"/>
      <w:szCs w:val="20"/>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line number"/>
    <w:basedOn w:val="53"/>
    <w:qFormat/>
    <w:uiPriority w:val="0"/>
  </w:style>
  <w:style w:type="character" w:styleId="58">
    <w:name w:val="Hyperlink"/>
    <w:basedOn w:val="53"/>
    <w:qFormat/>
    <w:uiPriority w:val="99"/>
    <w:rPr>
      <w:color w:val="0000FF"/>
      <w:u w:val="single"/>
    </w:rPr>
  </w:style>
  <w:style w:type="character" w:styleId="59">
    <w:name w:val="annotation reference"/>
    <w:basedOn w:val="53"/>
    <w:qFormat/>
    <w:uiPriority w:val="0"/>
    <w:rPr>
      <w:sz w:val="21"/>
      <w:szCs w:val="21"/>
    </w:rPr>
  </w:style>
  <w:style w:type="character" w:styleId="60">
    <w:name w:val="footnote reference"/>
    <w:basedOn w:val="53"/>
    <w:qFormat/>
    <w:uiPriority w:val="0"/>
    <w:rPr>
      <w:position w:val="6"/>
      <w:sz w:val="14"/>
      <w:vertAlign w:val="superscript"/>
    </w:rPr>
  </w:style>
  <w:style w:type="character" w:customStyle="1" w:styleId="61">
    <w:name w:val="页眉 Char"/>
    <w:basedOn w:val="53"/>
    <w:link w:val="32"/>
    <w:qFormat/>
    <w:uiPriority w:val="99"/>
    <w:rPr>
      <w:sz w:val="18"/>
      <w:szCs w:val="18"/>
    </w:rPr>
  </w:style>
  <w:style w:type="character" w:customStyle="1" w:styleId="62">
    <w:name w:val="页脚 Char"/>
    <w:basedOn w:val="53"/>
    <w:link w:val="31"/>
    <w:qFormat/>
    <w:uiPriority w:val="99"/>
    <w:rPr>
      <w:sz w:val="18"/>
      <w:szCs w:val="18"/>
    </w:rPr>
  </w:style>
  <w:style w:type="character" w:customStyle="1" w:styleId="63">
    <w:name w:val="标题 1 Char"/>
    <w:basedOn w:val="53"/>
    <w:link w:val="2"/>
    <w:qFormat/>
    <w:uiPriority w:val="0"/>
    <w:rPr>
      <w:rFonts w:ascii="Times New Roman" w:hAnsi="Times New Roman" w:eastAsia="宋体" w:cs="Times New Roman"/>
      <w:b/>
      <w:bCs/>
      <w:kern w:val="44"/>
      <w:sz w:val="44"/>
      <w:szCs w:val="44"/>
    </w:rPr>
  </w:style>
  <w:style w:type="character" w:customStyle="1" w:styleId="64">
    <w:name w:val="标题 2 Char"/>
    <w:basedOn w:val="53"/>
    <w:link w:val="3"/>
    <w:qFormat/>
    <w:uiPriority w:val="0"/>
    <w:rPr>
      <w:rFonts w:ascii="Arial" w:hAnsi="Arial" w:eastAsia="黑体" w:cs="Times New Roman"/>
      <w:b/>
      <w:bCs/>
      <w:sz w:val="32"/>
      <w:szCs w:val="32"/>
    </w:rPr>
  </w:style>
  <w:style w:type="character" w:customStyle="1" w:styleId="65">
    <w:name w:val="标题 3 Char"/>
    <w:basedOn w:val="53"/>
    <w:link w:val="4"/>
    <w:qFormat/>
    <w:uiPriority w:val="0"/>
    <w:rPr>
      <w:rFonts w:ascii="Times New Roman" w:hAnsi="Times New Roman" w:eastAsia="宋体" w:cs="Times New Roman"/>
      <w:b/>
      <w:kern w:val="0"/>
      <w:sz w:val="24"/>
      <w:szCs w:val="20"/>
    </w:rPr>
  </w:style>
  <w:style w:type="character" w:customStyle="1" w:styleId="66">
    <w:name w:val="标题 4 Char"/>
    <w:basedOn w:val="53"/>
    <w:link w:val="5"/>
    <w:qFormat/>
    <w:uiPriority w:val="0"/>
    <w:rPr>
      <w:rFonts w:ascii="Arial" w:hAnsi="Arial" w:eastAsia="宋体" w:cs="Times New Roman"/>
      <w:b/>
      <w:kern w:val="0"/>
      <w:sz w:val="22"/>
      <w:szCs w:val="20"/>
    </w:rPr>
  </w:style>
  <w:style w:type="character" w:customStyle="1" w:styleId="67">
    <w:name w:val="标题 5 Char"/>
    <w:basedOn w:val="53"/>
    <w:link w:val="7"/>
    <w:qFormat/>
    <w:uiPriority w:val="0"/>
    <w:rPr>
      <w:rFonts w:ascii="Arial" w:hAnsi="Arial" w:eastAsia="宋体" w:cs="Times New Roman"/>
      <w:smallCaps/>
      <w:kern w:val="0"/>
      <w:sz w:val="22"/>
      <w:szCs w:val="20"/>
    </w:rPr>
  </w:style>
  <w:style w:type="character" w:customStyle="1" w:styleId="68">
    <w:name w:val="标题 6 Char"/>
    <w:basedOn w:val="53"/>
    <w:link w:val="8"/>
    <w:qFormat/>
    <w:uiPriority w:val="0"/>
    <w:rPr>
      <w:rFonts w:ascii="Times New Roman" w:hAnsi="Times New Roman" w:eastAsia="宋体" w:cs="Times New Roman"/>
      <w:i/>
      <w:kern w:val="0"/>
      <w:sz w:val="24"/>
      <w:szCs w:val="20"/>
    </w:rPr>
  </w:style>
  <w:style w:type="character" w:customStyle="1" w:styleId="69">
    <w:name w:val="标题 7 Char"/>
    <w:basedOn w:val="53"/>
    <w:link w:val="9"/>
    <w:qFormat/>
    <w:uiPriority w:val="0"/>
    <w:rPr>
      <w:rFonts w:ascii="Arial" w:hAnsi="Arial" w:eastAsia="宋体" w:cs="Times New Roman"/>
      <w:kern w:val="0"/>
      <w:sz w:val="24"/>
      <w:szCs w:val="20"/>
    </w:rPr>
  </w:style>
  <w:style w:type="character" w:customStyle="1" w:styleId="70">
    <w:name w:val="标题 8 Char"/>
    <w:basedOn w:val="53"/>
    <w:link w:val="10"/>
    <w:qFormat/>
    <w:uiPriority w:val="0"/>
    <w:rPr>
      <w:rFonts w:ascii="Arial" w:hAnsi="Arial" w:eastAsia="宋体" w:cs="Times New Roman"/>
      <w:i/>
      <w:kern w:val="0"/>
      <w:sz w:val="24"/>
      <w:szCs w:val="20"/>
    </w:rPr>
  </w:style>
  <w:style w:type="character" w:customStyle="1" w:styleId="71">
    <w:name w:val="标题 9 Char"/>
    <w:basedOn w:val="53"/>
    <w:link w:val="11"/>
    <w:qFormat/>
    <w:uiPriority w:val="0"/>
    <w:rPr>
      <w:rFonts w:ascii="Arial" w:hAnsi="Arial" w:eastAsia="宋体" w:cs="Times New Roman"/>
      <w:b/>
      <w:i/>
      <w:kern w:val="0"/>
      <w:sz w:val="18"/>
      <w:szCs w:val="20"/>
    </w:rPr>
  </w:style>
  <w:style w:type="character" w:customStyle="1" w:styleId="72">
    <w:name w:val="批注文字 Char"/>
    <w:basedOn w:val="53"/>
    <w:link w:val="18"/>
    <w:qFormat/>
    <w:uiPriority w:val="0"/>
    <w:rPr>
      <w:rFonts w:ascii="Times New Roman" w:hAnsi="Times New Roman" w:eastAsia="宋体" w:cs="Times New Roman"/>
      <w:szCs w:val="24"/>
    </w:rPr>
  </w:style>
  <w:style w:type="character" w:customStyle="1" w:styleId="73">
    <w:name w:val="批注主题 Char"/>
    <w:basedOn w:val="72"/>
    <w:link w:val="50"/>
    <w:qFormat/>
    <w:uiPriority w:val="0"/>
    <w:rPr>
      <w:rFonts w:ascii="Times New Roman" w:hAnsi="Times New Roman" w:eastAsia="宋体" w:cs="Times New Roman"/>
      <w:b/>
      <w:bCs/>
      <w:kern w:val="0"/>
      <w:sz w:val="24"/>
      <w:szCs w:val="20"/>
    </w:rPr>
  </w:style>
  <w:style w:type="character" w:customStyle="1" w:styleId="74">
    <w:name w:val="文档结构图 Char"/>
    <w:basedOn w:val="53"/>
    <w:link w:val="17"/>
    <w:qFormat/>
    <w:uiPriority w:val="99"/>
    <w:rPr>
      <w:rFonts w:ascii="宋体" w:hAnsi="Times New Roman" w:eastAsia="宋体" w:cs="Times New Roman"/>
      <w:kern w:val="0"/>
      <w:sz w:val="18"/>
      <w:szCs w:val="18"/>
    </w:rPr>
  </w:style>
  <w:style w:type="character" w:customStyle="1" w:styleId="75">
    <w:name w:val="正文文本 Char"/>
    <w:basedOn w:val="53"/>
    <w:link w:val="20"/>
    <w:qFormat/>
    <w:uiPriority w:val="0"/>
    <w:rPr>
      <w:rFonts w:ascii="Times New Roman" w:hAnsi="Times New Roman" w:eastAsia="宋体" w:cs="Times New Roman"/>
      <w:sz w:val="24"/>
      <w:szCs w:val="24"/>
    </w:rPr>
  </w:style>
  <w:style w:type="character" w:customStyle="1" w:styleId="76">
    <w:name w:val="正文文本缩进 Char1"/>
    <w:basedOn w:val="53"/>
    <w:link w:val="21"/>
    <w:qFormat/>
    <w:uiPriority w:val="0"/>
    <w:rPr>
      <w:sz w:val="24"/>
    </w:rPr>
  </w:style>
  <w:style w:type="character" w:customStyle="1" w:styleId="77">
    <w:name w:val="纯文本 Char"/>
    <w:basedOn w:val="53"/>
    <w:link w:val="25"/>
    <w:qFormat/>
    <w:uiPriority w:val="0"/>
    <w:rPr>
      <w:rFonts w:ascii="宋体" w:hAnsi="Courier New" w:eastAsia="宋体" w:cs="Times New Roman"/>
      <w:kern w:val="0"/>
      <w:sz w:val="24"/>
      <w:szCs w:val="20"/>
    </w:rPr>
  </w:style>
  <w:style w:type="character" w:customStyle="1" w:styleId="78">
    <w:name w:val="日期 Char1"/>
    <w:basedOn w:val="53"/>
    <w:link w:val="28"/>
    <w:qFormat/>
    <w:uiPriority w:val="0"/>
    <w:rPr>
      <w:szCs w:val="24"/>
    </w:rPr>
  </w:style>
  <w:style w:type="character" w:customStyle="1" w:styleId="79">
    <w:name w:val="正文文本缩进 2 Char"/>
    <w:basedOn w:val="53"/>
    <w:link w:val="29"/>
    <w:qFormat/>
    <w:uiPriority w:val="0"/>
    <w:rPr>
      <w:rFonts w:ascii="Times New Roman" w:hAnsi="Times New Roman" w:eastAsia="宋体" w:cs="Times New Roman"/>
      <w:color w:val="000080"/>
      <w:kern w:val="0"/>
      <w:sz w:val="24"/>
      <w:szCs w:val="20"/>
    </w:rPr>
  </w:style>
  <w:style w:type="character" w:customStyle="1" w:styleId="80">
    <w:name w:val="批注框文本 Char"/>
    <w:basedOn w:val="53"/>
    <w:link w:val="30"/>
    <w:qFormat/>
    <w:uiPriority w:val="0"/>
    <w:rPr>
      <w:rFonts w:ascii="Times New Roman" w:hAnsi="Times New Roman" w:eastAsia="宋体" w:cs="Times New Roman"/>
      <w:kern w:val="0"/>
      <w:sz w:val="18"/>
      <w:szCs w:val="18"/>
    </w:rPr>
  </w:style>
  <w:style w:type="character" w:customStyle="1" w:styleId="81">
    <w:name w:val="副标题 Char"/>
    <w:basedOn w:val="53"/>
    <w:link w:val="37"/>
    <w:qFormat/>
    <w:uiPriority w:val="11"/>
    <w:rPr>
      <w:rFonts w:ascii="Cambria" w:hAnsi="Cambria" w:eastAsia="宋体" w:cs="Times New Roman"/>
      <w:b/>
      <w:bCs/>
      <w:kern w:val="28"/>
      <w:sz w:val="32"/>
      <w:szCs w:val="32"/>
    </w:rPr>
  </w:style>
  <w:style w:type="character" w:customStyle="1" w:styleId="82">
    <w:name w:val="脚注文本 Char"/>
    <w:basedOn w:val="53"/>
    <w:link w:val="38"/>
    <w:qFormat/>
    <w:uiPriority w:val="0"/>
    <w:rPr>
      <w:rFonts w:ascii="Times New Roman" w:hAnsi="Times New Roman" w:eastAsia="宋体" w:cs="Times New Roman"/>
      <w:kern w:val="0"/>
      <w:sz w:val="18"/>
      <w:szCs w:val="20"/>
    </w:rPr>
  </w:style>
  <w:style w:type="character" w:customStyle="1" w:styleId="83">
    <w:name w:val="正文文本缩进 3 Char"/>
    <w:basedOn w:val="53"/>
    <w:link w:val="40"/>
    <w:qFormat/>
    <w:uiPriority w:val="0"/>
    <w:rPr>
      <w:rFonts w:ascii="Times New Roman" w:hAnsi="Times New Roman" w:eastAsia="宋体" w:cs="Times New Roman"/>
      <w:sz w:val="28"/>
      <w:szCs w:val="24"/>
    </w:rPr>
  </w:style>
  <w:style w:type="character" w:customStyle="1" w:styleId="84">
    <w:name w:val="HTML 预设格式 Char1"/>
    <w:basedOn w:val="53"/>
    <w:link w:val="46"/>
    <w:qFormat/>
    <w:uiPriority w:val="0"/>
    <w:rPr>
      <w:rFonts w:ascii="Courier New" w:hAnsi="Courier New" w:cs="Courier New"/>
    </w:rPr>
  </w:style>
  <w:style w:type="character" w:customStyle="1" w:styleId="85">
    <w:name w:val="标题 Char"/>
    <w:basedOn w:val="53"/>
    <w:link w:val="49"/>
    <w:qFormat/>
    <w:uiPriority w:val="0"/>
    <w:rPr>
      <w:rFonts w:ascii="Arial" w:hAnsi="Arial" w:eastAsia="宋体" w:cs="Times New Roman"/>
      <w:b/>
      <w:smallCaps/>
      <w:kern w:val="28"/>
      <w:sz w:val="36"/>
      <w:szCs w:val="20"/>
    </w:rPr>
  </w:style>
  <w:style w:type="character" w:customStyle="1" w:styleId="86">
    <w:name w:val="日期 Char"/>
    <w:basedOn w:val="53"/>
    <w:qFormat/>
    <w:uiPriority w:val="0"/>
    <w:rPr>
      <w:szCs w:val="24"/>
    </w:rPr>
  </w:style>
  <w:style w:type="paragraph" w:customStyle="1" w:styleId="87">
    <w:name w:val="Char"/>
    <w:basedOn w:val="1"/>
    <w:qFormat/>
    <w:uiPriority w:val="0"/>
    <w:pPr>
      <w:spacing w:line="360" w:lineRule="auto"/>
    </w:pPr>
    <w:rPr>
      <w:rFonts w:ascii="Tahoma" w:hAnsi="Tahoma"/>
      <w:sz w:val="24"/>
      <w:szCs w:val="21"/>
    </w:rPr>
  </w:style>
  <w:style w:type="paragraph" w:customStyle="1" w:styleId="88">
    <w:name w:val="列出段落1"/>
    <w:basedOn w:val="1"/>
    <w:qFormat/>
    <w:uiPriority w:val="34"/>
    <w:pPr>
      <w:ind w:firstLine="420" w:firstLineChars="200"/>
    </w:pPr>
    <w:rPr>
      <w:rFonts w:ascii="Calibri" w:hAnsi="Calibri"/>
      <w:szCs w:val="22"/>
    </w:rPr>
  </w:style>
  <w:style w:type="character" w:customStyle="1" w:styleId="89">
    <w:name w:val="textfont1"/>
    <w:basedOn w:val="53"/>
    <w:qFormat/>
    <w:uiPriority w:val="0"/>
    <w:rPr>
      <w:sz w:val="22"/>
      <w:szCs w:val="22"/>
    </w:rPr>
  </w:style>
  <w:style w:type="character" w:customStyle="1" w:styleId="90">
    <w:name w:val="样式 标题 31h3H3sect1.2.3Heading 3 - oldMapH313rd level + (中... Char"/>
    <w:basedOn w:val="53"/>
    <w:qFormat/>
    <w:uiPriority w:val="0"/>
    <w:rPr>
      <w:rFonts w:ascii="Arial" w:hAnsi="Arial" w:eastAsia="黑体" w:cs="Arial"/>
      <w:b/>
      <w:bCs/>
      <w:spacing w:val="16"/>
      <w:sz w:val="24"/>
      <w:szCs w:val="24"/>
      <w:lang w:val="en-US" w:eastAsia="zh-CN" w:bidi="ar-SA"/>
    </w:rPr>
  </w:style>
  <w:style w:type="character" w:customStyle="1" w:styleId="91">
    <w:name w:val="HTML 预设格式 Char"/>
    <w:basedOn w:val="53"/>
    <w:qFormat/>
    <w:uiPriority w:val="0"/>
    <w:rPr>
      <w:rFonts w:ascii="Courier New" w:hAnsi="Courier New" w:cs="Courier New"/>
    </w:rPr>
  </w:style>
  <w:style w:type="character" w:customStyle="1" w:styleId="92">
    <w:name w:val="正文文本缩进 Char"/>
    <w:basedOn w:val="53"/>
    <w:qFormat/>
    <w:uiPriority w:val="0"/>
    <w:rPr>
      <w:sz w:val="24"/>
    </w:rPr>
  </w:style>
  <w:style w:type="paragraph" w:customStyle="1" w:styleId="93">
    <w:name w:val="默认段落字体 Para Char Char Char Char"/>
    <w:basedOn w:val="1"/>
    <w:qFormat/>
    <w:uiPriority w:val="0"/>
    <w:pPr>
      <w:spacing w:line="240" w:lineRule="atLeast"/>
      <w:ind w:left="420" w:firstLine="420"/>
    </w:pPr>
    <w:rPr>
      <w:kern w:val="0"/>
      <w:szCs w:val="21"/>
    </w:rPr>
  </w:style>
  <w:style w:type="paragraph" w:customStyle="1" w:styleId="94">
    <w:name w:val="Table Text"/>
    <w:basedOn w:val="1"/>
    <w:qFormat/>
    <w:uiPriority w:val="0"/>
    <w:pPr>
      <w:widowControl/>
      <w:spacing w:before="60" w:after="60" w:line="480" w:lineRule="auto"/>
      <w:jc w:val="left"/>
    </w:pPr>
    <w:rPr>
      <w:kern w:val="0"/>
      <w:sz w:val="24"/>
      <w:szCs w:val="20"/>
    </w:rPr>
  </w:style>
  <w:style w:type="paragraph" w:customStyle="1" w:styleId="95">
    <w:name w:val="Table - Text"/>
    <w:basedOn w:val="1"/>
    <w:qFormat/>
    <w:uiPriority w:val="0"/>
    <w:pPr>
      <w:widowControl/>
      <w:spacing w:before="60" w:after="60" w:line="400" w:lineRule="exact"/>
      <w:jc w:val="left"/>
    </w:pPr>
    <w:rPr>
      <w:kern w:val="0"/>
      <w:sz w:val="20"/>
      <w:szCs w:val="20"/>
    </w:rPr>
  </w:style>
  <w:style w:type="paragraph" w:customStyle="1" w:styleId="9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样式 正文文本body textbb1Bodybtcontents + 小四 黑色 段后: 0 磅 行距: 1... Char"/>
    <w:basedOn w:val="20"/>
    <w:qFormat/>
    <w:uiPriority w:val="0"/>
    <w:pPr>
      <w:spacing w:line="360" w:lineRule="auto"/>
      <w:ind w:firstLine="200" w:firstLineChars="200"/>
    </w:pPr>
    <w:rPr>
      <w:rFonts w:ascii="宋体" w:hAnsi="宋体"/>
      <w:color w:val="000000"/>
    </w:rPr>
  </w:style>
  <w:style w:type="paragraph" w:customStyle="1" w:styleId="98">
    <w:name w:val="_"/>
    <w:basedOn w:val="1"/>
    <w:qFormat/>
    <w:uiPriority w:val="0"/>
    <w:pPr>
      <w:adjustRightInd w:val="0"/>
      <w:spacing w:line="360" w:lineRule="auto"/>
      <w:ind w:left="480"/>
      <w:textAlignment w:val="baseline"/>
    </w:pPr>
    <w:rPr>
      <w:kern w:val="0"/>
      <w:sz w:val="24"/>
      <w:szCs w:val="20"/>
    </w:rPr>
  </w:style>
  <w:style w:type="paragraph" w:customStyle="1" w:styleId="99">
    <w:name w:val="Note"/>
    <w:basedOn w:val="1"/>
    <w:qFormat/>
    <w:uiPriority w:val="0"/>
    <w:pPr>
      <w:widowControl/>
      <w:pBdr>
        <w:top w:val="double" w:color="FF0000" w:sz="6" w:space="3"/>
        <w:left w:val="double" w:color="FF0000" w:sz="6" w:space="3"/>
        <w:bottom w:val="double" w:color="FF0000" w:sz="6" w:space="3"/>
        <w:right w:val="double" w:color="FF0000" w:sz="6" w:space="3"/>
      </w:pBdr>
      <w:spacing w:after="120" w:line="400" w:lineRule="exact"/>
      <w:jc w:val="left"/>
    </w:pPr>
    <w:rPr>
      <w:vanish/>
      <w:color w:val="FF0000"/>
      <w:kern w:val="0"/>
      <w:sz w:val="24"/>
      <w:szCs w:val="20"/>
    </w:rPr>
  </w:style>
  <w:style w:type="paragraph" w:customStyle="1" w:styleId="100">
    <w:name w:val="书目1"/>
    <w:qFormat/>
    <w:uiPriority w:val="0"/>
    <w:pPr>
      <w:spacing w:after="120" w:line="240" w:lineRule="exact"/>
      <w:ind w:left="360" w:hanging="360"/>
    </w:pPr>
    <w:rPr>
      <w:rFonts w:ascii="Times New Roman" w:hAnsi="Times New Roman" w:eastAsia="宋体" w:cs="Times New Roman"/>
      <w:sz w:val="22"/>
      <w:lang w:val="en-US" w:eastAsia="zh-CN" w:bidi="ar-SA"/>
    </w:rPr>
  </w:style>
  <w:style w:type="paragraph" w:customStyle="1" w:styleId="101">
    <w:name w:val="Table - Source"/>
    <w:basedOn w:val="1"/>
    <w:next w:val="1"/>
    <w:qFormat/>
    <w:uiPriority w:val="0"/>
    <w:pPr>
      <w:widowControl/>
      <w:pBdr>
        <w:top w:val="single" w:color="auto" w:sz="12" w:space="1"/>
      </w:pBdr>
      <w:spacing w:after="120" w:line="400" w:lineRule="exact"/>
      <w:jc w:val="left"/>
    </w:pPr>
    <w:rPr>
      <w:i/>
      <w:kern w:val="0"/>
      <w:sz w:val="18"/>
      <w:szCs w:val="20"/>
    </w:rPr>
  </w:style>
  <w:style w:type="paragraph" w:customStyle="1" w:styleId="102">
    <w:name w:val="标题4"/>
    <w:basedOn w:val="1"/>
    <w:qFormat/>
    <w:uiPriority w:val="0"/>
    <w:pPr>
      <w:tabs>
        <w:tab w:val="left" w:pos="840"/>
      </w:tabs>
      <w:spacing w:before="50" w:line="420" w:lineRule="exact"/>
      <w:ind w:left="852" w:hanging="852"/>
    </w:pPr>
    <w:rPr>
      <w:rFonts w:ascii="仿宋_GB2312" w:eastAsia="仿宋_GB2312"/>
      <w:sz w:val="28"/>
    </w:rPr>
  </w:style>
  <w:style w:type="paragraph" w:customStyle="1" w:styleId="103">
    <w:name w:val="Title - Name"/>
    <w:basedOn w:val="49"/>
    <w:next w:val="104"/>
    <w:qFormat/>
    <w:uiPriority w:val="0"/>
    <w:pPr>
      <w:pBdr>
        <w:top w:val="none" w:color="auto" w:sz="0" w:space="0"/>
        <w:left w:val="none" w:color="auto" w:sz="0" w:space="0"/>
        <w:bottom w:val="none" w:color="auto" w:sz="0" w:space="0"/>
        <w:right w:val="none" w:color="auto" w:sz="0" w:space="0"/>
      </w:pBdr>
      <w:spacing w:before="480" w:after="720"/>
    </w:pPr>
    <w:rPr>
      <w:b w:val="0"/>
      <w:sz w:val="28"/>
    </w:rPr>
  </w:style>
  <w:style w:type="paragraph" w:customStyle="1" w:styleId="104">
    <w:name w:val="Title - Filename"/>
    <w:basedOn w:val="49"/>
    <w:next w:val="105"/>
    <w:qFormat/>
    <w:uiPriority w:val="0"/>
    <w:pPr>
      <w:pBdr>
        <w:top w:val="none" w:color="auto" w:sz="0" w:space="0"/>
        <w:left w:val="none" w:color="auto" w:sz="0" w:space="0"/>
        <w:bottom w:val="none" w:color="auto" w:sz="0" w:space="0"/>
        <w:right w:val="none" w:color="auto" w:sz="0" w:space="0"/>
      </w:pBdr>
      <w:spacing w:before="480" w:after="720"/>
    </w:pPr>
    <w:rPr>
      <w:b w:val="0"/>
      <w:smallCaps w:val="0"/>
      <w:sz w:val="28"/>
    </w:rPr>
  </w:style>
  <w:style w:type="paragraph" w:customStyle="1" w:styleId="105">
    <w:name w:val="Title - Date"/>
    <w:basedOn w:val="49"/>
    <w:next w:val="106"/>
    <w:qFormat/>
    <w:uiPriority w:val="0"/>
    <w:pPr>
      <w:pBdr>
        <w:top w:val="none" w:color="auto" w:sz="0" w:space="0"/>
        <w:left w:val="none" w:color="auto" w:sz="0" w:space="0"/>
        <w:bottom w:val="none" w:color="auto" w:sz="0" w:space="0"/>
        <w:right w:val="none" w:color="auto" w:sz="0" w:space="0"/>
      </w:pBdr>
      <w:spacing w:before="240" w:after="720"/>
    </w:pPr>
    <w:rPr>
      <w:sz w:val="28"/>
    </w:rPr>
  </w:style>
  <w:style w:type="paragraph" w:customStyle="1" w:styleId="106">
    <w:name w:val="Title - Revision"/>
    <w:basedOn w:val="49"/>
    <w:qFormat/>
    <w:uiPriority w:val="0"/>
    <w:pPr>
      <w:pBdr>
        <w:top w:val="none" w:color="auto" w:sz="0" w:space="0"/>
        <w:left w:val="none" w:color="auto" w:sz="0" w:space="0"/>
        <w:bottom w:val="none" w:color="auto" w:sz="0" w:space="0"/>
        <w:right w:val="none" w:color="auto" w:sz="0" w:space="0"/>
      </w:pBdr>
      <w:spacing w:before="720"/>
    </w:pPr>
  </w:style>
  <w:style w:type="paragraph" w:customStyle="1" w:styleId="107">
    <w:name w:val="Deliverable"/>
    <w:basedOn w:val="1"/>
    <w:qFormat/>
    <w:uiPriority w:val="0"/>
    <w:pPr>
      <w:widowControl/>
      <w:spacing w:after="60" w:line="400" w:lineRule="exact"/>
      <w:ind w:left="288" w:hanging="288"/>
      <w:jc w:val="left"/>
    </w:pPr>
    <w:rPr>
      <w:kern w:val="0"/>
      <w:sz w:val="20"/>
      <w:szCs w:val="20"/>
    </w:rPr>
  </w:style>
  <w:style w:type="paragraph" w:customStyle="1" w:styleId="108">
    <w:name w:val="Table - Heading"/>
    <w:basedOn w:val="6"/>
    <w:next w:val="1"/>
    <w:qFormat/>
    <w:uiPriority w:val="0"/>
    <w:pPr>
      <w:keepNext/>
      <w:pBdr>
        <w:bottom w:val="single" w:color="C0C0C0" w:sz="36" w:space="3"/>
      </w:pBdr>
      <w:spacing w:before="120"/>
    </w:pPr>
    <w:rPr>
      <w:b/>
      <w:sz w:val="20"/>
    </w:rPr>
  </w:style>
  <w:style w:type="paragraph" w:customStyle="1" w:styleId="109">
    <w:name w:val="Char1"/>
    <w:basedOn w:val="1"/>
    <w:link w:val="125"/>
    <w:qFormat/>
    <w:uiPriority w:val="0"/>
    <w:pPr>
      <w:spacing w:line="240" w:lineRule="atLeast"/>
      <w:ind w:left="420" w:firstLine="420"/>
    </w:pPr>
    <w:rPr>
      <w:kern w:val="0"/>
      <w:szCs w:val="21"/>
    </w:rPr>
  </w:style>
  <w:style w:type="paragraph" w:customStyle="1" w:styleId="110">
    <w:name w:val="默认段落字体 Para Char Char Char Char Char Char Char Char Char Char Char Char Char"/>
    <w:basedOn w:val="1"/>
    <w:qFormat/>
    <w:uiPriority w:val="0"/>
    <w:pPr>
      <w:shd w:val="clear" w:color="auto" w:fill="000080"/>
    </w:pPr>
    <w:rPr>
      <w:rFonts w:ascii="Tahoma" w:hAnsi="Tahoma"/>
      <w:sz w:val="24"/>
      <w:shd w:val="clear" w:color="auto" w:fill="000080"/>
    </w:rPr>
  </w:style>
  <w:style w:type="paragraph" w:customStyle="1" w:styleId="111">
    <w:name w:val="标题6"/>
    <w:basedOn w:val="1"/>
    <w:qFormat/>
    <w:uiPriority w:val="0"/>
    <w:pPr>
      <w:keepNext/>
      <w:keepLines/>
      <w:spacing w:before="120" w:after="120" w:line="300" w:lineRule="atLeast"/>
      <w:ind w:left="630" w:firstLine="359"/>
      <w:outlineLvl w:val="5"/>
    </w:pPr>
    <w:rPr>
      <w:b/>
    </w:rPr>
  </w:style>
  <w:style w:type="paragraph" w:customStyle="1" w:styleId="112">
    <w:name w:val="Code Title"/>
    <w:basedOn w:val="113"/>
    <w:next w:val="113"/>
    <w:qFormat/>
    <w:uiPriority w:val="0"/>
    <w:pPr>
      <w:pBdr>
        <w:bottom w:val="single" w:color="808080" w:sz="36" w:space="1"/>
      </w:pBdr>
      <w:spacing w:after="60"/>
      <w:ind w:right="0"/>
    </w:pPr>
    <w:rPr>
      <w:rFonts w:ascii="Arial" w:hAnsi="Arial"/>
      <w:b/>
      <w:sz w:val="20"/>
    </w:rPr>
  </w:style>
  <w:style w:type="paragraph" w:customStyle="1" w:styleId="113">
    <w:name w:val="Code"/>
    <w:basedOn w:val="1"/>
    <w:qFormat/>
    <w:uiPriority w:val="0"/>
    <w:pPr>
      <w:keepNext/>
      <w:widowControl/>
      <w:spacing w:line="400" w:lineRule="exact"/>
      <w:ind w:right="-1080"/>
      <w:jc w:val="left"/>
    </w:pPr>
    <w:rPr>
      <w:rFonts w:ascii="Lucida Sans Typewriter" w:hAnsi="Lucida Sans Typewriter"/>
      <w:spacing w:val="-5"/>
      <w:kern w:val="0"/>
      <w:sz w:val="18"/>
      <w:szCs w:val="20"/>
    </w:rPr>
  </w:style>
  <w:style w:type="paragraph" w:customStyle="1" w:styleId="114">
    <w:name w:val="Pull Quote"/>
    <w:basedOn w:val="1"/>
    <w:qFormat/>
    <w:uiPriority w:val="0"/>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0"/>
      <w:sz w:val="24"/>
      <w:szCs w:val="20"/>
    </w:rPr>
  </w:style>
  <w:style w:type="paragraph" w:customStyle="1" w:styleId="115">
    <w:name w:val="_Comment"/>
    <w:basedOn w:val="1"/>
    <w:next w:val="1"/>
    <w:qFormat/>
    <w:uiPriority w:val="0"/>
    <w:pPr>
      <w:widowControl/>
      <w:spacing w:after="240" w:line="400" w:lineRule="exact"/>
      <w:jc w:val="left"/>
    </w:pPr>
    <w:rPr>
      <w:i/>
      <w:vanish/>
      <w:color w:val="808080"/>
      <w:kern w:val="0"/>
      <w:sz w:val="24"/>
      <w:szCs w:val="20"/>
    </w:rPr>
  </w:style>
  <w:style w:type="paragraph" w:customStyle="1" w:styleId="116">
    <w:name w:val="_Style 47"/>
    <w:basedOn w:val="1"/>
    <w:next w:val="14"/>
    <w:qFormat/>
    <w:uiPriority w:val="0"/>
    <w:pPr>
      <w:tabs>
        <w:tab w:val="left" w:pos="527"/>
      </w:tabs>
      <w:spacing w:line="400" w:lineRule="exact"/>
      <w:ind w:left="1080" w:firstLine="420"/>
    </w:pPr>
    <w:rPr>
      <w:szCs w:val="20"/>
    </w:rPr>
  </w:style>
  <w:style w:type="paragraph" w:customStyle="1" w:styleId="117">
    <w:name w:val="Comment"/>
    <w:basedOn w:val="1"/>
    <w:qFormat/>
    <w:uiPriority w:val="0"/>
    <w:pPr>
      <w:widowControl/>
      <w:spacing w:after="120" w:line="400" w:lineRule="exact"/>
      <w:jc w:val="left"/>
    </w:pPr>
    <w:rPr>
      <w:i/>
      <w:color w:val="000080"/>
      <w:kern w:val="0"/>
      <w:sz w:val="24"/>
      <w:szCs w:val="20"/>
    </w:rPr>
  </w:style>
  <w:style w:type="paragraph" w:customStyle="1" w:styleId="118">
    <w:name w:val="Contents"/>
    <w:basedOn w:val="2"/>
    <w:qFormat/>
    <w:uiPriority w:val="0"/>
    <w:pPr>
      <w:keepNext w:val="0"/>
      <w:keepLines w:val="0"/>
      <w:pageBreakBefore/>
      <w:widowControl/>
      <w:pBdr>
        <w:bottom w:val="single" w:color="808080" w:sz="36" w:space="3"/>
      </w:pBdr>
      <w:spacing w:before="0" w:after="240" w:line="240" w:lineRule="auto"/>
      <w:jc w:val="left"/>
      <w:outlineLvl w:val="9"/>
    </w:pPr>
    <w:rPr>
      <w:rFonts w:ascii="Arial" w:hAnsi="Arial"/>
      <w:bCs w:val="0"/>
      <w:smallCaps/>
      <w:kern w:val="0"/>
      <w:sz w:val="32"/>
      <w:szCs w:val="20"/>
    </w:rPr>
  </w:style>
  <w:style w:type="paragraph" w:customStyle="1" w:styleId="119">
    <w:name w:val="Action Item"/>
    <w:basedOn w:val="1"/>
    <w:qFormat/>
    <w:uiPriority w:val="0"/>
    <w:pPr>
      <w:widowControl/>
      <w:spacing w:after="120" w:line="400" w:lineRule="exact"/>
      <w:ind w:left="360" w:hanging="360"/>
      <w:jc w:val="left"/>
    </w:pPr>
    <w:rPr>
      <w:kern w:val="0"/>
      <w:sz w:val="24"/>
      <w:szCs w:val="20"/>
    </w:rPr>
  </w:style>
  <w:style w:type="paragraph" w:customStyle="1" w:styleId="120">
    <w:name w:val="我的正文"/>
    <w:basedOn w:val="1"/>
    <w:qFormat/>
    <w:uiPriority w:val="0"/>
    <w:pPr>
      <w:spacing w:line="360" w:lineRule="auto"/>
      <w:ind w:firstLine="480" w:firstLineChars="200"/>
    </w:pPr>
    <w:rPr>
      <w:rFonts w:ascii="宋体" w:hAnsi="宋体"/>
      <w:color w:val="000000"/>
      <w:sz w:val="24"/>
    </w:rPr>
  </w:style>
  <w:style w:type="paragraph" w:customStyle="1" w:styleId="121">
    <w:name w:val="Table - Col. Head"/>
    <w:basedOn w:val="6"/>
    <w:qFormat/>
    <w:uiPriority w:val="0"/>
    <w:pPr>
      <w:keepNext/>
      <w:spacing w:before="60" w:after="60"/>
    </w:pPr>
    <w:rPr>
      <w:b/>
      <w:sz w:val="18"/>
    </w:rPr>
  </w:style>
  <w:style w:type="paragraph" w:customStyle="1" w:styleId="122">
    <w:name w:val="样式 样式 正文文本body textbb1Bodybtcontents + 小四 黑色 段后: 0 磅 行距: 1... + ..."/>
    <w:basedOn w:val="1"/>
    <w:qFormat/>
    <w:uiPriority w:val="0"/>
    <w:pPr>
      <w:spacing w:line="360" w:lineRule="auto"/>
      <w:ind w:firstLine="480" w:firstLineChars="200"/>
    </w:pPr>
    <w:rPr>
      <w:rFonts w:ascii="宋体" w:hAnsi="宋体"/>
      <w:color w:val="000000"/>
      <w:sz w:val="24"/>
    </w:rPr>
  </w:style>
  <w:style w:type="paragraph" w:customStyle="1" w:styleId="123">
    <w:name w:val="Heading 1 - Format Only"/>
    <w:basedOn w:val="2"/>
    <w:qFormat/>
    <w:uiPriority w:val="0"/>
    <w:pPr>
      <w:keepNext w:val="0"/>
      <w:keepLines w:val="0"/>
      <w:pageBreakBefore/>
      <w:widowControl/>
      <w:pBdr>
        <w:bottom w:val="single" w:color="808080" w:sz="36" w:space="3"/>
      </w:pBdr>
      <w:spacing w:before="0" w:after="240" w:line="240" w:lineRule="auto"/>
      <w:jc w:val="left"/>
      <w:outlineLvl w:val="9"/>
    </w:pPr>
    <w:rPr>
      <w:rFonts w:ascii="Arial" w:hAnsi="Arial"/>
      <w:bCs w:val="0"/>
      <w:smallCaps/>
      <w:kern w:val="0"/>
      <w:sz w:val="32"/>
      <w:szCs w:val="20"/>
    </w:rPr>
  </w:style>
  <w:style w:type="character" w:customStyle="1" w:styleId="124">
    <w:name w:val="Heading 2* Char Char1"/>
    <w:basedOn w:val="53"/>
    <w:qFormat/>
    <w:uiPriority w:val="0"/>
    <w:rPr>
      <w:rFonts w:ascii="Arial" w:hAnsi="Arial" w:eastAsia="黑体"/>
      <w:b/>
      <w:sz w:val="32"/>
      <w:lang w:val="en-US" w:eastAsia="zh-CN"/>
    </w:rPr>
  </w:style>
  <w:style w:type="character" w:customStyle="1" w:styleId="125">
    <w:name w:val="Char Char"/>
    <w:basedOn w:val="53"/>
    <w:link w:val="109"/>
    <w:qFormat/>
    <w:uiPriority w:val="0"/>
    <w:rPr>
      <w:rFonts w:ascii="Times New Roman" w:hAnsi="Times New Roman" w:eastAsia="宋体" w:cs="Times New Roman"/>
      <w:kern w:val="0"/>
      <w:szCs w:val="21"/>
    </w:rPr>
  </w:style>
  <w:style w:type="paragraph" w:customStyle="1" w:styleId="126">
    <w:name w:val="无间隔1"/>
    <w:link w:val="127"/>
    <w:qFormat/>
    <w:uiPriority w:val="1"/>
    <w:rPr>
      <w:rFonts w:ascii="Calibri" w:hAnsi="Calibri" w:eastAsia="宋体" w:cs="Times New Roman"/>
      <w:sz w:val="22"/>
      <w:szCs w:val="22"/>
      <w:lang w:val="en-US" w:eastAsia="zh-CN" w:bidi="ar-SA"/>
    </w:rPr>
  </w:style>
  <w:style w:type="character" w:customStyle="1" w:styleId="127">
    <w:name w:val="无间隔 Char"/>
    <w:basedOn w:val="53"/>
    <w:link w:val="126"/>
    <w:qFormat/>
    <w:uiPriority w:val="1"/>
    <w:rPr>
      <w:rFonts w:ascii="Calibri" w:hAnsi="Calibri" w:eastAsia="宋体" w:cs="Times New Roman"/>
      <w:kern w:val="0"/>
      <w:sz w:val="22"/>
    </w:rPr>
  </w:style>
  <w:style w:type="paragraph" w:customStyle="1" w:styleId="128">
    <w:name w:val="正文格式"/>
    <w:basedOn w:val="1"/>
    <w:qFormat/>
    <w:uiPriority w:val="0"/>
    <w:pPr>
      <w:topLinePunct/>
      <w:ind w:firstLine="420" w:firstLineChars="200"/>
    </w:pPr>
    <w:rPr>
      <w:rFonts w:ascii="宋体" w:hAnsi="宋体"/>
      <w:color w:val="000000"/>
      <w:szCs w:val="21"/>
    </w:rPr>
  </w:style>
  <w:style w:type="character" w:customStyle="1" w:styleId="129">
    <w:name w:val="font01"/>
    <w:basedOn w:val="53"/>
    <w:qFormat/>
    <w:uiPriority w:val="0"/>
    <w:rPr>
      <w:rFonts w:hint="eastAsia" w:ascii="汉仪中宋简" w:hAnsi="汉仪中宋简" w:eastAsia="汉仪中宋简" w:cs="汉仪中宋简"/>
      <w:color w:val="000000"/>
      <w:sz w:val="24"/>
      <w:szCs w:val="24"/>
      <w:u w:val="none"/>
    </w:rPr>
  </w:style>
  <w:style w:type="paragraph" w:customStyle="1" w:styleId="130">
    <w:name w:val="spec_left2"/>
    <w:basedOn w:val="1"/>
    <w:qFormat/>
    <w:uiPriority w:val="0"/>
    <w:pPr>
      <w:widowControl/>
      <w:spacing w:line="324" w:lineRule="atLeast"/>
      <w:jc w:val="left"/>
    </w:pPr>
    <w:rPr>
      <w:rFonts w:ascii="Arial" w:hAnsi="Arial" w:cs="Arial"/>
      <w:color w:val="565C63"/>
      <w:kern w:val="0"/>
      <w:sz w:val="20"/>
      <w:szCs w:val="20"/>
    </w:rPr>
  </w:style>
  <w:style w:type="paragraph" w:customStyle="1" w:styleId="131">
    <w:name w:val="spec_left3"/>
    <w:basedOn w:val="1"/>
    <w:qFormat/>
    <w:uiPriority w:val="0"/>
    <w:pPr>
      <w:widowControl/>
      <w:spacing w:line="324" w:lineRule="atLeast"/>
      <w:jc w:val="left"/>
    </w:pPr>
    <w:rPr>
      <w:rFonts w:ascii="Arial" w:hAnsi="Arial" w:cs="Arial"/>
      <w:color w:val="565C63"/>
      <w:kern w:val="0"/>
      <w:sz w:val="20"/>
      <w:szCs w:val="20"/>
    </w:rPr>
  </w:style>
  <w:style w:type="paragraph" w:customStyle="1" w:styleId="132">
    <w:name w:val="spec_left4"/>
    <w:basedOn w:val="1"/>
    <w:qFormat/>
    <w:uiPriority w:val="0"/>
    <w:pPr>
      <w:widowControl/>
      <w:spacing w:line="324" w:lineRule="atLeast"/>
      <w:jc w:val="left"/>
    </w:pPr>
    <w:rPr>
      <w:rFonts w:ascii="Arial" w:hAnsi="Arial" w:cs="Arial"/>
      <w:color w:val="565C63"/>
      <w:kern w:val="0"/>
      <w:sz w:val="20"/>
      <w:szCs w:val="20"/>
    </w:rPr>
  </w:style>
  <w:style w:type="paragraph" w:customStyle="1" w:styleId="133">
    <w:name w:val="spec_left5"/>
    <w:basedOn w:val="1"/>
    <w:qFormat/>
    <w:uiPriority w:val="0"/>
    <w:pPr>
      <w:widowControl/>
      <w:spacing w:line="324" w:lineRule="atLeast"/>
      <w:jc w:val="left"/>
    </w:pPr>
    <w:rPr>
      <w:rFonts w:ascii="Arial" w:hAnsi="Arial" w:cs="Arial"/>
      <w:color w:val="565C63"/>
      <w:kern w:val="0"/>
      <w:sz w:val="20"/>
      <w:szCs w:val="20"/>
    </w:rPr>
  </w:style>
  <w:style w:type="paragraph" w:styleId="13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1749</Words>
  <Characters>9974</Characters>
  <Lines>83</Lines>
  <Paragraphs>23</Paragraphs>
  <TotalTime>53</TotalTime>
  <ScaleCrop>false</ScaleCrop>
  <LinksUpToDate>false</LinksUpToDate>
  <CharactersWithSpaces>11700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2018-03-07T07:13:00Z</dcterms:created>
  <dc:creator>Administrator</dc:creator>
  <cp:lastModifiedBy>111</cp:lastModifiedBy>
  <cp:lastPrinted>2021-08-06T05:39:00Z</cp:lastPrinted>
  <dcterms:modified xsi:type="dcterms:W3CDTF">2021-08-16T02:38:38Z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EF2169F5C8CC4FB68E6E9A1BB975FDEA</vt:lpwstr>
  </property>
</Properties>
</file>