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11</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lang w:val="en-US" w:eastAsia="zh-CN"/>
        </w:rPr>
        <w:t>办公</w:t>
      </w:r>
      <w:r>
        <w:rPr>
          <w:rFonts w:hint="eastAsia" w:ascii="楷体_GB2312" w:hAnsi="宋体" w:eastAsia="楷体_GB2312"/>
          <w:b/>
          <w:bCs/>
          <w:sz w:val="52"/>
          <w:szCs w:val="52"/>
        </w:rPr>
        <w:t>设备</w:t>
      </w:r>
      <w:bookmarkStart w:id="231" w:name="_GoBack"/>
      <w:bookmarkEnd w:id="231"/>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22</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lang w:val="en-US" w:eastAsia="zh-CN"/>
        </w:rPr>
        <w:t>办公</w:t>
      </w:r>
      <w:r>
        <w:rPr>
          <w:rFonts w:hint="eastAsia" w:ascii="宋体" w:hAnsi="宋体"/>
          <w:b/>
          <w:bCs/>
        </w:rPr>
        <w:t>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办公家具及设备</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9</w:t>
      </w:r>
      <w:r>
        <w:rPr>
          <w:rFonts w:ascii="宋体" w:hAnsi="宋体"/>
          <w:color w:val="FF0000"/>
          <w:shd w:val="clear"/>
        </w:rPr>
        <w:t>月</w:t>
      </w:r>
      <w:r>
        <w:rPr>
          <w:rFonts w:hint="eastAsia" w:ascii="宋体" w:hAnsi="宋体"/>
          <w:color w:val="FF0000"/>
          <w:shd w:val="clear"/>
          <w:lang w:val="en-US" w:eastAsia="zh-CN"/>
        </w:rPr>
        <w:t>8</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9</w:t>
      </w:r>
      <w:r>
        <w:rPr>
          <w:rFonts w:hint="eastAsia" w:ascii="宋体" w:hAnsi="宋体"/>
          <w:color w:val="FF0000"/>
        </w:rPr>
        <w:t>月</w:t>
      </w:r>
      <w:r>
        <w:rPr>
          <w:rFonts w:hint="eastAsia" w:ascii="宋体" w:hAnsi="宋体"/>
          <w:color w:val="FF0000"/>
          <w:shd w:val="clear"/>
          <w:lang w:val="en-US" w:eastAsia="zh-CN"/>
        </w:rPr>
        <w:t>19</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9</w:t>
      </w:r>
      <w:r>
        <w:rPr>
          <w:rFonts w:ascii="宋体" w:hAnsi="宋体"/>
          <w:color w:val="FF0000"/>
        </w:rPr>
        <w:t>月</w:t>
      </w:r>
      <w:r>
        <w:rPr>
          <w:rFonts w:hint="eastAsia" w:ascii="宋体" w:hAnsi="宋体"/>
          <w:color w:val="FF0000"/>
          <w:shd w:val="clear"/>
          <w:lang w:val="en-US" w:eastAsia="zh-CN"/>
        </w:rPr>
        <w:t>19</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14819"/>
      <w:bookmarkStart w:id="6" w:name="_Toc365364657"/>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18667"/>
      <w:bookmarkStart w:id="8" w:name="_Toc365364658"/>
      <w:bookmarkStart w:id="9" w:name="_Toc268096549"/>
      <w:bookmarkStart w:id="10" w:name="_Toc363569304"/>
      <w:bookmarkStart w:id="11" w:name="_Toc133775939"/>
      <w:bookmarkStart w:id="12" w:name="_Toc94175697"/>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268096550"/>
      <w:bookmarkStart w:id="14" w:name="_Toc94175698"/>
      <w:bookmarkStart w:id="15" w:name="_Toc365364659"/>
      <w:bookmarkStart w:id="16" w:name="_Toc29735"/>
      <w:bookmarkStart w:id="17" w:name="_Toc133775940"/>
      <w:bookmarkStart w:id="18" w:name="_Toc363569305"/>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268096551"/>
      <w:bookmarkStart w:id="20" w:name="_Toc94175699"/>
      <w:bookmarkStart w:id="21" w:name="_Toc133775941"/>
      <w:bookmarkStart w:id="22" w:name="_Toc268096552"/>
      <w:bookmarkStart w:id="23" w:name="_Toc365364660"/>
      <w:bookmarkStart w:id="24" w:name="_Toc94175700"/>
      <w:bookmarkStart w:id="25" w:name="_Toc133775942"/>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投标人为所投产品的生产商或取得生产商授权的代理商；</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二年的</w:t>
      </w:r>
      <w:r>
        <w:rPr>
          <w:rFonts w:hint="eastAsia" w:ascii="宋体" w:hAnsi="宋体"/>
        </w:rPr>
        <w:t>财务审计报告；</w:t>
      </w:r>
    </w:p>
    <w:p>
      <w:pPr>
        <w:pStyle w:val="6"/>
        <w:numPr>
          <w:ilvl w:val="0"/>
          <w:numId w:val="3"/>
        </w:numPr>
        <w:spacing w:after="156" w:line="400" w:lineRule="exact"/>
        <w:rPr>
          <w:rFonts w:ascii="宋体" w:hAnsi="宋体"/>
        </w:rPr>
      </w:pPr>
      <w:r>
        <w:rPr>
          <w:rFonts w:hint="eastAsia" w:ascii="宋体" w:hAnsi="宋体"/>
          <w:lang w:val="en-US" w:eastAsia="zh-CN"/>
        </w:rPr>
        <w:t>近2年内与投标产品或服务相关的业绩证明，须提供业绩清单；</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bookmarkStart w:id="26" w:name="_Toc132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3569306"/>
      <w:bookmarkStart w:id="28" w:name="_Toc133775943"/>
      <w:bookmarkStart w:id="29" w:name="_Toc268096553"/>
      <w:bookmarkStart w:id="30" w:name="_Toc94175701"/>
      <w:bookmarkStart w:id="31" w:name="_Toc365364661"/>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94175702"/>
      <w:bookmarkStart w:id="35" w:name="_Toc133775944"/>
      <w:bookmarkStart w:id="36" w:name="_Toc268096554"/>
      <w:bookmarkStart w:id="37" w:name="_Toc365364662"/>
      <w:bookmarkStart w:id="38" w:name="_Toc363569307"/>
      <w:r>
        <w:rPr>
          <w:rFonts w:hint="eastAsia" w:ascii="宋体" w:hAnsi="宋体"/>
          <w:b/>
          <w:sz w:val="28"/>
          <w:szCs w:val="28"/>
        </w:rPr>
        <w:t>招标标的目录表</w:t>
      </w:r>
      <w:bookmarkEnd w:id="33"/>
    </w:p>
    <w:p>
      <w:pPr>
        <w:jc w:val="center"/>
        <w:rPr>
          <w:rFonts w:ascii="宋体" w:hAnsi="宋体"/>
          <w:b/>
          <w:szCs w:val="28"/>
        </w:rPr>
      </w:pPr>
    </w:p>
    <w:tbl>
      <w:tblPr>
        <w:tblStyle w:val="51"/>
        <w:tblW w:w="815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1"/>
        <w:gridCol w:w="4391"/>
        <w:gridCol w:w="2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581" w:type="dxa"/>
            <w:tcBorders>
              <w:bottom w:val="single" w:color="auto" w:sz="4" w:space="0"/>
            </w:tcBorders>
            <w:vAlign w:val="center"/>
          </w:tcPr>
          <w:p>
            <w:pPr>
              <w:jc w:val="center"/>
              <w:rPr>
                <w:sz w:val="24"/>
              </w:rPr>
            </w:pPr>
            <w:r>
              <w:rPr>
                <w:rFonts w:hint="eastAsia"/>
                <w:sz w:val="24"/>
              </w:rPr>
              <w:t>序号</w:t>
            </w:r>
          </w:p>
        </w:tc>
        <w:tc>
          <w:tcPr>
            <w:tcW w:w="4391"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2186"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4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办公家具（会议室用）</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Cs w:val="21"/>
                <w:lang w:val="en-US" w:eastAsia="zh-CN"/>
              </w:rPr>
            </w:pPr>
            <w:r>
              <w:rPr>
                <w:rFonts w:hint="eastAsia" w:ascii="宋体" w:hAnsi="宋体" w:cs="宋体"/>
                <w:color w:val="FF0000"/>
                <w:kern w:val="0"/>
                <w:szCs w:val="21"/>
              </w:rPr>
              <w:t>1</w:t>
            </w:r>
            <w:r>
              <w:rPr>
                <w:rFonts w:hint="eastAsia" w:ascii="宋体" w:hAnsi="宋体" w:cs="宋体"/>
                <w:color w:val="FF0000"/>
                <w:kern w:val="0"/>
                <w:szCs w:val="21"/>
                <w:lang w:val="en-US"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6" w:hRule="atLeast"/>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w:t>
            </w:r>
          </w:p>
        </w:tc>
        <w:tc>
          <w:tcPr>
            <w:tcW w:w="4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FF0000"/>
                <w:kern w:val="0"/>
                <w:szCs w:val="21"/>
                <w:lang w:val="en-US" w:eastAsia="zh-CN"/>
              </w:rPr>
            </w:pPr>
            <w:r>
              <w:rPr>
                <w:rFonts w:hint="eastAsia" w:ascii="宋体" w:hAnsi="宋体" w:cs="宋体"/>
                <w:color w:val="FF0000"/>
                <w:kern w:val="0"/>
                <w:szCs w:val="21"/>
                <w:lang w:val="en-US" w:eastAsia="zh-CN"/>
              </w:rPr>
              <w:t>会议设备</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1套</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3569308"/>
      <w:bookmarkStart w:id="42" w:name="_Toc94175703"/>
      <w:bookmarkStart w:id="43" w:name="_Toc19388"/>
      <w:bookmarkStart w:id="44" w:name="_Toc133775945"/>
      <w:bookmarkStart w:id="45" w:name="_Toc268096555"/>
      <w:bookmarkStart w:id="46" w:name="_Toc365364663"/>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1389263"/>
      <w:bookmarkStart w:id="49" w:name="_Toc365364664"/>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363569310"/>
      <w:bookmarkStart w:id="52" w:name="_Toc30303"/>
      <w:bookmarkStart w:id="53" w:name="_Toc133775947"/>
      <w:bookmarkStart w:id="54" w:name="_Toc268096557"/>
      <w:bookmarkStart w:id="55" w:name="_Toc365364665"/>
      <w:bookmarkStart w:id="56" w:name="_Toc94175705"/>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以及和标的物相关的专业资格证书等。代理商参加投标</w:t>
      </w:r>
      <w:r>
        <w:rPr>
          <w:rFonts w:hint="eastAsia" w:ascii="宋体" w:hAnsi="宋体"/>
          <w:lang w:val="en-US" w:eastAsia="zh-CN"/>
        </w:rPr>
        <w:t>的</w:t>
      </w:r>
      <w:r>
        <w:rPr>
          <w:rFonts w:hint="eastAsia" w:ascii="宋体" w:hAnsi="宋体"/>
        </w:rPr>
        <w:t>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94175709"/>
      <w:bookmarkStart w:id="60" w:name="_Toc268096561"/>
      <w:bookmarkStart w:id="61" w:name="_Toc365364667"/>
      <w:bookmarkStart w:id="62" w:name="_Toc133775951"/>
      <w:bookmarkStart w:id="63" w:name="_Toc363569314"/>
      <w:bookmarkStart w:id="64" w:name="_Toc8751"/>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268096562"/>
      <w:bookmarkStart w:id="66" w:name="_Toc7041"/>
      <w:bookmarkStart w:id="67" w:name="_Toc365364668"/>
      <w:bookmarkStart w:id="68" w:name="_Toc94175710"/>
      <w:bookmarkStart w:id="69" w:name="_Toc133775952"/>
      <w:bookmarkStart w:id="70" w:name="_Toc363569315"/>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365364669"/>
      <w:bookmarkStart w:id="72" w:name="_Toc94175711"/>
      <w:bookmarkStart w:id="73" w:name="_Toc363569316"/>
      <w:bookmarkStart w:id="74" w:name="_Toc133775953"/>
      <w:bookmarkStart w:id="75" w:name="_Toc268096563"/>
      <w:bookmarkStart w:id="76" w:name="_Toc30908"/>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268096564"/>
      <w:bookmarkStart w:id="78" w:name="_Toc363569317"/>
      <w:bookmarkStart w:id="79" w:name="_Toc133775954"/>
      <w:bookmarkStart w:id="80" w:name="_Toc9770"/>
      <w:bookmarkStart w:id="81" w:name="_Toc94175712"/>
      <w:bookmarkStart w:id="82" w:name="_Toc365364670"/>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365364672"/>
      <w:bookmarkStart w:id="85" w:name="_Toc363569322"/>
      <w:bookmarkStart w:id="86" w:name="_Toc268096571"/>
      <w:bookmarkStart w:id="87" w:name="_Toc133775961"/>
      <w:bookmarkStart w:id="88" w:name="_Toc94175719"/>
      <w:bookmarkStart w:id="89" w:name="_Toc513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133775962"/>
      <w:bookmarkStart w:id="91" w:name="_Toc365364673"/>
      <w:bookmarkStart w:id="92" w:name="_Toc363569323"/>
      <w:bookmarkStart w:id="93" w:name="_Toc268096572"/>
      <w:bookmarkStart w:id="94" w:name="_Toc15189"/>
      <w:bookmarkStart w:id="95" w:name="_Toc94175720"/>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365364674"/>
      <w:bookmarkStart w:id="97" w:name="_Toc753"/>
      <w:bookmarkStart w:id="98" w:name="_Toc363569324"/>
      <w:bookmarkStart w:id="99" w:name="_Toc133775963"/>
      <w:bookmarkStart w:id="100" w:name="_Toc94175721"/>
      <w:bookmarkStart w:id="101" w:name="_Toc268096573"/>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w:t>
      </w:r>
      <w:r>
        <w:rPr>
          <w:rFonts w:hint="eastAsia" w:ascii="宋体" w:hAnsi="宋体"/>
          <w:color w:val="FF0000"/>
          <w:kern w:val="0"/>
          <w:sz w:val="24"/>
          <w:szCs w:val="20"/>
          <w:lang w:val="en-US" w:eastAsia="zh-CN"/>
        </w:rPr>
        <w:t>3</w:t>
      </w:r>
      <w:r>
        <w:rPr>
          <w:rFonts w:hint="eastAsia" w:ascii="宋体" w:hAnsi="宋体"/>
          <w:color w:val="FF0000"/>
          <w:kern w:val="0"/>
          <w:sz w:val="24"/>
          <w:szCs w:val="20"/>
        </w:rPr>
        <w:t>0、0.</w:t>
      </w:r>
      <w:r>
        <w:rPr>
          <w:rFonts w:hint="eastAsia" w:ascii="宋体" w:hAnsi="宋体"/>
          <w:color w:val="FF0000"/>
          <w:kern w:val="0"/>
          <w:sz w:val="24"/>
          <w:szCs w:val="20"/>
          <w:lang w:val="en-US" w:eastAsia="zh-CN"/>
        </w:rPr>
        <w:t>3</w:t>
      </w:r>
      <w:r>
        <w:rPr>
          <w:rFonts w:hint="eastAsia" w:ascii="宋体" w:hAnsi="宋体"/>
          <w:color w:val="FF0000"/>
          <w:kern w:val="0"/>
          <w:sz w:val="24"/>
          <w:szCs w:val="20"/>
        </w:rPr>
        <w:t>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4"/>
        <w:numPr>
          <w:ilvl w:val="0"/>
          <w:numId w:val="13"/>
        </w:numPr>
        <w:spacing w:line="480" w:lineRule="auto"/>
        <w:ind w:firstLine="420"/>
        <w:rPr>
          <w:rFonts w:ascii="宋体"/>
        </w:rPr>
      </w:pPr>
      <w:r>
        <w:rPr>
          <w:rFonts w:hint="eastAsia" w:ascii="宋体"/>
        </w:rPr>
        <w:t>企业资质和管理水平方面：提供有效的统一社会信用代码证、质量保证体系或其他管理体系证明文件</w:t>
      </w:r>
      <w:r>
        <w:rPr>
          <w:rFonts w:hint="eastAsia" w:ascii="宋体"/>
          <w:lang w:eastAsia="zh-CN"/>
        </w:rPr>
        <w:t>（</w:t>
      </w:r>
      <w:r>
        <w:rPr>
          <w:rFonts w:hint="eastAsia" w:ascii="宋体"/>
          <w:lang w:val="en-US" w:eastAsia="zh-CN"/>
        </w:rPr>
        <w:t>如有</w:t>
      </w:r>
      <w:r>
        <w:rPr>
          <w:rFonts w:hint="eastAsia" w:ascii="宋体"/>
          <w:lang w:eastAsia="zh-CN"/>
        </w:rPr>
        <w:t>）</w:t>
      </w:r>
      <w:r>
        <w:rPr>
          <w:rFonts w:hint="eastAsia" w:ascii="宋体"/>
        </w:rPr>
        <w:t>（原件扫描加盖公司章）；近</w:t>
      </w:r>
      <w:r>
        <w:rPr>
          <w:rFonts w:hint="eastAsia" w:ascii="宋体"/>
          <w:lang w:val="en-US" w:eastAsia="zh-CN"/>
        </w:rPr>
        <w:t>二</w:t>
      </w:r>
      <w:r>
        <w:rPr>
          <w:rFonts w:hint="eastAsia" w:ascii="宋体"/>
        </w:rPr>
        <w:t>年</w:t>
      </w:r>
      <w:r>
        <w:rPr>
          <w:rFonts w:hint="eastAsia" w:ascii="宋体"/>
          <w:lang w:val="en-US" w:eastAsia="zh-CN"/>
        </w:rPr>
        <w:t>同类产品生产或销售数量</w:t>
      </w:r>
      <w:r>
        <w:rPr>
          <w:rFonts w:hint="eastAsia" w:ascii="宋体"/>
        </w:rPr>
        <w:t>，若为代理商则综合考虑同类产品合同额及数量；</w:t>
      </w:r>
    </w:p>
    <w:p>
      <w:pPr>
        <w:pStyle w:val="134"/>
        <w:numPr>
          <w:ilvl w:val="0"/>
          <w:numId w:val="13"/>
        </w:numPr>
        <w:spacing w:line="480" w:lineRule="auto"/>
        <w:ind w:firstLine="420"/>
        <w:rPr>
          <w:rFonts w:ascii="宋体"/>
        </w:rPr>
      </w:pPr>
      <w:r>
        <w:rPr>
          <w:rFonts w:hint="eastAsia" w:ascii="宋体"/>
        </w:rPr>
        <w:t>财务及资信状况：包括但不限于近</w:t>
      </w:r>
      <w:r>
        <w:rPr>
          <w:rFonts w:hint="eastAsia" w:ascii="宋体"/>
          <w:lang w:val="en-US" w:eastAsia="zh-CN"/>
        </w:rPr>
        <w:t>二</w:t>
      </w:r>
      <w:r>
        <w:rPr>
          <w:rFonts w:hint="eastAsia" w:ascii="宋体"/>
        </w:rPr>
        <w:t>年财务报表，有有效支撑证明文件（审计报告原件扫描加盖公司章）；</w:t>
      </w:r>
    </w:p>
    <w:p>
      <w:pPr>
        <w:pStyle w:val="134"/>
        <w:numPr>
          <w:ilvl w:val="0"/>
          <w:numId w:val="13"/>
        </w:numPr>
        <w:spacing w:line="480" w:lineRule="auto"/>
        <w:ind w:firstLineChars="0"/>
        <w:rPr>
          <w:rFonts w:ascii="宋体"/>
        </w:rPr>
      </w:pPr>
      <w:r>
        <w:rPr>
          <w:rFonts w:hint="eastAsia" w:ascii="宋体"/>
        </w:rPr>
        <w:t>运行业绩：投标产品</w:t>
      </w:r>
      <w:r>
        <w:rPr>
          <w:rFonts w:hint="eastAsia" w:ascii="宋体"/>
          <w:lang w:val="en-US" w:eastAsia="zh-CN"/>
        </w:rPr>
        <w:t>或服务的销售</w:t>
      </w:r>
      <w:r>
        <w:rPr>
          <w:rFonts w:hint="eastAsia" w:ascii="宋体"/>
        </w:rPr>
        <w:t>状况，同时参考其它用户的使用情况，提供近两年的同类产品</w:t>
      </w:r>
      <w:r>
        <w:rPr>
          <w:rFonts w:hint="eastAsia" w:ascii="宋体"/>
          <w:lang w:val="en-US" w:eastAsia="zh-CN"/>
        </w:rPr>
        <w:t>或服务</w:t>
      </w:r>
      <w:r>
        <w:rPr>
          <w:rFonts w:hint="eastAsia" w:ascii="宋体"/>
        </w:rPr>
        <w:t>销售业绩表（加盖公司章）。</w:t>
      </w:r>
    </w:p>
    <w:p>
      <w:pPr>
        <w:pStyle w:val="134"/>
        <w:numPr>
          <w:ilvl w:val="0"/>
          <w:numId w:val="13"/>
        </w:numPr>
        <w:spacing w:line="480" w:lineRule="auto"/>
        <w:ind w:firstLineChars="0"/>
        <w:rPr>
          <w:rFonts w:ascii="宋体"/>
        </w:rPr>
      </w:pPr>
      <w:r>
        <w:rPr>
          <w:rFonts w:hint="eastAsia" w:ascii="宋体"/>
        </w:rPr>
        <w:t>合作关系：与</w:t>
      </w:r>
      <w:r>
        <w:rPr>
          <w:rFonts w:hint="eastAsia" w:ascii="宋体"/>
          <w:lang w:val="en-US" w:eastAsia="zh-CN"/>
        </w:rPr>
        <w:t>本</w:t>
      </w:r>
      <w:r>
        <w:rPr>
          <w:rFonts w:hint="eastAsia" w:ascii="宋体"/>
        </w:rPr>
        <w:t>公司</w:t>
      </w:r>
      <w:r>
        <w:rPr>
          <w:rFonts w:hint="eastAsia" w:ascii="宋体"/>
          <w:lang w:val="en-US" w:eastAsia="zh-CN"/>
        </w:rPr>
        <w:t>的</w:t>
      </w:r>
      <w:r>
        <w:rPr>
          <w:rFonts w:hint="eastAsia" w:ascii="宋体"/>
        </w:rPr>
        <w:t>合作关系，提供合作协议或采购合同（加盖公司章）；</w:t>
      </w:r>
    </w:p>
    <w:p>
      <w:pPr>
        <w:pStyle w:val="134"/>
        <w:numPr>
          <w:ilvl w:val="0"/>
          <w:numId w:val="13"/>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3"/>
        </w:numPr>
        <w:spacing w:line="480" w:lineRule="auto"/>
        <w:rPr>
          <w:rFonts w:ascii="宋体"/>
        </w:rPr>
      </w:pPr>
      <w:r>
        <w:rPr>
          <w:rFonts w:hint="eastAsia" w:ascii="宋体"/>
        </w:rPr>
        <w:t>交货期、交货地点：提供能够按期交货期或提前交货、交货地点的承诺（加盖公司章）；</w:t>
      </w:r>
    </w:p>
    <w:p>
      <w:pPr>
        <w:numPr>
          <w:ilvl w:val="0"/>
          <w:numId w:val="13"/>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133775964"/>
      <w:bookmarkStart w:id="103" w:name="_Toc365364675"/>
      <w:bookmarkStart w:id="104" w:name="_Toc268096574"/>
      <w:bookmarkStart w:id="105" w:name="_Toc363569325"/>
      <w:bookmarkStart w:id="106" w:name="_Toc94175723"/>
      <w:bookmarkStart w:id="107" w:name="_Toc1142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133775966"/>
      <w:bookmarkStart w:id="110" w:name="_Toc94175725"/>
      <w:bookmarkStart w:id="111" w:name="_Toc363569327"/>
      <w:bookmarkStart w:id="112" w:name="_Toc365364676"/>
      <w:bookmarkStart w:id="113" w:name="_Toc268096576"/>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11780"/>
      <w:bookmarkStart w:id="117" w:name="_Toc363569328"/>
      <w:r>
        <w:rPr>
          <w:rFonts w:hint="eastAsia" w:ascii="宋体" w:hAnsi="宋体"/>
        </w:rPr>
        <w:t>定标原则</w:t>
      </w:r>
      <w:bookmarkEnd w:id="115"/>
      <w:bookmarkEnd w:id="116"/>
      <w:bookmarkEnd w:id="117"/>
    </w:p>
    <w:p>
      <w:pPr>
        <w:pStyle w:val="6"/>
        <w:numPr>
          <w:ilvl w:val="0"/>
          <w:numId w:val="14"/>
        </w:numPr>
        <w:spacing w:after="120" w:line="400" w:lineRule="exact"/>
        <w:rPr>
          <w:rFonts w:ascii="宋体" w:hAnsi="宋体"/>
        </w:rPr>
      </w:pPr>
      <w:r>
        <w:rPr>
          <w:rFonts w:hint="eastAsia" w:ascii="宋体" w:hAnsi="宋体"/>
        </w:rPr>
        <w:t>合同将授予符合下列条件的投标人：</w:t>
      </w:r>
    </w:p>
    <w:p>
      <w:pPr>
        <w:pStyle w:val="134"/>
        <w:numPr>
          <w:ilvl w:val="1"/>
          <w:numId w:val="14"/>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4"/>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11293"/>
      <w:bookmarkStart w:id="119" w:name="_Toc365364678"/>
      <w:bookmarkStart w:id="120" w:name="_Toc363569329"/>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14820"/>
      <w:bookmarkStart w:id="122" w:name="_Toc365364679"/>
      <w:bookmarkStart w:id="123" w:name="_Toc363569330"/>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3569331"/>
      <w:bookmarkStart w:id="125" w:name="_Toc365364680"/>
      <w:bookmarkStart w:id="126" w:name="_Toc7114"/>
      <w:r>
        <w:rPr>
          <w:rFonts w:hint="eastAsia" w:ascii="宋体" w:hAnsi="宋体"/>
        </w:rPr>
        <w:t>签订合同</w:t>
      </w:r>
      <w:bookmarkEnd w:id="124"/>
      <w:bookmarkEnd w:id="125"/>
      <w:bookmarkEnd w:id="126"/>
    </w:p>
    <w:p>
      <w:pPr>
        <w:pStyle w:val="6"/>
        <w:numPr>
          <w:ilvl w:val="0"/>
          <w:numId w:val="15"/>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381669536"/>
      <w:bookmarkStart w:id="128" w:name="_Toc133775993"/>
      <w:bookmarkStart w:id="129" w:name="_Toc41724788"/>
      <w:bookmarkStart w:id="130" w:name="_Toc27812989"/>
      <w:bookmarkStart w:id="131" w:name="_Toc381600291"/>
      <w:bookmarkStart w:id="132" w:name="_Toc371904371"/>
      <w:bookmarkStart w:id="133" w:name="_Toc365364681"/>
      <w:bookmarkStart w:id="134" w:name="_Toc10777"/>
      <w:bookmarkStart w:id="135" w:name="_Toc381600800"/>
      <w:bookmarkStart w:id="136" w:name="_Toc41724670"/>
      <w:bookmarkStart w:id="137" w:name="_Toc41734164"/>
      <w:bookmarkStart w:id="138" w:name="_Toc268096607"/>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rPr>
      </w:pPr>
      <w:bookmarkStart w:id="139" w:name="_Toc381600801"/>
      <w:bookmarkStart w:id="140" w:name="_Toc371904372"/>
      <w:bookmarkStart w:id="141" w:name="_Toc381669537"/>
      <w:bookmarkStart w:id="142" w:name="_Toc38160029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27812993"/>
      <w:bookmarkStart w:id="145" w:name="_Toc41724792"/>
      <w:bookmarkStart w:id="146" w:name="_Toc381600295"/>
      <w:bookmarkStart w:id="147" w:name="_Toc8724"/>
      <w:bookmarkStart w:id="148" w:name="_Toc365364683"/>
      <w:bookmarkStart w:id="149" w:name="_Toc133775997"/>
      <w:bookmarkStart w:id="150" w:name="_Toc381669540"/>
      <w:bookmarkStart w:id="151" w:name="_Toc268096611"/>
      <w:bookmarkStart w:id="152" w:name="_Toc381600804"/>
      <w:bookmarkStart w:id="153" w:name="_Toc371904375"/>
      <w:bookmarkStart w:id="154" w:name="_Toc41724674"/>
      <w:bookmarkStart w:id="155" w:name="_Toc41734168"/>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rPr>
      </w:pPr>
      <w:bookmarkStart w:id="156" w:name="_Toc381600799"/>
      <w:bookmarkStart w:id="157" w:name="_Toc133775992"/>
      <w:bookmarkStart w:id="158" w:name="_Toc41724669"/>
      <w:bookmarkStart w:id="159" w:name="_Toc268096606"/>
      <w:bookmarkStart w:id="160" w:name="_Toc365364684"/>
      <w:bookmarkStart w:id="161" w:name="_Toc381600290"/>
      <w:bookmarkStart w:id="162" w:name="_Toc41734163"/>
      <w:bookmarkStart w:id="163" w:name="_Toc41724787"/>
      <w:bookmarkStart w:id="164" w:name="_Toc371904370"/>
      <w:bookmarkStart w:id="165" w:name="_Toc381669535"/>
      <w:bookmarkStart w:id="166" w:name="_Toc27812988"/>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15</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7"/>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81600809"/>
      <w:bookmarkStart w:id="170" w:name="_Toc371904380"/>
      <w:bookmarkStart w:id="171" w:name="_Toc41724679"/>
      <w:bookmarkStart w:id="172" w:name="_Toc365364685"/>
      <w:bookmarkStart w:id="173" w:name="_Toc133776002"/>
      <w:bookmarkStart w:id="174" w:name="_Toc381600300"/>
      <w:bookmarkStart w:id="175" w:name="_Toc381669545"/>
      <w:bookmarkStart w:id="176" w:name="_Toc27812998"/>
      <w:bookmarkStart w:id="177" w:name="_Toc41734173"/>
      <w:bookmarkStart w:id="178" w:name="_Toc41724797"/>
      <w:bookmarkStart w:id="179" w:name="_Toc7558"/>
      <w:bookmarkStart w:id="180" w:name="_Toc268096616"/>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31371"/>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133775974"/>
      <w:bookmarkStart w:id="185" w:name="_Toc268096583"/>
      <w:bookmarkStart w:id="186" w:name="_Toc94175735"/>
      <w:bookmarkStart w:id="187" w:name="_Toc1304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268096586"/>
      <w:bookmarkStart w:id="192" w:name="_Toc133775977"/>
      <w:bookmarkStart w:id="193" w:name="_Toc365076958"/>
      <w:bookmarkStart w:id="194" w:name="_Toc364830772"/>
      <w:bookmarkStart w:id="195" w:name="_Toc27813011"/>
      <w:bookmarkStart w:id="196" w:name="_Toc41724692"/>
      <w:bookmarkStart w:id="197" w:name="_Toc41724810"/>
      <w:bookmarkStart w:id="198" w:name="_Toc365078288"/>
      <w:bookmarkStart w:id="199" w:name="_Toc365078471"/>
      <w:bookmarkStart w:id="200" w:name="_Toc41734186"/>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133775982"/>
      <w:bookmarkStart w:id="204" w:name="_Toc268096590"/>
      <w:bookmarkStart w:id="205" w:name="_Toc31771"/>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268096592"/>
      <w:bookmarkStart w:id="209" w:name="_Toc133775984"/>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4003"/>
      <w:bookmarkStart w:id="215" w:name="_Toc29543"/>
      <w:bookmarkStart w:id="216" w:name="_Toc5050"/>
      <w:bookmarkStart w:id="217" w:name="_Toc24451"/>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24469"/>
            <w:bookmarkStart w:id="219" w:name="_Toc22505"/>
            <w:bookmarkStart w:id="220" w:name="_Toc19510"/>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7123"/>
            <w:bookmarkStart w:id="222" w:name="_Toc4417"/>
            <w:bookmarkStart w:id="223" w:name="_Toc7975"/>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3405"/>
            <w:bookmarkStart w:id="225" w:name="_Toc16012"/>
            <w:bookmarkStart w:id="226" w:name="_Toc12083"/>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20667"/>
            <w:bookmarkStart w:id="228" w:name="_Toc14949"/>
            <w:bookmarkStart w:id="229" w:name="_Toc9753"/>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syuGyosyo_kk">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0"/>
  </w:num>
  <w:num w:numId="14">
    <w:abstractNumId w:val="15"/>
  </w:num>
  <w:num w:numId="15">
    <w:abstractNumId w:val="18"/>
  </w:num>
  <w:num w:numId="16">
    <w:abstractNumId w:val="13"/>
  </w:num>
  <w:num w:numId="17">
    <w:abstractNumId w:val="17"/>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6101B89"/>
    <w:rsid w:val="08B31BA6"/>
    <w:rsid w:val="08E16A75"/>
    <w:rsid w:val="09454D05"/>
    <w:rsid w:val="09814DA0"/>
    <w:rsid w:val="0B3711E5"/>
    <w:rsid w:val="0B5D7822"/>
    <w:rsid w:val="0C864673"/>
    <w:rsid w:val="0F9260CA"/>
    <w:rsid w:val="0FE6306D"/>
    <w:rsid w:val="11DB2C97"/>
    <w:rsid w:val="164F2FF2"/>
    <w:rsid w:val="1DB20BD1"/>
    <w:rsid w:val="22A73F02"/>
    <w:rsid w:val="24915FC7"/>
    <w:rsid w:val="251850AA"/>
    <w:rsid w:val="2653006A"/>
    <w:rsid w:val="2781796D"/>
    <w:rsid w:val="278902D8"/>
    <w:rsid w:val="28041684"/>
    <w:rsid w:val="292D2D81"/>
    <w:rsid w:val="2E004F02"/>
    <w:rsid w:val="2EE10E85"/>
    <w:rsid w:val="31873FCF"/>
    <w:rsid w:val="32236C2E"/>
    <w:rsid w:val="32CC455F"/>
    <w:rsid w:val="34DB65D2"/>
    <w:rsid w:val="34DC1190"/>
    <w:rsid w:val="37167D01"/>
    <w:rsid w:val="375074AA"/>
    <w:rsid w:val="3A755C92"/>
    <w:rsid w:val="3B8F33F2"/>
    <w:rsid w:val="3BDF19EF"/>
    <w:rsid w:val="3C5B283E"/>
    <w:rsid w:val="3CC15FEA"/>
    <w:rsid w:val="3CEE4AA9"/>
    <w:rsid w:val="3CF77DB8"/>
    <w:rsid w:val="3D9A2103"/>
    <w:rsid w:val="434654C8"/>
    <w:rsid w:val="43D8316A"/>
    <w:rsid w:val="45D972B4"/>
    <w:rsid w:val="4763241F"/>
    <w:rsid w:val="48364421"/>
    <w:rsid w:val="49597438"/>
    <w:rsid w:val="49867716"/>
    <w:rsid w:val="49B04D70"/>
    <w:rsid w:val="4CCB6717"/>
    <w:rsid w:val="50117351"/>
    <w:rsid w:val="51C71CDD"/>
    <w:rsid w:val="53636588"/>
    <w:rsid w:val="57277B9C"/>
    <w:rsid w:val="57CC5DF8"/>
    <w:rsid w:val="588328E6"/>
    <w:rsid w:val="58C25C08"/>
    <w:rsid w:val="5A4326AC"/>
    <w:rsid w:val="5A860BE4"/>
    <w:rsid w:val="5C4F1CD7"/>
    <w:rsid w:val="5C8D6205"/>
    <w:rsid w:val="5DF25FB8"/>
    <w:rsid w:val="5EE15E5A"/>
    <w:rsid w:val="60200618"/>
    <w:rsid w:val="68F051B2"/>
    <w:rsid w:val="69A14464"/>
    <w:rsid w:val="6A29022F"/>
    <w:rsid w:val="6B3A2EB5"/>
    <w:rsid w:val="6DB12F0F"/>
    <w:rsid w:val="6F675E08"/>
    <w:rsid w:val="71CE33FE"/>
    <w:rsid w:val="72082459"/>
    <w:rsid w:val="72AD6DE8"/>
    <w:rsid w:val="74355BD7"/>
    <w:rsid w:val="75917CF9"/>
    <w:rsid w:val="77350005"/>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24</TotalTime>
  <ScaleCrop>false</ScaleCrop>
  <LinksUpToDate>false</LinksUpToDate>
  <CharactersWithSpaces>11398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2023-09-08T01:57:16Z</cp:lastPrinted>
  <dcterms:modified xsi:type="dcterms:W3CDTF">2023-09-08T01:57:19Z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F727E95FA8064DB78AC55BD7481B2D5B_13</vt:lpwstr>
  </property>
</Properties>
</file>