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4" w:firstLineChars="12"/>
        <w:rPr>
          <w:rFonts w:hint="default" w:ascii="Times New Roman" w:hAnsi="Times New Roman" w:eastAsia="楷体_GB2312" w:cs="Times New Roman"/>
          <w:b/>
          <w:bCs/>
          <w:sz w:val="28"/>
        </w:rPr>
      </w:pPr>
      <w:r>
        <w:rPr>
          <w:rFonts w:hint="default" w:ascii="Times New Roman" w:hAnsi="Times New Roman" w:eastAsia="楷体_GB2312" w:cs="Times New Roman"/>
          <w:b/>
          <w:bCs/>
          <w:sz w:val="28"/>
        </w:rPr>
        <w:tab/>
      </w:r>
    </w:p>
    <w:p>
      <w:pPr>
        <w:ind w:firstLine="33" w:firstLineChars="12"/>
        <w:rPr>
          <w:rFonts w:hint="default" w:ascii="Times New Roman" w:hAnsi="Times New Roman" w:eastAsia="楷体_GB2312" w:cs="Times New Roman"/>
          <w:sz w:val="28"/>
        </w:rPr>
      </w:pPr>
    </w:p>
    <w:p>
      <w:pPr>
        <w:ind w:firstLine="33" w:firstLineChars="12"/>
        <w:rPr>
          <w:rFonts w:hint="default" w:ascii="Times New Roman" w:hAnsi="Times New Roman" w:eastAsia="楷体_GB2312" w:cs="Times New Roman"/>
          <w:sz w:val="28"/>
        </w:rPr>
      </w:pPr>
    </w:p>
    <w:p>
      <w:pPr>
        <w:ind w:firstLine="25" w:firstLineChars="12"/>
        <w:rPr>
          <w:rFonts w:hint="default" w:ascii="Times New Roman" w:hAnsi="Times New Roman" w:eastAsia="楷体_GB2312" w:cs="Times New Roman"/>
        </w:rPr>
      </w:pPr>
    </w:p>
    <w:p>
      <w:pPr>
        <w:jc w:val="center"/>
        <w:rPr>
          <w:rFonts w:hint="default" w:ascii="Times New Roman" w:hAnsi="Times New Roman" w:eastAsia="楷体_GB2312" w:cs="Times New Roman"/>
          <w:color w:val="000000"/>
          <w:sz w:val="52"/>
          <w:lang w:val="en-US" w:eastAsia="zh-CN"/>
        </w:rPr>
      </w:pPr>
    </w:p>
    <w:p>
      <w:pPr>
        <w:jc w:val="center"/>
        <w:rPr>
          <w:rFonts w:hint="default" w:ascii="Times New Roman" w:hAnsi="Times New Roman" w:eastAsia="楷体_GB2312" w:cs="Times New Roman"/>
          <w:color w:val="000000"/>
          <w:sz w:val="52"/>
        </w:rPr>
      </w:pPr>
      <w:r>
        <w:rPr>
          <w:rFonts w:hint="default" w:ascii="Times New Roman" w:hAnsi="Times New Roman" w:eastAsia="楷体_GB2312" w:cs="Times New Roman"/>
          <w:color w:val="000000"/>
          <w:sz w:val="52"/>
          <w:lang w:val="en-US" w:eastAsia="zh-CN"/>
        </w:rPr>
        <w:t xml:space="preserve">检 </w:t>
      </w:r>
      <w:r>
        <w:rPr>
          <w:rFonts w:hint="default" w:ascii="Times New Roman" w:hAnsi="Times New Roman" w:eastAsia="楷体_GB2312" w:cs="Times New Roman"/>
          <w:color w:val="000000"/>
          <w:sz w:val="52"/>
        </w:rPr>
        <w:t xml:space="preserve"> 测  报  告</w:t>
      </w:r>
    </w:p>
    <w:p>
      <w:pPr>
        <w:jc w:val="center"/>
        <w:rPr>
          <w:rFonts w:hint="default" w:ascii="Times New Roman" w:hAnsi="Times New Roman" w:eastAsia="楷体_GB2312" w:cs="Times New Roman"/>
          <w:color w:val="000000"/>
          <w:sz w:val="5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52"/>
          <w:lang w:val="en-US" w:eastAsia="zh-CN"/>
        </w:rPr>
        <w:t>TEST REPORT</w:t>
      </w:r>
    </w:p>
    <w:p>
      <w:pPr>
        <w:spacing w:line="500" w:lineRule="exact"/>
        <w:rPr>
          <w:rFonts w:hint="default" w:ascii="Times New Roman" w:hAnsi="Times New Roman" w:eastAsia="楷体_GB2312" w:cs="Times New Roman"/>
          <w:color w:val="FF0000"/>
        </w:rPr>
      </w:pPr>
    </w:p>
    <w:p>
      <w:pPr>
        <w:rPr>
          <w:rFonts w:hint="default" w:ascii="Times New Roman" w:hAnsi="Times New Roman" w:eastAsia="楷体_GB2312" w:cs="Times New Roman"/>
          <w:color w:val="FF0000"/>
        </w:rPr>
      </w:pPr>
    </w:p>
    <w:p>
      <w:pPr>
        <w:rPr>
          <w:rFonts w:hint="default" w:ascii="Times New Roman" w:hAnsi="Times New Roman" w:eastAsia="楷体_GB2312" w:cs="Times New Roman"/>
          <w:color w:val="FF0000"/>
        </w:rPr>
      </w:pP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510"/>
        <w:gridCol w:w="5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49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lang w:val="en-US" w:eastAsia="zh-CN"/>
              </w:rPr>
              <w:t>报告编号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default" w:ascii="Times New Roman" w:hAnsi="Times New Roman" w:eastAsia="楷体_GB2312" w:cs="Times New Roman"/>
                <w:sz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REPORT NO.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sz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vertAlign w:val="baseline"/>
                <w:lang w:eastAsia="zh-CN"/>
              </w:rPr>
              <w:t>：</w:t>
            </w:r>
          </w:p>
        </w:tc>
        <w:tc>
          <w:tcPr>
            <w:tcW w:w="55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u w:val="none"/>
                <w:lang w:eastAsia="zh-CN"/>
              </w:rPr>
              <w:t>）国创（综）字第（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8"/>
                <w:szCs w:val="28"/>
                <w:u w:val="none"/>
                <w:lang w:val="en-US" w:eastAsia="zh-CN"/>
              </w:rPr>
              <w:t>47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u w:val="none"/>
                <w:lang w:eastAsia="zh-CN"/>
              </w:rPr>
              <w:t>）号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10"/>
                <w:szCs w:val="10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10"/>
                <w:szCs w:val="10"/>
                <w:u w:val="single"/>
                <w:lang w:val="en-US" w:eastAsia="zh-CN"/>
              </w:rPr>
              <w:t xml:space="preserve">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49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lang w:val="en-US" w:eastAsia="zh-CN"/>
              </w:rPr>
              <w:t>检测类别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default" w:ascii="Times New Roman" w:hAnsi="Times New Roman" w:eastAsia="楷体_GB2312" w:cs="Times New Roman"/>
                <w:sz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TEST CATEGORY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sz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vertAlign w:val="baseline"/>
                <w:lang w:eastAsia="zh-CN"/>
              </w:rPr>
              <w:t>：</w:t>
            </w:r>
          </w:p>
        </w:tc>
        <w:tc>
          <w:tcPr>
            <w:tcW w:w="55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  <w:u w:val="none"/>
                <w:lang w:val="en-US" w:eastAsia="zh-CN"/>
              </w:rPr>
              <w:t>委托检测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10"/>
                <w:szCs w:val="10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10"/>
                <w:szCs w:val="10"/>
                <w:u w:val="single"/>
                <w:lang w:val="en-US" w:eastAsia="zh-CN"/>
              </w:rPr>
              <w:t xml:space="preserve">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49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lang w:val="en-US" w:eastAsia="zh-CN"/>
              </w:rPr>
              <w:t>委托单位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default" w:ascii="Times New Roman" w:hAnsi="Times New Roman" w:eastAsia="楷体_GB2312" w:cs="Times New Roman"/>
                <w:sz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CLIENT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sz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vertAlign w:val="baseline"/>
                <w:lang w:eastAsia="zh-CN"/>
              </w:rPr>
              <w:t>：</w:t>
            </w:r>
          </w:p>
        </w:tc>
        <w:tc>
          <w:tcPr>
            <w:tcW w:w="55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/>
              </w:rPr>
              <w:t>南通通富微电子有限公司(苏通厂区)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10"/>
                <w:szCs w:val="10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10"/>
                <w:szCs w:val="10"/>
                <w:u w:val="single"/>
                <w:lang w:val="en-US" w:eastAsia="zh-CN"/>
              </w:rPr>
              <w:t xml:space="preserve">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49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lang w:val="en-US" w:eastAsia="zh-CN"/>
              </w:rPr>
              <w:t>受检单位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default" w:ascii="Times New Roman" w:hAnsi="Times New Roman" w:eastAsia="楷体_GB2312" w:cs="Times New Roman"/>
                <w:sz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INSPECTED COMPANY</w:t>
            </w: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sz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vertAlign w:val="baseline"/>
                <w:lang w:eastAsia="zh-CN"/>
              </w:rPr>
              <w:t>：</w:t>
            </w:r>
          </w:p>
        </w:tc>
        <w:tc>
          <w:tcPr>
            <w:tcW w:w="55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  <w:u w:val="none"/>
                <w:lang w:val="en-US" w:eastAsia="zh-CN"/>
              </w:rPr>
              <w:t>南通通富微电子有限公司(苏通厂区)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楷体_GB2312" w:cs="Times New Roman"/>
                <w:sz w:val="10"/>
                <w:szCs w:val="10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10"/>
                <w:szCs w:val="10"/>
                <w:u w:val="single"/>
                <w:vertAlign w:val="baseline"/>
                <w:lang w:val="en-US" w:eastAsia="zh-CN"/>
              </w:rPr>
              <w:t xml:space="preserve">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49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32"/>
                <w:lang w:val="en-US" w:eastAsia="zh-CN"/>
              </w:rPr>
              <w:t>样品类型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SAMPLE CATEGORY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sz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vertAlign w:val="baseline"/>
                <w:lang w:eastAsia="zh-CN"/>
              </w:rPr>
              <w:t>：</w:t>
            </w:r>
          </w:p>
        </w:tc>
        <w:tc>
          <w:tcPr>
            <w:tcW w:w="55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u w:val="none"/>
                <w:lang w:val="en-US" w:eastAsia="zh-CN"/>
              </w:rPr>
              <w:t>土壤 地下水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10"/>
                <w:szCs w:val="10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10"/>
                <w:szCs w:val="10"/>
                <w:u w:val="single"/>
                <w:lang w:val="en-US" w:eastAsia="zh-CN"/>
              </w:rPr>
              <w:t xml:space="preserve">                                                                                                        </w:t>
            </w:r>
          </w:p>
        </w:tc>
      </w:tr>
    </w:tbl>
    <w:p>
      <w:pPr>
        <w:tabs>
          <w:tab w:val="left" w:pos="7303"/>
        </w:tabs>
        <w:rPr>
          <w:rFonts w:hint="default" w:ascii="Times New Roman" w:hAnsi="Times New Roman" w:eastAsia="楷体_GB2312" w:cs="Times New Roman"/>
          <w:sz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lang w:eastAsia="zh-CN"/>
        </w:rPr>
        <w:tab/>
      </w:r>
    </w:p>
    <w:p>
      <w:pPr>
        <w:ind w:firstLine="1280" w:firstLineChars="400"/>
        <w:rPr>
          <w:rFonts w:hint="default" w:ascii="Times New Roman" w:hAnsi="Times New Roman" w:eastAsia="楷体_GB2312" w:cs="Times New Roman"/>
          <w:sz w:val="32"/>
          <w:lang w:eastAsia="zh-CN"/>
        </w:rPr>
      </w:pPr>
    </w:p>
    <w:p>
      <w:pPr>
        <w:ind w:firstLine="1280" w:firstLineChars="400"/>
        <w:jc w:val="center"/>
        <w:rPr>
          <w:rFonts w:hint="default" w:ascii="Times New Roman" w:hAnsi="Times New Roman" w:eastAsia="楷体_GB2312" w:cs="Times New Roman"/>
          <w:sz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lang w:val="en-US" w:eastAsia="zh-CN"/>
        </w:rPr>
        <w:t>江苏国创检测技术有限公司</w:t>
      </w:r>
    </w:p>
    <w:p>
      <w:pPr>
        <w:ind w:firstLine="1280" w:firstLineChars="400"/>
        <w:jc w:val="center"/>
        <w:rPr>
          <w:rFonts w:hint="default" w:ascii="Times New Roman" w:hAnsi="Times New Roman" w:eastAsia="楷体_GB2312" w:cs="Times New Roman"/>
          <w:sz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lang w:val="en-US" w:eastAsia="zh-CN"/>
        </w:rPr>
        <w:t>Jiangsu Guochuang Testing Technology Co., Ltd</w:t>
      </w: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二零二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一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五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月</w:t>
      </w:r>
    </w:p>
    <w:p>
      <w:pPr>
        <w:jc w:val="right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                                             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insoku w:val="0"/>
        <w:ind w:left="359" w:leftChars="171" w:right="145" w:rightChars="69" w:firstLine="1"/>
        <w:jc w:val="center"/>
        <w:rPr>
          <w:rFonts w:hint="default" w:ascii="Times New Roman" w:hAnsi="Times New Roman" w:eastAsia="楷体_GB2312" w:cs="Times New Roman"/>
          <w:b/>
          <w:bCs/>
          <w:color w:val="000000"/>
          <w:sz w:val="36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6"/>
          <w:lang w:val="en-US" w:eastAsia="zh-CN"/>
        </w:rPr>
        <w:t>检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6"/>
        </w:rPr>
        <w:t xml:space="preserve"> 测 报 告 说 明</w:t>
      </w:r>
    </w:p>
    <w:p>
      <w:pPr>
        <w:ind w:left="635" w:leftChars="169" w:hanging="280" w:hangingChars="100"/>
        <w:rPr>
          <w:rFonts w:hint="default" w:ascii="Times New Roman" w:hAnsi="Times New Roman" w:eastAsia="楷体_GB2312" w:cs="Times New Roman"/>
          <w:color w:val="auto"/>
          <w:sz w:val="28"/>
        </w:rPr>
      </w:pPr>
      <w:r>
        <w:rPr>
          <w:rFonts w:hint="default" w:ascii="Times New Roman" w:hAnsi="Times New Roman" w:eastAsia="楷体_GB2312" w:cs="Times New Roman"/>
          <w:color w:val="auto"/>
          <w:sz w:val="28"/>
        </w:rPr>
        <w:t>1. 对检测结果有异议的，应于收到报告之日起十日内向检测单位提出。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color w:val="auto"/>
          <w:sz w:val="28"/>
        </w:rPr>
      </w:pPr>
      <w:r>
        <w:rPr>
          <w:rFonts w:hint="default" w:ascii="Times New Roman" w:hAnsi="Times New Roman" w:eastAsia="楷体_GB2312" w:cs="Times New Roman"/>
          <w:color w:val="auto"/>
          <w:sz w:val="28"/>
        </w:rPr>
        <w:t>报告未加盖</w:t>
      </w:r>
      <w:r>
        <w:rPr>
          <w:rFonts w:hint="default" w:ascii="Times New Roman" w:hAnsi="Times New Roman" w:eastAsia="楷体_GB2312" w:cs="Times New Roman"/>
          <w:color w:val="auto"/>
          <w:sz w:val="28"/>
          <w:lang w:val="en-US" w:eastAsia="zh-CN"/>
        </w:rPr>
        <w:t>检验检测专用章</w:t>
      </w:r>
      <w:r>
        <w:rPr>
          <w:rFonts w:hint="default" w:ascii="Times New Roman" w:hAnsi="Times New Roman" w:eastAsia="楷体_GB2312" w:cs="Times New Roman"/>
          <w:color w:val="auto"/>
          <w:sz w:val="28"/>
        </w:rPr>
        <w:t>、骑缝章无效，涂改、增删无效。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color w:val="auto"/>
          <w:sz w:val="28"/>
        </w:rPr>
      </w:pPr>
      <w:r>
        <w:rPr>
          <w:rFonts w:hint="default" w:ascii="Times New Roman" w:hAnsi="Times New Roman" w:eastAsia="楷体_GB2312" w:cs="Times New Roman"/>
          <w:color w:val="auto"/>
          <w:sz w:val="28"/>
        </w:rPr>
        <w:t>报告无编制、复核、审核及授权签字人签名无效。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color w:val="auto"/>
          <w:sz w:val="28"/>
        </w:rPr>
      </w:pPr>
      <w:r>
        <w:rPr>
          <w:rFonts w:hint="default" w:ascii="Times New Roman" w:hAnsi="Times New Roman" w:eastAsia="楷体_GB2312" w:cs="Times New Roman"/>
          <w:color w:val="auto"/>
          <w:sz w:val="28"/>
          <w:lang w:eastAsia="zh-CN"/>
        </w:rPr>
        <w:t>无</w:t>
      </w:r>
      <w:r>
        <w:rPr>
          <w:rFonts w:hint="default" w:ascii="Times New Roman" w:hAnsi="Times New Roman" w:eastAsia="楷体_GB2312" w:cs="Times New Roman"/>
          <w:color w:val="auto"/>
          <w:sz w:val="28"/>
          <w:lang w:val="en-US" w:eastAsia="zh-CN"/>
        </w:rPr>
        <w:t>CMA标志的报告仅用于科研、教学或企业内部质量控制活动使用，不具有社会证明作用。</w:t>
      </w:r>
    </w:p>
    <w:p>
      <w:pPr>
        <w:numPr>
          <w:ilvl w:val="0"/>
          <w:numId w:val="2"/>
        </w:numPr>
        <w:rPr>
          <w:rFonts w:hint="default" w:ascii="Times New Roman" w:hAnsi="Times New Roman" w:eastAsia="楷体_GB2312" w:cs="Times New Roman"/>
          <w:color w:val="auto"/>
          <w:sz w:val="28"/>
        </w:rPr>
      </w:pPr>
      <w:r>
        <w:rPr>
          <w:rFonts w:hint="default" w:ascii="Times New Roman" w:hAnsi="Times New Roman" w:eastAsia="楷体_GB2312" w:cs="Times New Roman"/>
          <w:color w:val="auto"/>
          <w:sz w:val="28"/>
        </w:rPr>
        <w:t>由其他单位或个人采集送检的样品，仅对送检样品的检测结果负责</w:t>
      </w:r>
      <w:r>
        <w:rPr>
          <w:rFonts w:hint="default" w:ascii="Times New Roman" w:hAnsi="Times New Roman" w:eastAsia="楷体_GB2312" w:cs="Times New Roman"/>
          <w:color w:val="auto"/>
          <w:sz w:val="28"/>
          <w:lang w:eastAsia="zh-CN"/>
        </w:rPr>
        <w:t>，委托方对送检样品及其相关信息的真实性负责</w:t>
      </w:r>
      <w:r>
        <w:rPr>
          <w:rFonts w:hint="default" w:ascii="Times New Roman" w:hAnsi="Times New Roman" w:eastAsia="楷体_GB2312" w:cs="Times New Roman"/>
          <w:color w:val="auto"/>
          <w:sz w:val="28"/>
        </w:rPr>
        <w:t>。</w:t>
      </w:r>
    </w:p>
    <w:p>
      <w:pPr>
        <w:numPr>
          <w:ilvl w:val="0"/>
          <w:numId w:val="2"/>
        </w:numPr>
        <w:rPr>
          <w:rFonts w:hint="default" w:ascii="Times New Roman" w:hAnsi="Times New Roman" w:eastAsia="楷体_GB2312" w:cs="Times New Roman"/>
          <w:color w:val="000000"/>
          <w:sz w:val="28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28"/>
        </w:rPr>
        <w:t>除客户特别申明</w:t>
      </w:r>
      <w:r>
        <w:rPr>
          <w:rFonts w:hint="default" w:ascii="Times New Roman" w:hAnsi="Times New Roman" w:eastAsia="楷体_GB2312" w:cs="Times New Roman"/>
          <w:color w:val="000000"/>
          <w:sz w:val="28"/>
          <w:lang w:eastAsia="zh-CN"/>
        </w:rPr>
        <w:t>，</w:t>
      </w:r>
      <w:r>
        <w:rPr>
          <w:rFonts w:hint="default" w:ascii="Times New Roman" w:hAnsi="Times New Roman" w:eastAsia="楷体_GB2312" w:cs="Times New Roman"/>
          <w:color w:val="000000"/>
          <w:sz w:val="28"/>
        </w:rPr>
        <w:t>本报告只适用于本次采集/收到的样品，报告中所附限值标准均由客户</w:t>
      </w:r>
      <w:r>
        <w:rPr>
          <w:rFonts w:hint="default" w:ascii="Times New Roman" w:hAnsi="Times New Roman" w:eastAsia="楷体_GB2312" w:cs="Times New Roman"/>
          <w:color w:val="000000"/>
          <w:sz w:val="28"/>
          <w:lang w:eastAsia="zh-CN"/>
        </w:rPr>
        <w:t>提</w:t>
      </w:r>
      <w:r>
        <w:rPr>
          <w:rFonts w:hint="default" w:ascii="Times New Roman" w:hAnsi="Times New Roman" w:eastAsia="楷体_GB2312" w:cs="Times New Roman"/>
          <w:color w:val="000000"/>
          <w:sz w:val="28"/>
        </w:rPr>
        <w:t>供，仅供参照</w:t>
      </w:r>
      <w:r>
        <w:rPr>
          <w:rFonts w:hint="default" w:ascii="Times New Roman" w:hAnsi="Times New Roman" w:eastAsia="楷体_GB2312" w:cs="Times New Roman"/>
          <w:color w:val="000000"/>
          <w:sz w:val="28"/>
          <w:lang w:eastAsia="zh-CN"/>
        </w:rPr>
        <w:t>，</w:t>
      </w:r>
      <w:r>
        <w:rPr>
          <w:rFonts w:hint="default" w:ascii="Times New Roman" w:hAnsi="Times New Roman" w:eastAsia="楷体_GB2312" w:cs="Times New Roman"/>
          <w:color w:val="000000"/>
          <w:sz w:val="28"/>
          <w:lang w:val="en-US" w:eastAsia="zh-CN"/>
        </w:rPr>
        <w:t>采样样品的检测结果只代表检测时污染物排放状况。</w:t>
      </w:r>
    </w:p>
    <w:p>
      <w:pPr>
        <w:numPr>
          <w:ilvl w:val="0"/>
          <w:numId w:val="2"/>
        </w:numPr>
        <w:rPr>
          <w:rFonts w:hint="default" w:ascii="Times New Roman" w:hAnsi="Times New Roman" w:eastAsia="楷体_GB2312" w:cs="Times New Roman"/>
          <w:b w:val="0"/>
          <w:bCs w:val="0"/>
          <w:color w:val="000000"/>
          <w:kern w:val="2"/>
          <w:sz w:val="28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000000"/>
          <w:sz w:val="28"/>
        </w:rPr>
        <w:t>除客户特别申明并支付样品管理费，所有超过标准规定时效期的样品均不再留样。</w:t>
      </w:r>
    </w:p>
    <w:p>
      <w:pPr>
        <w:numPr>
          <w:ilvl w:val="0"/>
          <w:numId w:val="2"/>
        </w:numPr>
        <w:rPr>
          <w:rFonts w:hint="default" w:ascii="Times New Roman" w:hAnsi="Times New Roman" w:eastAsia="楷体_GB2312" w:cs="Times New Roman"/>
          <w:b w:val="0"/>
          <w:bCs w:val="0"/>
          <w:color w:val="000000"/>
          <w:kern w:val="2"/>
          <w:sz w:val="28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2"/>
          <w:sz w:val="28"/>
          <w:szCs w:val="24"/>
          <w:lang w:val="en-US" w:eastAsia="zh-CN" w:bidi="ar-SA"/>
        </w:rPr>
        <w:t>未经本公司批准，不得部分复制报告内容。</w:t>
      </w:r>
    </w:p>
    <w:p>
      <w:pPr>
        <w:numPr>
          <w:ilvl w:val="0"/>
          <w:numId w:val="2"/>
        </w:numPr>
        <w:rPr>
          <w:rFonts w:hint="default" w:ascii="Times New Roman" w:hAnsi="Times New Roman" w:eastAsia="楷体_GB2312" w:cs="Times New Roman"/>
          <w:b w:val="0"/>
          <w:bCs w:val="0"/>
          <w:color w:val="000000"/>
          <w:kern w:val="2"/>
          <w:sz w:val="28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2"/>
          <w:sz w:val="28"/>
          <w:szCs w:val="24"/>
          <w:lang w:val="en-US" w:eastAsia="zh-CN" w:bidi="ar-SA"/>
        </w:rPr>
        <w:t>未经本公司书面同意，该检验报告不得用于商业性宣传。</w:t>
      </w:r>
    </w:p>
    <w:p>
      <w:pPr>
        <w:ind w:firstLine="25" w:firstLineChars="12"/>
        <w:rPr>
          <w:rFonts w:hint="default" w:ascii="Times New Roman" w:hAnsi="Times New Roman" w:eastAsia="楷体_GB2312" w:cs="Times New Roma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楷体_GB2312" w:cs="Times New Roman"/>
          <w:sz w:val="28"/>
        </w:rPr>
      </w:pPr>
    </w:p>
    <w:p>
      <w:pPr>
        <w:rPr>
          <w:rFonts w:hint="default" w:ascii="Times New Roman" w:hAnsi="Times New Roman" w:eastAsia="楷体" w:cs="Times New Roman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江苏国创检测技术有限公司</w:t>
      </w:r>
    </w:p>
    <w:p>
      <w:pPr>
        <w:rPr>
          <w:rFonts w:hint="default" w:ascii="Times New Roman" w:hAnsi="Times New Roman" w:eastAsia="楷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联系地址：</w:t>
      </w:r>
      <w:r>
        <w:rPr>
          <w:rFonts w:hint="default" w:ascii="Times New Roman" w:hAnsi="Times New Roman" w:eastAsia="楷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江苏省南通市崇川区胜利路168号11号楼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20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20"/>
        </w:rPr>
      </w:pPr>
    </w:p>
    <w:p>
      <w:pPr>
        <w:rPr>
          <w:rFonts w:hint="default" w:ascii="Times New Roman" w:hAnsi="Times New Roman" w:eastAsia="楷体_GB2312" w:cs="Times New Roman"/>
          <w:sz w:val="20"/>
        </w:rPr>
        <w:sectPr>
          <w:headerReference r:id="rId3" w:type="default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tabs>
          <w:tab w:val="left" w:pos="2440"/>
          <w:tab w:val="right" w:pos="7432"/>
        </w:tabs>
        <w:ind w:right="880"/>
        <w:jc w:val="center"/>
        <w:rPr>
          <w:rFonts w:hint="default" w:ascii="Times New Roman" w:hAnsi="Times New Roman" w:eastAsia="楷体_GB2312" w:cs="Times New Roman"/>
          <w:sz w:val="36"/>
        </w:rPr>
      </w:pPr>
      <w:r>
        <w:rPr>
          <w:rFonts w:hint="default" w:ascii="Times New Roman" w:hAnsi="Times New Roman" w:eastAsia="楷体_GB2312" w:cs="Times New Roman"/>
          <w:sz w:val="44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44"/>
        </w:rPr>
        <w:t>检   测   报   告</w:t>
      </w:r>
    </w:p>
    <w:tbl>
      <w:tblPr>
        <w:tblStyle w:val="10"/>
        <w:tblW w:w="92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3135"/>
        <w:gridCol w:w="1559"/>
        <w:gridCol w:w="30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pacing w:val="40"/>
                <w:kern w:val="0"/>
                <w:sz w:val="21"/>
                <w:szCs w:val="21"/>
                <w:lang w:eastAsia="zh-CN"/>
              </w:rPr>
              <w:t>受检</w:t>
            </w:r>
            <w:r>
              <w:rPr>
                <w:rFonts w:hint="default" w:ascii="Times New Roman" w:hAnsi="Times New Roman" w:eastAsia="楷体_GB2312" w:cs="Times New Roman"/>
                <w:spacing w:val="40"/>
                <w:kern w:val="0"/>
                <w:sz w:val="21"/>
                <w:szCs w:val="21"/>
              </w:rPr>
              <w:t>单</w:t>
            </w:r>
            <w:r>
              <w:rPr>
                <w:rFonts w:hint="default" w:ascii="Times New Roman" w:hAnsi="Times New Roman" w:eastAsia="楷体_GB2312" w:cs="Times New Roman"/>
                <w:kern w:val="0"/>
                <w:sz w:val="21"/>
                <w:szCs w:val="21"/>
              </w:rPr>
              <w:t>位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南通通富微电子有限公司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(苏通厂区)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1"/>
                <w:szCs w:val="21"/>
              </w:rPr>
              <w:t>地  址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1"/>
                <w:szCs w:val="21"/>
              </w:rPr>
              <w:t>南通市</w:t>
            </w:r>
            <w:r>
              <w:rPr>
                <w:rFonts w:hint="eastAsia" w:eastAsia="楷体_GB2312"/>
                <w:kern w:val="0"/>
                <w:sz w:val="21"/>
                <w:szCs w:val="21"/>
                <w:lang w:val="en-US" w:eastAsia="zh-CN"/>
              </w:rPr>
              <w:t>开发区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pacing w:val="4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pacing w:val="60"/>
                <w:kern w:val="0"/>
                <w:sz w:val="21"/>
                <w:szCs w:val="21"/>
              </w:rPr>
              <w:t>联系</w:t>
            </w:r>
            <w:r>
              <w:rPr>
                <w:rFonts w:hint="default" w:ascii="Times New Roman" w:hAnsi="Times New Roman" w:eastAsia="楷体_GB2312" w:cs="Times New Roman"/>
                <w:kern w:val="0"/>
                <w:sz w:val="21"/>
                <w:szCs w:val="21"/>
              </w:rPr>
              <w:t>人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_GB2312"/>
                <w:kern w:val="0"/>
                <w:sz w:val="21"/>
                <w:szCs w:val="21"/>
                <w:lang w:val="en-US" w:eastAsia="zh-CN"/>
              </w:rPr>
              <w:t>钱工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电  话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1"/>
                <w:szCs w:val="21"/>
              </w:rPr>
              <w:t>18962807</w:t>
            </w:r>
            <w:r>
              <w:rPr>
                <w:rFonts w:hint="default" w:ascii="Times New Roman" w:hAnsi="Times New Roman" w:eastAsia="楷体_GB2312" w:cs="Times New Roman"/>
                <w:kern w:val="0"/>
                <w:sz w:val="21"/>
                <w:szCs w:val="21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8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pacing w:val="40"/>
                <w:kern w:val="0"/>
                <w:sz w:val="21"/>
                <w:szCs w:val="21"/>
              </w:rPr>
              <w:t>采样日期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2021/4/16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pacing w:val="40"/>
                <w:kern w:val="0"/>
                <w:sz w:val="21"/>
                <w:szCs w:val="21"/>
              </w:rPr>
              <w:t>测试日</w:t>
            </w:r>
            <w:r>
              <w:rPr>
                <w:rFonts w:hint="default" w:ascii="Times New Roman" w:hAnsi="Times New Roman" w:eastAsia="楷体_GB2312" w:cs="Times New Roman"/>
                <w:kern w:val="0"/>
                <w:sz w:val="21"/>
                <w:szCs w:val="21"/>
              </w:rPr>
              <w:t>期</w:t>
            </w:r>
          </w:p>
        </w:tc>
        <w:tc>
          <w:tcPr>
            <w:tcW w:w="30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2021/4/16-4/28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8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pacing w:val="40"/>
                <w:kern w:val="0"/>
                <w:sz w:val="21"/>
                <w:szCs w:val="21"/>
              </w:rPr>
              <w:t>检测目</w:t>
            </w:r>
            <w:r>
              <w:rPr>
                <w:rFonts w:hint="default" w:ascii="Times New Roman" w:hAnsi="Times New Roman" w:eastAsia="楷体_GB2312" w:cs="Times New Roman"/>
                <w:kern w:val="0"/>
                <w:sz w:val="21"/>
                <w:szCs w:val="21"/>
              </w:rPr>
              <w:t>的</w:t>
            </w:r>
          </w:p>
        </w:tc>
        <w:tc>
          <w:tcPr>
            <w:tcW w:w="77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了解</w:t>
            </w: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南通通富微电子有限公司(苏通厂区)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土壤、地下水环境质量状况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w w:val="8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pacing w:val="40"/>
                <w:kern w:val="0"/>
                <w:sz w:val="21"/>
                <w:szCs w:val="21"/>
              </w:rPr>
              <w:t>检测内</w:t>
            </w:r>
            <w:r>
              <w:rPr>
                <w:rFonts w:hint="default" w:ascii="Times New Roman" w:hAnsi="Times New Roman" w:eastAsia="楷体_GB2312" w:cs="Times New Roman"/>
                <w:kern w:val="0"/>
                <w:sz w:val="21"/>
                <w:szCs w:val="21"/>
              </w:rPr>
              <w:t>容</w:t>
            </w:r>
          </w:p>
        </w:tc>
        <w:tc>
          <w:tcPr>
            <w:tcW w:w="77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eastAsia="楷体"/>
                <w:sz w:val="21"/>
                <w:szCs w:val="21"/>
              </w:rPr>
              <w:t>详见检测结果表</w:t>
            </w:r>
            <w:r>
              <w:rPr>
                <w:rFonts w:hint="eastAsia" w:eastAsia="楷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1"/>
                <w:szCs w:val="21"/>
              </w:rPr>
              <w:t>备　注</w:t>
            </w:r>
          </w:p>
        </w:tc>
        <w:tc>
          <w:tcPr>
            <w:tcW w:w="77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检测依据、检测仪器、方法检出限详见附表2~4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8" w:hRule="atLeast"/>
          <w:jc w:val="center"/>
        </w:trPr>
        <w:tc>
          <w:tcPr>
            <w:tcW w:w="92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  <w:p>
            <w:pPr>
              <w:wordWrap w:val="0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  <w:p>
            <w:pPr>
              <w:wordWrap w:val="0"/>
              <w:ind w:firstLine="840" w:firstLineChars="400"/>
              <w:jc w:val="left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u w:val="none"/>
              </w:rPr>
            </w:pPr>
          </w:p>
          <w:p>
            <w:pPr>
              <w:wordWrap w:val="0"/>
              <w:ind w:firstLine="840" w:firstLineChars="400"/>
              <w:jc w:val="left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u w:val="none"/>
              </w:rPr>
            </w:pPr>
          </w:p>
          <w:p>
            <w:pPr>
              <w:wordWrap w:val="0"/>
              <w:ind w:firstLine="1260" w:firstLineChars="600"/>
              <w:jc w:val="left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u w:val="none"/>
              </w:rPr>
              <w:t>编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u w:val="none"/>
              </w:rPr>
              <w:t xml:space="preserve">制：   　　　      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             审    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u w:val="none"/>
              </w:rPr>
              <w:t>核：</w:t>
            </w:r>
          </w:p>
          <w:p>
            <w:pPr>
              <w:jc w:val="left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u w:val="none"/>
              </w:rPr>
            </w:pPr>
          </w:p>
          <w:p>
            <w:pPr>
              <w:jc w:val="left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u w:val="none"/>
              </w:rPr>
            </w:pPr>
            <w:r>
              <w:rPr>
                <w:rFonts w:ascii="Times New Roman" w:hAnsi="Times New Roman" w:eastAsia="楷体"/>
                <w:sz w:val="21"/>
                <w:szCs w:val="2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1409065</wp:posOffset>
                  </wp:positionH>
                  <wp:positionV relativeFrom="paragraph">
                    <wp:posOffset>74930</wp:posOffset>
                  </wp:positionV>
                  <wp:extent cx="1008380" cy="407035"/>
                  <wp:effectExtent l="0" t="0" r="1270" b="12065"/>
                  <wp:wrapNone/>
                  <wp:docPr id="13" name="图片 296" descr="282079707552312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96" descr="282079707552312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40703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ordWrap w:val="0"/>
              <w:ind w:firstLine="1260" w:firstLineChars="600"/>
              <w:jc w:val="left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u w:val="none"/>
              </w:rPr>
              <w:t>签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u w:val="none"/>
              </w:rPr>
              <w:t xml:space="preserve">发：    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u w:val="none"/>
              </w:rPr>
              <w:t xml:space="preserve">         　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u w:val="none"/>
              </w:rPr>
              <w:t>签发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日期：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u w:val="none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u w:val="none"/>
              </w:rPr>
              <w:t>年　 月   日</w:t>
            </w:r>
          </w:p>
          <w:p>
            <w:pPr>
              <w:ind w:left="479" w:leftChars="228" w:firstLine="5250" w:firstLineChars="2500"/>
              <w:jc w:val="right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  <w:p>
            <w:pPr>
              <w:spacing w:line="360" w:lineRule="auto"/>
              <w:ind w:left="780"/>
              <w:jc w:val="right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_GB2312" w:cs="Times New Roman"/>
          <w:sz w:val="21"/>
          <w:szCs w:val="21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21"/>
          <w:szCs w:val="21"/>
          <w:lang w:eastAsia="zh-CN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21"/>
          <w:szCs w:val="21"/>
          <w:lang w:eastAsia="zh-CN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21"/>
          <w:szCs w:val="21"/>
          <w:lang w:eastAsia="zh-CN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21"/>
          <w:szCs w:val="21"/>
          <w:lang w:eastAsia="zh-CN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21"/>
          <w:szCs w:val="21"/>
          <w:lang w:eastAsia="zh-CN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21"/>
          <w:szCs w:val="21"/>
          <w:lang w:eastAsia="zh-CN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21"/>
          <w:szCs w:val="21"/>
          <w:lang w:eastAsia="zh-CN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21"/>
          <w:szCs w:val="21"/>
          <w:lang w:eastAsia="zh-CN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21"/>
          <w:szCs w:val="21"/>
          <w:lang w:eastAsia="zh-CN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21"/>
          <w:szCs w:val="21"/>
          <w:lang w:eastAsia="zh-CN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21"/>
          <w:szCs w:val="21"/>
          <w:lang w:eastAsia="zh-CN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21"/>
          <w:szCs w:val="21"/>
          <w:lang w:eastAsia="zh-CN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21"/>
          <w:szCs w:val="21"/>
          <w:lang w:eastAsia="zh-CN"/>
        </w:rPr>
      </w:pPr>
    </w:p>
    <w:p>
      <w:pPr>
        <w:adjustRightInd w:val="0"/>
        <w:snapToGrid w:val="0"/>
        <w:jc w:val="center"/>
        <w:outlineLvl w:val="0"/>
        <w:rPr>
          <w:rFonts w:hint="default" w:ascii="Times New Roman" w:hAnsi="Times New Roman" w:eastAsia="楷体_GB2312" w:cs="Times New Roman"/>
          <w:b/>
          <w:sz w:val="36"/>
          <w:szCs w:val="36"/>
        </w:rPr>
      </w:pPr>
    </w:p>
    <w:p>
      <w:pPr>
        <w:adjustRightInd w:val="0"/>
        <w:snapToGrid w:val="0"/>
        <w:jc w:val="center"/>
        <w:outlineLvl w:val="0"/>
        <w:rPr>
          <w:rFonts w:hint="default" w:ascii="Times New Roman" w:hAnsi="Times New Roman" w:eastAsia="楷体_GB2312" w:cs="Times New Roman"/>
          <w:b/>
          <w:sz w:val="36"/>
          <w:szCs w:val="36"/>
          <w:highlight w:val="none"/>
        </w:rPr>
      </w:pPr>
      <w:r>
        <w:rPr>
          <w:rFonts w:hint="default" w:ascii="Times New Roman" w:hAnsi="Times New Roman" w:eastAsia="楷体_GB2312" w:cs="Times New Roman"/>
          <w:b/>
          <w:sz w:val="36"/>
          <w:szCs w:val="36"/>
        </w:rPr>
        <w:t>表</w:t>
      </w:r>
      <w:r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/>
          <w:sz w:val="36"/>
          <w:szCs w:val="36"/>
        </w:rPr>
        <w:t xml:space="preserve">  土壤检测结果</w:t>
      </w:r>
    </w:p>
    <w:tbl>
      <w:tblPr>
        <w:tblStyle w:val="10"/>
        <w:tblW w:w="99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1525"/>
        <w:gridCol w:w="2208"/>
        <w:gridCol w:w="2208"/>
        <w:gridCol w:w="2209"/>
        <w:gridCol w:w="706"/>
        <w:gridCol w:w="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92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项目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1A01生产车间东北侧6米处绿化带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1A02生产车间西北侧6米处绿化带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1B01污水站正东侧4米处绿化带</w:t>
            </w: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单位</w:t>
            </w:r>
          </w:p>
        </w:tc>
        <w:tc>
          <w:tcPr>
            <w:tcW w:w="7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参考标准限值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9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采样深度0-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0.5</w:t>
            </w: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m</w:t>
            </w: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9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东经120°5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46.68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北纬31°5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15.29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东经120°5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42.06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北纬31°5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15.80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东经120°5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49.04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北纬31°5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12.32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926" w:type="dxa"/>
            <w:gridSpan w:val="2"/>
            <w:noWrap w:val="0"/>
            <w:vAlign w:val="center"/>
          </w:tcPr>
          <w:p>
            <w:pPr>
              <w:pStyle w:val="24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pH值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8.59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8.64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8.57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无量纲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---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926" w:type="dxa"/>
            <w:gridSpan w:val="2"/>
            <w:noWrap w:val="0"/>
            <w:vAlign w:val="center"/>
          </w:tcPr>
          <w:p>
            <w:pPr>
              <w:pStyle w:val="24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铜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18000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926" w:type="dxa"/>
            <w:gridSpan w:val="2"/>
            <w:noWrap w:val="0"/>
            <w:vAlign w:val="center"/>
          </w:tcPr>
          <w:p>
            <w:pPr>
              <w:pStyle w:val="24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镍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900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926" w:type="dxa"/>
            <w:gridSpan w:val="2"/>
            <w:noWrap w:val="0"/>
            <w:vAlign w:val="center"/>
          </w:tcPr>
          <w:p>
            <w:pPr>
              <w:pStyle w:val="24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铅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13.3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11.9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12.1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926" w:type="dxa"/>
            <w:gridSpan w:val="2"/>
            <w:noWrap w:val="0"/>
            <w:vAlign w:val="center"/>
          </w:tcPr>
          <w:p>
            <w:pPr>
              <w:pStyle w:val="24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镉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0.18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926" w:type="dxa"/>
            <w:gridSpan w:val="2"/>
            <w:noWrap w:val="0"/>
            <w:vAlign w:val="center"/>
          </w:tcPr>
          <w:p>
            <w:pPr>
              <w:pStyle w:val="24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砷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4.78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4.35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4.78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  <w:jc w:val="center"/>
        </w:trPr>
        <w:tc>
          <w:tcPr>
            <w:tcW w:w="1926" w:type="dxa"/>
            <w:gridSpan w:val="2"/>
            <w:noWrap w:val="0"/>
            <w:vAlign w:val="center"/>
          </w:tcPr>
          <w:p>
            <w:pPr>
              <w:pStyle w:val="24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六价铬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5.7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926" w:type="dxa"/>
            <w:gridSpan w:val="2"/>
            <w:noWrap w:val="0"/>
            <w:vAlign w:val="center"/>
          </w:tcPr>
          <w:p>
            <w:pPr>
              <w:pStyle w:val="24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汞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0.025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0.023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0.023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01" w:type="dxa"/>
            <w:vMerge w:val="restart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半挥发性有机物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苯胺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260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01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2-氯酚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2256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01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硝基苯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  <w:jc w:val="center"/>
        </w:trPr>
        <w:tc>
          <w:tcPr>
            <w:tcW w:w="401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萘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01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苯并(a)蒽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01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䓛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1293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01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苯并(b)荧蒽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01" w:type="dxa"/>
            <w:vMerge w:val="continue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苯并(k)荧蒽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151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01" w:type="dxa"/>
            <w:vMerge w:val="continue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苯并(a)芘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1.5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01" w:type="dxa"/>
            <w:vMerge w:val="continue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茚并(1,2,3,-cd)芘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01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二苯并(a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,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h)蒽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1.5</w:t>
            </w: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numPr>
          <w:ilvl w:val="0"/>
          <w:numId w:val="0"/>
        </w:numPr>
        <w:outlineLvl w:val="0"/>
        <w:rPr>
          <w:rFonts w:hint="default" w:ascii="Times New Roman" w:hAnsi="Times New Roman" w:eastAsia="楷体_GB2312" w:cs="Times New Roman"/>
          <w:sz w:val="21"/>
          <w:szCs w:val="21"/>
          <w:lang w:eastAsia="zh-CN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21"/>
          <w:szCs w:val="21"/>
          <w:lang w:eastAsia="zh-CN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21"/>
          <w:szCs w:val="21"/>
          <w:lang w:eastAsia="zh-CN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21"/>
          <w:szCs w:val="21"/>
          <w:lang w:eastAsia="zh-CN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21"/>
          <w:szCs w:val="21"/>
          <w:lang w:eastAsia="zh-CN"/>
        </w:rPr>
      </w:pPr>
    </w:p>
    <w:p>
      <w:pPr>
        <w:adjustRightInd w:val="0"/>
        <w:snapToGrid w:val="0"/>
        <w:jc w:val="center"/>
        <w:outlineLvl w:val="0"/>
        <w:rPr>
          <w:rFonts w:hint="default" w:ascii="Times New Roman" w:hAnsi="Times New Roman" w:eastAsia="楷体_GB2312" w:cs="Times New Roman"/>
          <w:b/>
          <w:sz w:val="21"/>
          <w:szCs w:val="21"/>
          <w:lang w:val="en-US" w:eastAsia="zh-CN"/>
        </w:rPr>
      </w:pPr>
    </w:p>
    <w:p>
      <w:pPr>
        <w:adjustRightInd w:val="0"/>
        <w:snapToGrid w:val="0"/>
        <w:jc w:val="both"/>
        <w:outlineLvl w:val="0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jc w:val="center"/>
        <w:outlineLvl w:val="0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jc w:val="center"/>
        <w:outlineLvl w:val="0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jc w:val="center"/>
        <w:outlineLvl w:val="0"/>
        <w:rPr>
          <w:rFonts w:hint="default" w:ascii="Times New Roman" w:hAnsi="Times New Roman" w:eastAsia="楷体_GB2312" w:cs="Times New Roman"/>
          <w:b/>
          <w:sz w:val="36"/>
          <w:szCs w:val="36"/>
        </w:rPr>
      </w:pPr>
      <w:r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  <w:t>续</w:t>
      </w:r>
      <w:r>
        <w:rPr>
          <w:rFonts w:hint="default" w:ascii="Times New Roman" w:hAnsi="Times New Roman" w:eastAsia="楷体_GB2312" w:cs="Times New Roman"/>
          <w:b/>
          <w:sz w:val="36"/>
          <w:szCs w:val="36"/>
        </w:rPr>
        <w:t>表</w:t>
      </w:r>
      <w:r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/>
          <w:sz w:val="36"/>
          <w:szCs w:val="36"/>
        </w:rPr>
        <w:t xml:space="preserve">  土壤检测结果</w:t>
      </w:r>
    </w:p>
    <w:tbl>
      <w:tblPr>
        <w:tblStyle w:val="10"/>
        <w:tblW w:w="10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1700"/>
        <w:gridCol w:w="2154"/>
        <w:gridCol w:w="2154"/>
        <w:gridCol w:w="2155"/>
        <w:gridCol w:w="706"/>
        <w:gridCol w:w="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08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项目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1A01生产车间东北侧6米处绿化带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1A02生产车间西北侧6米处绿化带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1B01污水站正东侧4米处绿化带</w:t>
            </w: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单位</w:t>
            </w: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参考标准限值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0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采样深度0-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0.5</w:t>
            </w: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m</w:t>
            </w: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0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东经120°5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46.68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北纬31°5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15.29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东经120°5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42.06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北纬31°5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15.80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东经120°5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49.04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北纬31°5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12.32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restart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挥发性有机物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氯甲烷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37000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氯乙烯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430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1,1-二氯乙烯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66000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二氯甲烷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6.7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8.5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4.9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616000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反式-1,2-二氯乙烯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54000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1,1-二氯乙烷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9000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顺式-1,2-二氯乙烯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596000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氯仿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900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1,1,1-三氯乙烷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840000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四氯化碳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2800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苯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4000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1,2-二氯乙烷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5000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三氯乙烯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2800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1,2-二氯丙烷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5000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甲苯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1200000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1,1,2-三氯乙烷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2800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四氯乙烯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53000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氯苯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270000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1,1,1,2-四氯乙烷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10000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乙苯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28000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对间二甲苯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570000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邻二甲苯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640000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苯乙烯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1290000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1,1,2,2-四氯乙烷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6800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1,2,3-三氯丙烷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1,4-二氯苯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20000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1,2-二氯苯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560000</w:t>
            </w: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adjustRightInd w:val="0"/>
        <w:snapToGrid w:val="0"/>
        <w:jc w:val="center"/>
        <w:outlineLvl w:val="0"/>
        <w:rPr>
          <w:rFonts w:hint="eastAsia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jc w:val="center"/>
        <w:outlineLvl w:val="0"/>
        <w:rPr>
          <w:rFonts w:hint="default" w:ascii="Times New Roman" w:hAnsi="Times New Roman" w:eastAsia="楷体_GB2312" w:cs="Times New Roman"/>
          <w:b/>
          <w:sz w:val="36"/>
          <w:szCs w:val="36"/>
        </w:rPr>
      </w:pPr>
    </w:p>
    <w:p>
      <w:pPr>
        <w:adjustRightInd w:val="0"/>
        <w:snapToGrid w:val="0"/>
        <w:jc w:val="center"/>
        <w:outlineLvl w:val="0"/>
        <w:rPr>
          <w:rFonts w:hint="default" w:ascii="Times New Roman" w:hAnsi="Times New Roman" w:eastAsia="楷体_GB2312" w:cs="Times New Roman"/>
          <w:b/>
          <w:sz w:val="36"/>
          <w:szCs w:val="36"/>
        </w:rPr>
      </w:pPr>
    </w:p>
    <w:p>
      <w:pPr>
        <w:adjustRightInd w:val="0"/>
        <w:snapToGrid w:val="0"/>
        <w:jc w:val="both"/>
        <w:outlineLvl w:val="0"/>
        <w:rPr>
          <w:rFonts w:hint="eastAsia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jc w:val="center"/>
        <w:outlineLvl w:val="0"/>
        <w:rPr>
          <w:rFonts w:hint="default" w:ascii="Times New Roman" w:hAnsi="Times New Roman" w:eastAsia="楷体_GB2312" w:cs="Times New Roman"/>
          <w:b/>
          <w:sz w:val="36"/>
          <w:szCs w:val="36"/>
          <w:highlight w:val="none"/>
        </w:rPr>
      </w:pPr>
      <w:r>
        <w:rPr>
          <w:rFonts w:hint="eastAsia" w:ascii="Times New Roman" w:hAnsi="Times New Roman" w:eastAsia="楷体_GB2312" w:cs="Times New Roman"/>
          <w:b/>
          <w:sz w:val="36"/>
          <w:szCs w:val="36"/>
          <w:lang w:val="en-US" w:eastAsia="zh-CN"/>
        </w:rPr>
        <w:t>续</w:t>
      </w:r>
      <w:r>
        <w:rPr>
          <w:rFonts w:hint="default" w:ascii="Times New Roman" w:hAnsi="Times New Roman" w:eastAsia="楷体_GB2312" w:cs="Times New Roman"/>
          <w:b/>
          <w:sz w:val="36"/>
          <w:szCs w:val="36"/>
        </w:rPr>
        <w:t>表</w:t>
      </w:r>
      <w:r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/>
          <w:sz w:val="36"/>
          <w:szCs w:val="36"/>
        </w:rPr>
        <w:t xml:space="preserve">  土壤检测结果</w:t>
      </w:r>
    </w:p>
    <w:tbl>
      <w:tblPr>
        <w:tblStyle w:val="10"/>
        <w:tblW w:w="99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1525"/>
        <w:gridCol w:w="1656"/>
        <w:gridCol w:w="1656"/>
        <w:gridCol w:w="1656"/>
        <w:gridCol w:w="1657"/>
        <w:gridCol w:w="706"/>
        <w:gridCol w:w="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92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项目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1B02污水站东北侧4米处绿化带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1C01化学品库北侧绿化带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1C02化学品库与特气站之间绿化带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DZ场地东北角绿化带</w:t>
            </w:r>
          </w:p>
        </w:tc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单位</w:t>
            </w:r>
          </w:p>
        </w:tc>
        <w:tc>
          <w:tcPr>
            <w:tcW w:w="7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参考标准限值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9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采样深度0-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0.5</w:t>
            </w: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m</w:t>
            </w: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9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东经120°5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48.76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北纬31°5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12.32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东经120°5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47.09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北纬31°5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9.16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东经120°5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47.27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北纬31°5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9.24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东经120°5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48.44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北纬31°5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16.29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  <w:tc>
          <w:tcPr>
            <w:tcW w:w="7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926" w:type="dxa"/>
            <w:gridSpan w:val="2"/>
            <w:noWrap w:val="0"/>
            <w:vAlign w:val="center"/>
          </w:tcPr>
          <w:p>
            <w:pPr>
              <w:pStyle w:val="24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pH值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8.83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8.21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8.40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8.66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无量纲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---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926" w:type="dxa"/>
            <w:gridSpan w:val="2"/>
            <w:noWrap w:val="0"/>
            <w:vAlign w:val="center"/>
          </w:tcPr>
          <w:p>
            <w:pPr>
              <w:pStyle w:val="24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铜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18000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926" w:type="dxa"/>
            <w:gridSpan w:val="2"/>
            <w:noWrap w:val="0"/>
            <w:vAlign w:val="center"/>
          </w:tcPr>
          <w:p>
            <w:pPr>
              <w:pStyle w:val="24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镍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900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926" w:type="dxa"/>
            <w:gridSpan w:val="2"/>
            <w:noWrap w:val="0"/>
            <w:vAlign w:val="center"/>
          </w:tcPr>
          <w:p>
            <w:pPr>
              <w:pStyle w:val="24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铅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12.0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12.2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10.4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11.5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  <w:jc w:val="center"/>
        </w:trPr>
        <w:tc>
          <w:tcPr>
            <w:tcW w:w="1926" w:type="dxa"/>
            <w:gridSpan w:val="2"/>
            <w:noWrap w:val="0"/>
            <w:vAlign w:val="center"/>
          </w:tcPr>
          <w:p>
            <w:pPr>
              <w:pStyle w:val="24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镉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0.16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0.13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0.16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926" w:type="dxa"/>
            <w:gridSpan w:val="2"/>
            <w:noWrap w:val="0"/>
            <w:vAlign w:val="center"/>
          </w:tcPr>
          <w:p>
            <w:pPr>
              <w:pStyle w:val="24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砷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5.22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5.11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5.16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4.70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926" w:type="dxa"/>
            <w:gridSpan w:val="2"/>
            <w:noWrap w:val="0"/>
            <w:vAlign w:val="center"/>
          </w:tcPr>
          <w:p>
            <w:pPr>
              <w:pStyle w:val="24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六价铬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5.7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926" w:type="dxa"/>
            <w:gridSpan w:val="2"/>
            <w:noWrap w:val="0"/>
            <w:vAlign w:val="center"/>
          </w:tcPr>
          <w:p>
            <w:pPr>
              <w:pStyle w:val="24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汞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0.027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0.025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0.026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0.025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01" w:type="dxa"/>
            <w:vMerge w:val="restart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半挥发性有机物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苯胺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/>
                <w:szCs w:val="21"/>
              </w:rPr>
              <w:t>260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01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2-氯酚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/>
                <w:szCs w:val="21"/>
              </w:rPr>
              <w:t>2256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01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硝基苯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/>
                <w:szCs w:val="21"/>
              </w:rPr>
              <w:t>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01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萘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/>
                <w:szCs w:val="21"/>
              </w:rPr>
              <w:t>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01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苯并(a)蒽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/>
                <w:szCs w:val="21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01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䓛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/>
                <w:szCs w:val="21"/>
              </w:rPr>
              <w:t>1293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01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苯并(b)荧蒽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/>
                <w:szCs w:val="21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  <w:jc w:val="center"/>
        </w:trPr>
        <w:tc>
          <w:tcPr>
            <w:tcW w:w="401" w:type="dxa"/>
            <w:vMerge w:val="continue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苯并(k)荧蒽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/>
                <w:szCs w:val="21"/>
              </w:rPr>
              <w:t>151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01" w:type="dxa"/>
            <w:vMerge w:val="continue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苯并(a)芘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/>
                <w:szCs w:val="21"/>
              </w:rPr>
              <w:t>1.5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01" w:type="dxa"/>
            <w:vMerge w:val="continue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茚并(1,2,3,-cd)芘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/>
                <w:szCs w:val="21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401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二苯并(a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,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h)蒽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mg/kg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/>
                <w:szCs w:val="21"/>
              </w:rPr>
              <w:t>1.5</w:t>
            </w: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numPr>
          <w:ilvl w:val="0"/>
          <w:numId w:val="0"/>
        </w:numPr>
        <w:outlineLvl w:val="0"/>
        <w:rPr>
          <w:rFonts w:hint="default" w:ascii="Times New Roman" w:hAnsi="Times New Roman" w:eastAsia="楷体_GB2312" w:cs="Times New Roman"/>
          <w:sz w:val="21"/>
          <w:szCs w:val="21"/>
          <w:lang w:eastAsia="zh-CN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21"/>
          <w:szCs w:val="21"/>
          <w:lang w:eastAsia="zh-CN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21"/>
          <w:szCs w:val="21"/>
          <w:lang w:eastAsia="zh-CN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21"/>
          <w:szCs w:val="21"/>
          <w:lang w:eastAsia="zh-CN"/>
        </w:rPr>
      </w:pPr>
    </w:p>
    <w:p>
      <w:pPr>
        <w:outlineLvl w:val="0"/>
        <w:rPr>
          <w:rFonts w:hint="default" w:ascii="Times New Roman" w:hAnsi="Times New Roman" w:eastAsia="楷体_GB2312" w:cs="Times New Roman"/>
          <w:sz w:val="21"/>
          <w:szCs w:val="21"/>
          <w:lang w:eastAsia="zh-CN"/>
        </w:rPr>
      </w:pPr>
    </w:p>
    <w:p>
      <w:pPr>
        <w:adjustRightInd w:val="0"/>
        <w:snapToGrid w:val="0"/>
        <w:jc w:val="center"/>
        <w:outlineLvl w:val="0"/>
        <w:rPr>
          <w:rFonts w:hint="default" w:ascii="Times New Roman" w:hAnsi="Times New Roman" w:eastAsia="楷体_GB2312" w:cs="Times New Roman"/>
          <w:b/>
          <w:sz w:val="21"/>
          <w:szCs w:val="21"/>
          <w:lang w:val="en-US" w:eastAsia="zh-CN"/>
        </w:rPr>
      </w:pPr>
    </w:p>
    <w:p>
      <w:pPr>
        <w:adjustRightInd w:val="0"/>
        <w:snapToGrid w:val="0"/>
        <w:jc w:val="both"/>
        <w:outlineLvl w:val="0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jc w:val="both"/>
        <w:outlineLvl w:val="0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jc w:val="center"/>
        <w:outlineLvl w:val="0"/>
        <w:rPr>
          <w:rFonts w:hint="default" w:ascii="Times New Roman" w:hAnsi="Times New Roman" w:eastAsia="楷体_GB2312" w:cs="Times New Roman"/>
          <w:b/>
          <w:sz w:val="36"/>
          <w:szCs w:val="36"/>
        </w:rPr>
      </w:pPr>
      <w:r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  <w:t>续</w:t>
      </w:r>
      <w:r>
        <w:rPr>
          <w:rFonts w:hint="default" w:ascii="Times New Roman" w:hAnsi="Times New Roman" w:eastAsia="楷体_GB2312" w:cs="Times New Roman"/>
          <w:b/>
          <w:sz w:val="36"/>
          <w:szCs w:val="36"/>
        </w:rPr>
        <w:t>表</w:t>
      </w:r>
      <w:r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/>
          <w:sz w:val="36"/>
          <w:szCs w:val="36"/>
        </w:rPr>
        <w:t xml:space="preserve">  土壤检测结果</w:t>
      </w:r>
    </w:p>
    <w:tbl>
      <w:tblPr>
        <w:tblStyle w:val="10"/>
        <w:tblW w:w="10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1700"/>
        <w:gridCol w:w="1615"/>
        <w:gridCol w:w="1615"/>
        <w:gridCol w:w="1615"/>
        <w:gridCol w:w="1618"/>
        <w:gridCol w:w="700"/>
        <w:gridCol w:w="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08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项目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1B02污水站东北侧4米处绿化带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1C01化学品库北侧绿化带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1C02化学品库与特气站之间绿化带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DZ场地东北角绿化带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单位</w:t>
            </w:r>
          </w:p>
        </w:tc>
        <w:tc>
          <w:tcPr>
            <w:tcW w:w="7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参考标准限值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0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  <w:tc>
          <w:tcPr>
            <w:tcW w:w="64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采样深度0-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0.5</w:t>
            </w: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m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0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东经120°5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48.76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北纬31°5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12.32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东经120°5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47.09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北纬31°5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9.16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东经120°5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47.27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北纬31°5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9.24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东经120°5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48.44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北纬31°5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16.29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restart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挥发性有机物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氯甲烷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37000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氯乙烯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430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1,1-二氯乙烯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66000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二氯甲烷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14.5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11.4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8.9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7.1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616000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反式-1,2-二氯乙烯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54000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1,1-二氯乙烷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9000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顺式-1,2-二氯乙烯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596000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氯仿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900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1,1,1-三氯乙烷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840000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四氯化碳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2800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苯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4000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1,2-二氯乙烷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5000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三氯乙烯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2800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1,2-二氯丙烷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5000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甲苯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/>
                <w:szCs w:val="21"/>
              </w:rPr>
              <w:t>1200000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1,1,2-三氯乙烷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/>
                <w:szCs w:val="21"/>
              </w:rPr>
              <w:t>2800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四氯乙烯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53000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氯苯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270000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1,1,1,2-四氯乙烷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10000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乙苯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28000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对间二甲苯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570000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邻二甲苯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640000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苯乙烯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1290000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1,1,2,2-四氯乙烷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6800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1,2,3-三氯丙烷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1,4-二氯苯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20000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388" w:type="dxa"/>
            <w:vMerge w:val="continue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1,2-二氯苯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ND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µg/kg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560000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03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/>
                <w:szCs w:val="21"/>
              </w:rPr>
              <w:t>参照标准：</w:t>
            </w:r>
            <w:r>
              <w:rPr>
                <w:rFonts w:ascii="Times New Roman" w:hAnsi="Times New Roman" w:eastAsia="楷体"/>
                <w:kern w:val="0"/>
                <w:szCs w:val="21"/>
              </w:rPr>
              <w:t>《土壤环境质量建设用地土壤污染风险管控标准（试行）》（GB36600-2018）表1中筛选值第</w:t>
            </w:r>
            <w:r>
              <w:rPr>
                <w:rFonts w:hint="eastAsia" w:ascii="Times New Roman" w:hAnsi="Times New Roman" w:eastAsia="楷体"/>
                <w:kern w:val="0"/>
                <w:szCs w:val="21"/>
              </w:rPr>
              <w:t>二</w:t>
            </w:r>
            <w:r>
              <w:rPr>
                <w:rFonts w:ascii="Times New Roman" w:hAnsi="Times New Roman" w:eastAsia="楷体"/>
                <w:kern w:val="0"/>
                <w:szCs w:val="21"/>
              </w:rPr>
              <w:t>类用地</w:t>
            </w:r>
            <w:r>
              <w:rPr>
                <w:rFonts w:hint="eastAsia" w:ascii="Times New Roman" w:hAnsi="Times New Roman" w:eastAsia="楷体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03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注：1、“ND”表示未检出；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2、“---”表示参照标准中未对该项目作限制</w:t>
            </w:r>
            <w:r>
              <w:rPr>
                <w:rFonts w:hint="eastAsia" w:ascii="Times New Roman" w:hAnsi="Times New Roman" w:eastAsia="楷体" w:cs="Times New Roman"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adjustRightInd w:val="0"/>
        <w:snapToGrid w:val="0"/>
        <w:jc w:val="center"/>
        <w:outlineLvl w:val="0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  <w:t>表2 地下水检测结果</w:t>
      </w:r>
    </w:p>
    <w:tbl>
      <w:tblPr>
        <w:tblStyle w:val="10"/>
        <w:tblW w:w="6005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1"/>
        <w:gridCol w:w="1569"/>
        <w:gridCol w:w="1569"/>
        <w:gridCol w:w="1569"/>
        <w:gridCol w:w="1571"/>
        <w:gridCol w:w="749"/>
        <w:gridCol w:w="14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79" w:type="pct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20"/>
                <w:sz w:val="21"/>
                <w:szCs w:val="21"/>
                <w:highlight w:val="none"/>
              </w:rPr>
              <w:t>检测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20"/>
                <w:sz w:val="21"/>
                <w:szCs w:val="21"/>
                <w:highlight w:val="none"/>
              </w:rPr>
              <w:t>项目</w:t>
            </w:r>
          </w:p>
        </w:tc>
        <w:tc>
          <w:tcPr>
            <w:tcW w:w="783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  <w:t>2A01生产车间东北侧6米处绿化带</w:t>
            </w:r>
          </w:p>
        </w:tc>
        <w:tc>
          <w:tcPr>
            <w:tcW w:w="783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  <w:t>2B01污水站正东侧4米处绿化带</w:t>
            </w:r>
          </w:p>
        </w:tc>
        <w:tc>
          <w:tcPr>
            <w:tcW w:w="783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  <w:t>2C01化学品库北侧绿化带</w:t>
            </w:r>
          </w:p>
        </w:tc>
        <w:tc>
          <w:tcPr>
            <w:tcW w:w="784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  <w:t>DZ场地东北角绿化带</w:t>
            </w:r>
          </w:p>
        </w:tc>
        <w:tc>
          <w:tcPr>
            <w:tcW w:w="373" w:type="pct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20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713" w:type="pct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参考标准限值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779" w:type="pct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东经120°5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46.68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北纬31°5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15.29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东经120°5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49.04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北纬31°5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12.32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东经120°5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47.09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北纬31°5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09.16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784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东经120°5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48.44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北纬31°5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16.29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373" w:type="pct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pct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79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pH值</w:t>
            </w:r>
          </w:p>
        </w:tc>
        <w:tc>
          <w:tcPr>
            <w:tcW w:w="783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7.21</w:t>
            </w:r>
          </w:p>
        </w:tc>
        <w:tc>
          <w:tcPr>
            <w:tcW w:w="783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7.13</w:t>
            </w:r>
          </w:p>
        </w:tc>
        <w:tc>
          <w:tcPr>
            <w:tcW w:w="783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7.06</w:t>
            </w:r>
          </w:p>
        </w:tc>
        <w:tc>
          <w:tcPr>
            <w:tcW w:w="784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7.23</w:t>
            </w:r>
          </w:p>
        </w:tc>
        <w:tc>
          <w:tcPr>
            <w:tcW w:w="37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无量纲</w:t>
            </w:r>
          </w:p>
        </w:tc>
        <w:tc>
          <w:tcPr>
            <w:tcW w:w="713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5.5≤pH&lt;6.5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8.5&lt;pH≤9.0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79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浊度</w:t>
            </w:r>
          </w:p>
        </w:tc>
        <w:tc>
          <w:tcPr>
            <w:tcW w:w="783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2.17</w:t>
            </w:r>
          </w:p>
        </w:tc>
        <w:tc>
          <w:tcPr>
            <w:tcW w:w="783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2.29</w:t>
            </w:r>
          </w:p>
        </w:tc>
        <w:tc>
          <w:tcPr>
            <w:tcW w:w="783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2.41</w:t>
            </w:r>
          </w:p>
        </w:tc>
        <w:tc>
          <w:tcPr>
            <w:tcW w:w="784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2.03</w:t>
            </w:r>
          </w:p>
        </w:tc>
        <w:tc>
          <w:tcPr>
            <w:tcW w:w="37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NTU</w:t>
            </w:r>
          </w:p>
        </w:tc>
        <w:tc>
          <w:tcPr>
            <w:tcW w:w="71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79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肉眼可见物</w:t>
            </w:r>
          </w:p>
        </w:tc>
        <w:tc>
          <w:tcPr>
            <w:tcW w:w="783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783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783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784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37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\</w:t>
            </w:r>
          </w:p>
        </w:tc>
        <w:tc>
          <w:tcPr>
            <w:tcW w:w="71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79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溶解性总固体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343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632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673</w:t>
            </w:r>
          </w:p>
        </w:tc>
        <w:tc>
          <w:tcPr>
            <w:tcW w:w="784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291</w:t>
            </w:r>
          </w:p>
        </w:tc>
        <w:tc>
          <w:tcPr>
            <w:tcW w:w="37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79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高锰酸盐指数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7.3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3.4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3.0</w:t>
            </w:r>
          </w:p>
        </w:tc>
        <w:tc>
          <w:tcPr>
            <w:tcW w:w="784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2.2</w:t>
            </w:r>
          </w:p>
        </w:tc>
        <w:tc>
          <w:tcPr>
            <w:tcW w:w="37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10.0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79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氨氮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1.43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1.26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1.46</w:t>
            </w:r>
          </w:p>
        </w:tc>
        <w:tc>
          <w:tcPr>
            <w:tcW w:w="784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1.23</w:t>
            </w:r>
          </w:p>
        </w:tc>
        <w:tc>
          <w:tcPr>
            <w:tcW w:w="37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79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钙和镁总量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314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406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334</w:t>
            </w:r>
          </w:p>
        </w:tc>
        <w:tc>
          <w:tcPr>
            <w:tcW w:w="784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302</w:t>
            </w:r>
          </w:p>
        </w:tc>
        <w:tc>
          <w:tcPr>
            <w:tcW w:w="37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650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779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硝酸盐氮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6.93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7.79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3.70</w:t>
            </w:r>
          </w:p>
        </w:tc>
        <w:tc>
          <w:tcPr>
            <w:tcW w:w="784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2.69</w:t>
            </w:r>
          </w:p>
        </w:tc>
        <w:tc>
          <w:tcPr>
            <w:tcW w:w="37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30.0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79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硫酸盐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65.3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80.1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50.9</w:t>
            </w:r>
          </w:p>
        </w:tc>
        <w:tc>
          <w:tcPr>
            <w:tcW w:w="784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15.4</w:t>
            </w:r>
          </w:p>
        </w:tc>
        <w:tc>
          <w:tcPr>
            <w:tcW w:w="37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779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氯化物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60.0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43.5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34.0</w:t>
            </w:r>
          </w:p>
        </w:tc>
        <w:tc>
          <w:tcPr>
            <w:tcW w:w="784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22.7</w:t>
            </w:r>
          </w:p>
        </w:tc>
        <w:tc>
          <w:tcPr>
            <w:tcW w:w="37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79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挥发酚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4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37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779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氰化物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4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37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79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氟化物</w:t>
            </w:r>
          </w:p>
        </w:tc>
        <w:tc>
          <w:tcPr>
            <w:tcW w:w="783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0.28</w:t>
            </w:r>
          </w:p>
        </w:tc>
        <w:tc>
          <w:tcPr>
            <w:tcW w:w="783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0.27</w:t>
            </w:r>
          </w:p>
        </w:tc>
        <w:tc>
          <w:tcPr>
            <w:tcW w:w="783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0.29</w:t>
            </w:r>
          </w:p>
        </w:tc>
        <w:tc>
          <w:tcPr>
            <w:tcW w:w="784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0.25</w:t>
            </w:r>
          </w:p>
        </w:tc>
        <w:tc>
          <w:tcPr>
            <w:tcW w:w="37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79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砷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4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37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μg/L</w:t>
            </w:r>
          </w:p>
        </w:tc>
        <w:tc>
          <w:tcPr>
            <w:tcW w:w="71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779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汞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4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37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μg/L</w:t>
            </w:r>
          </w:p>
        </w:tc>
        <w:tc>
          <w:tcPr>
            <w:tcW w:w="71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79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银</w:t>
            </w:r>
          </w:p>
        </w:tc>
        <w:tc>
          <w:tcPr>
            <w:tcW w:w="783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3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3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4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37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0.10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79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六价铬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4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37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0.10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79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铅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4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37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0.10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79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锡</w:t>
            </w:r>
          </w:p>
        </w:tc>
        <w:tc>
          <w:tcPr>
            <w:tcW w:w="783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3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3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4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37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---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779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铁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78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0.04</w:t>
            </w:r>
          </w:p>
        </w:tc>
        <w:tc>
          <w:tcPr>
            <w:tcW w:w="784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0.04</w:t>
            </w:r>
          </w:p>
        </w:tc>
        <w:tc>
          <w:tcPr>
            <w:tcW w:w="37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71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2.0</w:t>
            </w:r>
          </w:p>
        </w:tc>
      </w:tr>
    </w:tbl>
    <w:p>
      <w:pPr>
        <w:adjustRightInd w:val="0"/>
        <w:snapToGrid w:val="0"/>
        <w:jc w:val="center"/>
        <w:outlineLvl w:val="0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jc w:val="center"/>
        <w:outlineLvl w:val="0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jc w:val="center"/>
        <w:outlineLvl w:val="0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jc w:val="both"/>
        <w:outlineLvl w:val="0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jc w:val="both"/>
        <w:outlineLvl w:val="0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jc w:val="center"/>
        <w:outlineLvl w:val="0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  <w:t>续表2 地下水检测结果</w:t>
      </w:r>
    </w:p>
    <w:tbl>
      <w:tblPr>
        <w:tblStyle w:val="10"/>
        <w:tblW w:w="619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4"/>
        <w:gridCol w:w="1603"/>
        <w:gridCol w:w="1603"/>
        <w:gridCol w:w="1603"/>
        <w:gridCol w:w="1604"/>
        <w:gridCol w:w="875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pct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20"/>
                <w:sz w:val="21"/>
                <w:szCs w:val="21"/>
                <w:highlight w:val="none"/>
              </w:rPr>
              <w:t>检测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20"/>
                <w:sz w:val="21"/>
                <w:szCs w:val="21"/>
                <w:highlight w:val="none"/>
              </w:rPr>
              <w:t>项目</w:t>
            </w:r>
          </w:p>
        </w:tc>
        <w:tc>
          <w:tcPr>
            <w:tcW w:w="775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  <w:t>2A01生产车间东北侧6米处绿化带</w:t>
            </w:r>
          </w:p>
        </w:tc>
        <w:tc>
          <w:tcPr>
            <w:tcW w:w="775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  <w:t>2B01污水站正东侧4米处绿化带</w:t>
            </w:r>
          </w:p>
        </w:tc>
        <w:tc>
          <w:tcPr>
            <w:tcW w:w="775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  <w:t>2C01化学品库北侧绿化带</w:t>
            </w:r>
          </w:p>
        </w:tc>
        <w:tc>
          <w:tcPr>
            <w:tcW w:w="775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  <w:t>DZ场地东北角绿化带</w:t>
            </w:r>
          </w:p>
        </w:tc>
        <w:tc>
          <w:tcPr>
            <w:tcW w:w="423" w:type="pct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20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685" w:type="pct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参考标准限值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pct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东经120°5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46.68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北纬31°5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15.29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东经120°5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49.04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北纬31°5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12.32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东经120°5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47.09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北纬31°5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09.16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东经120°5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48.44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北纬31°5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′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16.29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″</w:t>
            </w:r>
          </w:p>
        </w:tc>
        <w:tc>
          <w:tcPr>
            <w:tcW w:w="423" w:type="pct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5" w:type="pct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锰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0.926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0.762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0.610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0.806</w:t>
            </w:r>
          </w:p>
        </w:tc>
        <w:tc>
          <w:tcPr>
            <w:tcW w:w="42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68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锌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0.044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0.031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0.038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0.40</w:t>
            </w:r>
          </w:p>
        </w:tc>
        <w:tc>
          <w:tcPr>
            <w:tcW w:w="42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68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铜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42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68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总大肠菌群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52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70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70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38</w:t>
            </w:r>
          </w:p>
        </w:tc>
        <w:tc>
          <w:tcPr>
            <w:tcW w:w="42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MPN/L</w:t>
            </w:r>
          </w:p>
        </w:tc>
        <w:tc>
          <w:tcPr>
            <w:tcW w:w="68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1000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亚硝酸盐氮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0.021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0.046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42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68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4.80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790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铝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0.16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0.09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0.09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0.10</w:t>
            </w:r>
          </w:p>
        </w:tc>
        <w:tc>
          <w:tcPr>
            <w:tcW w:w="42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68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0.50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阴离子表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面活性剂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42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68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硫化物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42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68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0.10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碘化物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42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68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0.50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钠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14.9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11.9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11.4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12.2</w:t>
            </w:r>
          </w:p>
        </w:tc>
        <w:tc>
          <w:tcPr>
            <w:tcW w:w="42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68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790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硒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42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μg/L</w:t>
            </w:r>
          </w:p>
        </w:tc>
        <w:tc>
          <w:tcPr>
            <w:tcW w:w="68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三氯甲烷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42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μg/L</w:t>
            </w:r>
          </w:p>
        </w:tc>
        <w:tc>
          <w:tcPr>
            <w:tcW w:w="68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四氯化碳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42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μg/L</w:t>
            </w:r>
          </w:p>
        </w:tc>
        <w:tc>
          <w:tcPr>
            <w:tcW w:w="68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50.0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细菌总数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1.6×10</w:t>
            </w: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superscript"/>
                <w:lang w:val="en-US" w:eastAsia="zh-CN" w:bidi="ar-SA"/>
              </w:rPr>
              <w:t>4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1.5</w:t>
            </w: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superscript"/>
                <w:lang w:val="en-US" w:eastAsia="zh-CN" w:bidi="ar-SA"/>
              </w:rPr>
              <w:t>4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1.4</w:t>
            </w: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superscript"/>
                <w:lang w:val="en-US" w:eastAsia="zh-CN" w:bidi="ar-SA"/>
              </w:rPr>
              <w:t>4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1.0</w:t>
            </w: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superscript"/>
                <w:lang w:val="en-US" w:eastAsia="zh-CN" w:bidi="ar-SA"/>
              </w:rPr>
              <w:t>4</w:t>
            </w:r>
          </w:p>
        </w:tc>
        <w:tc>
          <w:tcPr>
            <w:tcW w:w="423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CFU/mL</w:t>
            </w:r>
          </w:p>
        </w:tc>
        <w:tc>
          <w:tcPr>
            <w:tcW w:w="68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苯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42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μg/L</w:t>
            </w:r>
          </w:p>
        </w:tc>
        <w:tc>
          <w:tcPr>
            <w:tcW w:w="68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甲苯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42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μg/L</w:t>
            </w:r>
          </w:p>
        </w:tc>
        <w:tc>
          <w:tcPr>
            <w:tcW w:w="68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1400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色度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25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775" w:type="pct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25</w:t>
            </w:r>
          </w:p>
        </w:tc>
        <w:tc>
          <w:tcPr>
            <w:tcW w:w="423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度</w:t>
            </w:r>
          </w:p>
        </w:tc>
        <w:tc>
          <w:tcPr>
            <w:tcW w:w="68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镉</w:t>
            </w: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ND</w:t>
            </w: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mg/L</w:t>
            </w:r>
          </w:p>
        </w:tc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red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臭和味</w:t>
            </w: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75" w:type="pct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6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jc w:val="left"/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</w:rPr>
              <w:t>参照标准：《</w:t>
            </w:r>
            <w:r>
              <w:rPr>
                <w:rFonts w:ascii="Times New Roman" w:hAnsi="Times New Roman" w:eastAsia="楷体"/>
                <w:kern w:val="0"/>
                <w:szCs w:val="21"/>
              </w:rPr>
              <w:t>地下水质量标准》（GB/T14848-2017）表1、表2中Ⅳ类标准。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jc w:val="both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/>
                <w:szCs w:val="21"/>
              </w:rPr>
              <w:t>注</w:t>
            </w:r>
            <w:r>
              <w:rPr>
                <w:rFonts w:hint="default" w:ascii="Times New Roman" w:hAnsi="Times New Roman" w:eastAsia="楷体_GB2312" w:cs="Times New Roman"/>
                <w:szCs w:val="21"/>
              </w:rPr>
              <w:t>：1、“ND”表示未检出；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2、“---”表示参照标准中未对该项目作限制；</w:t>
            </w:r>
          </w:p>
          <w:p>
            <w:pPr>
              <w:ind w:firstLine="420" w:firstLineChars="200"/>
              <w:jc w:val="both"/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>3、“\”表示此项不作要求。</w:t>
            </w:r>
          </w:p>
        </w:tc>
      </w:tr>
    </w:tbl>
    <w:p>
      <w:pPr>
        <w:adjustRightInd w:val="0"/>
        <w:snapToGrid w:val="0"/>
        <w:jc w:val="center"/>
        <w:outlineLvl w:val="0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jc w:val="center"/>
        <w:outlineLvl w:val="0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adjustRightInd w:val="0"/>
        <w:snapToGrid w:val="0"/>
        <w:jc w:val="center"/>
        <w:outlineLvl w:val="0"/>
        <w:rPr>
          <w:rFonts w:hint="default" w:ascii="Times New Roman" w:hAnsi="Times New Roman" w:eastAsia="楷体_GB2312" w:cs="Times New Roman"/>
          <w:b/>
          <w:sz w:val="36"/>
          <w:szCs w:val="36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sz w:val="21"/>
          <w:szCs w:val="21"/>
        </w:rPr>
        <w:sectPr>
          <w:headerReference r:id="rId4" w:type="default"/>
          <w:type w:val="continuous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</w:p>
    <w:p>
      <w:pPr>
        <w:adjustRightInd w:val="0"/>
        <w:snapToGrid w:val="0"/>
        <w:jc w:val="left"/>
        <w:outlineLvl w:val="0"/>
        <w:rPr>
          <w:rFonts w:hint="default" w:ascii="Times New Roman" w:hAnsi="Times New Roman" w:eastAsia="楷体_GB2312" w:cs="Times New Roman"/>
          <w:b w:val="0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6"/>
          <w:szCs w:val="36"/>
          <w:lang w:val="en-US" w:eastAsia="zh-CN"/>
        </w:rPr>
        <w:t>附表1 样品信息</w:t>
      </w:r>
    </w:p>
    <w:tbl>
      <w:tblPr>
        <w:tblStyle w:val="11"/>
        <w:tblW w:w="96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438"/>
        <w:gridCol w:w="1175"/>
        <w:gridCol w:w="4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样品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类别</w:t>
            </w:r>
          </w:p>
        </w:tc>
        <w:tc>
          <w:tcPr>
            <w:tcW w:w="3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检测点位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采样人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样品状态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土壤</w:t>
            </w:r>
          </w:p>
        </w:tc>
        <w:tc>
          <w:tcPr>
            <w:tcW w:w="3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1A01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生产车间东北侧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米处绿化带</w:t>
            </w:r>
          </w:p>
        </w:tc>
        <w:tc>
          <w:tcPr>
            <w:tcW w:w="11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葛旸、王俊</w:t>
            </w:r>
          </w:p>
        </w:tc>
        <w:tc>
          <w:tcPr>
            <w:tcW w:w="4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浅棕、轻壤土、潮、块状、少量植物根系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1A02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生产车间西北侧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米处绿化带</w:t>
            </w:r>
          </w:p>
        </w:tc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浅棕、轻壤土、潮、块状、少量植物根系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1B01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污水站正东侧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米处绿化带</w:t>
            </w:r>
          </w:p>
        </w:tc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浅棕、轻壤土、潮、块状、少量植物根系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1B02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污水站东北侧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米处绿化带</w:t>
            </w:r>
          </w:p>
        </w:tc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浅棕、轻壤土、潮、块状、少量植物根系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1C01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化学品库北侧绿化带</w:t>
            </w:r>
          </w:p>
        </w:tc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浅棕、轻壤土、潮、块状、少量植物根系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1C02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化学品库与特气站之间绿化带</w:t>
            </w:r>
          </w:p>
        </w:tc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浅棕、轻壤土、潮、块状、少量植物根系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DZ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场地东北角绿化带</w:t>
            </w:r>
          </w:p>
        </w:tc>
        <w:tc>
          <w:tcPr>
            <w:tcW w:w="11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浅棕、轻壤土、潮、块状、少量植物根系</w:t>
            </w: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tbl>
      <w:tblPr>
        <w:tblStyle w:val="11"/>
        <w:tblW w:w="96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3475"/>
        <w:gridCol w:w="1050"/>
        <w:gridCol w:w="1050"/>
        <w:gridCol w:w="1575"/>
        <w:gridCol w:w="14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样品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类别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检测点位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井深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（m）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水位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（m）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采样人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样品状态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地下水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2A01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生产车间东北侧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米处绿化带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4.5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0.81</w:t>
            </w: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葛旸、王俊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无色、无嗅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2B01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污水站正东侧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米处绿化带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4.5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0.94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无色、无嗅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2C01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化学品库北侧绿化带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4.5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1.02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无色、无嗅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DZ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场地东北角绿化带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4.5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0.97</w:t>
            </w: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80"/>
                <w:sz w:val="21"/>
                <w:szCs w:val="21"/>
                <w:lang w:val="en-US" w:eastAsia="zh-CN" w:bidi="ar-SA"/>
              </w:rPr>
              <w:t>无色、无嗅</w:t>
            </w: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</w:rPr>
        <w:sectPr>
          <w:headerReference r:id="rId5" w:type="default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rPr>
          <w:rFonts w:hint="default" w:ascii="Times New Roman" w:hAnsi="Times New Roman" w:cs="Times New Roman"/>
          <w:sz w:val="21"/>
          <w:szCs w:val="21"/>
        </w:rPr>
        <w:sectPr>
          <w:type w:val="continuous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eastAsia="楷体_GB2312" w:cs="Times New Roman"/>
          <w:sz w:val="36"/>
          <w:szCs w:val="36"/>
        </w:rPr>
      </w:pPr>
      <w:r>
        <w:rPr>
          <w:rFonts w:hint="default" w:ascii="Times New Roman" w:hAnsi="Times New Roman" w:eastAsia="楷体_GB2312" w:cs="Times New Roman"/>
          <w:kern w:val="80"/>
          <w:sz w:val="36"/>
          <w:szCs w:val="36"/>
        </w:rPr>
        <w:t>附表</w:t>
      </w:r>
      <w:r>
        <w:rPr>
          <w:rFonts w:hint="default" w:ascii="Times New Roman" w:hAnsi="Times New Roman" w:eastAsia="楷体_GB2312" w:cs="Times New Roman"/>
          <w:kern w:val="80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kern w:val="80"/>
          <w:sz w:val="36"/>
          <w:szCs w:val="36"/>
        </w:rPr>
        <w:t xml:space="preserve"> 检测依据</w:t>
      </w:r>
      <w:r>
        <w:rPr>
          <w:rFonts w:hint="default" w:ascii="Times New Roman" w:hAnsi="Times New Roman" w:eastAsia="楷体_GB2312" w:cs="Times New Roman"/>
          <w:kern w:val="80"/>
          <w:sz w:val="36"/>
          <w:szCs w:val="36"/>
          <w:lang w:eastAsia="zh-CN"/>
        </w:rPr>
        <w:t>、</w:t>
      </w:r>
      <w:r>
        <w:rPr>
          <w:rFonts w:hint="default" w:ascii="Times New Roman" w:hAnsi="Times New Roman" w:eastAsia="楷体_GB2312" w:cs="Times New Roman"/>
          <w:kern w:val="80"/>
          <w:sz w:val="36"/>
          <w:szCs w:val="36"/>
        </w:rPr>
        <w:t>仪器信息</w:t>
      </w:r>
      <w:r>
        <w:rPr>
          <w:rFonts w:hint="default" w:ascii="Times New Roman" w:hAnsi="Times New Roman" w:eastAsia="楷体_GB2312" w:cs="Times New Roman"/>
          <w:kern w:val="80"/>
          <w:sz w:val="36"/>
          <w:szCs w:val="36"/>
          <w:lang w:val="en-US" w:eastAsia="zh-CN"/>
        </w:rPr>
        <w:t>及方法检出限</w:t>
      </w:r>
    </w:p>
    <w:tbl>
      <w:tblPr>
        <w:tblStyle w:val="10"/>
        <w:tblW w:w="1417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779"/>
        <w:gridCol w:w="5103"/>
        <w:gridCol w:w="3969"/>
        <w:gridCol w:w="23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80"/>
                <w:sz w:val="21"/>
                <w:szCs w:val="21"/>
                <w:highlight w:val="none"/>
              </w:rPr>
              <w:t>类别</w:t>
            </w: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检测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项目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检测依据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检测仪器型号及编号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方法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检出限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80"/>
                <w:sz w:val="21"/>
                <w:szCs w:val="21"/>
                <w:lang w:val="en-US" w:eastAsia="zh-CN"/>
              </w:rPr>
              <w:t>土壤</w:t>
            </w: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4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砷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土壤和沉积物 汞、砷、硒、铋、锑的测定 微波消解原子荧光法 HJ 680-2013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原子荧光分光光度计AFS-85101218170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0.01 mg/kg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 w:val="21"/>
                <w:szCs w:val="21"/>
                <w:lang w:val="en-US" w:eastAsia="zh-CN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4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汞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土壤和沉积物 汞、砷、硒、铋、锑的测定 微波消解/原子荧光法 HJ 680-2013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原子荧光分光光度计AFS-85101218170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0.002 mg/kg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 w:val="21"/>
                <w:szCs w:val="21"/>
                <w:lang w:val="en-US" w:eastAsia="zh-CN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4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镉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土壤质量 铅、镉的测定 石墨炉原子吸收分光光度法  GB/T 17141-1997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  <w:highlight w:val="none"/>
              </w:rPr>
              <w:t>石墨炉原子吸收光谱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  <w:highlight w:val="none"/>
              </w:rPr>
              <w:t>240ZAA MY18400002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0.01 mg/kg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 w:val="21"/>
                <w:szCs w:val="21"/>
                <w:lang w:val="en-US" w:eastAsia="zh-CN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4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铜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 xml:space="preserve">土壤和沉积物 </w:t>
            </w:r>
            <w:r>
              <w:rPr>
                <w:rFonts w:hint="default" w:ascii="Times New Roman" w:hAnsi="Times New Roman" w:eastAsia="楷体_GB2312" w:cs="Times New Roman"/>
                <w:highlight w:val="none"/>
                <w:lang w:val="en-US" w:eastAsia="zh-CN"/>
              </w:rPr>
              <w:t>铜、锌、铅、镍、铬的测定 火焰原子吸收分光光度法 HJ491-2019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火焰原子吸收光谱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240FSAA MY18410004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1 mg/kg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 w:val="21"/>
                <w:szCs w:val="21"/>
                <w:lang w:eastAsia="zh-CN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4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铅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土壤质量 铅、镉的测定 石墨炉原子吸收分光光度法  GB/T 17141-1997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  <w:highlight w:val="none"/>
              </w:rPr>
              <w:t>石墨炉原子吸收光谱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  <w:highlight w:val="none"/>
              </w:rPr>
              <w:t>240ZAA MY18400002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0.1 mg/kg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 w:val="21"/>
                <w:szCs w:val="21"/>
                <w:lang w:eastAsia="zh-CN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4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镍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 xml:space="preserve">土壤和沉积物 </w:t>
            </w:r>
            <w:r>
              <w:rPr>
                <w:rFonts w:hint="default" w:ascii="Times New Roman" w:hAnsi="Times New Roman" w:eastAsia="楷体_GB2312" w:cs="Times New Roman"/>
                <w:highlight w:val="none"/>
                <w:lang w:val="en-US" w:eastAsia="zh-CN"/>
              </w:rPr>
              <w:t>铜、锌、铅、镍、铬的测定 火焰原子吸收分光光度法 HJ491-2019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火焰原子吸收光谱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240FSAA MY18410004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highlight w:val="none"/>
              </w:rPr>
              <w:t xml:space="preserve"> mg/kg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 w:val="21"/>
                <w:szCs w:val="21"/>
                <w:lang w:eastAsia="zh-CN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4"/>
              <w:spacing w:line="240" w:lineRule="atLeast"/>
              <w:ind w:firstLine="0" w:firstLineChars="0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highlight w:val="none"/>
              </w:rPr>
              <w:t>六价铬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Cs w:val="21"/>
                <w:highlight w:val="none"/>
              </w:rPr>
              <w:t>土壤和沉积物 六价铬的测定 碱溶液提取-火焰原子吸收分光光度法HJ 1082-2019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火焰原子吸收光谱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240FSAA MY18410004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  <w:lang w:val="en-US" w:eastAsia="zh-CN"/>
              </w:rPr>
              <w:t xml:space="preserve">0.5 </w:t>
            </w:r>
            <w:r>
              <w:rPr>
                <w:rFonts w:hint="default" w:ascii="Times New Roman" w:hAnsi="Times New Roman" w:eastAsia="楷体_GB2312" w:cs="Times New Roman"/>
                <w:highlight w:val="none"/>
              </w:rPr>
              <w:t>mg/kg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 w:val="21"/>
                <w:szCs w:val="21"/>
                <w:lang w:eastAsia="zh-CN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pH值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lang w:val="en-US" w:eastAsia="zh-CN"/>
              </w:rPr>
              <w:t>土壤</w:t>
            </w: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pH的测定 电位法 HJ962-2018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  <w:t>pH计 ST3100/F B849865451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 w:val="21"/>
                <w:szCs w:val="21"/>
                <w:lang w:eastAsia="zh-CN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挥发性有机物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  <w:t>土壤和沉积物 挥发性有机物的测定 吹扫捕集/气相色谱-质谱法 HJ 605-2011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  <w:t>Agilent 7890B-5977B/CN18483172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lang w:eastAsia="zh-CN"/>
              </w:rPr>
              <w:t>详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</w:rPr>
              <w:t>见附表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 w:val="21"/>
                <w:szCs w:val="21"/>
                <w:lang w:eastAsia="zh-CN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半挥发性有机物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1"/>
                <w:szCs w:val="21"/>
                <w:lang w:val="en-US" w:eastAsia="zh-CN"/>
              </w:rPr>
              <w:t>土壤和沉积物 半挥发性有机物的测定 气相色谱法-质谱法 HJ834-2017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Agilent 7890B-5977B/CN192130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1"/>
                <w:szCs w:val="21"/>
                <w:lang w:val="en-US" w:eastAsia="zh-CN"/>
              </w:rPr>
              <w:t>详见附表</w:t>
            </w: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lang w:val="en-US" w:eastAsia="zh-CN"/>
              </w:rPr>
              <w:t>4</w:t>
            </w: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jc w:val="center"/>
        <w:rPr>
          <w:rFonts w:hint="default" w:ascii="Times New Roman" w:hAnsi="Times New Roman" w:eastAsia="楷体_GB2312" w:cs="Times New Roman"/>
          <w:sz w:val="20"/>
          <w:highlight w:val="none"/>
        </w:rPr>
      </w:pPr>
      <w:r>
        <w:rPr>
          <w:rFonts w:hint="default" w:ascii="Times New Roman" w:hAnsi="Times New Roman" w:eastAsia="楷体_GB2312" w:cs="Times New Roman"/>
          <w:kern w:val="80"/>
          <w:sz w:val="36"/>
          <w:highlight w:val="none"/>
        </w:rPr>
        <w:t>续附表</w:t>
      </w:r>
      <w:r>
        <w:rPr>
          <w:rFonts w:hint="eastAsia" w:ascii="Times New Roman" w:hAnsi="Times New Roman" w:eastAsia="楷体_GB2312" w:cs="Times New Roman"/>
          <w:kern w:val="80"/>
          <w:sz w:val="36"/>
          <w:highlight w:val="none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kern w:val="80"/>
          <w:sz w:val="36"/>
          <w:highlight w:val="none"/>
        </w:rPr>
        <w:t xml:space="preserve"> 检测依据、仪器信息及方法检出限</w:t>
      </w:r>
    </w:p>
    <w:tbl>
      <w:tblPr>
        <w:tblStyle w:val="10"/>
        <w:tblW w:w="1417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779"/>
        <w:gridCol w:w="5103"/>
        <w:gridCol w:w="3969"/>
        <w:gridCol w:w="23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  <w:t>类别</w:t>
            </w: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检测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项目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检测依据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检测仪器型号及编号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方法检出限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kern w:val="8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80"/>
                <w:szCs w:val="21"/>
                <w:highlight w:val="none"/>
                <w:lang w:val="en-US" w:eastAsia="zh-CN"/>
              </w:rPr>
              <w:t>地下水</w:t>
            </w: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pH值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highlight w:val="none"/>
              </w:rPr>
              <w:t>《水和废水监测分析方法》（第四版） 国家环保总局2002年 便携式pH计法3.1.6(2)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highlight w:val="none"/>
              </w:rPr>
              <w:t>便携式pH计PHB-4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 600904N0018110340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highlight w:val="none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z w:val="21"/>
                <w:szCs w:val="21"/>
                <w:highlight w:val="none"/>
                <w:lang w:val="en-US" w:eastAsia="zh-CN"/>
              </w:rPr>
              <w:t>浊度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《水和废水监测分析方法》(第四版)国家环保总局 2002年 便携式浊度计法3.1.4(3)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WZB-175 670900N0018110047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>阴离子（</w:t>
            </w:r>
            <w:r>
              <w:rPr>
                <w:rFonts w:hint="eastAsia" w:ascii="Times New Roman" w:hAnsi="Times New Roman" w:eastAsia="楷体_GB2312"/>
                <w:highlight w:val="none"/>
              </w:rPr>
              <w:t>氯化物、硫酸盐、硝酸盐氮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>）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color w:val="000000"/>
                <w:szCs w:val="21"/>
                <w:highlight w:val="none"/>
              </w:rPr>
              <w:t>水质 无机阴离子的测定 离子色谱法 HJ 84-2016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highlight w:val="none"/>
              </w:rPr>
              <w:t>ICS-600 18099038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highlight w:val="none"/>
              </w:rPr>
              <w:t>Cl</w:t>
            </w:r>
            <w:r>
              <w:rPr>
                <w:rFonts w:ascii="Times New Roman" w:hAnsi="Times New Roman" w:eastAsia="楷体_GB2312"/>
                <w:highlight w:val="none"/>
                <w:vertAlign w:val="superscript"/>
              </w:rPr>
              <w:t>-</w:t>
            </w:r>
            <w:r>
              <w:rPr>
                <w:rFonts w:ascii="Times New Roman" w:hAnsi="Times New Roman" w:eastAsia="楷体_GB2312"/>
                <w:highlight w:val="none"/>
              </w:rPr>
              <w:t>0.007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/>
                <w:highlight w:val="none"/>
              </w:rPr>
              <w:t>mg/L</w:t>
            </w:r>
            <w:r>
              <w:rPr>
                <w:rFonts w:hint="eastAsia" w:ascii="Times New Roman" w:hAnsi="Times New Roman" w:eastAsia="楷体_GB2312"/>
                <w:highlight w:val="none"/>
                <w:lang w:eastAsia="zh-CN"/>
              </w:rPr>
              <w:t>；</w:t>
            </w:r>
            <w:r>
              <w:rPr>
                <w:rFonts w:ascii="Times New Roman" w:hAnsi="Times New Roman" w:eastAsia="楷体_GB2312"/>
                <w:highlight w:val="none"/>
              </w:rPr>
              <w:t>SO</w:t>
            </w:r>
            <w:r>
              <w:rPr>
                <w:rFonts w:ascii="Times New Roman" w:hAnsi="Times New Roman" w:eastAsia="楷体_GB2312"/>
                <w:highlight w:val="none"/>
                <w:vertAlign w:val="subscript"/>
              </w:rPr>
              <w:t>4</w:t>
            </w:r>
            <w:r>
              <w:rPr>
                <w:rFonts w:ascii="Times New Roman" w:hAnsi="Times New Roman" w:eastAsia="楷体_GB2312"/>
                <w:highlight w:val="none"/>
                <w:vertAlign w:val="superscript"/>
              </w:rPr>
              <w:t>2-</w:t>
            </w:r>
            <w:r>
              <w:rPr>
                <w:rFonts w:ascii="Times New Roman" w:hAnsi="Times New Roman" w:eastAsia="楷体_GB2312"/>
                <w:highlight w:val="none"/>
              </w:rPr>
              <w:t>0.018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/>
                <w:highlight w:val="none"/>
              </w:rPr>
              <w:t>mg/L</w:t>
            </w:r>
            <w:r>
              <w:rPr>
                <w:rFonts w:hint="eastAsia" w:ascii="Times New Roman" w:hAnsi="Times New Roman" w:eastAsia="楷体_GB2312"/>
                <w:highlight w:val="none"/>
                <w:lang w:eastAsia="zh-CN"/>
              </w:rPr>
              <w:t>；</w:t>
            </w:r>
            <w:r>
              <w:rPr>
                <w:rFonts w:ascii="Times New Roman" w:hAnsi="Times New Roman" w:eastAsia="楷体_GB2312"/>
                <w:highlight w:val="none"/>
              </w:rPr>
              <w:t>NO</w:t>
            </w:r>
            <w:r>
              <w:rPr>
                <w:rFonts w:ascii="Times New Roman" w:hAnsi="Times New Roman" w:eastAsia="楷体_GB2312"/>
                <w:highlight w:val="none"/>
                <w:vertAlign w:val="subscript"/>
              </w:rPr>
              <w:t>3</w:t>
            </w:r>
            <w:r>
              <w:rPr>
                <w:rFonts w:ascii="Times New Roman" w:hAnsi="Times New Roman" w:eastAsia="楷体_GB2312"/>
                <w:highlight w:val="none"/>
                <w:vertAlign w:val="superscript"/>
              </w:rPr>
              <w:t>-</w:t>
            </w:r>
            <w:r>
              <w:rPr>
                <w:rFonts w:ascii="Times New Roman" w:hAnsi="Times New Roman" w:eastAsia="楷体_GB2312"/>
                <w:highlight w:val="none"/>
              </w:rPr>
              <w:t>0.016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/>
                <w:highlight w:val="none"/>
              </w:rPr>
              <w:t>mg/L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  <w:t>铜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  <w:lang w:val="en-US" w:eastAsia="zh-CN"/>
              </w:rPr>
              <w:t xml:space="preserve">水质 </w:t>
            </w: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32种金属元素的测定 电感耦合等离子体发射光谱法HJ 776-2015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电感耦合等离子体发射光谱仪 MY19101028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highlight w:val="none"/>
              </w:rPr>
              <w:t>0.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006 </w:t>
            </w:r>
            <w:r>
              <w:rPr>
                <w:rFonts w:ascii="Times New Roman" w:hAnsi="Times New Roman" w:eastAsia="楷体_GB2312"/>
                <w:highlight w:val="none"/>
              </w:rPr>
              <w:t>mg/L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锌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  <w:lang w:val="en-US" w:eastAsia="zh-CN"/>
              </w:rPr>
              <w:t xml:space="preserve">水质 </w:t>
            </w: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32种金属元素的测定 电感耦合等离子体发射光谱法HJ 776-2015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电感耦合等离子体发射光谱仪 MY19101028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highlight w:val="none"/>
              </w:rPr>
              <w:t>0.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004 </w:t>
            </w:r>
            <w:r>
              <w:rPr>
                <w:rFonts w:ascii="Times New Roman" w:hAnsi="Times New Roman" w:eastAsia="楷体_GB2312"/>
                <w:highlight w:val="none"/>
              </w:rPr>
              <w:t>mg/L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铝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  <w:lang w:val="en-US" w:eastAsia="zh-CN"/>
              </w:rPr>
              <w:t xml:space="preserve">水质 </w:t>
            </w: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32种金属元素的测定 电感耦合等离子体发射光谱法HJ 776-2015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电感耦合等离子体发射光谱仪 MY19101028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highlight w:val="none"/>
              </w:rPr>
              <w:t>0.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07 </w:t>
            </w:r>
            <w:r>
              <w:rPr>
                <w:rFonts w:ascii="Times New Roman" w:hAnsi="Times New Roman" w:eastAsia="楷体_GB2312"/>
                <w:highlight w:val="none"/>
              </w:rPr>
              <w:t>mg/L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钠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  <w:lang w:val="en-US" w:eastAsia="zh-CN"/>
              </w:rPr>
              <w:t xml:space="preserve">水质 </w:t>
            </w: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32种金属元素的测定 电感耦合等离子体发射光谱法HJ 776-2015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电感耦合等离子体发射光谱仪 MY19101028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highlight w:val="none"/>
              </w:rPr>
              <w:t>0.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12 </w:t>
            </w:r>
            <w:r>
              <w:rPr>
                <w:rFonts w:ascii="Times New Roman" w:hAnsi="Times New Roman" w:eastAsia="楷体_GB2312"/>
                <w:highlight w:val="none"/>
              </w:rPr>
              <w:t>mg/L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硫化物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  <w:t>水质 硫化物的测定 亚甲基蓝分光光度法GB/T16489-1996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>可见</w:t>
            </w:r>
            <w:r>
              <w:rPr>
                <w:rFonts w:ascii="Times New Roman" w:hAnsi="Times New Roman" w:eastAsia="楷体_GB2312"/>
                <w:highlight w:val="none"/>
              </w:rPr>
              <w:t>分光光度计T6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/>
                <w:highlight w:val="none"/>
              </w:rPr>
              <w:t>27-1610-01-02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>70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  <w:t xml:space="preserve">0.005 </w:t>
            </w:r>
            <w:r>
              <w:rPr>
                <w:rFonts w:ascii="Times New Roman" w:hAnsi="Times New Roman" w:eastAsia="楷体_GB2312"/>
                <w:highlight w:val="none"/>
              </w:rPr>
              <w:t>mg/L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碘化物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  <w:t>生活饮用水标准检验方法 无机非金属指标  高浓度碘化物比色法GB/T 5750.5-2006 (11.2)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楷体_GB2312"/>
                <w:highlight w:val="none"/>
              </w:rPr>
              <w:t>T6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/>
                <w:highlight w:val="none"/>
              </w:rPr>
              <w:t>27-1610-01-02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>70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  <w:t xml:space="preserve">0.05 </w:t>
            </w:r>
            <w:r>
              <w:rPr>
                <w:rFonts w:ascii="Times New Roman" w:hAnsi="Times New Roman" w:eastAsia="楷体_GB2312"/>
                <w:highlight w:val="none"/>
              </w:rPr>
              <w:t>mg/L</w:t>
            </w:r>
          </w:p>
        </w:tc>
      </w:tr>
    </w:tbl>
    <w:p>
      <w:pPr>
        <w:jc w:val="center"/>
        <w:rPr>
          <w:rFonts w:hint="default" w:ascii="Times New Roman" w:hAnsi="Times New Roman" w:eastAsia="楷体_GB2312" w:cs="Times New Roman"/>
          <w:kern w:val="80"/>
          <w:sz w:val="36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sz w:val="20"/>
          <w:highlight w:val="none"/>
        </w:rPr>
      </w:pPr>
      <w:r>
        <w:rPr>
          <w:rFonts w:hint="default" w:ascii="Times New Roman" w:hAnsi="Times New Roman" w:eastAsia="楷体_GB2312" w:cs="Times New Roman"/>
          <w:kern w:val="80"/>
          <w:sz w:val="36"/>
          <w:highlight w:val="none"/>
        </w:rPr>
        <w:t>续附表</w:t>
      </w:r>
      <w:r>
        <w:rPr>
          <w:rFonts w:hint="eastAsia" w:ascii="Times New Roman" w:hAnsi="Times New Roman" w:eastAsia="楷体_GB2312" w:cs="Times New Roman"/>
          <w:kern w:val="80"/>
          <w:sz w:val="36"/>
          <w:highlight w:val="none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kern w:val="80"/>
          <w:sz w:val="36"/>
          <w:highlight w:val="none"/>
        </w:rPr>
        <w:t xml:space="preserve"> 检测依据、仪器信息及方法检出限</w:t>
      </w:r>
    </w:p>
    <w:tbl>
      <w:tblPr>
        <w:tblStyle w:val="10"/>
        <w:tblW w:w="1417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779"/>
        <w:gridCol w:w="5103"/>
        <w:gridCol w:w="3969"/>
        <w:gridCol w:w="23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  <w:t>类别</w:t>
            </w: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检测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项目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检测依据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检测仪器型号及编号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方法检出限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kern w:val="8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80"/>
                <w:szCs w:val="21"/>
                <w:highlight w:val="none"/>
                <w:lang w:val="en-US" w:eastAsia="zh-CN"/>
              </w:rPr>
              <w:t>地下水</w:t>
            </w: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  <w:t>阴离子表面活性剂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水质 阴离子表面活性剂的测定 亚甲蓝分光光度法GB/T 7494-1987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>可见</w:t>
            </w:r>
            <w:r>
              <w:rPr>
                <w:rFonts w:ascii="Times New Roman" w:hAnsi="Times New Roman" w:eastAsia="楷体_GB2312"/>
                <w:highlight w:val="none"/>
              </w:rPr>
              <w:t>分光光度计T6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/>
                <w:highlight w:val="none"/>
              </w:rPr>
              <w:t>27-1610-01-02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>83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  <w:t xml:space="preserve">0.05 </w:t>
            </w:r>
            <w:r>
              <w:rPr>
                <w:rFonts w:ascii="Times New Roman" w:hAnsi="Times New Roman" w:eastAsia="楷体_GB2312"/>
                <w:highlight w:val="none"/>
              </w:rPr>
              <w:t>mg/L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  <w:t>硒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highlight w:val="none"/>
              </w:rPr>
              <w:t>水质 汞、砷、硒、锑和铋的测定 原子荧光法  HJ694-2014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highlight w:val="none"/>
              </w:rPr>
              <w:t>原子荧光分光光度计 AFS-85101218170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highlight w:val="none"/>
              </w:rPr>
              <w:t>0.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楷体_GB2312" w:cs="Times New Roman"/>
                <w:highlight w:val="none"/>
              </w:rPr>
              <w:t>μg/L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  <w:t>镉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  <w:lang w:val="en-US" w:eastAsia="zh-CN"/>
              </w:rPr>
              <w:t xml:space="preserve">水质 </w:t>
            </w: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32种金属元素的测定 电感耦合等离子体发射光谱法HJ 776-2015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电感耦合等离子体发射光谱仪 MY19101028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highlight w:val="none"/>
              </w:rPr>
              <w:t>0.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005 </w:t>
            </w:r>
            <w:r>
              <w:rPr>
                <w:rFonts w:ascii="Times New Roman" w:hAnsi="Times New Roman" w:eastAsia="楷体_GB2312"/>
                <w:highlight w:val="none"/>
              </w:rPr>
              <w:t>mg/L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  <w:t>四氯化碳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  <w:t>水质 挥发性有机物的测定 吹扫捕集/气相色谱—质谱法HJ639-2012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Agilent 78</w:t>
            </w:r>
            <w:r>
              <w:rPr>
                <w:rFonts w:hint="eastAsia" w:ascii="Times New Roman" w:hAnsi="Times New Roman" w:eastAsia="楷体_GB2312" w:cs="Times New Roman"/>
                <w:highlight w:val="none"/>
                <w:lang w:val="en-US" w:eastAsia="zh-CN"/>
              </w:rPr>
              <w:t>90B-5977B/CN18483172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  <w:t xml:space="preserve">1.5 </w:t>
            </w:r>
            <w:r>
              <w:rPr>
                <w:rFonts w:hint="default" w:ascii="Times New Roman" w:hAnsi="Times New Roman" w:eastAsia="楷体_GB2312" w:cs="Times New Roman"/>
                <w:highlight w:val="none"/>
              </w:rPr>
              <w:t>μg/L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  <w:t>苯、甲苯、三氯甲烷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  <w:t>水质 挥发性有机物的测定 吹扫捕集/气相色谱—质谱法HJ639-2012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Agilent 78</w:t>
            </w:r>
            <w:r>
              <w:rPr>
                <w:rFonts w:hint="eastAsia" w:ascii="Times New Roman" w:hAnsi="Times New Roman" w:eastAsia="楷体_GB2312" w:cs="Times New Roman"/>
                <w:highlight w:val="none"/>
                <w:lang w:val="en-US" w:eastAsia="zh-CN"/>
              </w:rPr>
              <w:t>90B-5977B/CN18483172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  <w:t xml:space="preserve">1.4 </w:t>
            </w:r>
            <w:r>
              <w:rPr>
                <w:rFonts w:hint="default" w:ascii="Times New Roman" w:hAnsi="Times New Roman" w:eastAsia="楷体_GB2312" w:cs="Times New Roman"/>
                <w:highlight w:val="none"/>
              </w:rPr>
              <w:t>μg/L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highlight w:val="none"/>
                <w:lang w:val="en-US" w:eastAsia="zh-CN"/>
              </w:rPr>
              <w:t>汞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highlight w:val="none"/>
              </w:rPr>
              <w:t>水质 汞、砷、硒、锑和铋的测定 原子荧光法  HJ694-2014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highlight w:val="none"/>
              </w:rPr>
            </w:pPr>
            <w:r>
              <w:rPr>
                <w:rFonts w:ascii="Times New Roman" w:hAnsi="Times New Roman" w:eastAsia="楷体_GB2312"/>
                <w:highlight w:val="none"/>
              </w:rPr>
              <w:t xml:space="preserve">原子荧光分光光度计 </w:t>
            </w:r>
          </w:p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highlight w:val="none"/>
              </w:rPr>
              <w:t>AFS-85101218170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highlight w:val="none"/>
              </w:rPr>
              <w:t>0.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04 </w:t>
            </w:r>
            <w:r>
              <w:rPr>
                <w:rFonts w:hint="default" w:ascii="Times New Roman" w:hAnsi="Times New Roman" w:eastAsia="楷体_GB2312" w:cs="Times New Roman"/>
                <w:highlight w:val="none"/>
              </w:rPr>
              <w:t>μg/L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highlight w:val="none"/>
                <w:lang w:val="en-US" w:eastAsia="zh-CN"/>
              </w:rPr>
              <w:t>臭和味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楷体_GB2312"/>
                <w:highlight w:val="none"/>
              </w:rPr>
            </w:pPr>
            <w:r>
              <w:rPr>
                <w:rFonts w:hint="eastAsia" w:ascii="Times New Roman" w:hAnsi="Times New Roman" w:eastAsia="楷体_GB2312"/>
                <w:highlight w:val="none"/>
              </w:rPr>
              <w:t>生活饮用水标准检验方法 感官性状和物理指标 嗅气和尝味法GB/T5750.4-2006(3.1)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>/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highlight w:val="none"/>
                <w:lang w:val="en-US" w:eastAsia="zh-CN"/>
              </w:rPr>
              <w:t>肉眼可见物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楷体_GB2312"/>
                <w:highlight w:val="none"/>
              </w:rPr>
            </w:pPr>
            <w:r>
              <w:rPr>
                <w:rFonts w:hint="eastAsia" w:ascii="Times New Roman" w:hAnsi="Times New Roman" w:eastAsia="楷体_GB2312"/>
                <w:highlight w:val="none"/>
              </w:rPr>
              <w:t>生活饮用水标准检验方法 感官性状和物理指标  直接观察法GB/T 5750.4-2006 （4）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>/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  <w:t>铅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楷体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  <w:lang w:val="en-US" w:eastAsia="zh-CN"/>
              </w:rPr>
              <w:t xml:space="preserve">水质 </w:t>
            </w: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32种金属元素的测定 电感耦合等离子体发射光谱法HJ 776-2015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电感耦合等离子体发射光谱仪 MY19101028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highlight w:val="none"/>
              </w:rPr>
              <w:t>0.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07 </w:t>
            </w:r>
            <w:r>
              <w:rPr>
                <w:rFonts w:ascii="Times New Roman" w:hAnsi="Times New Roman" w:eastAsia="楷体_GB2312"/>
                <w:highlight w:val="none"/>
              </w:rPr>
              <w:t>mg/L</w:t>
            </w:r>
          </w:p>
        </w:tc>
      </w:tr>
    </w:tbl>
    <w:p>
      <w:pPr>
        <w:jc w:val="center"/>
        <w:rPr>
          <w:rFonts w:hint="default" w:ascii="Times New Roman" w:hAnsi="Times New Roman" w:eastAsia="楷体_GB2312" w:cs="Times New Roman"/>
          <w:kern w:val="80"/>
          <w:sz w:val="36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kern w:val="80"/>
          <w:sz w:val="36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sz w:val="20"/>
          <w:highlight w:val="none"/>
        </w:rPr>
      </w:pPr>
      <w:r>
        <w:rPr>
          <w:rFonts w:hint="default" w:ascii="Times New Roman" w:hAnsi="Times New Roman" w:eastAsia="楷体_GB2312" w:cs="Times New Roman"/>
          <w:kern w:val="80"/>
          <w:sz w:val="36"/>
          <w:highlight w:val="none"/>
        </w:rPr>
        <w:t>续附表</w:t>
      </w:r>
      <w:r>
        <w:rPr>
          <w:rFonts w:hint="eastAsia" w:ascii="Times New Roman" w:hAnsi="Times New Roman" w:eastAsia="楷体_GB2312" w:cs="Times New Roman"/>
          <w:kern w:val="80"/>
          <w:sz w:val="36"/>
          <w:highlight w:val="none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kern w:val="80"/>
          <w:sz w:val="36"/>
          <w:highlight w:val="none"/>
        </w:rPr>
        <w:t xml:space="preserve"> 检测依据、仪器信息及方法检出限</w:t>
      </w:r>
    </w:p>
    <w:tbl>
      <w:tblPr>
        <w:tblStyle w:val="10"/>
        <w:tblW w:w="1417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779"/>
        <w:gridCol w:w="5103"/>
        <w:gridCol w:w="3969"/>
        <w:gridCol w:w="23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  <w:t>类别</w:t>
            </w: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检测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项目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检测依据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检测仪器型号及编号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方法检出限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kern w:val="8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80"/>
                <w:szCs w:val="21"/>
                <w:highlight w:val="none"/>
                <w:lang w:val="en-US" w:eastAsia="zh-CN"/>
              </w:rPr>
              <w:t>地下水</w:t>
            </w: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  <w:t>氰化物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>地下水质检验方法 吡啶-吡唑啉酮比色法测定氰化物DZ/T0064.52-1993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>可见</w:t>
            </w:r>
            <w:r>
              <w:rPr>
                <w:rFonts w:hint="eastAsia" w:ascii="Times New Roman" w:hAnsi="Times New Roman" w:eastAsia="楷体_GB2312"/>
                <w:highlight w:val="none"/>
              </w:rPr>
              <w:t>分光光度计 T6 27-1610-01-0270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highlight w:val="none"/>
              </w:rPr>
              <w:t>0.002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楷体_GB2312"/>
                <w:highlight w:val="none"/>
              </w:rPr>
              <w:t xml:space="preserve">mg/L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  <w:t>总大肠菌群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  <w:highlight w:val="none"/>
              </w:rPr>
              <w:t>《水和废水监测分析方法》（第四版 增补版）国家环境保护总局 2002年 多管发酵法 5.2.5（1）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  <w:highlight w:val="none"/>
              </w:rPr>
              <w:t>生化培养箱 SPX-150B-Z  180614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  <w:t>细菌总数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Cs w:val="21"/>
                <w:highlight w:val="none"/>
              </w:rPr>
              <w:t>水质  细菌总数的测定  平皿计数法HJ1000-2018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  <w:highlight w:val="none"/>
                <w:lang w:val="en-US" w:eastAsia="zh-CN"/>
              </w:rPr>
              <w:t>精密恒温培养箱 BPH-9162 181256537P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  <w:t>钙和镁总量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color w:val="000000"/>
                <w:szCs w:val="21"/>
                <w:highlight w:val="none"/>
              </w:rPr>
              <w:t>水质 钙和镁总量的测定 EDTA滴定法 GB7477-1987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>酸式滴定管50mL 181128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highlight w:val="none"/>
              </w:rPr>
              <w:t>5 mg/L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  <w:t>溶解性总固体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生活饮用水标准检验方法 感官性状和物理指标 称量法GB/T5750.4-2006(8.1)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天平PR224ZH/E</w:t>
            </w:r>
            <w:r>
              <w:rPr>
                <w:rFonts w:hint="eastAsia" w:ascii="Times New Roman" w:hAnsi="Times New Roman" w:eastAsia="楷体_GB2312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B849881061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highlight w:val="none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  <w:t>色度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  <w:t>生活饮用水标准检验方法 感官性状和物理指标  铂-钴标准比色法GB/T 5750.4-2006 （1）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  <w:t>/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highlight w:val="none"/>
                <w:lang w:val="en-US" w:eastAsia="zh-CN"/>
              </w:rPr>
              <w:t>5度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  <w:t>铁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  <w:lang w:val="en-US" w:eastAsia="zh-CN"/>
              </w:rPr>
              <w:t xml:space="preserve">水质 </w:t>
            </w: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32种金属元素的测定 电感耦合等离子体发射光谱法HJ 776-2015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电感耦合等离子体发射光谱仪 MY19101028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highlight w:val="none"/>
              </w:rPr>
              <w:t>0.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02 </w:t>
            </w:r>
            <w:r>
              <w:rPr>
                <w:rFonts w:ascii="Times New Roman" w:hAnsi="Times New Roman" w:eastAsia="楷体_GB2312"/>
                <w:highlight w:val="none"/>
              </w:rPr>
              <w:t>mg/L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highlight w:val="none"/>
                <w:lang w:val="en-US" w:eastAsia="zh-CN"/>
              </w:rPr>
              <w:t>六价铬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水质 六价铬的测定 二苯碳酰二肼分光光度法GB/T 7467-1987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  <w:lang w:val="en-US" w:eastAsia="zh-CN"/>
              </w:rPr>
              <w:t>可见</w:t>
            </w: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分光光度计T6 27-1610-01-0270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highlight w:val="none"/>
              </w:rPr>
              <w:t>0.004</w:t>
            </w:r>
            <w:r>
              <w:rPr>
                <w:rFonts w:ascii="Times New Roman" w:hAnsi="Times New Roman" w:eastAsia="楷体_GB2312"/>
                <w:highlight w:val="none"/>
              </w:rPr>
              <w:t xml:space="preserve"> mg/L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  <w:t>挥发酚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kern w:val="2"/>
                <w:sz w:val="21"/>
                <w:szCs w:val="21"/>
                <w:highlight w:val="none"/>
                <w:lang w:val="en-US" w:eastAsia="zh-CN" w:bidi="ar-SA"/>
              </w:rPr>
              <w:t>水质 挥发酚的测定 4-氨基安替比林分光光度法 HJ503-2009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highlight w:val="none"/>
              </w:rPr>
              <w:t xml:space="preserve"> T6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楷体_GB2312"/>
                <w:highlight w:val="none"/>
              </w:rPr>
              <w:t>27-1610-01-0270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highlight w:val="none"/>
              </w:rPr>
              <w:t>0.0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003 </w:t>
            </w:r>
            <w:r>
              <w:rPr>
                <w:rFonts w:ascii="Times New Roman" w:hAnsi="Times New Roman" w:eastAsia="楷体_GB2312"/>
                <w:highlight w:val="none"/>
              </w:rPr>
              <w:t>mg/L</w:t>
            </w:r>
          </w:p>
        </w:tc>
      </w:tr>
    </w:tbl>
    <w:p>
      <w:pPr>
        <w:jc w:val="center"/>
        <w:rPr>
          <w:rFonts w:hint="default" w:ascii="Times New Roman" w:hAnsi="Times New Roman" w:eastAsia="楷体_GB2312" w:cs="Times New Roman"/>
          <w:kern w:val="80"/>
          <w:sz w:val="36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kern w:val="80"/>
          <w:sz w:val="36"/>
          <w:highlight w:val="none"/>
        </w:rPr>
      </w:pPr>
    </w:p>
    <w:p>
      <w:pPr>
        <w:jc w:val="center"/>
        <w:rPr>
          <w:rFonts w:hint="default" w:ascii="Times New Roman" w:hAnsi="Times New Roman" w:eastAsia="楷体_GB2312" w:cs="Times New Roman"/>
          <w:sz w:val="20"/>
          <w:highlight w:val="none"/>
        </w:rPr>
      </w:pPr>
      <w:r>
        <w:rPr>
          <w:rFonts w:hint="default" w:ascii="Times New Roman" w:hAnsi="Times New Roman" w:eastAsia="楷体_GB2312" w:cs="Times New Roman"/>
          <w:kern w:val="80"/>
          <w:sz w:val="36"/>
          <w:highlight w:val="none"/>
        </w:rPr>
        <w:t>续附表</w:t>
      </w:r>
      <w:r>
        <w:rPr>
          <w:rFonts w:hint="eastAsia" w:ascii="Times New Roman" w:hAnsi="Times New Roman" w:eastAsia="楷体_GB2312" w:cs="Times New Roman"/>
          <w:kern w:val="80"/>
          <w:sz w:val="36"/>
          <w:highlight w:val="none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kern w:val="80"/>
          <w:sz w:val="36"/>
          <w:highlight w:val="none"/>
        </w:rPr>
        <w:t xml:space="preserve"> 检测依据、仪器信息及方法检出限</w:t>
      </w:r>
    </w:p>
    <w:tbl>
      <w:tblPr>
        <w:tblStyle w:val="10"/>
        <w:tblW w:w="1417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779"/>
        <w:gridCol w:w="5103"/>
        <w:gridCol w:w="3969"/>
        <w:gridCol w:w="23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  <w:t>类别</w:t>
            </w: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检测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项目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检测依据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检测仪器型号及编号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highlight w:val="none"/>
              </w:rPr>
              <w:t>方法检出限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kern w:val="8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80"/>
                <w:szCs w:val="21"/>
                <w:highlight w:val="none"/>
                <w:lang w:val="en-US" w:eastAsia="zh-CN"/>
              </w:rPr>
              <w:t>地下水</w:t>
            </w: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  <w:t>锰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  <w:lang w:val="en-US" w:eastAsia="zh-CN"/>
              </w:rPr>
              <w:t xml:space="preserve">水质 </w:t>
            </w: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32种金属元素的测定 电感耦合等离子体发射光谱法HJ 776-2015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电感耦合等离子体发射光谱仪 MY19101028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highlight w:val="none"/>
              </w:rPr>
              <w:t>0.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004 </w:t>
            </w:r>
            <w:r>
              <w:rPr>
                <w:rFonts w:ascii="Times New Roman" w:hAnsi="Times New Roman" w:eastAsia="楷体_GB2312"/>
                <w:highlight w:val="none"/>
              </w:rPr>
              <w:t>mg/L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  <w:t>氟化物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color w:val="000000"/>
                <w:szCs w:val="21"/>
                <w:highlight w:val="none"/>
              </w:rPr>
              <w:t>水质 氟化物的测定 离子选择电极法 GB/</w:t>
            </w:r>
            <w:r>
              <w:rPr>
                <w:rFonts w:hint="eastAsia" w:ascii="Times New Roman" w:hAnsi="Times New Roman" w:eastAsia="楷体_GB2312"/>
                <w:color w:val="000000"/>
                <w:szCs w:val="21"/>
                <w:highlight w:val="none"/>
                <w:lang w:val="en-US" w:eastAsia="zh-CN"/>
              </w:rPr>
              <w:t>T</w:t>
            </w:r>
            <w:r>
              <w:rPr>
                <w:rFonts w:hint="eastAsia" w:ascii="Times New Roman" w:hAnsi="Times New Roman" w:eastAsia="楷体_GB2312"/>
                <w:color w:val="000000"/>
                <w:szCs w:val="21"/>
                <w:highlight w:val="none"/>
              </w:rPr>
              <w:t>7874-1987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 xml:space="preserve">离子计 </w:t>
            </w:r>
            <w:r>
              <w:rPr>
                <w:rFonts w:hint="eastAsia" w:ascii="Times New Roman" w:hAnsi="Times New Roman" w:eastAsia="楷体_GB2312"/>
                <w:szCs w:val="21"/>
                <w:highlight w:val="none"/>
                <w:lang w:val="en-US" w:eastAsia="zh-CN"/>
              </w:rPr>
              <w:t>PXSJ-216型 18351308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highlight w:val="none"/>
              </w:rPr>
              <w:t>0.05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/>
                <w:highlight w:val="none"/>
              </w:rPr>
              <w:t>mg/L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  <w:t>高锰酸盐指数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color w:val="000000"/>
                <w:szCs w:val="21"/>
                <w:highlight w:val="none"/>
              </w:rPr>
              <w:t>水质 高锰酸盐指数的测定 GB/T 11892-1989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>/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highlight w:val="none"/>
              </w:rPr>
              <w:t>0.5 mg/L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  <w:t>氨氮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szCs w:val="21"/>
                <w:highlight w:val="none"/>
              </w:rPr>
              <w:t>水质 氨氮的测定 纳氏试剂分光光度法  HJ 535-2009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highlight w:val="none"/>
              </w:rPr>
              <w:t>分光光度计T6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/>
                <w:highlight w:val="none"/>
              </w:rPr>
              <w:t>27-1610-01-0267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highlight w:val="none"/>
              </w:rPr>
              <w:t>0.025 mg/L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highlight w:val="none"/>
                <w:lang w:val="en-US" w:eastAsia="zh-CN"/>
              </w:rPr>
              <w:t>砷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highlight w:val="none"/>
              </w:rPr>
              <w:t>水质 汞、砷、硒、锑和铋的测定 原子荧光法  HJ694-2014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highlight w:val="none"/>
              </w:rPr>
            </w:pPr>
            <w:r>
              <w:rPr>
                <w:rFonts w:ascii="Times New Roman" w:hAnsi="Times New Roman" w:eastAsia="楷体_GB2312"/>
                <w:highlight w:val="none"/>
              </w:rPr>
              <w:t xml:space="preserve">原子荧光分光光度计 </w:t>
            </w:r>
          </w:p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highlight w:val="none"/>
              </w:rPr>
              <w:t>AFS-85101218170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highlight w:val="none"/>
              </w:rPr>
              <w:t>0.3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highlight w:val="none"/>
              </w:rPr>
              <w:t>μg/L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  <w:t>亚硝酸盐氮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楷体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color w:val="000000"/>
                <w:szCs w:val="21"/>
                <w:highlight w:val="none"/>
              </w:rPr>
              <w:t>水质 亚硝酸盐氮的测定 分光光度法 GB/T7493-1987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>可见</w:t>
            </w:r>
            <w:r>
              <w:rPr>
                <w:rFonts w:ascii="Times New Roman" w:hAnsi="Times New Roman" w:eastAsia="楷体_GB2312"/>
                <w:highlight w:val="none"/>
              </w:rPr>
              <w:t>分光光度计T6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/>
                <w:highlight w:val="none"/>
              </w:rPr>
              <w:t>27-1610-01-0283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楷体_GB2312"/>
                <w:highlight w:val="none"/>
              </w:rPr>
              <w:t>0.003 mg/L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  <w:t>银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楷体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  <w:lang w:val="en-US" w:eastAsia="zh-CN"/>
              </w:rPr>
              <w:t xml:space="preserve">水质 </w:t>
            </w: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32种金属元素的测定 电感耦合等离子体发射光谱法HJ 776-2015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电感耦合等离子体发射光谱仪 MY19101028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highlight w:val="none"/>
              </w:rPr>
              <w:t>0.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02 </w:t>
            </w:r>
            <w:r>
              <w:rPr>
                <w:rFonts w:ascii="Times New Roman" w:hAnsi="Times New Roman" w:eastAsia="楷体_GB2312"/>
                <w:highlight w:val="none"/>
              </w:rPr>
              <w:t>mg/L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02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kern w:val="80"/>
                <w:szCs w:val="21"/>
                <w:highlight w:val="none"/>
              </w:rPr>
            </w:pPr>
          </w:p>
        </w:tc>
        <w:tc>
          <w:tcPr>
            <w:tcW w:w="17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20"/>
                <w:kern w:val="2"/>
                <w:sz w:val="21"/>
                <w:szCs w:val="21"/>
                <w:highlight w:val="none"/>
                <w:lang w:val="en-US" w:eastAsia="zh-CN" w:bidi="ar-SA"/>
              </w:rPr>
              <w:t>锡</w:t>
            </w:r>
          </w:p>
        </w:tc>
        <w:tc>
          <w:tcPr>
            <w:tcW w:w="5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楷体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  <w:lang w:val="en-US" w:eastAsia="zh-CN"/>
              </w:rPr>
              <w:t xml:space="preserve">水质 </w:t>
            </w: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32种金属元素的测定 电感耦合等离子体发射光谱法HJ 776-2015</w:t>
            </w:r>
          </w:p>
        </w:tc>
        <w:tc>
          <w:tcPr>
            <w:tcW w:w="3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szCs w:val="21"/>
                <w:highlight w:val="none"/>
              </w:rPr>
              <w:t>电感耦合等离子体发射光谱仪 MY19101028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highlight w:val="none"/>
              </w:rPr>
              <w:t>0.</w:t>
            </w:r>
            <w:r>
              <w:rPr>
                <w:rFonts w:hint="eastAsia" w:ascii="Times New Roman" w:hAnsi="Times New Roman" w:eastAsia="楷体_GB2312"/>
                <w:highlight w:val="none"/>
                <w:lang w:val="en-US" w:eastAsia="zh-CN"/>
              </w:rPr>
              <w:t xml:space="preserve">2 </w:t>
            </w:r>
            <w:r>
              <w:rPr>
                <w:rFonts w:ascii="Times New Roman" w:hAnsi="Times New Roman" w:eastAsia="楷体_GB2312"/>
                <w:highlight w:val="none"/>
              </w:rPr>
              <w:t>mg/L</w:t>
            </w:r>
          </w:p>
        </w:tc>
      </w:tr>
    </w:tbl>
    <w:p>
      <w:pPr>
        <w:jc w:val="center"/>
        <w:rPr>
          <w:rFonts w:hint="default" w:ascii="Times New Roman" w:hAnsi="Times New Roman" w:eastAsia="楷体_GB2312" w:cs="Times New Roman"/>
          <w:color w:val="auto"/>
          <w:kern w:val="80"/>
          <w:sz w:val="21"/>
          <w:szCs w:val="21"/>
          <w:highlight w:val="none"/>
        </w:rPr>
        <w:sectPr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12" w:charSpace="0"/>
        </w:sectPr>
      </w:pPr>
    </w:p>
    <w:p>
      <w:pPr>
        <w:jc w:val="center"/>
        <w:rPr>
          <w:rFonts w:hint="default" w:ascii="Times New Roman" w:hAnsi="Times New Roman" w:eastAsia="楷体_GB2312" w:cs="Times New Roman"/>
          <w:kern w:val="8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80"/>
          <w:sz w:val="36"/>
          <w:szCs w:val="36"/>
          <w:lang w:val="en-US" w:eastAsia="zh-CN"/>
        </w:rPr>
        <w:t>附表3 土壤挥发性有机物组分的检出限</w:t>
      </w:r>
    </w:p>
    <w:tbl>
      <w:tblPr>
        <w:tblStyle w:val="10"/>
        <w:tblW w:w="65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5"/>
        <w:gridCol w:w="1701"/>
        <w:gridCol w:w="23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检出限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氯甲烷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氯乙烯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1,1-二氯乙烯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二氯甲烷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反式-1,2-二氯乙烯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1,1-二氯乙烷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顺式-1,2-二氯乙烯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氯仿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1,1,1-三氯乙烷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四氯化碳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1,2-二氯乙烷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三氯乙烯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1,2-二氯丙烷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甲苯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1,1,2-三氯乙烷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四氯乙烯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氯苯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1,1,1,2-四氯乙烷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乙苯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对间二甲苯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邻二甲苯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苯乙烯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1,1,2,2-四氯乙烷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1,2,3-三氯丙烷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1,4-二氯苯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1,2-二氯苯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μg/kg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1.5</w:t>
            </w: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  <w:lang w:eastAsia="zh-CN"/>
        </w:rPr>
        <w:sect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12" w:charSpace="0"/>
        </w:sectPr>
      </w:pPr>
    </w:p>
    <w:p>
      <w:pPr>
        <w:jc w:val="center"/>
        <w:rPr>
          <w:rFonts w:hint="default" w:ascii="Times New Roman" w:hAnsi="Times New Roman" w:eastAsia="楷体_GB2312" w:cs="Times New Roman"/>
          <w:kern w:val="8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80"/>
          <w:sz w:val="36"/>
          <w:szCs w:val="36"/>
          <w:lang w:val="en-US" w:eastAsia="zh-CN"/>
        </w:rPr>
        <w:t>附表4  土壤半挥发性有机物组分的检出限</w:t>
      </w:r>
    </w:p>
    <w:tbl>
      <w:tblPr>
        <w:tblStyle w:val="10"/>
        <w:tblW w:w="65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5"/>
        <w:gridCol w:w="1701"/>
        <w:gridCol w:w="23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检出限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苯胺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2-氯苯酚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硝基苯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萘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苯并（a）蒽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苯并（b）荧蒽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苯并（k）荧蒽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苯并（a）芘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茚并（1，2，3，-cd）芘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二苯并(a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1"/>
                <w:szCs w:val="21"/>
                <w:lang w:val="en-US" w:eastAsia="zh-CN"/>
              </w:rPr>
              <w:t>,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h)蒽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m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</w:rPr>
              <w:t>g/kg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0.1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2"/>
        <w:jc w:val="center"/>
        <w:rPr>
          <w:rFonts w:hint="eastAsia" w:ascii="Times New Roman" w:hAnsi="Times New Roman" w:eastAsia="楷体_GB2312" w:cs="Times New Roman"/>
          <w:b w:val="0"/>
          <w:bCs w:val="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 w:val="0"/>
          <w:bCs w:val="0"/>
          <w:kern w:val="2"/>
          <w:sz w:val="21"/>
          <w:szCs w:val="21"/>
          <w:highlight w:val="none"/>
          <w:lang w:val="en-US" w:eastAsia="zh-CN" w:bidi="ar-SA"/>
        </w:rPr>
        <w:t>****报告结束****</w:t>
      </w:r>
    </w:p>
    <w:p>
      <w:pPr>
        <w:bidi w:val="0"/>
        <w:jc w:val="center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eastAsia="楷体_GB231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="Times New Roman" w:hAnsi="Times New Roman" w:cs="Times New Roman"/>
                              <w:lang w:val="en-US" w:eastAsia="zh-CN"/>
                            </w:rPr>
                            <w:t xml:space="preserve">7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="Times New Roman" w:hAnsi="Times New Roman" w:cs="Times New Roman"/>
                        <w:lang w:val="en-US" w:eastAsia="zh-CN"/>
                      </w:rPr>
                      <w:t xml:space="preserve">7 </w:t>
                    </w:r>
                    <w:r>
                      <w:rPr>
                        <w:rFonts w:hint="eastAsia"/>
                        <w:lang w:eastAsia="zh-CN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楷体_GB2312" w:eastAsia="楷体_GB2312"/>
      </w:rPr>
      <w:t>文件编号</w:t>
    </w:r>
    <w:r>
      <w:rPr>
        <w:rFonts w:hint="eastAsia" w:ascii="楷体_GB2312"/>
      </w:rPr>
      <w:t>：</w:t>
    </w:r>
    <w:r>
      <w:rPr>
        <w:rFonts w:eastAsia="楷体_GB2312"/>
      </w:rPr>
      <w:t>JSGC-CX-</w:t>
    </w:r>
    <w:r>
      <w:rPr>
        <w:rFonts w:hint="eastAsia" w:eastAsia="楷体_GB2312"/>
      </w:rPr>
      <w:t>34</w:t>
    </w:r>
    <w:r>
      <w:rPr>
        <w:rFonts w:eastAsia="楷体_GB2312"/>
      </w:rPr>
      <w:t>-JL0</w:t>
    </w:r>
    <w:r>
      <w:rPr>
        <w:rFonts w:hint="eastAsia" w:eastAsia="楷体_GB2312"/>
        <w:lang w:val="en-US" w:eastAsia="zh-CN"/>
      </w:rPr>
      <w:t>9</w:t>
    </w:r>
    <w:r>
      <w:rPr>
        <w:rFonts w:eastAsia="楷体_GB2312"/>
      </w:rPr>
      <w:t>(201</w:t>
    </w:r>
    <w:r>
      <w:rPr>
        <w:rFonts w:hint="eastAsia" w:eastAsia="楷体_GB2312"/>
      </w:rPr>
      <w:t>8</w:t>
    </w:r>
    <w:r>
      <w:rPr>
        <w:rFonts w:eastAsia="楷体_GB2312"/>
      </w:rPr>
      <w:t>)</w:t>
    </w:r>
  </w:p>
  <w:p>
    <w:pPr>
      <w:numPr>
        <w:ilvl w:val="0"/>
        <w:numId w:val="0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outlineLvl w:val="0"/>
      <w:rPr>
        <w:rFonts w:hint="eastAsia"/>
        <w:lang w:eastAsia="zh-CN"/>
      </w:rPr>
    </w:pPr>
    <w:r>
      <w:rPr>
        <w:rFonts w:hint="eastAsia" w:ascii="Times New Roman" w:hAnsi="Times New Roman" w:eastAsia="楷体_GB2312"/>
        <w:sz w:val="18"/>
        <w:szCs w:val="22"/>
        <w:lang w:val="en-US" w:eastAsia="zh-CN"/>
      </w:rPr>
      <w:t>(2021)</w:t>
    </w:r>
    <w:r>
      <w:rPr>
        <w:rFonts w:hint="eastAsia" w:ascii="Times New Roman" w:hAnsi="Times New Roman" w:eastAsia="楷体_GB2312"/>
        <w:sz w:val="18"/>
        <w:szCs w:val="22"/>
        <w:lang w:eastAsia="zh-CN"/>
      </w:rPr>
      <w:t>国创(综)字第(1</w:t>
    </w:r>
    <w:r>
      <w:rPr>
        <w:rFonts w:hint="eastAsia" w:ascii="Times New Roman" w:hAnsi="Times New Roman" w:eastAsia="楷体_GB2312"/>
        <w:sz w:val="18"/>
        <w:szCs w:val="22"/>
        <w:lang w:val="en-US" w:eastAsia="zh-CN"/>
      </w:rPr>
      <w:t>47</w:t>
    </w:r>
    <w:r>
      <w:rPr>
        <w:rFonts w:hint="eastAsia" w:ascii="Times New Roman" w:hAnsi="Times New Roman" w:eastAsia="楷体_GB2312"/>
        <w:sz w:val="18"/>
        <w:szCs w:val="22"/>
        <w:lang w:eastAsia="zh-CN"/>
      </w:rPr>
      <w:t>)号</w:t>
    </w:r>
  </w:p>
  <w:p>
    <w:pPr>
      <w:keepNext/>
      <w:keepLines/>
      <w:pageBreakBefore w:val="0"/>
      <w:widowControl w:val="0"/>
      <w:tabs>
        <w:tab w:val="left" w:pos="720"/>
      </w:tabs>
      <w:kinsoku/>
      <w:wordWrap/>
      <w:overflowPunct/>
      <w:topLinePunct w:val="0"/>
      <w:autoSpaceDE/>
      <w:autoSpaceDN/>
      <w:bidi w:val="0"/>
      <w:adjustRightInd/>
      <w:snapToGrid/>
      <w:spacing w:before="0" w:after="0" w:line="240" w:lineRule="auto"/>
      <w:ind w:left="0" w:firstLine="0"/>
      <w:jc w:val="center"/>
      <w:textAlignment w:val="auto"/>
      <w:outlineLvl w:val="9"/>
      <w:rPr>
        <w:rFonts w:eastAsia="楷体_GB2312"/>
        <w:sz w:val="44"/>
        <w:szCs w:val="44"/>
      </w:rPr>
    </w:pPr>
    <w:r>
      <w:rPr>
        <w:rFonts w:ascii="Times New Roman" w:hAnsi="Times New Roman" w:eastAsia="楷体_GB2312"/>
        <w:sz w:val="44"/>
        <w:szCs w:val="44"/>
      </w:rPr>
      <w:t>江苏国创检测技术有限公司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eastAsia="楷体_GB2312"/>
      </w:rPr>
    </w:pPr>
    <w:r>
      <w:rPr>
        <w:rFonts w:hint="eastAsia" w:ascii="楷体_GB2312" w:eastAsia="楷体_GB2312"/>
      </w:rPr>
      <w:t>文件编号</w:t>
    </w:r>
    <w:r>
      <w:rPr>
        <w:rFonts w:hint="eastAsia" w:ascii="楷体_GB2312"/>
      </w:rPr>
      <w:t>：</w:t>
    </w:r>
    <w:r>
      <w:rPr>
        <w:rFonts w:eastAsia="楷体_GB2312"/>
      </w:rPr>
      <w:t>JSGC-CX-</w:t>
    </w:r>
    <w:r>
      <w:rPr>
        <w:rFonts w:hint="eastAsia" w:eastAsia="楷体_GB2312"/>
      </w:rPr>
      <w:t>34</w:t>
    </w:r>
    <w:r>
      <w:rPr>
        <w:rFonts w:eastAsia="楷体_GB2312"/>
      </w:rPr>
      <w:t>-JL0</w:t>
    </w:r>
    <w:r>
      <w:rPr>
        <w:rFonts w:hint="eastAsia" w:eastAsia="楷体_GB2312"/>
        <w:lang w:val="en-US" w:eastAsia="zh-CN"/>
      </w:rPr>
      <w:t>9</w:t>
    </w:r>
    <w:r>
      <w:rPr>
        <w:rFonts w:eastAsia="楷体_GB2312"/>
      </w:rPr>
      <w:t>(201</w:t>
    </w:r>
    <w:r>
      <w:rPr>
        <w:rFonts w:hint="eastAsia" w:eastAsia="楷体_GB2312"/>
      </w:rPr>
      <w:t>8</w:t>
    </w:r>
    <w:r>
      <w:rPr>
        <w:rFonts w:eastAsia="楷体_GB2312"/>
      </w:rPr>
      <w:t>)</w:t>
    </w:r>
  </w:p>
  <w:p>
    <w:pPr>
      <w:numPr>
        <w:ilvl w:val="0"/>
        <w:numId w:val="0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outlineLvl w:val="0"/>
      <w:rPr>
        <w:rFonts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F5EC5"/>
    <w:multiLevelType w:val="multilevel"/>
    <w:tmpl w:val="0CEF5EC5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eastAsia="楷体_GB2312"/>
      </w:r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1">
    <w:nsid w:val="41506BD5"/>
    <w:multiLevelType w:val="multilevel"/>
    <w:tmpl w:val="41506BD5"/>
    <w:lvl w:ilvl="0" w:tentative="0">
      <w:start w:val="1"/>
      <w:numFmt w:val="bullet"/>
      <w:pStyle w:val="8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F3"/>
    <w:rsid w:val="0000319F"/>
    <w:rsid w:val="00015A93"/>
    <w:rsid w:val="000166DC"/>
    <w:rsid w:val="00047C76"/>
    <w:rsid w:val="00057068"/>
    <w:rsid w:val="0006121C"/>
    <w:rsid w:val="00061B1B"/>
    <w:rsid w:val="00077B2B"/>
    <w:rsid w:val="000A1FE2"/>
    <w:rsid w:val="000E164A"/>
    <w:rsid w:val="000E5098"/>
    <w:rsid w:val="000F6E54"/>
    <w:rsid w:val="00106FA0"/>
    <w:rsid w:val="001101C3"/>
    <w:rsid w:val="001350EB"/>
    <w:rsid w:val="00135E84"/>
    <w:rsid w:val="0014272D"/>
    <w:rsid w:val="001442D6"/>
    <w:rsid w:val="00151009"/>
    <w:rsid w:val="001624E7"/>
    <w:rsid w:val="00165CC5"/>
    <w:rsid w:val="00172802"/>
    <w:rsid w:val="001743F9"/>
    <w:rsid w:val="00180D87"/>
    <w:rsid w:val="0018368E"/>
    <w:rsid w:val="00185C33"/>
    <w:rsid w:val="001B0F34"/>
    <w:rsid w:val="001B5983"/>
    <w:rsid w:val="001D4904"/>
    <w:rsid w:val="001E6A5F"/>
    <w:rsid w:val="001F0323"/>
    <w:rsid w:val="001F04E8"/>
    <w:rsid w:val="001F5241"/>
    <w:rsid w:val="00201FAC"/>
    <w:rsid w:val="00202F9F"/>
    <w:rsid w:val="00203743"/>
    <w:rsid w:val="002048CA"/>
    <w:rsid w:val="0020605A"/>
    <w:rsid w:val="00215C11"/>
    <w:rsid w:val="00216F56"/>
    <w:rsid w:val="00220067"/>
    <w:rsid w:val="00220FDC"/>
    <w:rsid w:val="002276C0"/>
    <w:rsid w:val="00231261"/>
    <w:rsid w:val="00243AC0"/>
    <w:rsid w:val="00252439"/>
    <w:rsid w:val="00271CCE"/>
    <w:rsid w:val="0027672C"/>
    <w:rsid w:val="00293441"/>
    <w:rsid w:val="002A7D53"/>
    <w:rsid w:val="002A7DDB"/>
    <w:rsid w:val="002B4DB6"/>
    <w:rsid w:val="002C0693"/>
    <w:rsid w:val="002D7507"/>
    <w:rsid w:val="002E2757"/>
    <w:rsid w:val="002E6E86"/>
    <w:rsid w:val="00322874"/>
    <w:rsid w:val="00330400"/>
    <w:rsid w:val="00340271"/>
    <w:rsid w:val="00351359"/>
    <w:rsid w:val="00356CA1"/>
    <w:rsid w:val="003575AE"/>
    <w:rsid w:val="00375423"/>
    <w:rsid w:val="00377C03"/>
    <w:rsid w:val="003A0AD9"/>
    <w:rsid w:val="003A54C0"/>
    <w:rsid w:val="003B0F47"/>
    <w:rsid w:val="003C3E61"/>
    <w:rsid w:val="003C5F32"/>
    <w:rsid w:val="003C79FC"/>
    <w:rsid w:val="003D20F0"/>
    <w:rsid w:val="003D637A"/>
    <w:rsid w:val="003F48BF"/>
    <w:rsid w:val="00424B17"/>
    <w:rsid w:val="004301F3"/>
    <w:rsid w:val="00432B7F"/>
    <w:rsid w:val="00432E88"/>
    <w:rsid w:val="004379BE"/>
    <w:rsid w:val="00441655"/>
    <w:rsid w:val="0045197A"/>
    <w:rsid w:val="00455317"/>
    <w:rsid w:val="004553CD"/>
    <w:rsid w:val="00471DE1"/>
    <w:rsid w:val="00473610"/>
    <w:rsid w:val="00473EA1"/>
    <w:rsid w:val="004740D2"/>
    <w:rsid w:val="00474AAD"/>
    <w:rsid w:val="00474BDD"/>
    <w:rsid w:val="00475C9E"/>
    <w:rsid w:val="00477323"/>
    <w:rsid w:val="00481402"/>
    <w:rsid w:val="00486868"/>
    <w:rsid w:val="004A0266"/>
    <w:rsid w:val="004A48D4"/>
    <w:rsid w:val="00501F0D"/>
    <w:rsid w:val="005076CF"/>
    <w:rsid w:val="00510DA1"/>
    <w:rsid w:val="00516508"/>
    <w:rsid w:val="00517E2A"/>
    <w:rsid w:val="00526838"/>
    <w:rsid w:val="00531E3A"/>
    <w:rsid w:val="005328CC"/>
    <w:rsid w:val="00532A38"/>
    <w:rsid w:val="00537430"/>
    <w:rsid w:val="00544469"/>
    <w:rsid w:val="00547BF1"/>
    <w:rsid w:val="0055183B"/>
    <w:rsid w:val="00560212"/>
    <w:rsid w:val="00567278"/>
    <w:rsid w:val="00571344"/>
    <w:rsid w:val="00572A8B"/>
    <w:rsid w:val="0058257E"/>
    <w:rsid w:val="005915BD"/>
    <w:rsid w:val="00593ACF"/>
    <w:rsid w:val="005B36CA"/>
    <w:rsid w:val="005B70F7"/>
    <w:rsid w:val="005B7B12"/>
    <w:rsid w:val="005C7AE8"/>
    <w:rsid w:val="005D1889"/>
    <w:rsid w:val="005D24BB"/>
    <w:rsid w:val="005D6177"/>
    <w:rsid w:val="005E084A"/>
    <w:rsid w:val="005E76D3"/>
    <w:rsid w:val="005F00D7"/>
    <w:rsid w:val="005F7907"/>
    <w:rsid w:val="006145F1"/>
    <w:rsid w:val="00614F21"/>
    <w:rsid w:val="006203CE"/>
    <w:rsid w:val="006215EB"/>
    <w:rsid w:val="006218E0"/>
    <w:rsid w:val="00623868"/>
    <w:rsid w:val="00624408"/>
    <w:rsid w:val="00635DBA"/>
    <w:rsid w:val="00650EC5"/>
    <w:rsid w:val="00652387"/>
    <w:rsid w:val="006549C7"/>
    <w:rsid w:val="00656857"/>
    <w:rsid w:val="006711A5"/>
    <w:rsid w:val="006713A9"/>
    <w:rsid w:val="006819AF"/>
    <w:rsid w:val="0068534B"/>
    <w:rsid w:val="0068777C"/>
    <w:rsid w:val="00694DC0"/>
    <w:rsid w:val="006A0F99"/>
    <w:rsid w:val="006B20AD"/>
    <w:rsid w:val="006B24A0"/>
    <w:rsid w:val="006B746E"/>
    <w:rsid w:val="006C00E4"/>
    <w:rsid w:val="006C30E1"/>
    <w:rsid w:val="006F1C72"/>
    <w:rsid w:val="006F2377"/>
    <w:rsid w:val="006F7369"/>
    <w:rsid w:val="00720973"/>
    <w:rsid w:val="00724CA9"/>
    <w:rsid w:val="0073219A"/>
    <w:rsid w:val="00744105"/>
    <w:rsid w:val="00744452"/>
    <w:rsid w:val="0075126C"/>
    <w:rsid w:val="00761E75"/>
    <w:rsid w:val="007669D2"/>
    <w:rsid w:val="007721FD"/>
    <w:rsid w:val="007950E0"/>
    <w:rsid w:val="007B09BA"/>
    <w:rsid w:val="007D2D87"/>
    <w:rsid w:val="007E7174"/>
    <w:rsid w:val="007F31F2"/>
    <w:rsid w:val="007F43CD"/>
    <w:rsid w:val="008206D3"/>
    <w:rsid w:val="00824B0A"/>
    <w:rsid w:val="008328BE"/>
    <w:rsid w:val="00835519"/>
    <w:rsid w:val="00841D4A"/>
    <w:rsid w:val="00850855"/>
    <w:rsid w:val="0085634C"/>
    <w:rsid w:val="0086759F"/>
    <w:rsid w:val="00875691"/>
    <w:rsid w:val="008804D0"/>
    <w:rsid w:val="00880BBC"/>
    <w:rsid w:val="00883CC5"/>
    <w:rsid w:val="008844FD"/>
    <w:rsid w:val="0088739A"/>
    <w:rsid w:val="00892C9E"/>
    <w:rsid w:val="00894590"/>
    <w:rsid w:val="008A1B33"/>
    <w:rsid w:val="008B317D"/>
    <w:rsid w:val="008B71E3"/>
    <w:rsid w:val="008C7A26"/>
    <w:rsid w:val="008E35D7"/>
    <w:rsid w:val="008F107F"/>
    <w:rsid w:val="008F7AFC"/>
    <w:rsid w:val="00903087"/>
    <w:rsid w:val="00916B23"/>
    <w:rsid w:val="0091734E"/>
    <w:rsid w:val="0092271C"/>
    <w:rsid w:val="00923878"/>
    <w:rsid w:val="00926F2F"/>
    <w:rsid w:val="00942FD5"/>
    <w:rsid w:val="009603B0"/>
    <w:rsid w:val="009673BC"/>
    <w:rsid w:val="00981E40"/>
    <w:rsid w:val="00984284"/>
    <w:rsid w:val="009A24B4"/>
    <w:rsid w:val="009B1496"/>
    <w:rsid w:val="009B5A94"/>
    <w:rsid w:val="009C171D"/>
    <w:rsid w:val="009C36F6"/>
    <w:rsid w:val="00A12BA2"/>
    <w:rsid w:val="00A14AD8"/>
    <w:rsid w:val="00A2360A"/>
    <w:rsid w:val="00A26628"/>
    <w:rsid w:val="00A313C4"/>
    <w:rsid w:val="00A32E2B"/>
    <w:rsid w:val="00A330A1"/>
    <w:rsid w:val="00A406FE"/>
    <w:rsid w:val="00A410FC"/>
    <w:rsid w:val="00A70A8F"/>
    <w:rsid w:val="00A90CFD"/>
    <w:rsid w:val="00A94BDF"/>
    <w:rsid w:val="00AB19BF"/>
    <w:rsid w:val="00AC5523"/>
    <w:rsid w:val="00AC5C95"/>
    <w:rsid w:val="00AC5D9A"/>
    <w:rsid w:val="00AC78B0"/>
    <w:rsid w:val="00AD189B"/>
    <w:rsid w:val="00AD3DE9"/>
    <w:rsid w:val="00AD5F90"/>
    <w:rsid w:val="00AE3208"/>
    <w:rsid w:val="00AE5A47"/>
    <w:rsid w:val="00AE6457"/>
    <w:rsid w:val="00B07412"/>
    <w:rsid w:val="00B1154A"/>
    <w:rsid w:val="00B167AE"/>
    <w:rsid w:val="00B175D8"/>
    <w:rsid w:val="00B17EC7"/>
    <w:rsid w:val="00B24E8E"/>
    <w:rsid w:val="00B42B67"/>
    <w:rsid w:val="00B44B89"/>
    <w:rsid w:val="00B47549"/>
    <w:rsid w:val="00B7797B"/>
    <w:rsid w:val="00B814BF"/>
    <w:rsid w:val="00B95E04"/>
    <w:rsid w:val="00BA0439"/>
    <w:rsid w:val="00BA206D"/>
    <w:rsid w:val="00BB3786"/>
    <w:rsid w:val="00BC23DD"/>
    <w:rsid w:val="00BC2930"/>
    <w:rsid w:val="00BC68BE"/>
    <w:rsid w:val="00BE1417"/>
    <w:rsid w:val="00BE46E8"/>
    <w:rsid w:val="00BE5FCB"/>
    <w:rsid w:val="00BF181E"/>
    <w:rsid w:val="00C004CF"/>
    <w:rsid w:val="00C05CDD"/>
    <w:rsid w:val="00C13423"/>
    <w:rsid w:val="00C138B1"/>
    <w:rsid w:val="00C13E45"/>
    <w:rsid w:val="00C1762E"/>
    <w:rsid w:val="00C302B8"/>
    <w:rsid w:val="00C30B34"/>
    <w:rsid w:val="00C31B7E"/>
    <w:rsid w:val="00C522C5"/>
    <w:rsid w:val="00C54EED"/>
    <w:rsid w:val="00C56EB3"/>
    <w:rsid w:val="00C57F10"/>
    <w:rsid w:val="00C61F6E"/>
    <w:rsid w:val="00C67B15"/>
    <w:rsid w:val="00C707F2"/>
    <w:rsid w:val="00C7571A"/>
    <w:rsid w:val="00C877B4"/>
    <w:rsid w:val="00CB4AF3"/>
    <w:rsid w:val="00CD01F1"/>
    <w:rsid w:val="00CF0DB7"/>
    <w:rsid w:val="00CF3AE2"/>
    <w:rsid w:val="00D01D93"/>
    <w:rsid w:val="00D11EC6"/>
    <w:rsid w:val="00D212C6"/>
    <w:rsid w:val="00D2680D"/>
    <w:rsid w:val="00D26E1D"/>
    <w:rsid w:val="00D27E1F"/>
    <w:rsid w:val="00D36E80"/>
    <w:rsid w:val="00D41B10"/>
    <w:rsid w:val="00D65239"/>
    <w:rsid w:val="00D66131"/>
    <w:rsid w:val="00D666AD"/>
    <w:rsid w:val="00D70AB2"/>
    <w:rsid w:val="00D800ED"/>
    <w:rsid w:val="00D95BD7"/>
    <w:rsid w:val="00D97E35"/>
    <w:rsid w:val="00DB0058"/>
    <w:rsid w:val="00DB147F"/>
    <w:rsid w:val="00DC0574"/>
    <w:rsid w:val="00DC16DF"/>
    <w:rsid w:val="00DC2272"/>
    <w:rsid w:val="00DC30AD"/>
    <w:rsid w:val="00DC5845"/>
    <w:rsid w:val="00DC66E0"/>
    <w:rsid w:val="00DE0FDD"/>
    <w:rsid w:val="00DF4FAA"/>
    <w:rsid w:val="00DF6895"/>
    <w:rsid w:val="00E20877"/>
    <w:rsid w:val="00E27CD6"/>
    <w:rsid w:val="00E32D6D"/>
    <w:rsid w:val="00E4490B"/>
    <w:rsid w:val="00E50D29"/>
    <w:rsid w:val="00E5530F"/>
    <w:rsid w:val="00E653F9"/>
    <w:rsid w:val="00E84D5C"/>
    <w:rsid w:val="00E86674"/>
    <w:rsid w:val="00E957F8"/>
    <w:rsid w:val="00EA1A09"/>
    <w:rsid w:val="00EA5B2C"/>
    <w:rsid w:val="00EA7B27"/>
    <w:rsid w:val="00EB09CD"/>
    <w:rsid w:val="00ED18FF"/>
    <w:rsid w:val="00ED3DC6"/>
    <w:rsid w:val="00ED4B2A"/>
    <w:rsid w:val="00EE23CD"/>
    <w:rsid w:val="00EE7F47"/>
    <w:rsid w:val="00EF5014"/>
    <w:rsid w:val="00F017FB"/>
    <w:rsid w:val="00F05976"/>
    <w:rsid w:val="00F05BB6"/>
    <w:rsid w:val="00F105EA"/>
    <w:rsid w:val="00F12B7D"/>
    <w:rsid w:val="00F23F0E"/>
    <w:rsid w:val="00F25F56"/>
    <w:rsid w:val="00F263BE"/>
    <w:rsid w:val="00F26D81"/>
    <w:rsid w:val="00F30AC2"/>
    <w:rsid w:val="00F57950"/>
    <w:rsid w:val="00F6478B"/>
    <w:rsid w:val="00F6697A"/>
    <w:rsid w:val="00F814E0"/>
    <w:rsid w:val="00F82AF7"/>
    <w:rsid w:val="00F84D40"/>
    <w:rsid w:val="00F861BF"/>
    <w:rsid w:val="00F86FB1"/>
    <w:rsid w:val="00FA09DE"/>
    <w:rsid w:val="00FC1658"/>
    <w:rsid w:val="00FC4012"/>
    <w:rsid w:val="00FC7616"/>
    <w:rsid w:val="00FE4C8E"/>
    <w:rsid w:val="00FE6AFE"/>
    <w:rsid w:val="00FF3062"/>
    <w:rsid w:val="01332574"/>
    <w:rsid w:val="016351F9"/>
    <w:rsid w:val="01877D46"/>
    <w:rsid w:val="02837F05"/>
    <w:rsid w:val="02EE4AC5"/>
    <w:rsid w:val="0331519F"/>
    <w:rsid w:val="03365BDA"/>
    <w:rsid w:val="03BC69E2"/>
    <w:rsid w:val="03BF1383"/>
    <w:rsid w:val="04136A62"/>
    <w:rsid w:val="04195588"/>
    <w:rsid w:val="058945F9"/>
    <w:rsid w:val="05A669FC"/>
    <w:rsid w:val="0607067B"/>
    <w:rsid w:val="06330DA6"/>
    <w:rsid w:val="06A3513A"/>
    <w:rsid w:val="07D94946"/>
    <w:rsid w:val="08535E3A"/>
    <w:rsid w:val="08990FA9"/>
    <w:rsid w:val="08DA67D6"/>
    <w:rsid w:val="0AD0362B"/>
    <w:rsid w:val="0B565FD4"/>
    <w:rsid w:val="0C455588"/>
    <w:rsid w:val="0C6F1CF9"/>
    <w:rsid w:val="0CB974B3"/>
    <w:rsid w:val="0D0A78A1"/>
    <w:rsid w:val="0D4158E4"/>
    <w:rsid w:val="0DC912B9"/>
    <w:rsid w:val="0EFC1767"/>
    <w:rsid w:val="0F61234C"/>
    <w:rsid w:val="10F77DE1"/>
    <w:rsid w:val="120C52F8"/>
    <w:rsid w:val="135F5BD6"/>
    <w:rsid w:val="13706B7B"/>
    <w:rsid w:val="14781D25"/>
    <w:rsid w:val="149E3C60"/>
    <w:rsid w:val="15041E71"/>
    <w:rsid w:val="15CB3A4E"/>
    <w:rsid w:val="15D5037A"/>
    <w:rsid w:val="163B7B36"/>
    <w:rsid w:val="16752174"/>
    <w:rsid w:val="1694742A"/>
    <w:rsid w:val="173C7836"/>
    <w:rsid w:val="17E5373D"/>
    <w:rsid w:val="184E2F26"/>
    <w:rsid w:val="18A34564"/>
    <w:rsid w:val="190E19BD"/>
    <w:rsid w:val="194B1B96"/>
    <w:rsid w:val="19517D36"/>
    <w:rsid w:val="19F05D45"/>
    <w:rsid w:val="1A551D9E"/>
    <w:rsid w:val="1ACC1957"/>
    <w:rsid w:val="1BEF13A7"/>
    <w:rsid w:val="1C477421"/>
    <w:rsid w:val="1C622248"/>
    <w:rsid w:val="1C677035"/>
    <w:rsid w:val="1C6B03FC"/>
    <w:rsid w:val="1E0338A0"/>
    <w:rsid w:val="1E593410"/>
    <w:rsid w:val="1EA5495B"/>
    <w:rsid w:val="1FE06187"/>
    <w:rsid w:val="1FF94AD1"/>
    <w:rsid w:val="208617A6"/>
    <w:rsid w:val="20DD5470"/>
    <w:rsid w:val="21C5532A"/>
    <w:rsid w:val="21CE7280"/>
    <w:rsid w:val="22251AAE"/>
    <w:rsid w:val="22F51872"/>
    <w:rsid w:val="240113BB"/>
    <w:rsid w:val="255207FB"/>
    <w:rsid w:val="25746AD7"/>
    <w:rsid w:val="25CC3BE7"/>
    <w:rsid w:val="264E56AA"/>
    <w:rsid w:val="27B4692F"/>
    <w:rsid w:val="27B7209C"/>
    <w:rsid w:val="28FF5AE4"/>
    <w:rsid w:val="29491B87"/>
    <w:rsid w:val="29E829B9"/>
    <w:rsid w:val="2A003170"/>
    <w:rsid w:val="2A200868"/>
    <w:rsid w:val="2A5115BB"/>
    <w:rsid w:val="2A5C0505"/>
    <w:rsid w:val="2AD651E1"/>
    <w:rsid w:val="2AD90736"/>
    <w:rsid w:val="2B107435"/>
    <w:rsid w:val="2B1F686E"/>
    <w:rsid w:val="2CA46C11"/>
    <w:rsid w:val="2CB25A15"/>
    <w:rsid w:val="2D103026"/>
    <w:rsid w:val="2D445FCD"/>
    <w:rsid w:val="2DD02BEC"/>
    <w:rsid w:val="2E2F7642"/>
    <w:rsid w:val="2EAF2735"/>
    <w:rsid w:val="2EDD302B"/>
    <w:rsid w:val="2FDB06C6"/>
    <w:rsid w:val="3099340E"/>
    <w:rsid w:val="313E7CF1"/>
    <w:rsid w:val="31C10C78"/>
    <w:rsid w:val="31E9487D"/>
    <w:rsid w:val="32511B30"/>
    <w:rsid w:val="32784232"/>
    <w:rsid w:val="33A20191"/>
    <w:rsid w:val="33A667D5"/>
    <w:rsid w:val="34D96F09"/>
    <w:rsid w:val="350D2A54"/>
    <w:rsid w:val="359B7E75"/>
    <w:rsid w:val="365E5029"/>
    <w:rsid w:val="3663250F"/>
    <w:rsid w:val="37F1007C"/>
    <w:rsid w:val="38277758"/>
    <w:rsid w:val="385546F8"/>
    <w:rsid w:val="385C063E"/>
    <w:rsid w:val="38784659"/>
    <w:rsid w:val="38C83B0B"/>
    <w:rsid w:val="38D71B8D"/>
    <w:rsid w:val="3A0F27F4"/>
    <w:rsid w:val="3A65669B"/>
    <w:rsid w:val="3A8531E3"/>
    <w:rsid w:val="3AA4217E"/>
    <w:rsid w:val="3C2175C5"/>
    <w:rsid w:val="3C97726F"/>
    <w:rsid w:val="3D9D586E"/>
    <w:rsid w:val="3E1D433A"/>
    <w:rsid w:val="3E9F6244"/>
    <w:rsid w:val="3EAA6764"/>
    <w:rsid w:val="3ED1438B"/>
    <w:rsid w:val="3F76201C"/>
    <w:rsid w:val="3FA950EF"/>
    <w:rsid w:val="42C77580"/>
    <w:rsid w:val="42E85417"/>
    <w:rsid w:val="43E80A6A"/>
    <w:rsid w:val="44574901"/>
    <w:rsid w:val="451458C4"/>
    <w:rsid w:val="45D934CD"/>
    <w:rsid w:val="461051E8"/>
    <w:rsid w:val="463D379F"/>
    <w:rsid w:val="46A55972"/>
    <w:rsid w:val="48340ECC"/>
    <w:rsid w:val="48D15526"/>
    <w:rsid w:val="49F42814"/>
    <w:rsid w:val="4A7358CD"/>
    <w:rsid w:val="4BF21D05"/>
    <w:rsid w:val="4C1668DE"/>
    <w:rsid w:val="4D233D98"/>
    <w:rsid w:val="4D7554F5"/>
    <w:rsid w:val="4DDE0196"/>
    <w:rsid w:val="4DFD2DB0"/>
    <w:rsid w:val="4FDB7ABD"/>
    <w:rsid w:val="501C7D01"/>
    <w:rsid w:val="50317DEC"/>
    <w:rsid w:val="505A1728"/>
    <w:rsid w:val="50BA7B11"/>
    <w:rsid w:val="51D639BB"/>
    <w:rsid w:val="52F230E1"/>
    <w:rsid w:val="531429C2"/>
    <w:rsid w:val="532576D0"/>
    <w:rsid w:val="54740488"/>
    <w:rsid w:val="54E51218"/>
    <w:rsid w:val="54E73582"/>
    <w:rsid w:val="55564441"/>
    <w:rsid w:val="55587AD2"/>
    <w:rsid w:val="557F1FD6"/>
    <w:rsid w:val="56584B98"/>
    <w:rsid w:val="56F442D5"/>
    <w:rsid w:val="57146F4B"/>
    <w:rsid w:val="57380A2B"/>
    <w:rsid w:val="575C0946"/>
    <w:rsid w:val="59091A8F"/>
    <w:rsid w:val="59C06078"/>
    <w:rsid w:val="59F87A2E"/>
    <w:rsid w:val="59FC441B"/>
    <w:rsid w:val="5A6C6CC4"/>
    <w:rsid w:val="5AEF5963"/>
    <w:rsid w:val="5B072286"/>
    <w:rsid w:val="5B1114D6"/>
    <w:rsid w:val="5B491CFB"/>
    <w:rsid w:val="5C3E7319"/>
    <w:rsid w:val="5C4446C6"/>
    <w:rsid w:val="5C6A6858"/>
    <w:rsid w:val="5CDC56DF"/>
    <w:rsid w:val="5DA519B9"/>
    <w:rsid w:val="601C2665"/>
    <w:rsid w:val="61C3439F"/>
    <w:rsid w:val="62CF7C6C"/>
    <w:rsid w:val="63532C78"/>
    <w:rsid w:val="63620830"/>
    <w:rsid w:val="646F06D0"/>
    <w:rsid w:val="65130E17"/>
    <w:rsid w:val="65414E71"/>
    <w:rsid w:val="658C1EDC"/>
    <w:rsid w:val="65A03CFA"/>
    <w:rsid w:val="664F150A"/>
    <w:rsid w:val="66D052D4"/>
    <w:rsid w:val="68B7399D"/>
    <w:rsid w:val="68C4672A"/>
    <w:rsid w:val="68EF58D4"/>
    <w:rsid w:val="69703070"/>
    <w:rsid w:val="69D05022"/>
    <w:rsid w:val="69DA336A"/>
    <w:rsid w:val="6C314EB7"/>
    <w:rsid w:val="6C3C0FAA"/>
    <w:rsid w:val="6C624F4F"/>
    <w:rsid w:val="6E087BEF"/>
    <w:rsid w:val="6E5F3810"/>
    <w:rsid w:val="6E673991"/>
    <w:rsid w:val="6E683D6B"/>
    <w:rsid w:val="6EC1644C"/>
    <w:rsid w:val="6F23504F"/>
    <w:rsid w:val="6FA540AF"/>
    <w:rsid w:val="6FA66D33"/>
    <w:rsid w:val="6FE04CDF"/>
    <w:rsid w:val="6FEA75A1"/>
    <w:rsid w:val="70074C65"/>
    <w:rsid w:val="7017521D"/>
    <w:rsid w:val="706C0AC2"/>
    <w:rsid w:val="71A02AFF"/>
    <w:rsid w:val="71A27EA1"/>
    <w:rsid w:val="71CC64ED"/>
    <w:rsid w:val="7292433B"/>
    <w:rsid w:val="73393A4C"/>
    <w:rsid w:val="736175F0"/>
    <w:rsid w:val="74FC135B"/>
    <w:rsid w:val="75D96E69"/>
    <w:rsid w:val="75DF4AB5"/>
    <w:rsid w:val="775B3BD5"/>
    <w:rsid w:val="775E6258"/>
    <w:rsid w:val="779D1A48"/>
    <w:rsid w:val="77E67D1A"/>
    <w:rsid w:val="781111F3"/>
    <w:rsid w:val="78817DF2"/>
    <w:rsid w:val="78B520BE"/>
    <w:rsid w:val="79634016"/>
    <w:rsid w:val="79DF1B2C"/>
    <w:rsid w:val="7AD03AAC"/>
    <w:rsid w:val="7AFF568D"/>
    <w:rsid w:val="7BE1772D"/>
    <w:rsid w:val="7C0730CC"/>
    <w:rsid w:val="7CF85045"/>
    <w:rsid w:val="7DAE78D2"/>
    <w:rsid w:val="7DD9480E"/>
    <w:rsid w:val="7E554BFD"/>
    <w:rsid w:val="7E7C76BD"/>
    <w:rsid w:val="7EEE245E"/>
    <w:rsid w:val="7F220056"/>
    <w:rsid w:val="7F3624F5"/>
    <w:rsid w:val="7F392197"/>
    <w:rsid w:val="7F5A0C74"/>
    <w:rsid w:val="7F8A5D4B"/>
    <w:rsid w:val="7FAE37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tabs>
        <w:tab w:val="left" w:pos="720"/>
      </w:tabs>
      <w:spacing w:before="260" w:after="260" w:line="416" w:lineRule="auto"/>
      <w:ind w:left="720" w:hanging="720"/>
      <w:jc w:val="both"/>
      <w:outlineLvl w:val="2"/>
    </w:pPr>
    <w:rPr>
      <w:rFonts w:eastAsia="宋体"/>
      <w:b/>
      <w:bCs/>
      <w:kern w:val="2"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jc w:val="center"/>
    </w:pPr>
    <w:rPr>
      <w:rFonts w:ascii="仿宋_GB2312" w:eastAsia="仿宋_GB2312"/>
      <w:spacing w:val="-20"/>
      <w:kern w:val="0"/>
      <w:sz w:val="2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qFormat/>
    <w:uiPriority w:val="0"/>
    <w:pPr>
      <w:numPr>
        <w:ilvl w:val="0"/>
        <w:numId w:val="1"/>
      </w:numPr>
      <w:tabs>
        <w:tab w:val="left" w:pos="1200"/>
        <w:tab w:val="clear" w:pos="420"/>
      </w:tabs>
      <w:ind w:left="1200" w:hanging="720"/>
    </w:pPr>
    <w:rPr>
      <w:rFonts w:ascii="仿宋_GB2312" w:eastAsia="仿宋_GB2312"/>
      <w:sz w:val="24"/>
    </w:rPr>
  </w:style>
  <w:style w:type="paragraph" w:styleId="9">
    <w:name w:val="annotation subject"/>
    <w:basedOn w:val="3"/>
    <w:next w:val="3"/>
    <w:link w:val="17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customStyle="1" w:styleId="16">
    <w:name w:val="批注文字 字符"/>
    <w:link w:val="3"/>
    <w:qFormat/>
    <w:uiPriority w:val="0"/>
    <w:rPr>
      <w:kern w:val="2"/>
      <w:sz w:val="21"/>
      <w:szCs w:val="24"/>
    </w:rPr>
  </w:style>
  <w:style w:type="character" w:customStyle="1" w:styleId="17">
    <w:name w:val="批注主题 字符"/>
    <w:link w:val="9"/>
    <w:qFormat/>
    <w:uiPriority w:val="0"/>
    <w:rPr>
      <w:b/>
      <w:bCs/>
      <w:kern w:val="2"/>
      <w:sz w:val="21"/>
      <w:szCs w:val="24"/>
    </w:rPr>
  </w:style>
  <w:style w:type="character" w:customStyle="1" w:styleId="18">
    <w:name w:val="apple-converted-space"/>
    <w:basedOn w:val="12"/>
    <w:qFormat/>
    <w:uiPriority w:val="0"/>
  </w:style>
  <w:style w:type="paragraph" w:customStyle="1" w:styleId="19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20">
    <w:name w:val="xl2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楷体_GB2312" w:hAnsi="Arial Unicode MS" w:eastAsia="楷体_GB2312" w:cs="Arial Unicode MS"/>
      <w:kern w:val="0"/>
      <w:sz w:val="24"/>
    </w:rPr>
  </w:style>
  <w:style w:type="paragraph" w:customStyle="1" w:styleId="21">
    <w:name w:val="Char Char Char"/>
    <w:basedOn w:val="1"/>
    <w:qFormat/>
    <w:uiPriority w:val="0"/>
    <w:rPr>
      <w:sz w:val="24"/>
    </w:rPr>
  </w:style>
  <w:style w:type="paragraph" w:customStyle="1" w:styleId="22">
    <w:name w:val="默认段落字体 Para Char Char Char Char"/>
    <w:basedOn w:val="1"/>
    <w:qFormat/>
    <w:uiPriority w:val="0"/>
    <w:rPr>
      <w:rFonts w:eastAsia="仿宋_GB2312"/>
      <w:sz w:val="24"/>
      <w:szCs w:val="20"/>
    </w:rPr>
  </w:style>
  <w:style w:type="paragraph" w:customStyle="1" w:styleId="23">
    <w:name w:val="xl3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hint="eastAsia" w:ascii="楷体_GB2312" w:hAnsi="Arial Unicode MS" w:eastAsia="楷体_GB2312" w:cs="Arial Unicode MS"/>
      <w:b/>
      <w:bCs/>
      <w:kern w:val="0"/>
      <w:sz w:val="32"/>
      <w:szCs w:val="32"/>
    </w:rPr>
  </w:style>
  <w:style w:type="paragraph" w:customStyle="1" w:styleId="24">
    <w:name w:val="!正文"/>
    <w:basedOn w:val="1"/>
    <w:qFormat/>
    <w:uiPriority w:val="0"/>
    <w:pPr>
      <w:tabs>
        <w:tab w:val="left" w:pos="840"/>
      </w:tabs>
      <w:spacing w:line="312" w:lineRule="auto"/>
      <w:ind w:firstLine="200" w:firstLineChars="200"/>
    </w:pPr>
    <w:rPr>
      <w:rFonts w:ascii="Times New Roman"/>
      <w:sz w:val="24"/>
    </w:rPr>
  </w:style>
  <w:style w:type="paragraph" w:customStyle="1" w:styleId="25">
    <w:name w:val="Char Char Char Char7"/>
    <w:basedOn w:val="1"/>
    <w:qFormat/>
    <w:uiPriority w:val="0"/>
    <w:rPr>
      <w:rFonts w:ascii="Times New Roman"/>
    </w:rPr>
  </w:style>
  <w:style w:type="character" w:customStyle="1" w:styleId="26">
    <w:name w:val="font21"/>
    <w:basedOn w:val="12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7">
    <w:name w:val="font11"/>
    <w:basedOn w:val="12"/>
    <w:qFormat/>
    <w:uiPriority w:val="0"/>
    <w:rPr>
      <w:rFonts w:hint="default" w:ascii="楷体_GB2312" w:eastAsia="楷体_GB2312" w:cs="楷体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716D7-3639-42F9-A2A6-2650C42FA5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南通市环境监测中心站</Company>
  <Pages>10</Pages>
  <Words>719</Words>
  <Characters>4100</Characters>
  <Lines>34</Lines>
  <Paragraphs>9</Paragraphs>
  <TotalTime>3</TotalTime>
  <ScaleCrop>false</ScaleCrop>
  <LinksUpToDate>false</LinksUpToDate>
  <CharactersWithSpaces>4810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2019-07-05T04:32:00Z</dcterms:created>
  <dc:creator>监测二室</dc:creator>
  <cp:lastModifiedBy>养乐多的Amy</cp:lastModifiedBy>
  <cp:lastPrinted>2020-08-24T01:55:00Z</cp:lastPrinted>
  <dcterms:modified xsi:type="dcterms:W3CDTF">2021-05-12T07:27:42Z</dcterms:modified>
  <dc:title>(2001)环监（气）字第（028）号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B3B9825FB4894F63A365C8D0C0A81D8C</vt:lpwstr>
  </property>
</Properties>
</file>