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val="en-US" w:eastAsia="zh-CN"/>
        </w:rPr>
        <w:t>血流动力学监测系统及配套耗材</w:t>
      </w:r>
      <w:r>
        <w:rPr>
          <w:rFonts w:hint="eastAsia" w:ascii="华文中宋" w:hAnsi="华文中宋" w:eastAsia="华文中宋"/>
          <w:b/>
          <w:bCs/>
          <w:sz w:val="36"/>
          <w:szCs w:val="36"/>
        </w:rPr>
        <w:t>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val="en-US" w:eastAsia="zh-CN"/>
        </w:rPr>
        <w:t>血流动力学监测系统及配套耗材</w:t>
      </w:r>
      <w:r>
        <w:rPr>
          <w:rFonts w:hint="eastAsia" w:ascii="仿宋" w:hAnsi="仿宋" w:eastAsia="仿宋"/>
          <w:sz w:val="32"/>
          <w:szCs w:val="32"/>
        </w:rPr>
        <w:t>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8"/>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8"/>
        <w:gridCol w:w="1725"/>
        <w:gridCol w:w="357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1725"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3570" w:type="dxa"/>
          </w:tcPr>
          <w:p>
            <w:pPr>
              <w:spacing w:line="276" w:lineRule="auto"/>
              <w:jc w:val="cente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rPr>
              <w:t>配套</w:t>
            </w:r>
            <w:r>
              <w:rPr>
                <w:rFonts w:hint="eastAsia" w:ascii="仿宋" w:hAnsi="仿宋" w:eastAsia="仿宋" w:cs="Times New Roman"/>
                <w:b/>
                <w:bCs/>
                <w:sz w:val="24"/>
                <w:szCs w:val="24"/>
                <w:lang w:eastAsia="zh-CN"/>
              </w:rPr>
              <w:t>试剂</w:t>
            </w:r>
            <w:r>
              <w:rPr>
                <w:rFonts w:hint="eastAsia" w:ascii="仿宋" w:hAnsi="仿宋" w:eastAsia="仿宋" w:cs="Times New Roman"/>
                <w:b/>
                <w:bCs/>
                <w:sz w:val="24"/>
                <w:szCs w:val="24"/>
                <w:lang w:val="en-US" w:eastAsia="zh-CN"/>
              </w:rPr>
              <w:t>/耗材</w:t>
            </w:r>
          </w:p>
        </w:tc>
        <w:tc>
          <w:tcPr>
            <w:tcW w:w="908" w:type="dxa"/>
          </w:tcPr>
          <w:p>
            <w:pPr>
              <w:spacing w:line="276" w:lineRule="auto"/>
              <w:jc w:val="center"/>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血流动力学监测系统及配套耗材</w:t>
            </w:r>
          </w:p>
        </w:tc>
        <w:tc>
          <w:tcPr>
            <w:tcW w:w="172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1.漂浮导管</w:t>
            </w:r>
          </w:p>
          <w:p>
            <w:pPr>
              <w:jc w:val="left"/>
              <w:rPr>
                <w:rFonts w:hint="default" w:ascii="仿宋" w:hAnsi="仿宋" w:eastAsia="仿宋" w:cs="仿宋"/>
                <w:szCs w:val="21"/>
                <w:lang w:val="en-US" w:eastAsia="zh-CN"/>
              </w:rPr>
            </w:pPr>
            <w:r>
              <w:rPr>
                <w:rFonts w:hint="eastAsia" w:ascii="仿宋" w:hAnsi="仿宋" w:eastAsia="仿宋" w:cs="仿宋"/>
                <w:i w:val="0"/>
                <w:iCs w:val="0"/>
                <w:color w:val="auto"/>
                <w:kern w:val="0"/>
                <w:sz w:val="24"/>
                <w:szCs w:val="24"/>
                <w:u w:val="none"/>
                <w:lang w:val="en-US" w:eastAsia="zh-CN" w:bidi="ar"/>
              </w:rPr>
              <w:t>2.经皮鞘穿刺组</w:t>
            </w:r>
          </w:p>
        </w:tc>
        <w:tc>
          <w:tcPr>
            <w:tcW w:w="908" w:type="dxa"/>
            <w:vAlign w:val="center"/>
          </w:tcPr>
          <w:p>
            <w:pPr>
              <w:jc w:val="left"/>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大血管闭合钳手柄、管鞘、封帽</w:t>
            </w:r>
          </w:p>
        </w:tc>
        <w:tc>
          <w:tcPr>
            <w:tcW w:w="172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w:t>
            </w:r>
          </w:p>
        </w:tc>
        <w:tc>
          <w:tcPr>
            <w:tcW w:w="3570" w:type="dxa"/>
            <w:vAlign w:val="center"/>
          </w:tcPr>
          <w:p>
            <w:pPr>
              <w:numPr>
                <w:ilvl w:val="0"/>
                <w:numId w:val="0"/>
              </w:numPr>
              <w:ind w:leftChars="0"/>
              <w:jc w:val="left"/>
              <w:rPr>
                <w:rFonts w:hint="eastAsia" w:ascii="仿宋" w:hAnsi="仿宋" w:eastAsia="仿宋" w:cs="仿宋"/>
                <w:kern w:val="0"/>
                <w:szCs w:val="21"/>
                <w:lang w:eastAsia="zh-CN" w:bidi="ar"/>
              </w:rPr>
            </w:pPr>
          </w:p>
        </w:tc>
        <w:tc>
          <w:tcPr>
            <w:tcW w:w="908" w:type="dxa"/>
            <w:vAlign w:val="center"/>
          </w:tcPr>
          <w:p>
            <w:pPr>
              <w:numPr>
                <w:ilvl w:val="0"/>
                <w:numId w:val="0"/>
              </w:numPr>
              <w:ind w:leftChars="0"/>
              <w:jc w:val="left"/>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医用输血输液加温器</w:t>
            </w:r>
          </w:p>
        </w:tc>
        <w:tc>
          <w:tcPr>
            <w:tcW w:w="1725" w:type="dxa"/>
            <w:vAlign w:val="center"/>
          </w:tcPr>
          <w:p>
            <w:pPr>
              <w:keepNext w:val="0"/>
              <w:keepLines w:val="0"/>
              <w:widowControl/>
              <w:suppressLineNumbers w:val="0"/>
              <w:jc w:val="center"/>
              <w:textAlignment w:val="center"/>
              <w:rPr>
                <w:rFonts w:hint="eastAsia"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10</w:t>
            </w:r>
          </w:p>
        </w:tc>
        <w:tc>
          <w:tcPr>
            <w:tcW w:w="3570" w:type="dxa"/>
            <w:vAlign w:val="center"/>
          </w:tcPr>
          <w:p>
            <w:pPr>
              <w:jc w:val="left"/>
              <w:rPr>
                <w:rFonts w:hint="eastAsia" w:ascii="仿宋" w:hAnsi="仿宋" w:eastAsia="仿宋" w:cs="仿宋"/>
                <w:kern w:val="0"/>
                <w:szCs w:val="21"/>
                <w:lang w:eastAsia="zh-CN" w:bidi="ar"/>
              </w:rPr>
            </w:pPr>
          </w:p>
        </w:tc>
        <w:tc>
          <w:tcPr>
            <w:tcW w:w="908" w:type="dxa"/>
            <w:vAlign w:val="center"/>
          </w:tcPr>
          <w:p>
            <w:pPr>
              <w:jc w:val="left"/>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输血输液加温仪（加温加压型）</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3570" w:type="dxa"/>
            <w:vAlign w:val="center"/>
          </w:tcPr>
          <w:p>
            <w:pPr>
              <w:keepNext w:val="0"/>
              <w:keepLines w:val="0"/>
              <w:widowControl/>
              <w:suppressLineNumbers w:val="0"/>
              <w:jc w:val="left"/>
              <w:textAlignment w:val="center"/>
              <w:rPr>
                <w:rFonts w:hint="eastAsia" w:ascii="仿宋" w:hAnsi="仿宋" w:eastAsia="仿宋" w:cs="仿宋"/>
                <w:kern w:val="0"/>
                <w:szCs w:val="21"/>
                <w:lang w:eastAsia="zh-CN" w:bidi="ar"/>
              </w:rPr>
            </w:pPr>
          </w:p>
        </w:tc>
        <w:tc>
          <w:tcPr>
            <w:tcW w:w="908" w:type="dxa"/>
            <w:vAlign w:val="center"/>
          </w:tcPr>
          <w:p>
            <w:pPr>
              <w:keepNext w:val="0"/>
              <w:keepLines w:val="0"/>
              <w:widowControl/>
              <w:suppressLineNumbers w:val="0"/>
              <w:jc w:val="left"/>
              <w:textAlignment w:val="center"/>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高频电刀及配套耗材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3570" w:type="dxa"/>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随弃式导电粘胶中性极板</w:t>
            </w:r>
          </w:p>
        </w:tc>
        <w:tc>
          <w:tcPr>
            <w:tcW w:w="90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冲洗液袋用加压器</w:t>
            </w:r>
          </w:p>
        </w:tc>
        <w:tc>
          <w:tcPr>
            <w:tcW w:w="1725"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6</w:t>
            </w:r>
          </w:p>
        </w:tc>
        <w:tc>
          <w:tcPr>
            <w:tcW w:w="3570"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骨科动力系统磨钻手柄 </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3570" w:type="dxa"/>
            <w:vAlign w:val="center"/>
          </w:tcPr>
          <w:p>
            <w:pPr>
              <w:keepNext w:val="0"/>
              <w:keepLines w:val="0"/>
              <w:widowControl/>
              <w:suppressLineNumbers w:val="0"/>
              <w:jc w:val="left"/>
              <w:textAlignment w:val="center"/>
              <w:rPr>
                <w:rFonts w:hint="default" w:ascii="仿宋" w:hAnsi="仿宋" w:eastAsia="仿宋" w:cs="仿宋"/>
                <w:kern w:val="0"/>
                <w:szCs w:val="21"/>
                <w:lang w:val="en-US" w:eastAsia="zh-CN" w:bidi="ar"/>
              </w:rPr>
            </w:pPr>
          </w:p>
        </w:tc>
        <w:tc>
          <w:tcPr>
            <w:tcW w:w="908" w:type="dxa"/>
            <w:vMerge w:val="restart"/>
            <w:vAlign w:val="center"/>
          </w:tcPr>
          <w:p>
            <w:pPr>
              <w:keepNext w:val="0"/>
              <w:keepLines w:val="0"/>
              <w:widowControl/>
              <w:suppressLineNumbers w:val="0"/>
              <w:ind w:firstLine="207" w:firstLineChars="0"/>
              <w:jc w:val="left"/>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打包，不可拆包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骨科动力系统磨钻手柄线 </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 xml:space="preserve">5 </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Merge w:val="continue"/>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医用支撑腿架</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超声经颅多普勒血流分析仪</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泌尿专用数字化彩色超声诊疗装置</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钬激光手术系统及配套耗材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1.550um光纤(重复使用）、一次性</w:t>
            </w:r>
          </w:p>
          <w:p>
            <w:pPr>
              <w:keepNext w:val="0"/>
              <w:keepLines w:val="0"/>
              <w:widowControl/>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2.200um光纤(重复使用）、一次性</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肾脏灌注运转箱及配套耗材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3570"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1.输注循环管路套装 </w:t>
            </w:r>
          </w:p>
          <w:p>
            <w:pPr>
              <w:keepNext w:val="0"/>
              <w:keepLines w:val="0"/>
              <w:widowControl/>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2.器官保存液</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清创水刀系统及配套耗材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1.清创水刀系统-一次性手柄：Exact一次性手柄（15°/14mm）；</w:t>
            </w:r>
          </w:p>
          <w:p>
            <w:pPr>
              <w:keepNext w:val="0"/>
              <w:keepLines w:val="0"/>
              <w:widowControl/>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2.清创水刀系统-一次性手柄：Exact一次性手柄（45°/14mm）</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心血管光学相干断层成像设备OCT及配套耗材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一次性使用血管内成像导管</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负压辅助静脉引流控制器</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床旁脑电系统监测仪</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经皮血氧二氧化碳检测仪及配套耗材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keepNext w:val="0"/>
              <w:keepLines w:val="0"/>
              <w:widowControl/>
              <w:numPr>
                <w:ilvl w:val="0"/>
                <w:numId w:val="0"/>
              </w:numPr>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1.固定环套装（可用24小时）</w:t>
            </w:r>
          </w:p>
          <w:p>
            <w:pPr>
              <w:keepNext w:val="0"/>
              <w:keepLines w:val="0"/>
              <w:widowControl/>
              <w:numPr>
                <w:ilvl w:val="0"/>
                <w:numId w:val="0"/>
              </w:numPr>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2.电极膜套装（可用一周，所有人共用）</w:t>
            </w:r>
          </w:p>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3.定标气瓶（可用100人次）</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高通量基因测序仪及配套耗材</w:t>
            </w:r>
          </w:p>
        </w:tc>
        <w:tc>
          <w:tcPr>
            <w:tcW w:w="1725" w:type="dxa"/>
            <w:vAlign w:val="center"/>
          </w:tcPr>
          <w:p>
            <w:pPr>
              <w:keepNext w:val="0"/>
              <w:keepLines w:val="0"/>
              <w:widowControl/>
              <w:suppressLineNumbers w:val="0"/>
              <w:jc w:val="center"/>
              <w:textAlignment w:val="center"/>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1.AML/MDS相关基因突变检测试剂盒 (22) 16T/kit ；</w:t>
            </w:r>
          </w:p>
          <w:p>
            <w:pPr>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2.AML/MDS/MPN相关基因突变检测试剂盒(38) 16T/kit；</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3.AML相关基因突变检测试剂盒(54) 16T/kit；</w:t>
            </w:r>
          </w:p>
          <w:p>
            <w:pPr>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4.Ph-like相关基因突变检测试剂盒（16)  16T/kit；</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5.噬血细胞综合征检测试剂盒（18） 16T/kit ；</w:t>
            </w:r>
          </w:p>
          <w:p>
            <w:pPr>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6.易栓症检测试剂盒（8）  16T/kit；</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7.MM相关基因突变检测试剂盒(52)16T/kit；</w:t>
            </w:r>
          </w:p>
          <w:p>
            <w:pPr>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8.DLBCL相关基因突变检测试剂盒（59）16T/kit；</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9.B细胞淋巴瘤相关基因突变检测试剂盒（47)  16T/kit ；</w:t>
            </w:r>
          </w:p>
          <w:p>
            <w:pPr>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10.T细胞淋巴瘤相关基因突变检测试剂盒（41） 16T/kit；</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11.免疫球蛋白基因重排检测试剂盒(IGH)16T/kit ；</w:t>
            </w:r>
          </w:p>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12.免疫球蛋白基因重排检测试剂盒(IGK)  16T/kit；</w:t>
            </w:r>
          </w:p>
          <w:p>
            <w:pPr>
              <w:pStyle w:val="2"/>
              <w:numPr>
                <w:ilvl w:val="0"/>
                <w:numId w:val="0"/>
              </w:numPr>
              <w:ind w:leftChars="0"/>
              <w:rPr>
                <w:rFonts w:hint="default" w:ascii="仿宋" w:hAnsi="仿宋" w:eastAsia="仿宋" w:cs="仿宋"/>
                <w:kern w:val="0"/>
                <w:szCs w:val="21"/>
                <w:lang w:val="en-US" w:eastAsia="zh-CN" w:bidi="ar"/>
              </w:rPr>
            </w:pPr>
            <w:r>
              <w:rPr>
                <w:rFonts w:hint="eastAsia" w:ascii="仿宋" w:hAnsi="仿宋" w:eastAsia="仿宋" w:cs="仿宋"/>
                <w:i w:val="0"/>
                <w:iCs w:val="0"/>
                <w:color w:val="auto"/>
                <w:kern w:val="0"/>
                <w:sz w:val="24"/>
                <w:szCs w:val="24"/>
                <w:u w:val="none"/>
                <w:lang w:val="en-US" w:eastAsia="zh-CN" w:bidi="ar"/>
              </w:rPr>
              <w:t>13.TCR基因重排检测试剂盒  16T/kit</w:t>
            </w: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28"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全自动染色体收获仪</w:t>
            </w:r>
          </w:p>
        </w:tc>
        <w:tc>
          <w:tcPr>
            <w:tcW w:w="172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570" w:type="dxa"/>
            <w:vAlign w:val="center"/>
          </w:tcPr>
          <w:p>
            <w:pPr>
              <w:pStyle w:val="2"/>
              <w:numPr>
                <w:ilvl w:val="0"/>
                <w:numId w:val="0"/>
              </w:numPr>
              <w:ind w:leftChars="0"/>
              <w:rPr>
                <w:rFonts w:hint="eastAsia" w:ascii="仿宋" w:hAnsi="仿宋" w:eastAsia="仿宋" w:cs="仿宋"/>
                <w:i w:val="0"/>
                <w:iCs w:val="0"/>
                <w:color w:val="auto"/>
                <w:kern w:val="0"/>
                <w:sz w:val="24"/>
                <w:szCs w:val="24"/>
                <w:u w:val="none"/>
                <w:lang w:val="en-US" w:eastAsia="zh-CN" w:bidi="ar"/>
              </w:rPr>
            </w:pPr>
          </w:p>
        </w:tc>
        <w:tc>
          <w:tcPr>
            <w:tcW w:w="908" w:type="dxa"/>
            <w:vAlign w:val="center"/>
          </w:tcPr>
          <w:p>
            <w:pPr>
              <w:keepNext w:val="0"/>
              <w:keepLines w:val="0"/>
              <w:widowControl/>
              <w:numPr>
                <w:ilvl w:val="0"/>
                <w:numId w:val="0"/>
              </w:numPr>
              <w:suppressLineNumbers w:val="0"/>
              <w:jc w:val="left"/>
              <w:textAlignment w:val="center"/>
              <w:rPr>
                <w:rFonts w:hint="default" w:ascii="仿宋" w:hAnsi="仿宋" w:eastAsia="仿宋" w:cs="仿宋"/>
                <w:kern w:val="0"/>
                <w:szCs w:val="21"/>
                <w:lang w:val="en-US" w:eastAsia="zh-CN" w:bidi="ar"/>
              </w:rPr>
            </w:pP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w:t>
      </w:r>
      <w:r>
        <w:rPr>
          <w:rFonts w:hint="eastAsia" w:ascii="黑体" w:hAnsi="黑体" w:eastAsia="黑体" w:cs="黑体"/>
          <w:b/>
          <w:bCs/>
          <w:kern w:val="0"/>
          <w:sz w:val="32"/>
          <w:szCs w:val="32"/>
          <w:lang w:eastAsia="zh-CN"/>
        </w:rPr>
        <w:t>为</w:t>
      </w:r>
      <w:r>
        <w:rPr>
          <w:rFonts w:hint="eastAsia" w:ascii="黑体" w:hAnsi="黑体" w:eastAsia="黑体" w:cs="黑体"/>
          <w:b/>
          <w:bCs/>
          <w:kern w:val="0"/>
          <w:sz w:val="32"/>
          <w:szCs w:val="32"/>
          <w:lang w:val="en-US" w:eastAsia="zh-CN"/>
        </w:rPr>
        <w:t>血流动力学监测系统及配套耗材</w:t>
      </w:r>
      <w:r>
        <w:rPr>
          <w:rFonts w:hint="eastAsia" w:ascii="黑体" w:hAnsi="黑体" w:eastAsia="黑体" w:cs="黑体"/>
          <w:b/>
          <w:bCs/>
          <w:kern w:val="0"/>
          <w:sz w:val="32"/>
          <w:szCs w:val="32"/>
        </w:rPr>
        <w:t>等</w:t>
      </w:r>
      <w:r>
        <w:rPr>
          <w:rFonts w:hint="eastAsia" w:ascii="黑体" w:hAnsi="黑体" w:eastAsia="黑体" w:cs="黑体"/>
          <w:b/>
          <w:bCs/>
          <w:kern w:val="0"/>
          <w:sz w:val="32"/>
          <w:szCs w:val="32"/>
          <w:lang w:eastAsia="zh-CN"/>
        </w:rPr>
        <w:t>设备项</w:t>
      </w:r>
      <w:r>
        <w:rPr>
          <w:rFonts w:hint="eastAsia" w:ascii="黑体" w:hAnsi="黑体" w:eastAsia="黑体" w:cs="黑体"/>
          <w:b/>
          <w:bCs/>
          <w:kern w:val="0"/>
          <w:sz w:val="32"/>
          <w:szCs w:val="32"/>
        </w:rPr>
        <w:t>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bookmarkStart w:id="4" w:name="_GoBack"/>
      <w:bookmarkEnd w:id="4"/>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8B916BF"/>
    <w:rsid w:val="09784CA3"/>
    <w:rsid w:val="0E2C1FD5"/>
    <w:rsid w:val="12295B6E"/>
    <w:rsid w:val="123D5D69"/>
    <w:rsid w:val="1BB95724"/>
    <w:rsid w:val="1D9549DC"/>
    <w:rsid w:val="204C2EB5"/>
    <w:rsid w:val="29203867"/>
    <w:rsid w:val="2A5E2C90"/>
    <w:rsid w:val="2BC2669F"/>
    <w:rsid w:val="2C5E77B9"/>
    <w:rsid w:val="2EAC236E"/>
    <w:rsid w:val="3709261A"/>
    <w:rsid w:val="37387F61"/>
    <w:rsid w:val="375826BB"/>
    <w:rsid w:val="3A0113A9"/>
    <w:rsid w:val="3EA575EF"/>
    <w:rsid w:val="478E144F"/>
    <w:rsid w:val="4B7257E4"/>
    <w:rsid w:val="4F3F6BAE"/>
    <w:rsid w:val="4FD35229"/>
    <w:rsid w:val="50972935"/>
    <w:rsid w:val="55552713"/>
    <w:rsid w:val="5D3A09D8"/>
    <w:rsid w:val="5D6B15F8"/>
    <w:rsid w:val="5ED05F70"/>
    <w:rsid w:val="5F4A54F7"/>
    <w:rsid w:val="6042463D"/>
    <w:rsid w:val="61757F70"/>
    <w:rsid w:val="67140294"/>
    <w:rsid w:val="67557102"/>
    <w:rsid w:val="6A7E61D8"/>
    <w:rsid w:val="6B423C63"/>
    <w:rsid w:val="6FC96CC3"/>
    <w:rsid w:val="7202348B"/>
    <w:rsid w:val="773A3F07"/>
    <w:rsid w:val="78520422"/>
    <w:rsid w:val="79336950"/>
    <w:rsid w:val="7A957B87"/>
    <w:rsid w:val="7AB9338D"/>
    <w:rsid w:val="7B1D7C08"/>
    <w:rsid w:val="7FEC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szCs w:val="24"/>
    </w:rPr>
  </w:style>
  <w:style w:type="paragraph" w:styleId="4">
    <w:name w:val="Normal Indent"/>
    <w:basedOn w:val="1"/>
    <w:unhideWhenUsed/>
    <w:qFormat/>
    <w:uiPriority w:val="99"/>
    <w:pPr>
      <w:ind w:firstLine="420" w:firstLineChars="200"/>
    </w:pPr>
  </w:style>
  <w:style w:type="paragraph" w:styleId="5">
    <w:name w:val="caption"/>
    <w:basedOn w:val="1"/>
    <w:next w:val="1"/>
    <w:unhideWhenUsed/>
    <w:qFormat/>
    <w:uiPriority w:val="0"/>
    <w:rPr>
      <w:rFonts w:ascii="Cambria" w:hAnsi="Cambria" w:eastAsia="黑体" w:cs="Times New Roman"/>
      <w:sz w:val="20"/>
      <w:szCs w:val="20"/>
    </w:rPr>
  </w:style>
  <w:style w:type="paragraph" w:styleId="6">
    <w:name w:val="annotation text"/>
    <w:basedOn w:val="1"/>
    <w:link w:val="28"/>
    <w:qFormat/>
    <w:uiPriority w:val="0"/>
  </w:style>
  <w:style w:type="paragraph" w:styleId="7">
    <w:name w:val="Body Text"/>
    <w:basedOn w:val="1"/>
    <w:link w:val="31"/>
    <w:qFormat/>
    <w:uiPriority w:val="0"/>
    <w:pPr>
      <w:widowControl/>
      <w:jc w:val="left"/>
    </w:pPr>
    <w:rPr>
      <w:rFonts w:ascii="Arial" w:hAnsi="Arial" w:eastAsia="宋体" w:cs="Arial"/>
      <w:kern w:val="0"/>
      <w:sz w:val="20"/>
      <w:szCs w:val="24"/>
      <w:lang w:val="de-DE" w:eastAsia="en-US"/>
    </w:rPr>
  </w:style>
  <w:style w:type="paragraph" w:styleId="8">
    <w:name w:val="Body Text Indent"/>
    <w:basedOn w:val="1"/>
    <w:next w:val="9"/>
    <w:qFormat/>
    <w:uiPriority w:val="0"/>
    <w:pPr>
      <w:spacing w:after="120"/>
      <w:ind w:left="420" w:leftChars="200"/>
    </w:pPr>
    <w:rPr>
      <w:szCs w:val="21"/>
    </w:rPr>
  </w:style>
  <w:style w:type="paragraph" w:customStyle="1" w:styleId="9">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10">
    <w:name w:val="Plain Text"/>
    <w:basedOn w:val="1"/>
    <w:link w:val="49"/>
    <w:qFormat/>
    <w:uiPriority w:val="0"/>
    <w:rPr>
      <w:rFonts w:ascii="宋体" w:hAnsi="Courier New" w:eastAsia="宋体" w:cs="Times New Roman"/>
      <w:szCs w:val="24"/>
    </w:rPr>
  </w:style>
  <w:style w:type="paragraph" w:styleId="11">
    <w:name w:val="Date"/>
    <w:basedOn w:val="1"/>
    <w:next w:val="1"/>
    <w:link w:val="27"/>
    <w:unhideWhenUsed/>
    <w:qFormat/>
    <w:uiPriority w:val="0"/>
    <w:pPr>
      <w:ind w:left="100" w:leftChars="2500"/>
    </w:p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2"/>
    <w:basedOn w:val="1"/>
    <w:link w:val="40"/>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ind w:firstLine="420" w:firstLineChars="200"/>
    </w:pPr>
  </w:style>
  <w:style w:type="table" w:styleId="18">
    <w:name w:val="Table Grid"/>
    <w:basedOn w:val="1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qFormat/>
    <w:uiPriority w:val="0"/>
    <w:rPr>
      <w:rFonts w:ascii="Times New Roman" w:hAnsi="Times New Roman" w:eastAsia="宋体" w:cs="Times New Roman"/>
      <w:sz w:val="16"/>
      <w:szCs w:val="16"/>
    </w:rPr>
  </w:style>
  <w:style w:type="paragraph" w:customStyle="1" w:styleId="23">
    <w:name w:val="UserStyle_0"/>
    <w:basedOn w:val="1"/>
    <w:qFormat/>
    <w:uiPriority w:val="0"/>
    <w:pPr>
      <w:ind w:firstLine="420" w:firstLineChars="200"/>
      <w:textAlignment w:val="baseline"/>
    </w:pPr>
    <w:rPr>
      <w:rFonts w:ascii="Calibri" w:hAnsi="Calibri" w:eastAsia="宋体"/>
    </w:rPr>
  </w:style>
  <w:style w:type="character" w:customStyle="1" w:styleId="24">
    <w:name w:val="页眉 字符"/>
    <w:basedOn w:val="19"/>
    <w:link w:val="13"/>
    <w:qFormat/>
    <w:uiPriority w:val="99"/>
    <w:rPr>
      <w:sz w:val="18"/>
      <w:szCs w:val="18"/>
    </w:rPr>
  </w:style>
  <w:style w:type="character" w:customStyle="1" w:styleId="25">
    <w:name w:val="页脚 字符"/>
    <w:basedOn w:val="19"/>
    <w:link w:val="12"/>
    <w:qFormat/>
    <w:uiPriority w:val="99"/>
    <w:rPr>
      <w:sz w:val="18"/>
      <w:szCs w:val="18"/>
    </w:rPr>
  </w:style>
  <w:style w:type="paragraph" w:styleId="26">
    <w:name w:val="List Paragraph"/>
    <w:basedOn w:val="1"/>
    <w:qFormat/>
    <w:uiPriority w:val="34"/>
    <w:pPr>
      <w:ind w:firstLine="420" w:firstLineChars="200"/>
    </w:pPr>
    <w:rPr>
      <w:rFonts w:ascii="Calibri" w:hAnsi="Calibri" w:eastAsia="宋体" w:cs="Arial"/>
    </w:rPr>
  </w:style>
  <w:style w:type="character" w:customStyle="1" w:styleId="27">
    <w:name w:val="日期 字符"/>
    <w:basedOn w:val="19"/>
    <w:link w:val="11"/>
    <w:semiHidden/>
    <w:qFormat/>
    <w:uiPriority w:val="99"/>
  </w:style>
  <w:style w:type="character" w:customStyle="1" w:styleId="28">
    <w:name w:val="批注文字 字符"/>
    <w:link w:val="6"/>
    <w:qFormat/>
    <w:uiPriority w:val="0"/>
  </w:style>
  <w:style w:type="character" w:customStyle="1" w:styleId="29">
    <w:name w:val="批注文字 Char1"/>
    <w:basedOn w:val="19"/>
    <w:semiHidden/>
    <w:qFormat/>
    <w:uiPriority w:val="99"/>
  </w:style>
  <w:style w:type="character" w:customStyle="1" w:styleId="30">
    <w:name w:val="Anrede1IhrZeichen"/>
    <w:qFormat/>
    <w:uiPriority w:val="0"/>
    <w:rPr>
      <w:rFonts w:ascii="Arial" w:hAnsi="Arial" w:eastAsia="宋体" w:cs="Times New Roman"/>
      <w:sz w:val="20"/>
    </w:rPr>
  </w:style>
  <w:style w:type="character" w:customStyle="1" w:styleId="31">
    <w:name w:val="正文文本 字符"/>
    <w:basedOn w:val="19"/>
    <w:link w:val="7"/>
    <w:qFormat/>
    <w:uiPriority w:val="0"/>
    <w:rPr>
      <w:rFonts w:ascii="Arial" w:hAnsi="Arial" w:eastAsia="宋体" w:cs="Arial"/>
      <w:kern w:val="0"/>
      <w:sz w:val="20"/>
      <w:szCs w:val="24"/>
      <w:lang w:val="de-DE" w:eastAsia="en-US"/>
    </w:rPr>
  </w:style>
  <w:style w:type="paragraph" w:customStyle="1" w:styleId="32">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3">
    <w:name w:val="标题 2 字符"/>
    <w:basedOn w:val="19"/>
    <w:link w:val="3"/>
    <w:qFormat/>
    <w:uiPriority w:val="0"/>
    <w:rPr>
      <w:rFonts w:ascii="Arial" w:hAnsi="Arial" w:eastAsia="黑体" w:cs="Times New Roman"/>
      <w:b/>
      <w:sz w:val="32"/>
      <w:szCs w:val="24"/>
    </w:rPr>
  </w:style>
  <w:style w:type="character" w:customStyle="1" w:styleId="34">
    <w:name w:val="font161"/>
    <w:basedOn w:val="19"/>
    <w:qFormat/>
    <w:uiPriority w:val="0"/>
    <w:rPr>
      <w:rFonts w:hint="eastAsia" w:ascii="宋体" w:hAnsi="宋体" w:eastAsia="宋体" w:cs="宋体"/>
      <w:color w:val="000000"/>
      <w:sz w:val="24"/>
      <w:szCs w:val="24"/>
      <w:u w:val="none"/>
    </w:rPr>
  </w:style>
  <w:style w:type="character" w:customStyle="1" w:styleId="35">
    <w:name w:val="font131"/>
    <w:basedOn w:val="19"/>
    <w:qFormat/>
    <w:uiPriority w:val="0"/>
    <w:rPr>
      <w:rFonts w:ascii="微软雅黑" w:hAnsi="微软雅黑" w:eastAsia="微软雅黑" w:cs="微软雅黑"/>
      <w:color w:val="000000"/>
      <w:sz w:val="24"/>
      <w:szCs w:val="24"/>
      <w:u w:val="none"/>
    </w:rPr>
  </w:style>
  <w:style w:type="character" w:customStyle="1" w:styleId="36">
    <w:name w:val="font51"/>
    <w:basedOn w:val="19"/>
    <w:qFormat/>
    <w:uiPriority w:val="0"/>
    <w:rPr>
      <w:rFonts w:hint="eastAsia" w:ascii="宋体" w:hAnsi="宋体" w:eastAsia="宋体" w:cs="宋体"/>
      <w:b/>
      <w:color w:val="FF0000"/>
      <w:sz w:val="24"/>
      <w:szCs w:val="24"/>
      <w:u w:val="none"/>
    </w:rPr>
  </w:style>
  <w:style w:type="character" w:customStyle="1" w:styleId="37">
    <w:name w:val="font12"/>
    <w:basedOn w:val="19"/>
    <w:qFormat/>
    <w:uiPriority w:val="0"/>
    <w:rPr>
      <w:rFonts w:hint="eastAsia" w:ascii="微软雅黑" w:hAnsi="微软雅黑" w:eastAsia="微软雅黑" w:cs="微软雅黑"/>
      <w:b/>
      <w:color w:val="FF0000"/>
      <w:sz w:val="24"/>
      <w:szCs w:val="24"/>
      <w:u w:val="none"/>
    </w:rPr>
  </w:style>
  <w:style w:type="character" w:customStyle="1" w:styleId="38">
    <w:name w:val="font11"/>
    <w:basedOn w:val="19"/>
    <w:qFormat/>
    <w:uiPriority w:val="0"/>
    <w:rPr>
      <w:rFonts w:hint="eastAsia" w:ascii="宋体" w:hAnsi="宋体" w:eastAsia="宋体" w:cs="宋体"/>
      <w:color w:val="000000"/>
      <w:sz w:val="21"/>
      <w:szCs w:val="21"/>
      <w:u w:val="none"/>
    </w:rPr>
  </w:style>
  <w:style w:type="paragraph" w:customStyle="1" w:styleId="39">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40">
    <w:name w:val="正文文本 2 字符"/>
    <w:basedOn w:val="19"/>
    <w:link w:val="14"/>
    <w:semiHidden/>
    <w:qFormat/>
    <w:uiPriority w:val="99"/>
    <w:rPr>
      <w:kern w:val="2"/>
      <w:sz w:val="21"/>
      <w:szCs w:val="22"/>
    </w:rPr>
  </w:style>
  <w:style w:type="paragraph" w:customStyle="1" w:styleId="41">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2">
    <w:name w:val="表格非标题文字"/>
    <w:link w:val="43"/>
    <w:qFormat/>
    <w:uiPriority w:val="0"/>
    <w:pPr>
      <w:snapToGrid w:val="0"/>
      <w:spacing w:before="80" w:after="40"/>
    </w:pPr>
    <w:rPr>
      <w:rFonts w:ascii="Arial" w:hAnsi="Arial" w:eastAsia="宋体" w:cs="黑体"/>
      <w:kern w:val="2"/>
      <w:sz w:val="18"/>
      <w:szCs w:val="21"/>
      <w:lang w:val="en-US" w:eastAsia="zh-CN" w:bidi="ar-SA"/>
    </w:rPr>
  </w:style>
  <w:style w:type="character" w:customStyle="1" w:styleId="43">
    <w:name w:val="表格非标题文字 Char"/>
    <w:basedOn w:val="19"/>
    <w:link w:val="42"/>
    <w:qFormat/>
    <w:uiPriority w:val="0"/>
    <w:rPr>
      <w:rFonts w:ascii="Arial" w:hAnsi="Arial" w:eastAsia="宋体" w:cs="黑体"/>
      <w:kern w:val="2"/>
      <w:sz w:val="18"/>
      <w:szCs w:val="21"/>
    </w:rPr>
  </w:style>
  <w:style w:type="paragraph" w:customStyle="1" w:styleId="44">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5">
    <w:name w:val="正文格式"/>
    <w:basedOn w:val="7"/>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6">
    <w:name w:val="表格样式1"/>
    <w:basedOn w:val="1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未处理的提及1"/>
    <w:basedOn w:val="19"/>
    <w:semiHidden/>
    <w:unhideWhenUsed/>
    <w:qFormat/>
    <w:uiPriority w:val="99"/>
    <w:rPr>
      <w:color w:val="605E5C"/>
      <w:shd w:val="clear" w:color="auto" w:fill="E1DFDD"/>
    </w:rPr>
  </w:style>
  <w:style w:type="paragraph" w:customStyle="1" w:styleId="48">
    <w:name w:val="_Style 41"/>
    <w:basedOn w:val="1"/>
    <w:next w:val="26"/>
    <w:qFormat/>
    <w:uiPriority w:val="99"/>
    <w:pPr>
      <w:ind w:firstLine="420" w:firstLineChars="200"/>
    </w:pPr>
    <w:rPr>
      <w:rFonts w:ascii="Times New Roman" w:hAnsi="Times New Roman" w:eastAsia="宋体" w:cs="Times New Roman"/>
      <w:szCs w:val="24"/>
    </w:rPr>
  </w:style>
  <w:style w:type="character" w:customStyle="1" w:styleId="49">
    <w:name w:val="纯文本 字符"/>
    <w:basedOn w:val="19"/>
    <w:link w:val="10"/>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1100</Words>
  <Characters>1343</Characters>
  <Lines>6</Lines>
  <Paragraphs>1</Paragraphs>
  <TotalTime>30</TotalTime>
  <ScaleCrop>false</ScaleCrop>
  <LinksUpToDate>false</LinksUpToDate>
  <CharactersWithSpaces>1395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2023-06-06T07:52:32Z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8E798E42FC7548008365FD03C647FBFD</vt:lpwstr>
  </property>
</Properties>
</file>