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3697" w14:textId="33D70E16"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4A5574" w:rsidRPr="004A5574">
        <w:rPr>
          <w:rFonts w:ascii="华文中宋" w:eastAsia="华文中宋" w:hAnsi="华文中宋" w:hint="eastAsia"/>
          <w:b/>
          <w:bCs/>
          <w:sz w:val="36"/>
          <w:szCs w:val="36"/>
        </w:rPr>
        <w:t>等级保护测评</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51CD673D" w:rsidR="00B11D20" w:rsidRDefault="009538EC"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潍坊市人民医院根据《中华人民共和国政府采购法》等有关规定，对等级保护测评项目进行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791EE968" w:rsidR="00B11D20" w:rsidRDefault="00DC64B2"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Pr>
          <w:rFonts w:ascii="仿宋" w:eastAsia="仿宋" w:hAnsi="仿宋" w:cs="宋体" w:hint="eastAsia"/>
          <w:color w:val="010005"/>
          <w:kern w:val="0"/>
          <w:sz w:val="32"/>
          <w:szCs w:val="32"/>
        </w:rPr>
        <w:t>参考要求详见附件。</w:t>
      </w:r>
    </w:p>
    <w:p w14:paraId="31ED2C4C" w14:textId="4CA46E4B" w:rsidR="00386F9A" w:rsidRDefault="00386F9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四、项目概况：</w:t>
      </w:r>
      <w:r w:rsidRPr="00386F9A">
        <w:rPr>
          <w:rFonts w:ascii="仿宋" w:eastAsia="仿宋" w:hAnsi="仿宋" w:cs="宋体" w:hint="eastAsia"/>
          <w:color w:val="010005"/>
          <w:kern w:val="0"/>
          <w:sz w:val="32"/>
          <w:szCs w:val="32"/>
        </w:rPr>
        <w:t>根据《中华人民共和国网络安全法》</w:t>
      </w:r>
      <w:r w:rsidRPr="00386F9A">
        <w:rPr>
          <w:rFonts w:ascii="仿宋" w:eastAsia="仿宋" w:hAnsi="仿宋" w:cs="宋体"/>
          <w:color w:val="010005"/>
          <w:kern w:val="0"/>
          <w:sz w:val="32"/>
          <w:szCs w:val="32"/>
        </w:rPr>
        <w:t>、</w:t>
      </w:r>
      <w:r w:rsidRPr="00386F9A">
        <w:rPr>
          <w:rFonts w:ascii="仿宋" w:eastAsia="仿宋" w:hAnsi="仿宋" w:cs="宋体" w:hint="eastAsia"/>
          <w:color w:val="010005"/>
          <w:kern w:val="0"/>
          <w:sz w:val="32"/>
          <w:szCs w:val="32"/>
        </w:rPr>
        <w:t>公安部《关于推动信息安全等级保护测评体系建设和开展等级测评工作的通知》（公信安〔2010〕303号）等相关要求，对潍坊市人民医院信息系统开展等级保护测评工作，从技术和管理两个方面进行逐一的检查和测试，夯实单位信息系统安全基础，提高信息安全管理水平，消除安全隐患，确保信息网络的安全运行。</w:t>
      </w:r>
    </w:p>
    <w:p w14:paraId="1E445BF9" w14:textId="76C08AAB" w:rsidR="004A5574" w:rsidRDefault="00386F9A" w:rsidP="004A5574">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供应商资格要求</w:t>
      </w:r>
      <w:r w:rsidR="00935645">
        <w:rPr>
          <w:rFonts w:ascii="仿宋" w:eastAsia="仿宋" w:hAnsi="仿宋" w:cs="宋体" w:hint="eastAsia"/>
          <w:color w:val="010005"/>
          <w:kern w:val="0"/>
          <w:sz w:val="32"/>
          <w:szCs w:val="32"/>
        </w:rPr>
        <w:t>：</w:t>
      </w:r>
    </w:p>
    <w:p w14:paraId="1C3A8120" w14:textId="0F329ECB" w:rsidR="004A5574" w:rsidRPr="004A5574" w:rsidRDefault="004A5574" w:rsidP="004A5574">
      <w:pPr>
        <w:spacing w:line="276" w:lineRule="auto"/>
        <w:rPr>
          <w:rFonts w:ascii="仿宋" w:eastAsia="仿宋" w:hAnsi="仿宋" w:cs="宋体"/>
          <w:kern w:val="0"/>
          <w:sz w:val="32"/>
          <w:szCs w:val="32"/>
        </w:rPr>
      </w:pPr>
      <w:r w:rsidRPr="004A5574">
        <w:rPr>
          <w:rFonts w:ascii="仿宋" w:eastAsia="仿宋" w:hAnsi="仿宋" w:cs="宋体" w:hint="eastAsia"/>
          <w:kern w:val="0"/>
          <w:sz w:val="32"/>
          <w:szCs w:val="32"/>
        </w:rPr>
        <w:t>（1）供应商</w:t>
      </w:r>
      <w:r w:rsidR="00C86B32">
        <w:rPr>
          <w:rFonts w:ascii="仿宋" w:eastAsia="仿宋" w:hAnsi="仿宋" w:cs="宋体" w:hint="eastAsia"/>
          <w:kern w:val="0"/>
          <w:sz w:val="32"/>
          <w:szCs w:val="32"/>
        </w:rPr>
        <w:t>需</w:t>
      </w:r>
      <w:r w:rsidRPr="004A5574">
        <w:rPr>
          <w:rFonts w:ascii="仿宋" w:eastAsia="仿宋" w:hAnsi="仿宋" w:cs="宋体" w:hint="eastAsia"/>
          <w:kern w:val="0"/>
          <w:sz w:val="32"/>
          <w:szCs w:val="32"/>
        </w:rPr>
        <w:t>具有国家网络安全等级保护工作协调小组办公室颁发的“网络安全等级保护测评机构推荐证书”</w:t>
      </w:r>
      <w:r w:rsidR="00C86B32">
        <w:rPr>
          <w:rFonts w:ascii="仿宋" w:eastAsia="仿宋" w:hAnsi="仿宋" w:cs="宋体" w:hint="eastAsia"/>
          <w:kern w:val="0"/>
          <w:sz w:val="32"/>
          <w:szCs w:val="32"/>
        </w:rPr>
        <w:t>；</w:t>
      </w:r>
    </w:p>
    <w:p w14:paraId="54A6B754" w14:textId="57DCA22E" w:rsidR="00A81AC7" w:rsidRPr="004A5574" w:rsidRDefault="004A5574" w:rsidP="00C439C1">
      <w:pPr>
        <w:spacing w:line="276" w:lineRule="auto"/>
        <w:rPr>
          <w:rFonts w:ascii="仿宋" w:eastAsia="仿宋" w:hAnsi="仿宋" w:cs="宋体"/>
          <w:kern w:val="0"/>
          <w:sz w:val="32"/>
          <w:szCs w:val="32"/>
        </w:rPr>
      </w:pPr>
      <w:r w:rsidRPr="004A5574">
        <w:rPr>
          <w:rFonts w:ascii="仿宋" w:eastAsia="仿宋" w:hAnsi="仿宋" w:cs="宋体" w:hint="eastAsia"/>
          <w:kern w:val="0"/>
          <w:sz w:val="32"/>
          <w:szCs w:val="32"/>
        </w:rPr>
        <w:t>（2）供应商应是经国家公安部审核、山东省公安厅批准在山东省公安厅等保办备案的等级保护测评机构</w:t>
      </w:r>
      <w:r>
        <w:rPr>
          <w:rFonts w:ascii="仿宋" w:eastAsia="仿宋" w:hAnsi="仿宋" w:cs="宋体" w:hint="eastAsia"/>
          <w:kern w:val="0"/>
          <w:sz w:val="32"/>
          <w:szCs w:val="32"/>
        </w:rPr>
        <w:t>。</w:t>
      </w:r>
    </w:p>
    <w:p w14:paraId="234878BD" w14:textId="42995A57" w:rsidR="00B11D20" w:rsidRDefault="00386F9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w:t>
      </w:r>
      <w:r w:rsidR="00DC64B2">
        <w:rPr>
          <w:rFonts w:ascii="仿宋" w:eastAsia="仿宋" w:hAnsi="仿宋" w:cs="宋体" w:hint="eastAsia"/>
          <w:color w:val="010005"/>
          <w:kern w:val="0"/>
          <w:sz w:val="32"/>
          <w:szCs w:val="32"/>
        </w:rPr>
        <w:lastRenderedPageBreak/>
        <w:t>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02753084" w:rsidR="00B11D20" w:rsidRDefault="00386F9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EC69E3">
        <w:rPr>
          <w:rFonts w:ascii="仿宋" w:eastAsia="仿宋" w:hAnsi="仿宋" w:cs="宋体"/>
          <w:color w:val="010005"/>
          <w:kern w:val="0"/>
          <w:sz w:val="32"/>
          <w:szCs w:val="32"/>
        </w:rPr>
        <w:t>0</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12</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E5278E6" w:rsidR="00B11D20" w:rsidRDefault="00386F9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16041CB7"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4A5574" w:rsidRPr="004A5574">
        <w:rPr>
          <w:rFonts w:ascii="黑体" w:eastAsia="黑体" w:hAnsi="黑体" w:cs="黑体" w:hint="eastAsia"/>
          <w:b/>
          <w:bCs/>
          <w:kern w:val="0"/>
          <w:sz w:val="32"/>
          <w:szCs w:val="32"/>
        </w:rPr>
        <w:t>等级保护测评</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5B4514F2"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10</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7E950060" w14:textId="77777777" w:rsidR="00966F6C" w:rsidRDefault="00966F6C">
      <w:pPr>
        <w:rPr>
          <w:rFonts w:ascii="仿宋" w:eastAsia="仿宋" w:hAnsi="仿宋"/>
          <w:b/>
          <w:sz w:val="36"/>
          <w:szCs w:val="36"/>
        </w:rPr>
      </w:pPr>
    </w:p>
    <w:p w14:paraId="540FE30D" w14:textId="77777777" w:rsidR="00966F6C" w:rsidRDefault="00966F6C">
      <w:pPr>
        <w:rPr>
          <w:rFonts w:ascii="仿宋" w:eastAsia="仿宋" w:hAnsi="仿宋"/>
          <w:b/>
          <w:sz w:val="36"/>
          <w:szCs w:val="36"/>
        </w:rPr>
      </w:pPr>
    </w:p>
    <w:p w14:paraId="0A9B56A0" w14:textId="4C7D9940" w:rsidR="00EC69E3" w:rsidRDefault="00DC64B2">
      <w:pPr>
        <w:rPr>
          <w:rFonts w:ascii="仿宋" w:eastAsia="仿宋" w:hAnsi="仿宋"/>
          <w:b/>
          <w:sz w:val="36"/>
          <w:szCs w:val="36"/>
        </w:rPr>
      </w:pPr>
      <w:r>
        <w:rPr>
          <w:rFonts w:ascii="仿宋" w:eastAsia="仿宋" w:hAnsi="仿宋" w:hint="eastAsia"/>
          <w:b/>
          <w:sz w:val="36"/>
          <w:szCs w:val="36"/>
        </w:rPr>
        <w:lastRenderedPageBreak/>
        <w:t>附件：</w:t>
      </w:r>
    </w:p>
    <w:p w14:paraId="6580EFF9" w14:textId="427155F3" w:rsidR="004A5574" w:rsidRPr="004956E6" w:rsidRDefault="004A5574" w:rsidP="004A5574">
      <w:pPr>
        <w:tabs>
          <w:tab w:val="left" w:pos="525"/>
        </w:tabs>
        <w:spacing w:line="560" w:lineRule="exact"/>
        <w:ind w:firstLineChars="200" w:firstLine="602"/>
        <w:jc w:val="left"/>
        <w:rPr>
          <w:rFonts w:ascii="宋体" w:eastAsia="宋体" w:hAnsi="宋体"/>
          <w:b/>
          <w:bCs/>
          <w:kern w:val="44"/>
          <w:sz w:val="30"/>
          <w:szCs w:val="30"/>
        </w:rPr>
      </w:pPr>
      <w:r w:rsidRPr="004956E6">
        <w:rPr>
          <w:rFonts w:ascii="宋体" w:eastAsia="宋体" w:hAnsi="宋体" w:hint="eastAsia"/>
          <w:b/>
          <w:bCs/>
          <w:kern w:val="44"/>
          <w:sz w:val="30"/>
          <w:szCs w:val="30"/>
        </w:rPr>
        <w:t>一、服务项目：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843"/>
        <w:gridCol w:w="1843"/>
      </w:tblGrid>
      <w:tr w:rsidR="004A5574" w14:paraId="2DB43992" w14:textId="77777777" w:rsidTr="002B2A19">
        <w:trPr>
          <w:trHeight w:val="851"/>
          <w:jc w:val="center"/>
        </w:trPr>
        <w:tc>
          <w:tcPr>
            <w:tcW w:w="2269" w:type="dxa"/>
            <w:vAlign w:val="center"/>
          </w:tcPr>
          <w:p w14:paraId="1E831D25" w14:textId="77777777" w:rsidR="004A5574" w:rsidRPr="004956E6" w:rsidRDefault="004A5574" w:rsidP="002B2A19">
            <w:pPr>
              <w:jc w:val="center"/>
              <w:rPr>
                <w:rFonts w:ascii="宋体" w:eastAsia="宋体" w:hAnsi="宋体" w:cs="仿宋_GB2312"/>
                <w:b/>
                <w:sz w:val="24"/>
              </w:rPr>
            </w:pPr>
            <w:r w:rsidRPr="004956E6">
              <w:rPr>
                <w:rFonts w:ascii="宋体" w:eastAsia="宋体" w:hAnsi="宋体" w:cs="仿宋_GB2312" w:hint="eastAsia"/>
                <w:b/>
                <w:sz w:val="24"/>
              </w:rPr>
              <w:t>系统名称</w:t>
            </w:r>
          </w:p>
        </w:tc>
        <w:tc>
          <w:tcPr>
            <w:tcW w:w="1559" w:type="dxa"/>
            <w:vAlign w:val="center"/>
          </w:tcPr>
          <w:p w14:paraId="2701C752" w14:textId="77777777" w:rsidR="004A5574" w:rsidRPr="004956E6" w:rsidRDefault="004A5574" w:rsidP="002B2A19">
            <w:pPr>
              <w:jc w:val="center"/>
              <w:rPr>
                <w:rFonts w:ascii="宋体" w:eastAsia="宋体" w:hAnsi="宋体" w:cs="仿宋_GB2312"/>
                <w:b/>
                <w:sz w:val="24"/>
              </w:rPr>
            </w:pPr>
            <w:r w:rsidRPr="004956E6">
              <w:rPr>
                <w:rFonts w:ascii="宋体" w:eastAsia="宋体" w:hAnsi="宋体" w:cs="仿宋_GB2312" w:hint="eastAsia"/>
                <w:b/>
                <w:sz w:val="24"/>
              </w:rPr>
              <w:t>等级</w:t>
            </w:r>
          </w:p>
        </w:tc>
        <w:tc>
          <w:tcPr>
            <w:tcW w:w="1843" w:type="dxa"/>
            <w:vAlign w:val="center"/>
          </w:tcPr>
          <w:p w14:paraId="0A485515" w14:textId="77777777" w:rsidR="004A5574" w:rsidRPr="004956E6" w:rsidRDefault="004A5574" w:rsidP="002B2A19">
            <w:pPr>
              <w:jc w:val="center"/>
              <w:rPr>
                <w:rFonts w:ascii="宋体" w:eastAsia="宋体" w:hAnsi="宋体" w:cs="仿宋_GB2312"/>
                <w:b/>
                <w:sz w:val="24"/>
              </w:rPr>
            </w:pPr>
            <w:r w:rsidRPr="004956E6">
              <w:rPr>
                <w:rFonts w:ascii="宋体" w:eastAsia="宋体" w:hAnsi="宋体" w:cs="仿宋_GB2312" w:hint="eastAsia"/>
                <w:b/>
                <w:sz w:val="24"/>
              </w:rPr>
              <w:t>等保测评</w:t>
            </w:r>
          </w:p>
        </w:tc>
        <w:tc>
          <w:tcPr>
            <w:tcW w:w="1843" w:type="dxa"/>
            <w:vAlign w:val="center"/>
          </w:tcPr>
          <w:p w14:paraId="13F4B443" w14:textId="77777777" w:rsidR="004A5574" w:rsidRPr="004956E6" w:rsidRDefault="004A5574" w:rsidP="002B2A19">
            <w:pPr>
              <w:jc w:val="center"/>
              <w:rPr>
                <w:rFonts w:ascii="宋体" w:eastAsia="宋体" w:hAnsi="宋体" w:cs="仿宋_GB2312"/>
                <w:b/>
                <w:sz w:val="24"/>
              </w:rPr>
            </w:pPr>
            <w:r w:rsidRPr="004956E6">
              <w:rPr>
                <w:rFonts w:ascii="宋体" w:eastAsia="宋体" w:hAnsi="宋体" w:cs="仿宋_GB2312" w:hint="eastAsia"/>
                <w:b/>
                <w:sz w:val="24"/>
              </w:rPr>
              <w:t>备注</w:t>
            </w:r>
          </w:p>
        </w:tc>
      </w:tr>
      <w:tr w:rsidR="004A5574" w14:paraId="06306C9F" w14:textId="77777777" w:rsidTr="002B2A19">
        <w:trPr>
          <w:trHeight w:val="851"/>
          <w:jc w:val="center"/>
        </w:trPr>
        <w:tc>
          <w:tcPr>
            <w:tcW w:w="2269" w:type="dxa"/>
            <w:vAlign w:val="center"/>
          </w:tcPr>
          <w:p w14:paraId="76115799"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 xml:space="preserve"> </w:t>
            </w:r>
          </w:p>
        </w:tc>
        <w:tc>
          <w:tcPr>
            <w:tcW w:w="1559" w:type="dxa"/>
            <w:vAlign w:val="center"/>
          </w:tcPr>
          <w:p w14:paraId="125A8651"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三级</w:t>
            </w:r>
          </w:p>
        </w:tc>
        <w:tc>
          <w:tcPr>
            <w:tcW w:w="1843" w:type="dxa"/>
            <w:vAlign w:val="center"/>
          </w:tcPr>
          <w:p w14:paraId="35DF7D1C"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定期测评</w:t>
            </w:r>
          </w:p>
        </w:tc>
        <w:tc>
          <w:tcPr>
            <w:tcW w:w="1843" w:type="dxa"/>
            <w:vAlign w:val="center"/>
          </w:tcPr>
          <w:p w14:paraId="59CF710A" w14:textId="77777777" w:rsidR="004A5574" w:rsidRPr="004956E6" w:rsidRDefault="004A5574" w:rsidP="002B2A19">
            <w:pPr>
              <w:jc w:val="center"/>
              <w:rPr>
                <w:rFonts w:ascii="宋体" w:eastAsia="宋体" w:hAnsi="宋体" w:cs="仿宋_GB2312"/>
                <w:sz w:val="24"/>
              </w:rPr>
            </w:pPr>
          </w:p>
        </w:tc>
      </w:tr>
      <w:tr w:rsidR="004A5574" w14:paraId="336B1D6E" w14:textId="77777777" w:rsidTr="002B2A19">
        <w:trPr>
          <w:trHeight w:val="851"/>
          <w:jc w:val="center"/>
        </w:trPr>
        <w:tc>
          <w:tcPr>
            <w:tcW w:w="2269" w:type="dxa"/>
            <w:vAlign w:val="center"/>
          </w:tcPr>
          <w:p w14:paraId="0AC3B707" w14:textId="77777777" w:rsidR="004A5574" w:rsidRPr="004956E6" w:rsidRDefault="004A5574" w:rsidP="002B2A19">
            <w:pPr>
              <w:jc w:val="center"/>
              <w:rPr>
                <w:rFonts w:ascii="宋体" w:eastAsia="宋体" w:hAnsi="宋体" w:cs="仿宋_GB2312"/>
                <w:sz w:val="24"/>
              </w:rPr>
            </w:pPr>
          </w:p>
        </w:tc>
        <w:tc>
          <w:tcPr>
            <w:tcW w:w="1559" w:type="dxa"/>
            <w:vAlign w:val="center"/>
          </w:tcPr>
          <w:p w14:paraId="115141EA"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三级</w:t>
            </w:r>
          </w:p>
        </w:tc>
        <w:tc>
          <w:tcPr>
            <w:tcW w:w="1843" w:type="dxa"/>
            <w:vAlign w:val="center"/>
          </w:tcPr>
          <w:p w14:paraId="755A7496"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定期测评</w:t>
            </w:r>
          </w:p>
        </w:tc>
        <w:tc>
          <w:tcPr>
            <w:tcW w:w="1843" w:type="dxa"/>
            <w:vAlign w:val="center"/>
          </w:tcPr>
          <w:p w14:paraId="2A37A2BE" w14:textId="77777777" w:rsidR="004A5574" w:rsidRPr="004956E6" w:rsidRDefault="004A5574" w:rsidP="002B2A19">
            <w:pPr>
              <w:jc w:val="center"/>
              <w:rPr>
                <w:rFonts w:ascii="宋体" w:eastAsia="宋体" w:hAnsi="宋体" w:cs="仿宋_GB2312"/>
                <w:sz w:val="24"/>
              </w:rPr>
            </w:pPr>
          </w:p>
        </w:tc>
      </w:tr>
      <w:tr w:rsidR="004A5574" w14:paraId="0572F2E1" w14:textId="77777777" w:rsidTr="002B2A19">
        <w:trPr>
          <w:trHeight w:val="851"/>
          <w:jc w:val="center"/>
        </w:trPr>
        <w:tc>
          <w:tcPr>
            <w:tcW w:w="2269" w:type="dxa"/>
            <w:vAlign w:val="center"/>
          </w:tcPr>
          <w:p w14:paraId="2F54C699" w14:textId="77777777" w:rsidR="004A5574" w:rsidRPr="004956E6" w:rsidRDefault="004A5574" w:rsidP="002B2A19">
            <w:pPr>
              <w:jc w:val="center"/>
              <w:rPr>
                <w:rFonts w:ascii="宋体" w:eastAsia="宋体" w:hAnsi="宋体" w:cs="仿宋_GB2312"/>
                <w:sz w:val="24"/>
              </w:rPr>
            </w:pPr>
          </w:p>
        </w:tc>
        <w:tc>
          <w:tcPr>
            <w:tcW w:w="1559" w:type="dxa"/>
            <w:vAlign w:val="center"/>
          </w:tcPr>
          <w:p w14:paraId="6253B9EA"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三级</w:t>
            </w:r>
          </w:p>
        </w:tc>
        <w:tc>
          <w:tcPr>
            <w:tcW w:w="1843" w:type="dxa"/>
            <w:vAlign w:val="center"/>
          </w:tcPr>
          <w:p w14:paraId="41103A26"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定期测评</w:t>
            </w:r>
          </w:p>
        </w:tc>
        <w:tc>
          <w:tcPr>
            <w:tcW w:w="1843" w:type="dxa"/>
            <w:vAlign w:val="center"/>
          </w:tcPr>
          <w:p w14:paraId="26938C1D" w14:textId="77777777" w:rsidR="004A5574" w:rsidRPr="004956E6" w:rsidRDefault="004A5574" w:rsidP="002B2A19">
            <w:pPr>
              <w:jc w:val="center"/>
              <w:rPr>
                <w:rFonts w:ascii="宋体" w:eastAsia="宋体" w:hAnsi="宋体" w:cs="仿宋_GB2312"/>
                <w:sz w:val="24"/>
              </w:rPr>
            </w:pPr>
          </w:p>
        </w:tc>
      </w:tr>
      <w:tr w:rsidR="004A5574" w14:paraId="4214D937" w14:textId="77777777" w:rsidTr="002B2A19">
        <w:trPr>
          <w:trHeight w:val="851"/>
          <w:jc w:val="center"/>
        </w:trPr>
        <w:tc>
          <w:tcPr>
            <w:tcW w:w="2269" w:type="dxa"/>
            <w:vAlign w:val="center"/>
          </w:tcPr>
          <w:p w14:paraId="25DC5A03" w14:textId="77777777" w:rsidR="004A5574" w:rsidRPr="004956E6" w:rsidRDefault="004A5574" w:rsidP="002B2A19">
            <w:pPr>
              <w:jc w:val="center"/>
              <w:rPr>
                <w:rFonts w:ascii="宋体" w:eastAsia="宋体" w:hAnsi="宋体" w:cs="仿宋_GB2312"/>
                <w:sz w:val="24"/>
              </w:rPr>
            </w:pPr>
          </w:p>
        </w:tc>
        <w:tc>
          <w:tcPr>
            <w:tcW w:w="1559" w:type="dxa"/>
            <w:vAlign w:val="center"/>
          </w:tcPr>
          <w:p w14:paraId="1175E861"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二级</w:t>
            </w:r>
          </w:p>
        </w:tc>
        <w:tc>
          <w:tcPr>
            <w:tcW w:w="1843" w:type="dxa"/>
            <w:vAlign w:val="center"/>
          </w:tcPr>
          <w:p w14:paraId="7360890F"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定期测评</w:t>
            </w:r>
          </w:p>
        </w:tc>
        <w:tc>
          <w:tcPr>
            <w:tcW w:w="1843" w:type="dxa"/>
            <w:vAlign w:val="center"/>
          </w:tcPr>
          <w:p w14:paraId="5976EAA6" w14:textId="77777777" w:rsidR="004A5574" w:rsidRPr="004956E6" w:rsidRDefault="004A5574" w:rsidP="002B2A19">
            <w:pPr>
              <w:jc w:val="center"/>
              <w:rPr>
                <w:rFonts w:ascii="宋体" w:eastAsia="宋体" w:hAnsi="宋体" w:cs="仿宋_GB2312"/>
                <w:sz w:val="24"/>
              </w:rPr>
            </w:pPr>
          </w:p>
        </w:tc>
      </w:tr>
      <w:tr w:rsidR="004A5574" w14:paraId="45DCB6F5" w14:textId="77777777" w:rsidTr="002B2A19">
        <w:trPr>
          <w:trHeight w:val="851"/>
          <w:jc w:val="center"/>
        </w:trPr>
        <w:tc>
          <w:tcPr>
            <w:tcW w:w="2269" w:type="dxa"/>
            <w:vAlign w:val="center"/>
          </w:tcPr>
          <w:p w14:paraId="34DDF6F0" w14:textId="77777777" w:rsidR="004A5574" w:rsidRPr="004956E6" w:rsidRDefault="004A5574" w:rsidP="002B2A19">
            <w:pPr>
              <w:jc w:val="center"/>
              <w:rPr>
                <w:rFonts w:ascii="宋体" w:eastAsia="宋体" w:hAnsi="宋体" w:cs="仿宋_GB2312"/>
                <w:sz w:val="24"/>
              </w:rPr>
            </w:pPr>
          </w:p>
        </w:tc>
        <w:tc>
          <w:tcPr>
            <w:tcW w:w="1559" w:type="dxa"/>
            <w:vAlign w:val="center"/>
          </w:tcPr>
          <w:p w14:paraId="42571481"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二级</w:t>
            </w:r>
          </w:p>
        </w:tc>
        <w:tc>
          <w:tcPr>
            <w:tcW w:w="1843" w:type="dxa"/>
            <w:vAlign w:val="center"/>
          </w:tcPr>
          <w:p w14:paraId="21BA5F00" w14:textId="77777777" w:rsidR="004A5574" w:rsidRPr="004956E6" w:rsidRDefault="004A5574" w:rsidP="002B2A19">
            <w:pPr>
              <w:jc w:val="center"/>
              <w:rPr>
                <w:rFonts w:ascii="宋体" w:eastAsia="宋体" w:hAnsi="宋体" w:cs="仿宋_GB2312"/>
                <w:sz w:val="24"/>
              </w:rPr>
            </w:pPr>
            <w:r w:rsidRPr="004956E6">
              <w:rPr>
                <w:rFonts w:ascii="宋体" w:eastAsia="宋体" w:hAnsi="宋体" w:cs="仿宋_GB2312" w:hint="eastAsia"/>
                <w:sz w:val="24"/>
              </w:rPr>
              <w:t>定期测评</w:t>
            </w:r>
          </w:p>
        </w:tc>
        <w:tc>
          <w:tcPr>
            <w:tcW w:w="1843" w:type="dxa"/>
            <w:vAlign w:val="center"/>
          </w:tcPr>
          <w:p w14:paraId="05DB3714" w14:textId="77777777" w:rsidR="004A5574" w:rsidRPr="004956E6" w:rsidRDefault="004A5574" w:rsidP="002B2A19">
            <w:pPr>
              <w:jc w:val="center"/>
              <w:rPr>
                <w:rFonts w:ascii="宋体" w:eastAsia="宋体" w:hAnsi="宋体" w:cs="仿宋_GB2312"/>
                <w:sz w:val="24"/>
              </w:rPr>
            </w:pPr>
          </w:p>
        </w:tc>
      </w:tr>
    </w:tbl>
    <w:p w14:paraId="75B6B73D" w14:textId="1A514287" w:rsidR="004A5574" w:rsidRPr="004956E6" w:rsidRDefault="004A5574" w:rsidP="004A5574">
      <w:pPr>
        <w:spacing w:line="360" w:lineRule="auto"/>
        <w:ind w:firstLineChars="200" w:firstLine="602"/>
        <w:jc w:val="left"/>
        <w:rPr>
          <w:b/>
          <w:bCs/>
          <w:kern w:val="44"/>
          <w:sz w:val="30"/>
          <w:szCs w:val="30"/>
        </w:rPr>
      </w:pPr>
      <w:r w:rsidRPr="004956E6">
        <w:rPr>
          <w:rFonts w:ascii="Times New Roman" w:eastAsia="宋体" w:hAnsi="Times New Roman" w:cs="Times New Roman" w:hint="eastAsia"/>
          <w:b/>
          <w:bCs/>
          <w:kern w:val="44"/>
          <w:sz w:val="30"/>
          <w:szCs w:val="30"/>
        </w:rPr>
        <w:t>二、技术要求</w:t>
      </w:r>
    </w:p>
    <w:p w14:paraId="7DA090F9"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网络安全等级测评包括安全技术测评和安全管理测评：</w:t>
      </w:r>
    </w:p>
    <w:p w14:paraId="13E69D5E"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安全技术测评：包括物理安全、网络安全、主机系统安全、应用安全和数据安全等五个方面的安全测评；</w:t>
      </w:r>
    </w:p>
    <w:p w14:paraId="112FCAD6"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安全管理测评：安全管理机构、安全管理制度、人员安全管理、系统建设管理和系统运维管理等五个方面的安全控制测评。</w:t>
      </w:r>
    </w:p>
    <w:p w14:paraId="7185233E"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物理安全</w:t>
      </w:r>
    </w:p>
    <w:p w14:paraId="1BA607DF"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物理安全方面的“物理位置选择”、“物理访问控制”、“防盗窃和防破坏”、“防雷击”、“防火”、“防水和防潮”、“防静电”、“温湿度控制”、“电力供应”和“电磁防护”等测评指标，判断出与其相对应的各测评项的测评结果。</w:t>
      </w:r>
    </w:p>
    <w:p w14:paraId="4B88C3B6"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网络安全</w:t>
      </w:r>
    </w:p>
    <w:p w14:paraId="58C904D1"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针对网络安全方面的“结构安全”、“访问控制”、“安全审计”、“边界完整性检查”、“入侵防范”、“恶意代码防范”、“网络设备防护”等测评指标，判断出与其相对应的各测评项的测评结果。</w:t>
      </w:r>
    </w:p>
    <w:p w14:paraId="32CAAEC0"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主机安全</w:t>
      </w:r>
    </w:p>
    <w:p w14:paraId="249EDA03"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针对主机安全方面的“身份鉴别”、“访问控制”、“安全审计”、“剩余信息</w:t>
      </w:r>
      <w:r w:rsidRPr="004956E6">
        <w:rPr>
          <w:rFonts w:ascii="宋体" w:eastAsia="宋体" w:hAnsi="宋体" w:cs="仿宋_GB2312" w:hint="eastAsia"/>
          <w:sz w:val="24"/>
          <w:szCs w:val="24"/>
        </w:rPr>
        <w:lastRenderedPageBreak/>
        <w:t>保护”、“入侵防护”、“恶意代码防护”、“资源控制”等测评指标，判断出与其相对应的各测评项的测评结果。</w:t>
      </w:r>
    </w:p>
    <w:p w14:paraId="7D1E6BE5"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应用安全</w:t>
      </w:r>
    </w:p>
    <w:p w14:paraId="131E22FC" w14:textId="0C04F7A3"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应用安全方面的“身份鉴别”、“访问控制”、“安全审计”、“剩余信息保护”、“通信完整性”、“通信保密性”、“抗抵赖”、“软件容错”、“资源控制”等测评指标，判断出与其相对应的各测评项的测评结果。</w:t>
      </w:r>
    </w:p>
    <w:p w14:paraId="0630DB84"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数据安全及备份恢复</w:t>
      </w:r>
    </w:p>
    <w:p w14:paraId="1B6212C0"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针对数据安全方面的“数据完整性”、“数据保密性”、“备份和恢复”等测评指标，判断出与其相对应的各测评项的测评结果。</w:t>
      </w:r>
    </w:p>
    <w:p w14:paraId="1C760148"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安全管理制度</w:t>
      </w:r>
    </w:p>
    <w:p w14:paraId="761BDD1A"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针对安全管理制度方面的“管理制度”、“制定和发布”以及“评审和修订”等测评指标，判断出与其相对应的各测评项的测评结果。</w:t>
      </w:r>
    </w:p>
    <w:p w14:paraId="25FE2642"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安全管理机构</w:t>
      </w:r>
    </w:p>
    <w:p w14:paraId="220E768A"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针对安全管理机构方面的“岗位设置”、“人员配备”、“授权和审批”、“沟通和合作”以及“审核和检查”等测评指标，判断出与其相对应的各测评项的测评结果。</w:t>
      </w:r>
    </w:p>
    <w:p w14:paraId="1FE64754"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人员安全管理</w:t>
      </w:r>
    </w:p>
    <w:p w14:paraId="604B2806"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针对人员安全管理方面的“人员录用”、“人员离岗”、“人员考核”、“安全意识教育和培训”以及“外部人员访问管理”等测评指标，判断出与其相对应的各测评项的测评结果。</w:t>
      </w:r>
    </w:p>
    <w:p w14:paraId="3E4B4519"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系统建设管理</w:t>
      </w:r>
    </w:p>
    <w:p w14:paraId="68A69E88"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系统建设管理方面的“系统定级”、“安全方案设计”、“产品采购和使用”、“自行软件开发”、“外包软件开发”、“工程实施”、“测试验收”、“系统交付”、“系统备案”、“等级测评”以及“安全服务商选择”等测评指标，判断出与其相对应的各测评项的测评结果。</w:t>
      </w:r>
    </w:p>
    <w:p w14:paraId="5B1CA810"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系统运维管理</w:t>
      </w:r>
    </w:p>
    <w:p w14:paraId="756853C9"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针对系统运维管理方面的“环境管理”、“资产管理”、“介质管理”、“设备管理”、 “网络安全管理”、“系统安全管理”、“恶意代码防范管理”、“密码管理”、“变更管理”、“备份与恢复管理”、“安全事件处置”以及“应急预案管</w:t>
      </w:r>
      <w:r w:rsidRPr="004956E6">
        <w:rPr>
          <w:rFonts w:ascii="宋体" w:eastAsia="宋体" w:hAnsi="宋体" w:cs="仿宋_GB2312" w:hint="eastAsia"/>
          <w:sz w:val="24"/>
          <w:szCs w:val="24"/>
        </w:rPr>
        <w:lastRenderedPageBreak/>
        <w:t>理”等测评指标，判断出与其相对应的各测评项的测评结果。</w:t>
      </w:r>
    </w:p>
    <w:p w14:paraId="69E08BF1" w14:textId="38C23678" w:rsidR="004A5574" w:rsidRPr="004956E6" w:rsidRDefault="004A5574" w:rsidP="004A5574">
      <w:pPr>
        <w:spacing w:line="360" w:lineRule="auto"/>
        <w:ind w:firstLineChars="200" w:firstLine="602"/>
        <w:jc w:val="left"/>
        <w:rPr>
          <w:rFonts w:ascii="宋体" w:eastAsia="宋体" w:hAnsi="宋体" w:cs="仿宋_GB2312"/>
          <w:b/>
          <w:bCs/>
          <w:sz w:val="30"/>
          <w:szCs w:val="30"/>
        </w:rPr>
      </w:pPr>
      <w:r w:rsidRPr="004956E6">
        <w:rPr>
          <w:rFonts w:ascii="宋体" w:eastAsia="宋体" w:hAnsi="宋体" w:cs="仿宋_GB2312" w:hint="eastAsia"/>
          <w:b/>
          <w:bCs/>
          <w:sz w:val="30"/>
          <w:szCs w:val="30"/>
        </w:rPr>
        <w:t>三、用户培训</w:t>
      </w:r>
    </w:p>
    <w:p w14:paraId="142242E4" w14:textId="55005545" w:rsidR="004A5574" w:rsidRPr="004956E6" w:rsidRDefault="004A5574" w:rsidP="00C11395">
      <w:pPr>
        <w:spacing w:line="360" w:lineRule="auto"/>
        <w:ind w:firstLineChars="200" w:firstLine="480"/>
        <w:rPr>
          <w:rFonts w:ascii="宋体" w:eastAsia="宋体" w:hAnsi="宋体" w:cs="仿宋_GB2312"/>
          <w:sz w:val="24"/>
          <w:szCs w:val="24"/>
        </w:rPr>
      </w:pPr>
      <w:r w:rsidRPr="004956E6">
        <w:rPr>
          <w:rFonts w:ascii="宋体" w:eastAsia="宋体" w:hAnsi="宋体" w:cs="仿宋_GB2312" w:hint="eastAsia"/>
          <w:sz w:val="24"/>
          <w:szCs w:val="24"/>
        </w:rPr>
        <w:t>以等级保护相关政策法规为指导，以重要信息系统保障为核心，基于等级保护相关岗位技能需求，以等级保护相关标准体系为主线，根据具体岗位工作任务系面向重要信息系统的运营使用人员开展。通过培训熟悉国家信息安全政策、法规和标准，掌握和了解我国重要信息系统的规划设计、建设整改、运行维护的相关要求，具备我国重要信息系统保护对相关人员的基本能力要求。</w:t>
      </w:r>
    </w:p>
    <w:p w14:paraId="2D47E10F" w14:textId="5D9C7C10" w:rsidR="004A5574" w:rsidRPr="004956E6" w:rsidRDefault="004A5574" w:rsidP="004A5574">
      <w:pPr>
        <w:spacing w:line="360" w:lineRule="auto"/>
        <w:ind w:firstLineChars="200" w:firstLine="602"/>
        <w:jc w:val="left"/>
        <w:rPr>
          <w:rFonts w:ascii="宋体" w:eastAsia="宋体" w:hAnsi="宋体" w:cs="仿宋_GB2312"/>
          <w:b/>
          <w:bCs/>
          <w:sz w:val="30"/>
          <w:szCs w:val="30"/>
        </w:rPr>
      </w:pPr>
      <w:r w:rsidRPr="004956E6">
        <w:rPr>
          <w:rFonts w:ascii="宋体" w:eastAsia="宋体" w:hAnsi="宋体" w:cs="仿宋_GB2312" w:hint="eastAsia"/>
          <w:b/>
          <w:bCs/>
          <w:sz w:val="30"/>
          <w:szCs w:val="30"/>
        </w:rPr>
        <w:t>四、服务交付物（含电子版）</w:t>
      </w:r>
    </w:p>
    <w:p w14:paraId="3991D684"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(1)《信息系统信息安全等级保护测评报告》；</w:t>
      </w:r>
    </w:p>
    <w:p w14:paraId="2ADF462B"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(2)《安全加固整改建议书》。</w:t>
      </w:r>
    </w:p>
    <w:p w14:paraId="5293ACA6" w14:textId="573E6B76" w:rsidR="004A5574" w:rsidRPr="004956E6" w:rsidRDefault="004A5574" w:rsidP="004A5574">
      <w:pPr>
        <w:spacing w:line="360" w:lineRule="auto"/>
        <w:ind w:firstLineChars="200" w:firstLine="602"/>
        <w:jc w:val="left"/>
        <w:rPr>
          <w:rFonts w:ascii="宋体" w:eastAsia="宋体" w:hAnsi="宋体" w:cs="仿宋_GB2312"/>
          <w:b/>
          <w:bCs/>
          <w:sz w:val="30"/>
          <w:szCs w:val="30"/>
        </w:rPr>
      </w:pPr>
      <w:r w:rsidRPr="004956E6">
        <w:rPr>
          <w:rFonts w:ascii="宋体" w:eastAsia="宋体" w:hAnsi="宋体" w:cs="仿宋_GB2312" w:hint="eastAsia"/>
          <w:b/>
          <w:bCs/>
          <w:sz w:val="30"/>
          <w:szCs w:val="30"/>
        </w:rPr>
        <w:t>五、质量要求</w:t>
      </w:r>
    </w:p>
    <w:p w14:paraId="06532BA8"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（1）服务原则</w:t>
      </w:r>
    </w:p>
    <w:p w14:paraId="3FBE8D38"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a.符合性原则：符合国家、公安部等信息安全评估/测评有关规范，指出防范的方针和保护的原则；</w:t>
      </w:r>
    </w:p>
    <w:p w14:paraId="0C3C783C"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b.标准性原则：等级测评及风险分析发现的安全风险及差距的整改、设计与实施应依据行业、国内、国际的相关标准进行；</w:t>
      </w:r>
    </w:p>
    <w:p w14:paraId="06DD55F0"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c.规范性原则：安全服务提供商在项目实施工作中的过程和文档，应具有很好的规范性，可以便于项目的跟踪和控制；</w:t>
      </w:r>
    </w:p>
    <w:p w14:paraId="74369E3E"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d.可控性原则：安全服务的方法和过程要在双方认可的范围之内，保证对于服务工作的可控性；</w:t>
      </w:r>
    </w:p>
    <w:p w14:paraId="6E61AA5B"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e.整体性原则：安全评估/测评及整改建议的范围和内容应当整体全面，包括安全涉及的各个层面，避免由于遗漏造成未来的安全隐患；</w:t>
      </w:r>
    </w:p>
    <w:p w14:paraId="33D14C63"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f.最小影响原则：测试及扫描工作应尽可能小的影响系统和网络的正常运行，不能对各系统的运行和业务产生显著影响；</w:t>
      </w:r>
    </w:p>
    <w:p w14:paraId="7F6C3805"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g.保密原则：应对服务过程中获得的数据和结果严格保密，未经授权不得泄露给任何单位和个人，不得利用此数据进行任何侵害利益的行为，否则有权追究其责任。</w:t>
      </w:r>
    </w:p>
    <w:p w14:paraId="75AE11A6"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（2）服务依据：</w:t>
      </w:r>
    </w:p>
    <w:p w14:paraId="31E7F4A2"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lastRenderedPageBreak/>
        <w:t>《GB/T 22239-2019 信息安全技术 信息系统安全等级保护基本要求》</w:t>
      </w:r>
    </w:p>
    <w:p w14:paraId="2AA0B0E9"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《GB/T 22240-2020 信息安全技术 信息系统安全等级保护定级指南》</w:t>
      </w:r>
    </w:p>
    <w:p w14:paraId="71AFAE1D"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《GB/T 25058-2010 信息安全技术 信息系统安全等级保护实施指南》</w:t>
      </w:r>
    </w:p>
    <w:p w14:paraId="7BB775B5"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w:t>
      </w:r>
      <w:r w:rsidRPr="004956E6">
        <w:rPr>
          <w:rFonts w:ascii="宋体" w:eastAsia="宋体" w:hAnsi="宋体" w:cs="仿宋_GB2312"/>
          <w:sz w:val="24"/>
          <w:szCs w:val="24"/>
        </w:rPr>
        <w:t>GB/T 2844</w:t>
      </w:r>
      <w:r w:rsidRPr="004956E6">
        <w:rPr>
          <w:rFonts w:ascii="宋体" w:eastAsia="宋体" w:hAnsi="宋体" w:cs="仿宋_GB2312" w:hint="eastAsia"/>
          <w:sz w:val="24"/>
          <w:szCs w:val="24"/>
        </w:rPr>
        <w:t>8</w:t>
      </w:r>
      <w:r w:rsidRPr="004956E6">
        <w:rPr>
          <w:rFonts w:ascii="宋体" w:eastAsia="宋体" w:hAnsi="宋体" w:cs="仿宋_GB2312"/>
          <w:sz w:val="24"/>
          <w:szCs w:val="24"/>
        </w:rPr>
        <w:t>-201</w:t>
      </w:r>
      <w:r w:rsidRPr="004956E6">
        <w:rPr>
          <w:rFonts w:ascii="宋体" w:eastAsia="宋体" w:hAnsi="宋体" w:cs="仿宋_GB2312" w:hint="eastAsia"/>
          <w:sz w:val="24"/>
          <w:szCs w:val="24"/>
        </w:rPr>
        <w:t>9 信息安全技术 信息系统安全等级保护测评要求》</w:t>
      </w:r>
    </w:p>
    <w:p w14:paraId="482BA59A"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w:t>
      </w:r>
      <w:r w:rsidRPr="004956E6">
        <w:rPr>
          <w:rFonts w:ascii="宋体" w:eastAsia="宋体" w:hAnsi="宋体" w:cs="仿宋_GB2312"/>
          <w:sz w:val="24"/>
          <w:szCs w:val="24"/>
        </w:rPr>
        <w:t>GB/T 28449-2018</w:t>
      </w:r>
      <w:r w:rsidRPr="004956E6">
        <w:rPr>
          <w:rFonts w:ascii="宋体" w:eastAsia="宋体" w:hAnsi="宋体" w:cs="仿宋_GB2312" w:hint="eastAsia"/>
          <w:sz w:val="24"/>
          <w:szCs w:val="24"/>
        </w:rPr>
        <w:t xml:space="preserve"> 信息安全技术 信息系统安全等级保护测评过程指南》</w:t>
      </w:r>
    </w:p>
    <w:p w14:paraId="4D7CE0BB" w14:textId="77777777" w:rsidR="004A5574" w:rsidRPr="004956E6" w:rsidRDefault="004A5574" w:rsidP="004A5574">
      <w:pPr>
        <w:spacing w:line="360" w:lineRule="auto"/>
        <w:ind w:leftChars="228" w:left="479" w:firstLineChars="50" w:firstLine="120"/>
        <w:jc w:val="left"/>
        <w:rPr>
          <w:rFonts w:ascii="宋体" w:eastAsia="宋体" w:hAnsi="宋体" w:cs="仿宋_GB2312"/>
          <w:sz w:val="24"/>
          <w:szCs w:val="24"/>
        </w:rPr>
      </w:pPr>
      <w:r w:rsidRPr="004956E6">
        <w:rPr>
          <w:rFonts w:ascii="宋体" w:eastAsia="宋体" w:hAnsi="宋体" w:cs="仿宋_GB2312" w:hint="eastAsia"/>
          <w:sz w:val="24"/>
          <w:szCs w:val="24"/>
        </w:rPr>
        <w:t>《</w:t>
      </w:r>
      <w:r w:rsidRPr="004956E6">
        <w:rPr>
          <w:rFonts w:ascii="宋体" w:eastAsia="宋体" w:hAnsi="宋体" w:cs="仿宋_GB2312"/>
          <w:sz w:val="24"/>
          <w:szCs w:val="24"/>
        </w:rPr>
        <w:t>GB/T 36627-2018</w:t>
      </w:r>
      <w:r w:rsidRPr="004956E6">
        <w:rPr>
          <w:rFonts w:ascii="宋体" w:eastAsia="宋体" w:hAnsi="宋体" w:cs="仿宋_GB2312" w:hint="eastAsia"/>
          <w:sz w:val="24"/>
          <w:szCs w:val="24"/>
        </w:rPr>
        <w:t xml:space="preserve"> 网络安全等级保护测试评估技术指南》</w:t>
      </w:r>
    </w:p>
    <w:p w14:paraId="4AC65354" w14:textId="77777777" w:rsidR="004A5574" w:rsidRPr="004956E6" w:rsidRDefault="004A5574" w:rsidP="004A5574">
      <w:pPr>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《信息安全等级保护管理办法》（公通字[2007]43号）</w:t>
      </w:r>
    </w:p>
    <w:p w14:paraId="35779ED9" w14:textId="77777777" w:rsidR="004A5574" w:rsidRPr="004956E6" w:rsidRDefault="004A5574" w:rsidP="004A5574">
      <w:pPr>
        <w:spacing w:line="360" w:lineRule="auto"/>
        <w:ind w:leftChars="228" w:left="479" w:firstLineChars="50" w:firstLine="120"/>
        <w:jc w:val="left"/>
        <w:rPr>
          <w:rFonts w:ascii="宋体" w:eastAsia="宋体" w:hAnsi="宋体" w:cs="仿宋_GB2312"/>
          <w:sz w:val="24"/>
          <w:szCs w:val="24"/>
        </w:rPr>
      </w:pPr>
      <w:r w:rsidRPr="004956E6">
        <w:rPr>
          <w:rFonts w:ascii="宋体" w:eastAsia="宋体" w:hAnsi="宋体" w:cs="仿宋_GB2312" w:hint="eastAsia"/>
          <w:sz w:val="24"/>
          <w:szCs w:val="24"/>
        </w:rPr>
        <w:t>（3）售后服务：</w:t>
      </w:r>
    </w:p>
    <w:p w14:paraId="4915C2CC" w14:textId="77777777" w:rsidR="004A5574" w:rsidRPr="004956E6" w:rsidRDefault="004A5574" w:rsidP="004A5574">
      <w:pPr>
        <w:widowControl/>
        <w:spacing w:line="360" w:lineRule="auto"/>
        <w:ind w:firstLineChars="200" w:firstLine="480"/>
        <w:jc w:val="left"/>
        <w:rPr>
          <w:rFonts w:ascii="宋体" w:eastAsia="宋体" w:hAnsi="宋体" w:cs="仿宋_GB2312"/>
          <w:sz w:val="24"/>
          <w:szCs w:val="24"/>
        </w:rPr>
      </w:pPr>
      <w:r w:rsidRPr="004956E6">
        <w:rPr>
          <w:rFonts w:ascii="宋体" w:eastAsia="宋体" w:hAnsi="宋体" w:cs="仿宋_GB2312" w:hint="eastAsia"/>
          <w:sz w:val="24"/>
          <w:szCs w:val="24"/>
        </w:rPr>
        <w:t>中标人应提供免费培训服务和项目验收后一年内免费的跟踪服务；对相关人员进行信息安全等级保护基础知识培训；对本次测评范围内的问题提供远程技术咨询；对于漏洞的修补、问题的排除给出建议和指导；协助指导完成整改工作，直至消除安全隐患，达到相关要求。</w:t>
      </w:r>
    </w:p>
    <w:p w14:paraId="62DEEF63" w14:textId="08CA4384" w:rsidR="004A5574" w:rsidRPr="004956E6" w:rsidRDefault="004A5574" w:rsidP="004A5574">
      <w:pPr>
        <w:spacing w:line="360" w:lineRule="auto"/>
        <w:ind w:firstLineChars="200" w:firstLine="602"/>
        <w:jc w:val="left"/>
        <w:rPr>
          <w:rFonts w:ascii="宋体" w:eastAsia="宋体" w:hAnsi="宋体" w:cs="仿宋_GB2312"/>
          <w:b/>
          <w:bCs/>
          <w:sz w:val="30"/>
          <w:szCs w:val="30"/>
        </w:rPr>
      </w:pPr>
      <w:r w:rsidRPr="004956E6">
        <w:rPr>
          <w:rFonts w:ascii="宋体" w:eastAsia="宋体" w:hAnsi="宋体" w:cs="仿宋_GB2312" w:hint="eastAsia"/>
          <w:b/>
          <w:bCs/>
          <w:sz w:val="30"/>
          <w:szCs w:val="30"/>
        </w:rPr>
        <w:t>六、服务期限</w:t>
      </w:r>
    </w:p>
    <w:p w14:paraId="1D929CA8" w14:textId="77777777" w:rsidR="004A5574" w:rsidRPr="004A5574" w:rsidRDefault="004A5574" w:rsidP="004A5574">
      <w:pPr>
        <w:pStyle w:val="21"/>
        <w:spacing w:line="600" w:lineRule="exact"/>
        <w:jc w:val="left"/>
        <w:rPr>
          <w:rFonts w:ascii="宋体" w:eastAsia="宋体" w:hAnsi="宋体" w:cs="仿宋_GB2312"/>
          <w:sz w:val="28"/>
          <w:szCs w:val="28"/>
        </w:rPr>
      </w:pPr>
      <w:r w:rsidRPr="004A5574">
        <w:rPr>
          <w:rFonts w:ascii="宋体" w:eastAsia="宋体" w:hAnsi="宋体" w:cs="仿宋_GB2312" w:hint="eastAsia"/>
          <w:sz w:val="28"/>
          <w:szCs w:val="28"/>
        </w:rPr>
        <w:t xml:space="preserve">   </w:t>
      </w:r>
      <w:r w:rsidRPr="004956E6">
        <w:rPr>
          <w:rFonts w:ascii="宋体" w:eastAsia="宋体" w:hAnsi="宋体" w:cs="仿宋_GB2312" w:hint="eastAsia"/>
          <w:sz w:val="24"/>
          <w:szCs w:val="24"/>
        </w:rPr>
        <w:t>自合同签订后30日内进行测评服务并提交成果。</w:t>
      </w:r>
    </w:p>
    <w:p w14:paraId="1C909DE5" w14:textId="20DC9507" w:rsidR="004A5574" w:rsidRPr="004956E6" w:rsidRDefault="004A5574" w:rsidP="004A5574">
      <w:pPr>
        <w:spacing w:line="360" w:lineRule="auto"/>
        <w:ind w:firstLineChars="200" w:firstLine="602"/>
        <w:jc w:val="left"/>
        <w:rPr>
          <w:rFonts w:ascii="宋体" w:eastAsia="宋体" w:hAnsi="宋体" w:cs="仿宋_GB2312"/>
          <w:b/>
          <w:bCs/>
          <w:sz w:val="30"/>
          <w:szCs w:val="30"/>
        </w:rPr>
      </w:pPr>
      <w:r w:rsidRPr="004956E6">
        <w:rPr>
          <w:rFonts w:ascii="宋体" w:eastAsia="宋体" w:hAnsi="宋体" w:cs="仿宋_GB2312" w:hint="eastAsia"/>
          <w:b/>
          <w:bCs/>
          <w:sz w:val="30"/>
          <w:szCs w:val="30"/>
        </w:rPr>
        <w:t>七、付款方式</w:t>
      </w:r>
    </w:p>
    <w:p w14:paraId="73060AE4" w14:textId="77777777" w:rsidR="004A5574" w:rsidRPr="004956E6" w:rsidRDefault="004A5574" w:rsidP="004A5574">
      <w:pPr>
        <w:pStyle w:val="af3"/>
        <w:spacing w:before="0" w:beforeAutospacing="0" w:after="0" w:afterAutospacing="0" w:line="540" w:lineRule="exact"/>
        <w:ind w:firstLine="560"/>
        <w:rPr>
          <w:rFonts w:cs="仿宋_GB2312"/>
          <w:kern w:val="2"/>
        </w:rPr>
      </w:pPr>
      <w:r w:rsidRPr="004956E6">
        <w:rPr>
          <w:rFonts w:cs="仿宋_GB2312" w:hint="eastAsia"/>
          <w:kern w:val="2"/>
        </w:rPr>
        <w:t>验收合格后，一次性付清全款。</w:t>
      </w:r>
    </w:p>
    <w:p w14:paraId="08D41116" w14:textId="77777777" w:rsidR="004A5574" w:rsidRPr="004A5574" w:rsidRDefault="004A5574" w:rsidP="004A5574">
      <w:pPr>
        <w:rPr>
          <w:rFonts w:ascii="宋体" w:eastAsia="宋体" w:hAnsi="宋体" w:cs="仿宋_GB2312"/>
          <w:sz w:val="28"/>
          <w:szCs w:val="28"/>
        </w:rPr>
      </w:pPr>
    </w:p>
    <w:sectPr w:rsidR="004A5574" w:rsidRPr="004A55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B8A1" w14:textId="77777777" w:rsidR="00795E03" w:rsidRDefault="00795E03" w:rsidP="00F021D3">
      <w:r>
        <w:separator/>
      </w:r>
    </w:p>
  </w:endnote>
  <w:endnote w:type="continuationSeparator" w:id="0">
    <w:p w14:paraId="2AB4061B" w14:textId="77777777" w:rsidR="00795E03" w:rsidRDefault="00795E03"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47F8" w14:textId="77777777" w:rsidR="00795E03" w:rsidRDefault="00795E03" w:rsidP="00F021D3">
      <w:r>
        <w:separator/>
      </w:r>
    </w:p>
  </w:footnote>
  <w:footnote w:type="continuationSeparator" w:id="0">
    <w:p w14:paraId="03F627B0" w14:textId="77777777" w:rsidR="00795E03" w:rsidRDefault="00795E03"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45258"/>
    <w:rsid w:val="00373CD5"/>
    <w:rsid w:val="0037516A"/>
    <w:rsid w:val="00386F9A"/>
    <w:rsid w:val="00390709"/>
    <w:rsid w:val="003B4DC5"/>
    <w:rsid w:val="0041576B"/>
    <w:rsid w:val="00416DD8"/>
    <w:rsid w:val="00440FE4"/>
    <w:rsid w:val="004507B2"/>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A4CDA"/>
    <w:rsid w:val="006A7F38"/>
    <w:rsid w:val="006C28D1"/>
    <w:rsid w:val="006C7CB7"/>
    <w:rsid w:val="006D0289"/>
    <w:rsid w:val="006F30D7"/>
    <w:rsid w:val="006F54C1"/>
    <w:rsid w:val="00707CCC"/>
    <w:rsid w:val="0072018A"/>
    <w:rsid w:val="00741392"/>
    <w:rsid w:val="00750701"/>
    <w:rsid w:val="007511C7"/>
    <w:rsid w:val="00762C7C"/>
    <w:rsid w:val="007679FB"/>
    <w:rsid w:val="00782336"/>
    <w:rsid w:val="007833A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A66BB"/>
    <w:rsid w:val="008B6253"/>
    <w:rsid w:val="008C340E"/>
    <w:rsid w:val="008C689E"/>
    <w:rsid w:val="008D2DC9"/>
    <w:rsid w:val="008E2EEB"/>
    <w:rsid w:val="008E4F76"/>
    <w:rsid w:val="008E75C7"/>
    <w:rsid w:val="008F460B"/>
    <w:rsid w:val="00901B8F"/>
    <w:rsid w:val="009054A2"/>
    <w:rsid w:val="00907E79"/>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4354"/>
    <w:rsid w:val="00C439C1"/>
    <w:rsid w:val="00C524D5"/>
    <w:rsid w:val="00C56B1C"/>
    <w:rsid w:val="00C836D8"/>
    <w:rsid w:val="00C86B32"/>
    <w:rsid w:val="00C95A23"/>
    <w:rsid w:val="00CC54CD"/>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7D01"/>
    <w:rsid w:val="00E523F6"/>
    <w:rsid w:val="00E55EDA"/>
    <w:rsid w:val="00E67A49"/>
    <w:rsid w:val="00E706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D511A"/>
    <w:rsid w:val="00FF3541"/>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14</cp:revision>
  <cp:lastPrinted>2021-09-18T10:31:00Z</cp:lastPrinted>
  <dcterms:created xsi:type="dcterms:W3CDTF">2021-10-09T03:10:00Z</dcterms:created>
  <dcterms:modified xsi:type="dcterms:W3CDTF">2021-11-10T03:30:00Z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