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风险评估和内控评价项目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风险评估和内控评价项目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项目需求：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、供应商资质要求：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.在中华人民共和国境内注册，具有独立承担民事责任的能力和经营许可，向采购人提供服务的法人、其它组织；2.具有良好的商业信誉和健全的财务会计制度；3.具有履行合同所必需的综合实力，具有3年以上相关运营经验，以营业执照注册时间为准；4.有依法缴纳税收和社会保障资金的良好记录；5.被“信用中国”网站（www.creditchina.gov.cn）列入失信被执行人和重大税收违法案件当事人名单的、被“中国政府采购网”网站（www.ccgp.gov.cn）列入政府采购严重违法失信行为记录名单的供应商，不得参与本项目；6.符合法律、行政法规规定的其它要求；7.本项目不接受联合体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风险评估和内控评价项目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14"/>
        <w:rPr>
          <w:rFonts w:hint="eastAsia"/>
        </w:rPr>
      </w:pPr>
      <w:bookmarkStart w:id="1" w:name="_GoBack"/>
      <w:bookmarkEnd w:id="1"/>
    </w:p>
    <w:p>
      <w:pPr>
        <w:pStyle w:val="14"/>
      </w:pPr>
    </w:p>
    <w:p>
      <w:pPr>
        <w:pStyle w:val="14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p/>
    <w:p>
      <w:pPr>
        <w:ind w:firstLine="640" w:firstLineChars="200"/>
        <w:rPr>
          <w:rFonts w:hint="eastAsia" w:ascii="黑体" w:hAnsi="黑体" w:eastAsia="黑体"/>
          <w:kern w:val="3"/>
          <w:sz w:val="32"/>
          <w:szCs w:val="32"/>
        </w:rPr>
      </w:pPr>
    </w:p>
    <w:p>
      <w:pPr>
        <w:rPr>
          <w:rFonts w:hint="eastAsia" w:ascii="黑体" w:hAnsi="黑体" w:eastAsia="黑体"/>
          <w:b/>
          <w:bCs/>
          <w:kern w:val="3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kern w:val="3"/>
          <w:sz w:val="32"/>
          <w:szCs w:val="32"/>
          <w:lang w:eastAsia="zh-CN"/>
        </w:rPr>
        <w:t>附件：项目需求</w:t>
      </w:r>
    </w:p>
    <w:p>
      <w:pPr>
        <w:ind w:firstLine="640" w:firstLineChars="200"/>
        <w:rPr>
          <w:rFonts w:ascii="黑体" w:hAnsi="黑体" w:eastAsia="黑体"/>
          <w:kern w:val="3"/>
          <w:sz w:val="32"/>
          <w:szCs w:val="32"/>
        </w:rPr>
      </w:pPr>
      <w:r>
        <w:rPr>
          <w:rFonts w:hint="eastAsia" w:ascii="黑体" w:hAnsi="黑体" w:eastAsia="黑体"/>
          <w:kern w:val="3"/>
          <w:sz w:val="32"/>
          <w:szCs w:val="32"/>
        </w:rPr>
        <w:t>一、项目需求</w:t>
      </w:r>
    </w:p>
    <w:p>
      <w:pPr>
        <w:ind w:firstLine="640" w:firstLineChars="200"/>
        <w:rPr>
          <w:rFonts w:ascii="楷体_GB2312" w:eastAsia="楷体_GB2312"/>
          <w:kern w:val="3"/>
          <w:sz w:val="32"/>
          <w:szCs w:val="32"/>
        </w:rPr>
      </w:pPr>
      <w:r>
        <w:rPr>
          <w:rFonts w:hint="eastAsia" w:ascii="楷体_GB2312" w:eastAsia="楷体_GB2312"/>
          <w:kern w:val="3"/>
          <w:sz w:val="32"/>
          <w:szCs w:val="32"/>
        </w:rPr>
        <w:t>（一）业务范围及目的</w:t>
      </w:r>
    </w:p>
    <w:p>
      <w:pPr>
        <w:ind w:firstLine="640" w:firstLineChars="20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1.依据及质量标准：国家财政部印发《行政事业单位内部控制规范（试行）》（财会[2012]21号），《财政部关于全面推进行政事业单位内部控制建设的指导意见》（财会〔2015〕24号）、《关于开展2016年度行政事业单位内部控制报告编报工作的通知》（财会〔2017〕1号）、国家卫健委印发《公立医院内部控制管理办法》（国卫财务发〔2020〕31号）等文件要求及医院管理需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范围：全面评估医院风险管理及内部控制的现状，评估单位层面风险。围绕医院含预算业务、收支业务、采购业务、资产管理、工程建设项目、合同管理、医疗业务管理、科研项目和临床试验项目管理、教学管理情况、互联网诊疗管理、医联体管理、信息系统管理十二大类经济活动，梳理相关管理制度，评估业务层面的具体操作风险，完成2021-2023年度风险评估和内部控制评价工作（每年一次，共三次）。</w:t>
      </w:r>
    </w:p>
    <w:p>
      <w:pPr>
        <w:ind w:firstLine="640" w:firstLineChars="200"/>
        <w:rPr>
          <w:rFonts w:ascii="楷体_GB2312" w:eastAsia="楷体_GB2312"/>
          <w:kern w:val="3"/>
          <w:sz w:val="32"/>
          <w:szCs w:val="32"/>
        </w:rPr>
      </w:pPr>
      <w:r>
        <w:rPr>
          <w:rFonts w:hint="eastAsia" w:ascii="楷体_GB2312" w:eastAsia="楷体_GB2312"/>
          <w:kern w:val="3"/>
          <w:sz w:val="32"/>
          <w:szCs w:val="32"/>
        </w:rPr>
        <w:t>（二）技术要求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1.风险评估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（1）单位层面：包含但不限于以下五方面：内部控制组织建设情况；内部控制机制建设情况；内部控制制度建设情况；内部控制队伍建设情况；内部控制流程建设情况等。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（2）业务层面：包含但不限于以下十二大类：预算业务、收支业务、采购业务、资产管理、工程建设项目、合同管理</w:t>
      </w:r>
      <w:r>
        <w:rPr>
          <w:rFonts w:hint="eastAsia" w:ascii="仿宋_GB2312" w:eastAsia="仿宋_GB2312" w:cs="微软雅黑"/>
          <w:kern w:val="0"/>
          <w:sz w:val="32"/>
          <w:szCs w:val="32"/>
        </w:rPr>
        <w:t>、医疗业务管理、科研项目和临床试验项目管理、教学管理情况、互联网诊疗管理、医联体管理、信息系统管理十二大类经济活动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 w:cs="微软雅黑"/>
          <w:kern w:val="0"/>
          <w:sz w:val="32"/>
          <w:szCs w:val="32"/>
        </w:rPr>
        <w:t>梳理相关管理制度，评估业务层面的具体操作风险，完成风险评估工作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对以上内容的评估，建立科学的风险度量方法、风险评估标准；准确、高效评估各类风险，协助潍坊市人民医院了解未来重点管控方向、支持经营管理决策；对各类风险管控现状进行诊断分析，提出切实可行的应对改进建议，实现风险与日常工作计划的对接及风险与内控的贯通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2.内部控制评价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单位层面五大方面、业务层面十二大类经济活动，通过个别访谈、行业对标、穿行测试等方法，对潍坊市人民医院各业务职能领域的控制要素现状进行有效性诊断，提出具体可操作的改进措施和建议，形成内控评价报告，提升现阶段环境下的内控水平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3.提供培训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根据风险评估和内控评价过程中发现的问题开展针对性培训，提供不少于3场内部控制培训，合理保证医院内部各部门（科室）形成风险、内控意识。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4.预期成果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（1）形成《风险评估报告》。报告内容包括但不限于风险评估标准、风险频率及影响程度、风险等级、风险清单与地图、风险解决方案、风险整改及对重大风险拟采取的控制措施等内容。</w:t>
      </w:r>
    </w:p>
    <w:p>
      <w:pPr>
        <w:ind w:firstLine="640" w:firstLineChars="200"/>
        <w:rPr>
          <w:rFonts w:ascii="仿宋_GB2312" w:eastAsia="仿宋_GB2312"/>
          <w:bCs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（2）形成《内部控制评价报告》。报告</w:t>
      </w:r>
      <w:r>
        <w:rPr>
          <w:rFonts w:hint="eastAsia" w:ascii="仿宋_GB2312" w:eastAsia="仿宋_GB2312"/>
          <w:bCs/>
          <w:kern w:val="3"/>
          <w:sz w:val="32"/>
          <w:szCs w:val="32"/>
        </w:rPr>
        <w:t>内容包括但不限于内控评价工作总体情况、内控评价依据、内控评价范围、内部评价程序、内控评价方法、内控缺陷认定标准、内控缺陷汇总表、内控缺陷分布分析及管理建议等内容。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（3）形成《内部控制培训课件》。培训课件要结合医院实际情况及各工作阶段，要有针对性，其中要重点宣贯国家卫健委、财政部等对医疗机构的法规要求等内容。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以上预期工作成果必须具体、清晰、详尽，将成果对应于项目建设各个阶段，对成果进行必要展示，提高成果显性化程度。</w:t>
      </w:r>
    </w:p>
    <w:p>
      <w:pPr>
        <w:ind w:firstLine="640" w:firstLineChars="200"/>
        <w:rPr>
          <w:rFonts w:ascii="黑体" w:hAnsi="黑体" w:eastAsia="黑体"/>
          <w:kern w:val="3"/>
          <w:sz w:val="32"/>
          <w:szCs w:val="32"/>
        </w:rPr>
      </w:pPr>
      <w:r>
        <w:rPr>
          <w:rFonts w:hint="eastAsia" w:ascii="黑体" w:hAnsi="黑体" w:eastAsia="黑体"/>
          <w:kern w:val="3"/>
          <w:sz w:val="32"/>
          <w:szCs w:val="32"/>
        </w:rPr>
        <w:t>二、服务期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三年（完成合同期第一年工作任务之后，我院会对工作开展情况进行评估，评估合格后可继续提供服务两年，评估不合格则解除合同）。合同期内每年年底前完成本项目全部工作。如遇三级医院评审、上级及相关部门考核等因素，必须配合我院，及时调整工作进度、改变工作流程、推进工作开展，按需提前完成工作任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三、人员配备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 w:cs="宋体"/>
          <w:kern w:val="3"/>
          <w:sz w:val="32"/>
          <w:szCs w:val="32"/>
        </w:rPr>
        <w:t>1.团队总成员数量不少于4人（含），人员稳定，经验丰富且具有相应资格。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2.全过程有专人负责，积极主动工作，处理问题响应及时、有效。</w:t>
      </w:r>
    </w:p>
    <w:p>
      <w:pPr>
        <w:ind w:firstLine="640" w:firstLineChars="200"/>
        <w:rPr>
          <w:rFonts w:ascii="仿宋_GB2312" w:eastAsia="仿宋_GB2312"/>
          <w:kern w:val="3"/>
          <w:sz w:val="32"/>
          <w:szCs w:val="32"/>
        </w:rPr>
      </w:pPr>
      <w:r>
        <w:rPr>
          <w:rFonts w:hint="eastAsia" w:ascii="仿宋_GB2312" w:eastAsia="仿宋_GB2312"/>
          <w:kern w:val="3"/>
          <w:sz w:val="32"/>
          <w:szCs w:val="32"/>
        </w:rPr>
        <w:t>3.全部项目人员按照采购方要求提供驻场服务，食宿、交通、办公用品及其它开展工作所需工具和资料等，由服务提供方自理。</w:t>
      </w:r>
    </w:p>
    <w:p>
      <w:pPr>
        <w:ind w:firstLine="640" w:firstLineChars="200"/>
        <w:rPr>
          <w:rFonts w:ascii="黑体" w:hAnsi="黑体" w:eastAsia="黑体"/>
          <w:kern w:val="3"/>
          <w:sz w:val="32"/>
          <w:szCs w:val="32"/>
        </w:rPr>
      </w:pPr>
      <w:r>
        <w:rPr>
          <w:rFonts w:hint="eastAsia" w:ascii="黑体" w:hAnsi="黑体" w:eastAsia="黑体"/>
          <w:kern w:val="3"/>
          <w:sz w:val="32"/>
          <w:szCs w:val="32"/>
        </w:rPr>
        <w:t>四、验收标准</w:t>
      </w:r>
    </w:p>
    <w:p>
      <w:pPr>
        <w:ind w:firstLine="64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kern w:val="3"/>
          <w:sz w:val="32"/>
          <w:szCs w:val="32"/>
        </w:rPr>
        <w:t>按照合同规定的验收标准执行。</w:t>
      </w:r>
    </w:p>
    <w:p>
      <w:pPr>
        <w:pStyle w:val="2"/>
        <w:numPr>
          <w:ilvl w:val="2"/>
          <w:numId w:val="0"/>
        </w:numPr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C74F4"/>
    <w:multiLevelType w:val="multilevel"/>
    <w:tmpl w:val="9F3C74F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6263" w:firstLine="400"/>
      </w:p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6456C25"/>
    <w:rsid w:val="467851F6"/>
    <w:rsid w:val="4CA97C4B"/>
    <w:rsid w:val="4DBB26AC"/>
    <w:rsid w:val="4E383655"/>
    <w:rsid w:val="53AE1A15"/>
    <w:rsid w:val="562244C3"/>
    <w:rsid w:val="5D6B15F8"/>
    <w:rsid w:val="5ED05F70"/>
    <w:rsid w:val="6042463D"/>
    <w:rsid w:val="629524D8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jc w:val="center"/>
      <w:outlineLvl w:val="2"/>
    </w:pPr>
    <w:rPr>
      <w:b/>
      <w:sz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</w:style>
  <w:style w:type="paragraph" w:styleId="5">
    <w:name w:val="Body Text"/>
    <w:basedOn w:val="1"/>
    <w:link w:val="22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4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8">
    <w:name w:val="日期 字符"/>
    <w:basedOn w:val="11"/>
    <w:link w:val="6"/>
    <w:semiHidden/>
    <w:qFormat/>
    <w:uiPriority w:val="99"/>
  </w:style>
  <w:style w:type="character" w:customStyle="1" w:styleId="19">
    <w:name w:val="批注文字 字符"/>
    <w:link w:val="4"/>
    <w:qFormat/>
    <w:uiPriority w:val="0"/>
  </w:style>
  <w:style w:type="character" w:customStyle="1" w:styleId="20">
    <w:name w:val="批注文字 Char1"/>
    <w:basedOn w:val="11"/>
    <w:semiHidden/>
    <w:qFormat/>
    <w:uiPriority w:val="99"/>
  </w:style>
  <w:style w:type="character" w:customStyle="1" w:styleId="21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2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4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5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7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8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9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2204</Words>
  <Characters>2319</Characters>
  <Lines>5</Lines>
  <Paragraphs>1</Paragraphs>
  <TotalTime>2</TotalTime>
  <ScaleCrop>false</ScaleCrop>
  <LinksUpToDate>false</LinksUpToDate>
  <CharactersWithSpaces>2347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2022-05-27T07:32:27Z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