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红外辐照治疗装置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  <w:lang w:val="en-US" w:eastAsia="zh-CN"/>
        </w:rPr>
        <w:t>红外辐照治疗装置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红外辐照治疗装置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数字神经电生理系统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高效液相色谱仪及试剂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血滤机（儿童连续性血液净化设备）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视频脑电图仪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面神经监护仪（肌电与诱发反应仪）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多功能激光光电平台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八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心肺复苏机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九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外科彩色多普勒超声诊断仪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超声外科吸引系统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手术荧光显微镜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十四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水平层流台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十五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血液回收机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十六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血氧脉搏仪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十七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远程心电图机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十八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可升降取材台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十九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切片扫描仪及远程会诊系统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二十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实时荧光定量PCR仪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二十一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心肺复苏仪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二十二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全自动荧光生物显微系统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二十三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血浆解冻仪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二十四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放射治疗计划系统（TPS）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红外辐照治疗装置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ascii="仿宋" w:hAnsi="仿宋" w:eastAsia="仿宋"/>
          <w:sz w:val="32"/>
          <w:szCs w:val="32"/>
        </w:rPr>
        <w:t>日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6456C25"/>
    <w:rsid w:val="4CA97C4B"/>
    <w:rsid w:val="4DBB26AC"/>
    <w:rsid w:val="4E383655"/>
    <w:rsid w:val="53AE1A15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705</Words>
  <Characters>747</Characters>
  <Lines>5</Lines>
  <Paragraphs>1</Paragraphs>
  <TotalTime>0</TotalTime>
  <ScaleCrop>false</ScaleCrop>
  <LinksUpToDate>false</LinksUpToDate>
  <CharactersWithSpaces>775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2021-09-18T10:31:00Z</cp:lastPrinted>
  <dcterms:modified xsi:type="dcterms:W3CDTF">2022-05-25T06:50:48Z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8E798E42FC7548008365FD03C647FBFD</vt:lpwstr>
  </property>
</Properties>
</file>