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44"/>
          <w:szCs w:val="44"/>
        </w:rPr>
      </w:pPr>
      <w:r>
        <w:rPr>
          <w:rFonts w:hint="eastAsia" w:ascii="华文中宋" w:hAnsi="华文中宋" w:eastAsia="华文中宋"/>
          <w:b/>
          <w:bCs/>
          <w:sz w:val="44"/>
          <w:szCs w:val="44"/>
        </w:rPr>
        <w:t>潍坊市人民医院等级保护测评和网络安全运维服务项目征集公告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潍坊市人民医院根据《中华人民共和国政府采购法》等有关规定，对等级保护测评和网络安全运维服务项目进行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480" w:lineRule="exact"/>
        <w:rPr>
          <w:rFonts w:ascii="仿宋" w:hAnsi="仿宋" w:eastAsia="仿宋"/>
          <w:sz w:val="32"/>
          <w:szCs w:val="32"/>
        </w:rPr>
      </w:pPr>
      <w:r>
        <w:rPr>
          <w:rFonts w:hint="eastAsia" w:ascii="仿宋" w:hAnsi="仿宋" w:eastAsia="仿宋"/>
          <w:sz w:val="32"/>
          <w:szCs w:val="32"/>
        </w:rPr>
        <w:t>三、内容：</w:t>
      </w:r>
    </w:p>
    <w:tbl>
      <w:tblPr>
        <w:tblStyle w:val="16"/>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3119"/>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right"/>
        </w:trPr>
        <w:tc>
          <w:tcPr>
            <w:tcW w:w="2405" w:type="dxa"/>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序号</w:t>
            </w:r>
          </w:p>
        </w:tc>
        <w:tc>
          <w:tcPr>
            <w:tcW w:w="3119" w:type="dxa"/>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设备名称</w:t>
            </w:r>
          </w:p>
        </w:tc>
        <w:tc>
          <w:tcPr>
            <w:tcW w:w="2772" w:type="dxa"/>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right"/>
        </w:trPr>
        <w:tc>
          <w:tcPr>
            <w:tcW w:w="2405" w:type="dxa"/>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一</w:t>
            </w:r>
          </w:p>
        </w:tc>
        <w:tc>
          <w:tcPr>
            <w:tcW w:w="3119" w:type="dxa"/>
            <w:vAlign w:val="center"/>
          </w:tcPr>
          <w:p>
            <w:pPr>
              <w:spacing w:line="480" w:lineRule="exact"/>
              <w:jc w:val="center"/>
              <w:rPr>
                <w:rFonts w:ascii="Times New Roman" w:hAnsi="Times New Roman" w:eastAsia="宋体" w:cs="Times New Roman"/>
                <w:sz w:val="32"/>
                <w:szCs w:val="32"/>
              </w:rPr>
            </w:pPr>
            <w:r>
              <w:rPr>
                <w:rFonts w:hint="eastAsia" w:ascii="仿宋" w:hAnsi="仿宋" w:eastAsia="仿宋" w:cs="Times New Roman"/>
                <w:sz w:val="28"/>
                <w:szCs w:val="28"/>
              </w:rPr>
              <w:t>等级保护测评</w:t>
            </w:r>
          </w:p>
        </w:tc>
        <w:tc>
          <w:tcPr>
            <w:tcW w:w="2772" w:type="dxa"/>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right"/>
        </w:trPr>
        <w:tc>
          <w:tcPr>
            <w:tcW w:w="2405" w:type="dxa"/>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二</w:t>
            </w:r>
          </w:p>
        </w:tc>
        <w:tc>
          <w:tcPr>
            <w:tcW w:w="3119" w:type="dxa"/>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网络安全运维服务</w:t>
            </w:r>
          </w:p>
        </w:tc>
        <w:tc>
          <w:tcPr>
            <w:tcW w:w="2772" w:type="dxa"/>
            <w:vAlign w:val="center"/>
          </w:tcPr>
          <w:p>
            <w:pPr>
              <w:spacing w:line="480" w:lineRule="exact"/>
              <w:jc w:val="center"/>
              <w:rPr>
                <w:rFonts w:ascii="仿宋" w:hAnsi="仿宋" w:eastAsia="仿宋" w:cs="Times New Roman"/>
                <w:sz w:val="28"/>
                <w:szCs w:val="28"/>
              </w:rPr>
            </w:pPr>
            <w:r>
              <w:rPr>
                <w:rFonts w:hint="eastAsia" w:ascii="仿宋" w:hAnsi="仿宋" w:eastAsia="仿宋" w:cs="Times New Roman"/>
                <w:sz w:val="28"/>
                <w:szCs w:val="28"/>
              </w:rPr>
              <w:t>1</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四、供应商资质要求：1</w:t>
      </w:r>
      <w:r>
        <w:rPr>
          <w:rFonts w:ascii="仿宋" w:hAnsi="仿宋" w:eastAsia="仿宋" w:cs="宋体"/>
          <w:color w:val="010005"/>
          <w:kern w:val="0"/>
          <w:sz w:val="32"/>
          <w:szCs w:val="32"/>
        </w:rPr>
        <w:t>.</w:t>
      </w:r>
      <w:r>
        <w:rPr>
          <w:rFonts w:hint="eastAsia" w:ascii="仿宋" w:hAnsi="仿宋" w:eastAsia="仿宋" w:cs="宋体"/>
          <w:color w:val="010005"/>
          <w:kern w:val="0"/>
          <w:sz w:val="32"/>
          <w:szCs w:val="32"/>
        </w:rPr>
        <w:t>中国境内注册，具有独立法人资格；2</w:t>
      </w:r>
      <w:r>
        <w:rPr>
          <w:rFonts w:ascii="仿宋" w:hAnsi="仿宋" w:eastAsia="仿宋" w:cs="宋体"/>
          <w:color w:val="010005"/>
          <w:kern w:val="0"/>
          <w:sz w:val="32"/>
          <w:szCs w:val="32"/>
        </w:rPr>
        <w:t>.</w:t>
      </w:r>
      <w:r>
        <w:rPr>
          <w:rFonts w:hint="eastAsia" w:ascii="仿宋" w:hAnsi="仿宋" w:eastAsia="仿宋" w:cs="宋体"/>
          <w:color w:val="010005"/>
          <w:kern w:val="0"/>
          <w:sz w:val="32"/>
          <w:szCs w:val="32"/>
        </w:rPr>
        <w:t>投标人必须提供营业执照、组织结构代码证、税务登记证复印件加盖公章（三证合一的投标人只需要提供营业执照复印件加盖公章）；3</w:t>
      </w:r>
      <w:r>
        <w:rPr>
          <w:rFonts w:ascii="仿宋" w:hAnsi="仿宋" w:eastAsia="仿宋" w:cs="宋体"/>
          <w:color w:val="010005"/>
          <w:kern w:val="0"/>
          <w:sz w:val="32"/>
          <w:szCs w:val="32"/>
        </w:rPr>
        <w:t>.</w:t>
      </w:r>
      <w:r>
        <w:rPr>
          <w:rFonts w:hint="eastAsia" w:ascii="仿宋" w:hAnsi="仿宋" w:eastAsia="仿宋" w:cs="宋体"/>
          <w:color w:val="010005"/>
          <w:kern w:val="0"/>
          <w:sz w:val="32"/>
          <w:szCs w:val="32"/>
        </w:rPr>
        <w:t>具有公安部第三研究所颁发的《网络安全等级测评与检测评估机构服务认证证书》，需提供复印件加盖公章。</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方式：供应商将填写无误的附件报名表格（同时提交可编辑电子版一份），连同有效期内营业执照副本、法定代表人资格证明或法定代表人的授权委托书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七、征集时间：202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12</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7</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12</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9</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八、符合要求的供应商，邀请函免费发至预留的邮箱，如未收到，请务必自行电话联系物资采购办公室核实。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备注：本次征集仅作为该项目市场价格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6</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r>
        <w:rPr>
          <w:rFonts w:hint="eastAsia" w:ascii="宋体" w:hAnsi="宋体" w:eastAsia="宋体"/>
          <w:b/>
          <w:sz w:val="36"/>
          <w:szCs w:val="36"/>
        </w:rPr>
        <w:t>附件：参考参数</w:t>
      </w:r>
    </w:p>
    <w:p>
      <w:pPr>
        <w:pStyle w:val="2"/>
        <w:jc w:val="center"/>
        <w:rPr>
          <w:rFonts w:ascii="宋体" w:hAnsi="宋体"/>
          <w:b/>
          <w:sz w:val="32"/>
          <w:szCs w:val="28"/>
          <w:lang w:val="en-US" w:eastAsia="zh-CN"/>
        </w:rPr>
      </w:pPr>
      <w:r>
        <w:rPr>
          <w:rFonts w:hint="eastAsia" w:ascii="宋体" w:hAnsi="宋体"/>
          <w:b/>
          <w:sz w:val="32"/>
          <w:szCs w:val="28"/>
          <w:lang w:val="en-US" w:eastAsia="zh-CN"/>
        </w:rPr>
        <w:t>第一部分</w:t>
      </w:r>
      <w:r>
        <w:rPr>
          <w:rFonts w:ascii="宋体" w:hAnsi="宋体"/>
          <w:b/>
          <w:sz w:val="32"/>
          <w:szCs w:val="28"/>
          <w:lang w:val="en-US" w:eastAsia="zh-CN"/>
        </w:rPr>
        <w:t xml:space="preserve"> 等级保护测评</w:t>
      </w:r>
    </w:p>
    <w:p>
      <w:pPr>
        <w:pStyle w:val="2"/>
        <w:rPr>
          <w:rFonts w:ascii="宋体" w:hAnsi="宋体"/>
          <w:sz w:val="28"/>
          <w:szCs w:val="28"/>
          <w:lang w:val="en-US" w:eastAsia="zh-CN"/>
        </w:rPr>
      </w:pPr>
      <w:r>
        <w:rPr>
          <w:rFonts w:hint="eastAsia" w:ascii="宋体" w:hAnsi="宋体"/>
          <w:sz w:val="28"/>
          <w:szCs w:val="28"/>
          <w:lang w:val="en-US" w:eastAsia="zh-CN"/>
        </w:rPr>
        <w:t>参考要求</w:t>
      </w:r>
    </w:p>
    <w:p>
      <w:pPr>
        <w:pStyle w:val="2"/>
        <w:rPr>
          <w:rFonts w:ascii="宋体" w:hAnsi="宋体"/>
          <w:sz w:val="28"/>
          <w:szCs w:val="28"/>
          <w:lang w:val="en-US" w:eastAsia="zh-CN"/>
        </w:rPr>
      </w:pPr>
      <w:r>
        <w:rPr>
          <w:rFonts w:hint="eastAsia" w:ascii="宋体" w:hAnsi="宋体"/>
          <w:sz w:val="28"/>
          <w:szCs w:val="28"/>
          <w:lang w:eastAsia="zh-CN"/>
        </w:rPr>
        <w:t>1、项目概述</w:t>
      </w:r>
      <w:bookmarkStart w:id="10" w:name="_GoBack"/>
      <w:bookmarkEnd w:id="10"/>
    </w:p>
    <w:p>
      <w:pPr>
        <w:spacing w:line="360" w:lineRule="auto"/>
        <w:ind w:firstLine="480" w:firstLineChars="200"/>
        <w:rPr>
          <w:rFonts w:ascii="宋体" w:hAnsi="宋体" w:eastAsia="宋体"/>
          <w:sz w:val="24"/>
        </w:rPr>
      </w:pPr>
      <w:r>
        <w:rPr>
          <w:rFonts w:hint="eastAsia" w:ascii="宋体" w:hAnsi="宋体" w:eastAsia="宋体"/>
          <w:sz w:val="24"/>
        </w:rPr>
        <w:t>为了保障信息系统安全稳定运行，在全面了解相关国家政策和自身信息系统的基础上对信息系统实施网络安全等级保护测评工作。</w:t>
      </w:r>
    </w:p>
    <w:p>
      <w:pPr>
        <w:spacing w:line="360" w:lineRule="auto"/>
        <w:ind w:firstLine="480" w:firstLineChars="200"/>
        <w:rPr>
          <w:rFonts w:ascii="宋体" w:hAnsi="宋体" w:eastAsia="宋体"/>
          <w:sz w:val="24"/>
        </w:rPr>
      </w:pPr>
      <w:r>
        <w:rPr>
          <w:rFonts w:hint="eastAsia" w:ascii="宋体" w:hAnsi="宋体" w:eastAsia="宋体"/>
          <w:sz w:val="24"/>
        </w:rPr>
        <w:t>根据公安部《关于推动信息安全等级保护测评体系建设和开展等级测评工作的通知》（公信安［2010］303号）《中华人民共和国网络安全法》的相关要求，主管部门的整改建议，对潍坊市人民医院相关信息系统开展信息系统等级保护测评工作，在技术和管理两个方面的的内容进行逐一的检查和测试，夯实单位信息系统安全基础，提高信息安全管理水平，消除安全隐患，确保信息网络的安全运行。测评对象及对应网络安全等级保护级别如下表所示：</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4794"/>
        <w:gridCol w:w="2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shd w:val="clear" w:color="auto" w:fill="auto"/>
            <w:vAlign w:val="center"/>
          </w:tcPr>
          <w:p>
            <w:pPr>
              <w:spacing w:line="360" w:lineRule="auto"/>
              <w:jc w:val="center"/>
              <w:rPr>
                <w:rFonts w:ascii="宋体" w:hAnsi="宋体" w:eastAsia="宋体"/>
                <w:sz w:val="24"/>
              </w:rPr>
            </w:pPr>
            <w:r>
              <w:rPr>
                <w:rFonts w:ascii="宋体" w:hAnsi="宋体" w:eastAsia="宋体"/>
                <w:sz w:val="24"/>
              </w:rPr>
              <w:t>序号</w:t>
            </w:r>
          </w:p>
        </w:tc>
        <w:tc>
          <w:tcPr>
            <w:tcW w:w="4832" w:type="dxa"/>
            <w:shd w:val="clear" w:color="auto" w:fill="auto"/>
            <w:vAlign w:val="center"/>
          </w:tcPr>
          <w:p>
            <w:pPr>
              <w:spacing w:line="360" w:lineRule="auto"/>
              <w:jc w:val="center"/>
              <w:rPr>
                <w:rFonts w:ascii="宋体" w:hAnsi="宋体" w:eastAsia="宋体"/>
                <w:sz w:val="24"/>
              </w:rPr>
            </w:pPr>
            <w:r>
              <w:rPr>
                <w:rFonts w:ascii="宋体" w:hAnsi="宋体" w:eastAsia="宋体"/>
                <w:sz w:val="24"/>
              </w:rPr>
              <w:t>系统名称</w:t>
            </w:r>
          </w:p>
        </w:tc>
        <w:tc>
          <w:tcPr>
            <w:tcW w:w="2760" w:type="dxa"/>
            <w:shd w:val="clear" w:color="auto" w:fill="auto"/>
            <w:vAlign w:val="center"/>
          </w:tcPr>
          <w:p>
            <w:pPr>
              <w:spacing w:line="360" w:lineRule="auto"/>
              <w:jc w:val="center"/>
              <w:rPr>
                <w:rFonts w:ascii="宋体" w:hAnsi="宋体" w:eastAsia="宋体"/>
                <w:sz w:val="24"/>
              </w:rPr>
            </w:pPr>
            <w:r>
              <w:rPr>
                <w:rFonts w:ascii="宋体" w:hAnsi="宋体" w:eastAsia="宋体"/>
                <w:sz w:val="24"/>
              </w:rPr>
              <w:t>网络安全等级保护级别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93" w:type="dxa"/>
            <w:shd w:val="clear" w:color="auto" w:fill="auto"/>
            <w:vAlign w:val="center"/>
          </w:tcPr>
          <w:p>
            <w:pPr>
              <w:spacing w:line="360" w:lineRule="auto"/>
              <w:jc w:val="center"/>
              <w:rPr>
                <w:rFonts w:ascii="宋体" w:hAnsi="宋体" w:eastAsia="宋体"/>
                <w:sz w:val="24"/>
              </w:rPr>
            </w:pPr>
            <w:r>
              <w:rPr>
                <w:rFonts w:ascii="宋体" w:hAnsi="宋体" w:eastAsia="宋体"/>
                <w:sz w:val="24"/>
              </w:rPr>
              <w:t>1</w:t>
            </w:r>
          </w:p>
        </w:tc>
        <w:tc>
          <w:tcPr>
            <w:tcW w:w="4832" w:type="dxa"/>
            <w:shd w:val="clear" w:color="auto" w:fill="auto"/>
            <w:vAlign w:val="center"/>
          </w:tcPr>
          <w:p>
            <w:pPr>
              <w:spacing w:line="360" w:lineRule="auto"/>
              <w:jc w:val="center"/>
              <w:rPr>
                <w:rFonts w:ascii="宋体" w:hAnsi="宋体" w:eastAsia="宋体"/>
                <w:sz w:val="24"/>
              </w:rPr>
            </w:pPr>
            <w:r>
              <w:rPr>
                <w:rFonts w:hint="eastAsia" w:ascii="宋体" w:hAnsi="宋体" w:eastAsia="宋体"/>
                <w:sz w:val="24"/>
              </w:rPr>
              <w:t>以电子病历为核心的医院信息系统</w:t>
            </w:r>
          </w:p>
        </w:tc>
        <w:tc>
          <w:tcPr>
            <w:tcW w:w="2760" w:type="dxa"/>
            <w:shd w:val="clear" w:color="auto" w:fill="auto"/>
            <w:vAlign w:val="center"/>
          </w:tcPr>
          <w:p>
            <w:pPr>
              <w:spacing w:line="360" w:lineRule="auto"/>
              <w:jc w:val="center"/>
              <w:rPr>
                <w:rFonts w:ascii="宋体" w:hAnsi="宋体" w:eastAsia="宋体"/>
                <w:sz w:val="24"/>
              </w:rPr>
            </w:pPr>
            <w:r>
              <w:rPr>
                <w:rFonts w:hint="eastAsia" w:ascii="宋体" w:hAnsi="宋体" w:eastAsia="宋体"/>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993" w:type="dxa"/>
            <w:shd w:val="clear" w:color="auto" w:fill="auto"/>
            <w:vAlign w:val="center"/>
          </w:tcPr>
          <w:p>
            <w:pPr>
              <w:spacing w:line="360" w:lineRule="auto"/>
              <w:jc w:val="center"/>
              <w:rPr>
                <w:rFonts w:ascii="宋体" w:hAnsi="宋体" w:eastAsia="宋体"/>
                <w:sz w:val="24"/>
              </w:rPr>
            </w:pPr>
            <w:r>
              <w:rPr>
                <w:rFonts w:ascii="宋体" w:hAnsi="宋体" w:eastAsia="宋体"/>
                <w:sz w:val="24"/>
              </w:rPr>
              <w:t>2</w:t>
            </w:r>
          </w:p>
        </w:tc>
        <w:tc>
          <w:tcPr>
            <w:tcW w:w="4832" w:type="dxa"/>
            <w:shd w:val="clear" w:color="auto" w:fill="auto"/>
            <w:vAlign w:val="center"/>
          </w:tcPr>
          <w:p>
            <w:pPr>
              <w:spacing w:line="360" w:lineRule="auto"/>
              <w:jc w:val="center"/>
              <w:rPr>
                <w:rFonts w:ascii="宋体" w:hAnsi="宋体" w:eastAsia="宋体"/>
                <w:sz w:val="24"/>
              </w:rPr>
            </w:pPr>
            <w:r>
              <w:rPr>
                <w:rFonts w:hint="eastAsia" w:ascii="宋体" w:hAnsi="宋体" w:eastAsia="宋体"/>
                <w:sz w:val="24"/>
              </w:rPr>
              <w:t>网络系统</w:t>
            </w:r>
          </w:p>
        </w:tc>
        <w:tc>
          <w:tcPr>
            <w:tcW w:w="2760" w:type="dxa"/>
            <w:shd w:val="clear" w:color="auto" w:fill="auto"/>
            <w:vAlign w:val="center"/>
          </w:tcPr>
          <w:p>
            <w:pPr>
              <w:spacing w:line="360" w:lineRule="auto"/>
              <w:jc w:val="center"/>
              <w:rPr>
                <w:rFonts w:ascii="宋体" w:hAnsi="宋体" w:eastAsia="宋体"/>
                <w:sz w:val="24"/>
              </w:rPr>
            </w:pPr>
            <w:r>
              <w:rPr>
                <w:rFonts w:hint="eastAsia" w:ascii="宋体" w:hAnsi="宋体" w:eastAsia="宋体"/>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993" w:type="dxa"/>
            <w:shd w:val="clear" w:color="auto" w:fill="auto"/>
            <w:vAlign w:val="center"/>
          </w:tcPr>
          <w:p>
            <w:pPr>
              <w:spacing w:line="360" w:lineRule="auto"/>
              <w:jc w:val="center"/>
              <w:rPr>
                <w:rFonts w:ascii="宋体" w:hAnsi="宋体" w:eastAsia="宋体"/>
                <w:sz w:val="24"/>
              </w:rPr>
            </w:pPr>
            <w:r>
              <w:rPr>
                <w:rFonts w:ascii="宋体" w:hAnsi="宋体" w:eastAsia="宋体"/>
                <w:sz w:val="24"/>
              </w:rPr>
              <w:t>3</w:t>
            </w:r>
          </w:p>
        </w:tc>
        <w:tc>
          <w:tcPr>
            <w:tcW w:w="4832" w:type="dxa"/>
            <w:shd w:val="clear" w:color="auto" w:fill="auto"/>
            <w:vAlign w:val="center"/>
          </w:tcPr>
          <w:p>
            <w:pPr>
              <w:spacing w:line="360" w:lineRule="auto"/>
              <w:jc w:val="center"/>
              <w:rPr>
                <w:rFonts w:ascii="宋体" w:hAnsi="宋体" w:eastAsia="宋体"/>
                <w:sz w:val="24"/>
              </w:rPr>
            </w:pPr>
            <w:r>
              <w:rPr>
                <w:rFonts w:hint="eastAsia" w:ascii="宋体" w:hAnsi="宋体" w:eastAsia="宋体"/>
                <w:sz w:val="24"/>
              </w:rPr>
              <w:t>面向患者服务系统</w:t>
            </w:r>
          </w:p>
        </w:tc>
        <w:tc>
          <w:tcPr>
            <w:tcW w:w="2760" w:type="dxa"/>
            <w:shd w:val="clear" w:color="auto" w:fill="auto"/>
            <w:vAlign w:val="center"/>
          </w:tcPr>
          <w:p>
            <w:pPr>
              <w:spacing w:line="360" w:lineRule="auto"/>
              <w:jc w:val="center"/>
              <w:rPr>
                <w:rFonts w:ascii="宋体" w:hAnsi="宋体" w:eastAsia="宋体"/>
                <w:sz w:val="24"/>
              </w:rPr>
            </w:pPr>
            <w:r>
              <w:rPr>
                <w:rFonts w:hint="eastAsia" w:ascii="宋体" w:hAnsi="宋体" w:eastAsia="宋体"/>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993" w:type="dxa"/>
            <w:shd w:val="clear" w:color="auto" w:fill="auto"/>
            <w:vAlign w:val="center"/>
          </w:tcPr>
          <w:p>
            <w:pPr>
              <w:spacing w:line="360" w:lineRule="auto"/>
              <w:jc w:val="center"/>
              <w:rPr>
                <w:rFonts w:ascii="宋体" w:hAnsi="宋体" w:eastAsia="宋体"/>
                <w:sz w:val="24"/>
              </w:rPr>
            </w:pPr>
            <w:r>
              <w:rPr>
                <w:rFonts w:ascii="宋体" w:hAnsi="宋体" w:eastAsia="宋体"/>
                <w:sz w:val="24"/>
              </w:rPr>
              <w:t>4</w:t>
            </w:r>
          </w:p>
        </w:tc>
        <w:tc>
          <w:tcPr>
            <w:tcW w:w="4832" w:type="dxa"/>
            <w:shd w:val="clear" w:color="auto" w:fill="auto"/>
            <w:vAlign w:val="center"/>
          </w:tcPr>
          <w:p>
            <w:pPr>
              <w:spacing w:line="360" w:lineRule="auto"/>
              <w:jc w:val="center"/>
              <w:rPr>
                <w:rFonts w:ascii="宋体" w:hAnsi="宋体" w:eastAsia="宋体"/>
                <w:sz w:val="24"/>
              </w:rPr>
            </w:pPr>
            <w:r>
              <w:rPr>
                <w:rFonts w:ascii="宋体" w:hAnsi="宋体" w:eastAsia="宋体"/>
                <w:sz w:val="24"/>
              </w:rPr>
              <w:t>医院集成平台数据中心</w:t>
            </w:r>
          </w:p>
        </w:tc>
        <w:tc>
          <w:tcPr>
            <w:tcW w:w="2760" w:type="dxa"/>
            <w:shd w:val="clear" w:color="auto" w:fill="auto"/>
            <w:vAlign w:val="center"/>
          </w:tcPr>
          <w:p>
            <w:pPr>
              <w:spacing w:line="360" w:lineRule="auto"/>
              <w:jc w:val="center"/>
              <w:rPr>
                <w:rFonts w:ascii="宋体" w:hAnsi="宋体" w:eastAsia="宋体"/>
                <w:sz w:val="24"/>
              </w:rPr>
            </w:pPr>
            <w:r>
              <w:rPr>
                <w:rFonts w:hint="eastAsia" w:ascii="宋体" w:hAnsi="宋体" w:eastAsia="宋体"/>
                <w:sz w:val="24"/>
              </w:rPr>
              <w:t>三级</w:t>
            </w:r>
          </w:p>
        </w:tc>
      </w:tr>
    </w:tbl>
    <w:p>
      <w:pPr>
        <w:pStyle w:val="5"/>
        <w:rPr>
          <w:rFonts w:ascii="宋体" w:hAnsi="宋体" w:eastAsia="宋体"/>
          <w:b w:val="0"/>
          <w:sz w:val="28"/>
          <w:szCs w:val="28"/>
        </w:rPr>
      </w:pPr>
      <w:bookmarkStart w:id="4" w:name="_Toc308768919"/>
      <w:r>
        <w:rPr>
          <w:rFonts w:hint="eastAsia" w:ascii="宋体" w:hAnsi="宋体" w:eastAsia="宋体"/>
          <w:b w:val="0"/>
          <w:sz w:val="28"/>
          <w:szCs w:val="28"/>
        </w:rPr>
        <w:t>2、项目目标</w:t>
      </w:r>
      <w:bookmarkEnd w:id="4"/>
    </w:p>
    <w:p>
      <w:pPr>
        <w:spacing w:line="360" w:lineRule="auto"/>
        <w:ind w:firstLine="480" w:firstLineChars="200"/>
        <w:jc w:val="left"/>
        <w:rPr>
          <w:rFonts w:ascii="宋体" w:hAnsi="宋体" w:eastAsia="宋体" w:cs="宋体"/>
          <w:kern w:val="0"/>
          <w:sz w:val="24"/>
        </w:rPr>
      </w:pPr>
      <w:r>
        <w:rPr>
          <w:rFonts w:hint="eastAsia" w:ascii="宋体" w:hAnsi="宋体" w:eastAsia="宋体"/>
          <w:bCs/>
          <w:sz w:val="24"/>
        </w:rPr>
        <w:t>（</w:t>
      </w:r>
      <w:r>
        <w:rPr>
          <w:rFonts w:ascii="宋体" w:hAnsi="宋体" w:eastAsia="宋体"/>
          <w:bCs/>
          <w:sz w:val="24"/>
        </w:rPr>
        <w:t>1）</w:t>
      </w:r>
      <w:r>
        <w:rPr>
          <w:rFonts w:hint="eastAsia" w:ascii="宋体" w:hAnsi="宋体" w:eastAsia="宋体" w:cs="宋体"/>
          <w:kern w:val="0"/>
          <w:sz w:val="24"/>
        </w:rPr>
        <w:t>按照国家等级保护相关标准和要求，开展网络安全等级保护测评工作，提交对应等级的测评报告。</w:t>
      </w:r>
    </w:p>
    <w:p>
      <w:pPr>
        <w:spacing w:line="360" w:lineRule="auto"/>
        <w:ind w:firstLine="480" w:firstLineChars="200"/>
        <w:jc w:val="left"/>
        <w:rPr>
          <w:rFonts w:ascii="宋体" w:hAnsi="宋体" w:eastAsia="宋体" w:cs="宋体"/>
          <w:kern w:val="0"/>
          <w:szCs w:val="21"/>
        </w:rPr>
      </w:pPr>
      <w:r>
        <w:rPr>
          <w:rFonts w:hint="eastAsia" w:ascii="宋体" w:hAnsi="宋体" w:eastAsia="宋体"/>
          <w:bCs/>
          <w:sz w:val="24"/>
        </w:rPr>
        <w:t>（</w:t>
      </w:r>
      <w:r>
        <w:rPr>
          <w:rFonts w:ascii="宋体" w:hAnsi="宋体" w:eastAsia="宋体"/>
          <w:bCs/>
          <w:sz w:val="24"/>
        </w:rPr>
        <w:t>2）</w:t>
      </w:r>
      <w:r>
        <w:rPr>
          <w:rFonts w:hint="eastAsia" w:ascii="宋体" w:hAnsi="宋体" w:eastAsia="宋体" w:cs="宋体"/>
          <w:kern w:val="0"/>
          <w:sz w:val="24"/>
        </w:rPr>
        <w:t>需根据招标方要求，对内部人员开展数据安全治理培训。</w:t>
      </w:r>
    </w:p>
    <w:p>
      <w:pPr>
        <w:pStyle w:val="5"/>
        <w:rPr>
          <w:rFonts w:ascii="宋体" w:hAnsi="宋体" w:eastAsia="宋体"/>
          <w:b w:val="0"/>
          <w:sz w:val="28"/>
          <w:szCs w:val="28"/>
        </w:rPr>
      </w:pPr>
      <w:bookmarkStart w:id="5" w:name="_Toc308768920"/>
      <w:r>
        <w:rPr>
          <w:rFonts w:hint="eastAsia" w:ascii="宋体" w:hAnsi="宋体" w:eastAsia="宋体"/>
          <w:b w:val="0"/>
          <w:sz w:val="28"/>
          <w:szCs w:val="28"/>
        </w:rPr>
        <w:t>3、项目实施参照标准及依据</w:t>
      </w:r>
      <w:bookmarkEnd w:id="5"/>
    </w:p>
    <w:p>
      <w:pPr>
        <w:spacing w:line="360" w:lineRule="auto"/>
        <w:jc w:val="left"/>
        <w:rPr>
          <w:rFonts w:ascii="宋体" w:hAnsi="宋体" w:eastAsia="宋体" w:cs="宋体"/>
          <w:kern w:val="0"/>
          <w:sz w:val="24"/>
        </w:rPr>
      </w:pPr>
      <w:bookmarkStart w:id="6" w:name="_Toc308768921"/>
      <w:r>
        <w:rPr>
          <w:rFonts w:hint="eastAsia" w:ascii="宋体" w:hAnsi="宋体" w:eastAsia="宋体" w:cs="宋体"/>
          <w:kern w:val="0"/>
          <w:sz w:val="24"/>
        </w:rPr>
        <w:t>主要依据标准</w:t>
      </w:r>
    </w:p>
    <w:p>
      <w:pPr>
        <w:numPr>
          <w:ilvl w:val="0"/>
          <w:numId w:val="1"/>
        </w:numPr>
        <w:spacing w:line="360" w:lineRule="auto"/>
        <w:jc w:val="left"/>
        <w:rPr>
          <w:rFonts w:ascii="宋体" w:hAnsi="宋体" w:eastAsia="宋体" w:cs="宋体"/>
          <w:kern w:val="0"/>
          <w:sz w:val="24"/>
        </w:rPr>
      </w:pPr>
      <w:r>
        <w:rPr>
          <w:rFonts w:hint="eastAsia" w:ascii="宋体" w:hAnsi="宋体" w:eastAsia="宋体"/>
          <w:sz w:val="24"/>
        </w:rPr>
        <w:t>《中华人民共和国网络安全法》</w:t>
      </w:r>
    </w:p>
    <w:p>
      <w:pPr>
        <w:numPr>
          <w:ilvl w:val="0"/>
          <w:numId w:val="1"/>
        </w:numPr>
        <w:spacing w:line="360" w:lineRule="auto"/>
        <w:jc w:val="left"/>
        <w:rPr>
          <w:rFonts w:ascii="宋体" w:hAnsi="宋体" w:eastAsia="宋体" w:cs="宋体"/>
          <w:kern w:val="0"/>
          <w:sz w:val="24"/>
        </w:rPr>
      </w:pPr>
      <w:r>
        <w:rPr>
          <w:rFonts w:hint="eastAsia" w:ascii="宋体" w:hAnsi="宋体" w:eastAsia="宋体" w:cs="宋体"/>
          <w:kern w:val="0"/>
          <w:sz w:val="24"/>
        </w:rPr>
        <w:t>公安部、国家保密局、国际密码管理局、国务院信息化工作办公室联合转发的《关于信息安全等级保护工作的实施意见》（公通字[2004]66号）；</w:t>
      </w:r>
    </w:p>
    <w:p>
      <w:pPr>
        <w:numPr>
          <w:ilvl w:val="0"/>
          <w:numId w:val="1"/>
        </w:numPr>
        <w:spacing w:line="360" w:lineRule="auto"/>
        <w:jc w:val="left"/>
        <w:rPr>
          <w:rFonts w:ascii="宋体" w:hAnsi="宋体" w:eastAsia="宋体" w:cs="宋体"/>
          <w:kern w:val="0"/>
          <w:sz w:val="24"/>
        </w:rPr>
      </w:pPr>
      <w:r>
        <w:rPr>
          <w:rFonts w:hint="eastAsia" w:ascii="宋体" w:hAnsi="宋体" w:eastAsia="宋体" w:cs="宋体"/>
          <w:kern w:val="0"/>
          <w:sz w:val="24"/>
        </w:rPr>
        <w:t>公安部、国家保密局、国家密码管理局、国务院信息化工作办公室制定的《信息安全等级保护管理办法》（公通字 [2007]43号）；</w:t>
      </w:r>
    </w:p>
    <w:p>
      <w:pPr>
        <w:numPr>
          <w:ilvl w:val="0"/>
          <w:numId w:val="1"/>
        </w:numPr>
        <w:spacing w:line="360" w:lineRule="auto"/>
        <w:jc w:val="left"/>
        <w:rPr>
          <w:rFonts w:ascii="宋体" w:hAnsi="宋体" w:eastAsia="宋体" w:cs="宋体"/>
          <w:kern w:val="0"/>
          <w:sz w:val="24"/>
        </w:rPr>
      </w:pPr>
      <w:r>
        <w:rPr>
          <w:rFonts w:hint="eastAsia" w:ascii="宋体" w:hAnsi="宋体" w:eastAsia="宋体" w:cs="宋体"/>
          <w:kern w:val="0"/>
          <w:sz w:val="24"/>
        </w:rPr>
        <w:t>《关于加快推进国家电子政务外网安全等级保护工作的通知》（政务外网［2011］15 号）；</w:t>
      </w:r>
    </w:p>
    <w:p>
      <w:pPr>
        <w:numPr>
          <w:ilvl w:val="0"/>
          <w:numId w:val="1"/>
        </w:numPr>
        <w:spacing w:line="360" w:lineRule="auto"/>
        <w:jc w:val="left"/>
        <w:rPr>
          <w:rFonts w:ascii="宋体" w:hAnsi="宋体" w:eastAsia="宋体" w:cs="宋体"/>
          <w:kern w:val="0"/>
          <w:sz w:val="24"/>
        </w:rPr>
      </w:pPr>
      <w:r>
        <w:rPr>
          <w:rFonts w:hint="eastAsia" w:ascii="宋体" w:hAnsi="宋体" w:eastAsia="宋体" w:cs="宋体"/>
          <w:kern w:val="0"/>
          <w:sz w:val="24"/>
        </w:rPr>
        <w:t>《信息安全技术 网络安全等级保护基本要求》（GB/T22239-2019）；</w:t>
      </w:r>
    </w:p>
    <w:p>
      <w:pPr>
        <w:numPr>
          <w:ilvl w:val="0"/>
          <w:numId w:val="1"/>
        </w:numPr>
        <w:spacing w:line="360" w:lineRule="auto"/>
        <w:jc w:val="left"/>
        <w:rPr>
          <w:rFonts w:ascii="宋体" w:hAnsi="宋体" w:eastAsia="宋体" w:cs="宋体"/>
          <w:kern w:val="0"/>
          <w:sz w:val="24"/>
        </w:rPr>
      </w:pPr>
      <w:r>
        <w:rPr>
          <w:rFonts w:hint="eastAsia" w:ascii="宋体" w:hAnsi="宋体" w:eastAsia="宋体" w:cs="宋体"/>
          <w:kern w:val="0"/>
          <w:sz w:val="24"/>
        </w:rPr>
        <w:t>《信息安全技术 网络安全等级保护实施指南》；</w:t>
      </w:r>
    </w:p>
    <w:p>
      <w:pPr>
        <w:numPr>
          <w:ilvl w:val="0"/>
          <w:numId w:val="1"/>
        </w:numPr>
        <w:spacing w:line="360" w:lineRule="auto"/>
        <w:jc w:val="left"/>
        <w:rPr>
          <w:rFonts w:ascii="宋体" w:hAnsi="宋体" w:eastAsia="宋体" w:cs="宋体"/>
          <w:kern w:val="0"/>
          <w:sz w:val="24"/>
        </w:rPr>
      </w:pPr>
      <w:r>
        <w:rPr>
          <w:rFonts w:hint="eastAsia" w:ascii="宋体" w:hAnsi="宋体" w:eastAsia="宋体" w:cs="宋体"/>
          <w:kern w:val="0"/>
          <w:sz w:val="24"/>
        </w:rPr>
        <w:t>《信息安全技术  网络安全等级保护测评要求》；</w:t>
      </w:r>
    </w:p>
    <w:p>
      <w:pPr>
        <w:numPr>
          <w:ilvl w:val="0"/>
          <w:numId w:val="1"/>
        </w:numPr>
        <w:spacing w:line="360" w:lineRule="auto"/>
        <w:jc w:val="left"/>
        <w:rPr>
          <w:rFonts w:ascii="宋体" w:hAnsi="宋体" w:eastAsia="宋体" w:cs="宋体"/>
          <w:kern w:val="0"/>
          <w:sz w:val="24"/>
        </w:rPr>
      </w:pPr>
      <w:r>
        <w:rPr>
          <w:rFonts w:hint="eastAsia" w:ascii="宋体" w:hAnsi="宋体" w:eastAsia="宋体" w:cs="宋体"/>
          <w:kern w:val="0"/>
          <w:sz w:val="24"/>
        </w:rPr>
        <w:t>《信息安全技术  网络安全等级保护测评过程指南》；</w:t>
      </w:r>
    </w:p>
    <w:p>
      <w:pPr>
        <w:numPr>
          <w:ilvl w:val="0"/>
          <w:numId w:val="1"/>
        </w:numPr>
        <w:spacing w:line="360" w:lineRule="auto"/>
        <w:jc w:val="left"/>
        <w:rPr>
          <w:rFonts w:ascii="宋体" w:hAnsi="宋体" w:eastAsia="宋体" w:cs="宋体"/>
          <w:kern w:val="0"/>
          <w:sz w:val="24"/>
        </w:rPr>
      </w:pPr>
      <w:r>
        <w:rPr>
          <w:rFonts w:hint="eastAsia" w:ascii="宋体" w:hAnsi="宋体" w:eastAsia="宋体" w:cs="宋体"/>
          <w:kern w:val="0"/>
          <w:sz w:val="24"/>
        </w:rPr>
        <w:t>《国家信息化领导小组关于加强信息安全保障工作的意见》(中办发[2003]27号）；</w:t>
      </w:r>
    </w:p>
    <w:p>
      <w:pPr>
        <w:numPr>
          <w:ilvl w:val="0"/>
          <w:numId w:val="1"/>
        </w:numPr>
        <w:spacing w:line="360" w:lineRule="auto"/>
        <w:jc w:val="left"/>
        <w:rPr>
          <w:rFonts w:ascii="宋体" w:hAnsi="宋体" w:eastAsia="宋体" w:cs="宋体"/>
          <w:kern w:val="0"/>
          <w:sz w:val="24"/>
        </w:rPr>
      </w:pPr>
      <w:r>
        <w:rPr>
          <w:rFonts w:hint="eastAsia" w:ascii="宋体" w:hAnsi="宋体" w:eastAsia="宋体" w:cs="宋体"/>
          <w:kern w:val="0"/>
          <w:sz w:val="24"/>
        </w:rPr>
        <w:t>《计算机信息系统安全保护等级划分准则》（GB 17859-1999）；</w:t>
      </w:r>
    </w:p>
    <w:p>
      <w:pPr>
        <w:numPr>
          <w:ilvl w:val="0"/>
          <w:numId w:val="1"/>
        </w:numPr>
        <w:spacing w:line="360" w:lineRule="auto"/>
        <w:jc w:val="left"/>
        <w:rPr>
          <w:rFonts w:ascii="宋体" w:hAnsi="宋体" w:eastAsia="宋体" w:cs="宋体"/>
          <w:kern w:val="0"/>
          <w:sz w:val="24"/>
        </w:rPr>
      </w:pPr>
      <w:r>
        <w:rPr>
          <w:rFonts w:hint="eastAsia" w:ascii="宋体" w:hAnsi="宋体" w:eastAsia="宋体" w:cs="宋体"/>
          <w:kern w:val="0"/>
          <w:sz w:val="24"/>
        </w:rPr>
        <w:t>《信息安全技术 信息系统通用安全技术要求》（GB/T20271-2006）；</w:t>
      </w:r>
    </w:p>
    <w:p>
      <w:pPr>
        <w:numPr>
          <w:ilvl w:val="0"/>
          <w:numId w:val="1"/>
        </w:numPr>
        <w:spacing w:line="360" w:lineRule="auto"/>
        <w:jc w:val="left"/>
        <w:rPr>
          <w:rFonts w:ascii="宋体" w:hAnsi="宋体" w:eastAsia="宋体" w:cs="宋体"/>
          <w:kern w:val="0"/>
          <w:sz w:val="24"/>
        </w:rPr>
      </w:pPr>
      <w:r>
        <w:rPr>
          <w:rFonts w:hint="eastAsia" w:ascii="宋体" w:hAnsi="宋体" w:eastAsia="宋体" w:cs="宋体"/>
          <w:kern w:val="0"/>
          <w:sz w:val="24"/>
        </w:rPr>
        <w:t>《信息安全技术 网络基础安全技术要求》（GB/T 20270-2006）；</w:t>
      </w:r>
    </w:p>
    <w:p>
      <w:pPr>
        <w:numPr>
          <w:ilvl w:val="0"/>
          <w:numId w:val="1"/>
        </w:numPr>
        <w:spacing w:line="360" w:lineRule="auto"/>
        <w:jc w:val="left"/>
        <w:rPr>
          <w:rFonts w:ascii="宋体" w:hAnsi="宋体" w:eastAsia="宋体" w:cs="宋体"/>
          <w:kern w:val="0"/>
          <w:sz w:val="24"/>
        </w:rPr>
      </w:pPr>
      <w:r>
        <w:rPr>
          <w:rFonts w:hint="eastAsia" w:ascii="宋体" w:hAnsi="宋体" w:eastAsia="宋体" w:cs="宋体"/>
          <w:kern w:val="0"/>
          <w:sz w:val="24"/>
        </w:rPr>
        <w:t>《信息安全技术 操作系统安全技术要求》（GB/T 20272-2006）；</w:t>
      </w:r>
    </w:p>
    <w:p>
      <w:pPr>
        <w:numPr>
          <w:ilvl w:val="0"/>
          <w:numId w:val="1"/>
        </w:numPr>
        <w:spacing w:line="360" w:lineRule="auto"/>
        <w:jc w:val="left"/>
        <w:rPr>
          <w:rFonts w:ascii="宋体" w:hAnsi="宋体" w:eastAsia="宋体" w:cs="宋体"/>
          <w:kern w:val="0"/>
          <w:sz w:val="24"/>
        </w:rPr>
      </w:pPr>
      <w:r>
        <w:rPr>
          <w:rFonts w:hint="eastAsia" w:ascii="宋体" w:hAnsi="宋体" w:eastAsia="宋体" w:cs="宋体"/>
          <w:kern w:val="0"/>
          <w:sz w:val="24"/>
        </w:rPr>
        <w:t>《信息安全技术 数据库管理系统安全技术要求》（GB/T20273-2006）；</w:t>
      </w:r>
    </w:p>
    <w:p>
      <w:pPr>
        <w:numPr>
          <w:ilvl w:val="0"/>
          <w:numId w:val="1"/>
        </w:numPr>
        <w:spacing w:line="360" w:lineRule="auto"/>
        <w:jc w:val="left"/>
        <w:rPr>
          <w:rFonts w:ascii="宋体" w:hAnsi="宋体" w:eastAsia="宋体" w:cs="宋体"/>
          <w:kern w:val="0"/>
          <w:sz w:val="24"/>
        </w:rPr>
      </w:pPr>
      <w:r>
        <w:rPr>
          <w:rFonts w:hint="eastAsia" w:ascii="宋体" w:hAnsi="宋体" w:eastAsia="宋体" w:cs="宋体"/>
          <w:kern w:val="0"/>
          <w:sz w:val="24"/>
        </w:rPr>
        <w:t>《信息安全技术 服务器技术要求》（GB/T 21028-2007）；</w:t>
      </w:r>
    </w:p>
    <w:p>
      <w:pPr>
        <w:numPr>
          <w:ilvl w:val="0"/>
          <w:numId w:val="1"/>
        </w:numPr>
        <w:spacing w:line="360" w:lineRule="auto"/>
        <w:jc w:val="left"/>
        <w:rPr>
          <w:rFonts w:ascii="宋体" w:hAnsi="宋体" w:eastAsia="宋体" w:cs="宋体"/>
          <w:kern w:val="0"/>
          <w:sz w:val="24"/>
        </w:rPr>
      </w:pPr>
      <w:r>
        <w:rPr>
          <w:rFonts w:hint="eastAsia" w:ascii="宋体" w:hAnsi="宋体" w:eastAsia="宋体" w:cs="宋体"/>
          <w:kern w:val="0"/>
          <w:sz w:val="24"/>
        </w:rPr>
        <w:t>《信息安全技术 终端计算机系统安全等级技术要求》（GA/T 671-2006）；</w:t>
      </w:r>
    </w:p>
    <w:p>
      <w:pPr>
        <w:numPr>
          <w:ilvl w:val="0"/>
          <w:numId w:val="1"/>
        </w:numPr>
        <w:spacing w:line="360" w:lineRule="auto"/>
        <w:jc w:val="left"/>
        <w:rPr>
          <w:rFonts w:ascii="宋体" w:hAnsi="宋体" w:eastAsia="宋体" w:cs="宋体"/>
          <w:kern w:val="0"/>
          <w:sz w:val="24"/>
        </w:rPr>
      </w:pPr>
      <w:r>
        <w:rPr>
          <w:rFonts w:hint="eastAsia" w:ascii="宋体" w:hAnsi="宋体" w:eastAsia="宋体" w:cs="宋体"/>
          <w:kern w:val="0"/>
          <w:sz w:val="24"/>
        </w:rPr>
        <w:t>《信息安全技术 信息系统安全管理要求》（GB/T20269-2006）；</w:t>
      </w:r>
    </w:p>
    <w:p>
      <w:pPr>
        <w:numPr>
          <w:ilvl w:val="0"/>
          <w:numId w:val="1"/>
        </w:numPr>
        <w:spacing w:line="360" w:lineRule="auto"/>
        <w:jc w:val="left"/>
        <w:rPr>
          <w:rFonts w:ascii="宋体" w:hAnsi="宋体" w:eastAsia="宋体" w:cs="宋体"/>
          <w:kern w:val="0"/>
          <w:sz w:val="24"/>
        </w:rPr>
      </w:pPr>
      <w:r>
        <w:rPr>
          <w:rFonts w:hint="eastAsia" w:ascii="宋体" w:hAnsi="宋体" w:eastAsia="宋体" w:cs="宋体"/>
          <w:kern w:val="0"/>
          <w:sz w:val="24"/>
        </w:rPr>
        <w:t>《信息安全技术 信息系统安全工程管理要求》（GB/T20282-2006）；</w:t>
      </w:r>
    </w:p>
    <w:p>
      <w:pPr>
        <w:pStyle w:val="5"/>
        <w:rPr>
          <w:rFonts w:ascii="宋体" w:hAnsi="宋体" w:eastAsia="宋体"/>
          <w:b w:val="0"/>
          <w:sz w:val="28"/>
          <w:szCs w:val="28"/>
        </w:rPr>
      </w:pPr>
      <w:r>
        <w:rPr>
          <w:rFonts w:hint="eastAsia" w:ascii="宋体" w:hAnsi="宋体" w:eastAsia="宋体"/>
          <w:b w:val="0"/>
          <w:sz w:val="28"/>
          <w:szCs w:val="28"/>
        </w:rPr>
        <w:t>4、内容</w:t>
      </w:r>
      <w:bookmarkEnd w:id="6"/>
      <w:r>
        <w:rPr>
          <w:rFonts w:hint="eastAsia" w:ascii="宋体" w:hAnsi="宋体" w:eastAsia="宋体"/>
          <w:b w:val="0"/>
          <w:sz w:val="28"/>
          <w:szCs w:val="28"/>
        </w:rPr>
        <w:t>说明</w:t>
      </w:r>
    </w:p>
    <w:p>
      <w:pPr>
        <w:rPr>
          <w:rFonts w:ascii="宋体" w:hAnsi="宋体" w:eastAsia="宋体"/>
          <w:bCs/>
          <w:sz w:val="24"/>
        </w:rPr>
      </w:pPr>
      <w:r>
        <w:rPr>
          <w:rFonts w:hint="eastAsia" w:ascii="宋体" w:hAnsi="宋体" w:eastAsia="宋体"/>
          <w:bCs/>
          <w:sz w:val="24"/>
        </w:rPr>
        <w:t>4</w:t>
      </w:r>
      <w:r>
        <w:rPr>
          <w:rFonts w:ascii="宋体" w:hAnsi="宋体" w:eastAsia="宋体"/>
          <w:bCs/>
          <w:sz w:val="24"/>
        </w:rPr>
        <w:t>.1</w:t>
      </w:r>
      <w:r>
        <w:rPr>
          <w:rFonts w:hint="eastAsia" w:ascii="宋体" w:hAnsi="宋体" w:eastAsia="宋体"/>
          <w:bCs/>
          <w:sz w:val="24"/>
        </w:rPr>
        <w:t>网络安全等级保护测评服务</w:t>
      </w:r>
    </w:p>
    <w:p>
      <w:pPr>
        <w:spacing w:line="360" w:lineRule="auto"/>
        <w:ind w:firstLine="480" w:firstLineChars="200"/>
        <w:rPr>
          <w:rFonts w:ascii="宋体" w:hAnsi="宋体" w:eastAsia="宋体"/>
          <w:bCs/>
          <w:sz w:val="24"/>
        </w:rPr>
      </w:pPr>
      <w:r>
        <w:rPr>
          <w:rFonts w:hint="eastAsia" w:ascii="宋体" w:hAnsi="宋体" w:eastAsia="宋体"/>
          <w:bCs/>
          <w:sz w:val="24"/>
        </w:rPr>
        <w:t>系统安全等级测评的内容包括但不限于以下内容：</w:t>
      </w:r>
    </w:p>
    <w:p>
      <w:pPr>
        <w:spacing w:line="360" w:lineRule="auto"/>
        <w:ind w:firstLine="480" w:firstLineChars="200"/>
        <w:rPr>
          <w:rFonts w:ascii="宋体" w:hAnsi="宋体" w:eastAsia="宋体"/>
          <w:bCs/>
          <w:sz w:val="24"/>
        </w:rPr>
      </w:pPr>
      <w:r>
        <w:rPr>
          <w:rFonts w:ascii="宋体" w:hAnsi="宋体" w:eastAsia="宋体"/>
          <w:bCs/>
          <w:sz w:val="24"/>
        </w:rPr>
        <w:t>安全技术测评：包括</w:t>
      </w:r>
      <w:r>
        <w:rPr>
          <w:rFonts w:hint="eastAsia" w:ascii="宋体" w:hAnsi="宋体" w:eastAsia="宋体"/>
          <w:bCs/>
          <w:sz w:val="24"/>
        </w:rPr>
        <w:t>安全物理环境</w:t>
      </w:r>
      <w:r>
        <w:rPr>
          <w:rFonts w:ascii="宋体" w:hAnsi="宋体" w:eastAsia="宋体"/>
          <w:bCs/>
          <w:sz w:val="24"/>
        </w:rPr>
        <w:t>、</w:t>
      </w:r>
      <w:r>
        <w:rPr>
          <w:rFonts w:hint="eastAsia" w:ascii="宋体" w:hAnsi="宋体" w:eastAsia="宋体"/>
          <w:bCs/>
          <w:sz w:val="24"/>
        </w:rPr>
        <w:t>安全通信网络</w:t>
      </w:r>
      <w:r>
        <w:rPr>
          <w:rFonts w:ascii="宋体" w:hAnsi="宋体" w:eastAsia="宋体"/>
          <w:bCs/>
          <w:sz w:val="24"/>
        </w:rPr>
        <w:t>、</w:t>
      </w:r>
      <w:r>
        <w:rPr>
          <w:rFonts w:hint="eastAsia" w:ascii="宋体" w:hAnsi="宋体" w:eastAsia="宋体"/>
          <w:bCs/>
          <w:sz w:val="24"/>
        </w:rPr>
        <w:t>安全区域边界</w:t>
      </w:r>
      <w:r>
        <w:rPr>
          <w:rFonts w:ascii="宋体" w:hAnsi="宋体" w:eastAsia="宋体"/>
          <w:bCs/>
          <w:sz w:val="24"/>
        </w:rPr>
        <w:t>、</w:t>
      </w:r>
      <w:r>
        <w:rPr>
          <w:rFonts w:hint="eastAsia" w:ascii="宋体" w:hAnsi="宋体" w:eastAsia="宋体"/>
          <w:bCs/>
          <w:sz w:val="24"/>
        </w:rPr>
        <w:t>安全计算环境和安全管理中心</w:t>
      </w:r>
      <w:r>
        <w:rPr>
          <w:rFonts w:ascii="宋体" w:hAnsi="宋体" w:eastAsia="宋体"/>
          <w:bCs/>
          <w:sz w:val="24"/>
        </w:rPr>
        <w:t>等五个方面的安全测评；</w:t>
      </w:r>
    </w:p>
    <w:p>
      <w:pPr>
        <w:spacing w:line="360" w:lineRule="auto"/>
        <w:ind w:firstLine="480" w:firstLineChars="200"/>
        <w:rPr>
          <w:rFonts w:ascii="宋体" w:hAnsi="宋体" w:eastAsia="宋体"/>
          <w:bCs/>
          <w:sz w:val="24"/>
        </w:rPr>
      </w:pPr>
      <w:r>
        <w:rPr>
          <w:rFonts w:ascii="宋体" w:hAnsi="宋体" w:eastAsia="宋体"/>
          <w:bCs/>
          <w:sz w:val="24"/>
        </w:rPr>
        <w:t>安全管理测评：安全管理</w:t>
      </w:r>
      <w:r>
        <w:rPr>
          <w:rFonts w:hint="eastAsia" w:ascii="宋体" w:hAnsi="宋体" w:eastAsia="宋体"/>
          <w:bCs/>
          <w:sz w:val="24"/>
        </w:rPr>
        <w:t>制度</w:t>
      </w:r>
      <w:r>
        <w:rPr>
          <w:rFonts w:ascii="宋体" w:hAnsi="宋体" w:eastAsia="宋体"/>
          <w:bCs/>
          <w:sz w:val="24"/>
        </w:rPr>
        <w:t>、安全管理</w:t>
      </w:r>
      <w:r>
        <w:rPr>
          <w:rFonts w:hint="eastAsia" w:ascii="宋体" w:hAnsi="宋体" w:eastAsia="宋体"/>
          <w:bCs/>
          <w:sz w:val="24"/>
        </w:rPr>
        <w:t>机构</w:t>
      </w:r>
      <w:r>
        <w:rPr>
          <w:rFonts w:ascii="宋体" w:hAnsi="宋体" w:eastAsia="宋体"/>
          <w:bCs/>
          <w:sz w:val="24"/>
        </w:rPr>
        <w:t>、</w:t>
      </w:r>
      <w:r>
        <w:rPr>
          <w:rFonts w:hint="eastAsia" w:ascii="宋体" w:hAnsi="宋体" w:eastAsia="宋体"/>
          <w:bCs/>
          <w:sz w:val="24"/>
        </w:rPr>
        <w:t>安全人员</w:t>
      </w:r>
      <w:r>
        <w:rPr>
          <w:rFonts w:ascii="宋体" w:hAnsi="宋体" w:eastAsia="宋体"/>
          <w:bCs/>
          <w:sz w:val="24"/>
        </w:rPr>
        <w:t>管理、</w:t>
      </w:r>
      <w:r>
        <w:rPr>
          <w:rFonts w:hint="eastAsia" w:ascii="宋体" w:hAnsi="宋体" w:eastAsia="宋体"/>
          <w:bCs/>
          <w:sz w:val="24"/>
        </w:rPr>
        <w:t>安全</w:t>
      </w:r>
      <w:r>
        <w:rPr>
          <w:rFonts w:ascii="宋体" w:hAnsi="宋体" w:eastAsia="宋体"/>
          <w:bCs/>
          <w:sz w:val="24"/>
        </w:rPr>
        <w:t>建设管理和</w:t>
      </w:r>
      <w:r>
        <w:rPr>
          <w:rFonts w:hint="eastAsia" w:ascii="宋体" w:hAnsi="宋体" w:eastAsia="宋体"/>
          <w:bCs/>
          <w:sz w:val="24"/>
        </w:rPr>
        <w:t>安全</w:t>
      </w:r>
      <w:r>
        <w:rPr>
          <w:rFonts w:ascii="宋体" w:hAnsi="宋体" w:eastAsia="宋体"/>
          <w:bCs/>
          <w:sz w:val="24"/>
        </w:rPr>
        <w:t>运维管理等五个方面的安全测评。</w:t>
      </w:r>
    </w:p>
    <w:p>
      <w:pPr>
        <w:spacing w:line="360" w:lineRule="auto"/>
        <w:ind w:firstLine="480" w:firstLineChars="200"/>
        <w:rPr>
          <w:rFonts w:ascii="宋体" w:hAnsi="宋体" w:eastAsia="宋体"/>
          <w:bCs/>
          <w:sz w:val="24"/>
        </w:rPr>
      </w:pPr>
      <w:r>
        <w:rPr>
          <w:rFonts w:hint="eastAsia" w:ascii="宋体" w:hAnsi="宋体" w:eastAsia="宋体"/>
          <w:bCs/>
          <w:sz w:val="24"/>
        </w:rPr>
        <w:t>（</w:t>
      </w:r>
      <w:r>
        <w:rPr>
          <w:rFonts w:ascii="宋体" w:hAnsi="宋体" w:eastAsia="宋体"/>
          <w:bCs/>
          <w:sz w:val="24"/>
        </w:rPr>
        <w:t>1）</w:t>
      </w:r>
      <w:r>
        <w:rPr>
          <w:rFonts w:hint="eastAsia" w:ascii="宋体" w:hAnsi="宋体" w:eastAsia="宋体"/>
          <w:bCs/>
          <w:sz w:val="24"/>
        </w:rPr>
        <w:t>安全物理环境</w:t>
      </w:r>
    </w:p>
    <w:p>
      <w:pPr>
        <w:spacing w:line="360" w:lineRule="auto"/>
        <w:ind w:firstLine="480" w:firstLineChars="200"/>
        <w:rPr>
          <w:rFonts w:ascii="宋体" w:hAnsi="宋体" w:eastAsia="宋体"/>
          <w:bCs/>
          <w:sz w:val="24"/>
        </w:rPr>
      </w:pPr>
      <w:r>
        <w:rPr>
          <w:rFonts w:hint="eastAsia" w:ascii="宋体" w:hAnsi="宋体" w:eastAsia="宋体"/>
          <w:bCs/>
          <w:sz w:val="24"/>
        </w:rPr>
        <w:t>根据信息系统机房和现场安全测评记录，针对机房和现场在“物理位置选择”、“物理访问控制”、“防盗窃和防破坏”、“防雷击”、“防火”、“防水和防潮”、“防静电”、“温湿度控制”、“电力供应”和“电磁防护”等安全物理环境方面所采取的措施进行，判断出与其相对应的各测评项的测评结果。</w:t>
      </w:r>
    </w:p>
    <w:p>
      <w:pPr>
        <w:spacing w:line="360" w:lineRule="auto"/>
        <w:ind w:firstLine="480" w:firstLineChars="200"/>
        <w:rPr>
          <w:rFonts w:ascii="宋体" w:hAnsi="宋体" w:eastAsia="宋体"/>
          <w:bCs/>
          <w:sz w:val="24"/>
        </w:rPr>
      </w:pPr>
      <w:r>
        <w:rPr>
          <w:rFonts w:hint="eastAsia" w:ascii="宋体" w:hAnsi="宋体" w:eastAsia="宋体"/>
          <w:bCs/>
          <w:sz w:val="24"/>
        </w:rPr>
        <w:t>（</w:t>
      </w:r>
      <w:r>
        <w:rPr>
          <w:rFonts w:ascii="宋体" w:hAnsi="宋体" w:eastAsia="宋体"/>
          <w:bCs/>
          <w:sz w:val="24"/>
        </w:rPr>
        <w:t>2）</w:t>
      </w:r>
      <w:r>
        <w:rPr>
          <w:rFonts w:hint="eastAsia" w:ascii="宋体" w:hAnsi="宋体" w:eastAsia="宋体"/>
          <w:bCs/>
          <w:sz w:val="24"/>
        </w:rPr>
        <w:t>安全通信网络</w:t>
      </w:r>
    </w:p>
    <w:p>
      <w:pPr>
        <w:spacing w:line="360" w:lineRule="auto"/>
        <w:ind w:firstLine="480" w:firstLineChars="200"/>
        <w:rPr>
          <w:rFonts w:ascii="宋体" w:hAnsi="宋体" w:eastAsia="宋体"/>
          <w:bCs/>
          <w:sz w:val="24"/>
        </w:rPr>
      </w:pPr>
      <w:r>
        <w:rPr>
          <w:rFonts w:hint="eastAsia" w:ascii="宋体" w:hAnsi="宋体" w:eastAsia="宋体"/>
          <w:bCs/>
          <w:sz w:val="24"/>
        </w:rPr>
        <w:t>根据信息系统安全通信网络测评记录，针对网络方面在“网络架构”、“通信传输”、“可信认证”等安全通信网络方面所采取的措施进行检查，判断出与其相对应的各测评项的测评结果。</w:t>
      </w:r>
    </w:p>
    <w:p>
      <w:pPr>
        <w:spacing w:line="360" w:lineRule="auto"/>
        <w:ind w:firstLine="480" w:firstLineChars="200"/>
        <w:rPr>
          <w:rFonts w:ascii="宋体" w:hAnsi="宋体" w:eastAsia="宋体"/>
          <w:bCs/>
          <w:sz w:val="24"/>
        </w:rPr>
      </w:pPr>
      <w:r>
        <w:rPr>
          <w:rFonts w:hint="eastAsia" w:ascii="宋体" w:hAnsi="宋体" w:eastAsia="宋体"/>
          <w:bCs/>
          <w:sz w:val="24"/>
        </w:rPr>
        <w:t>（</w:t>
      </w:r>
      <w:r>
        <w:rPr>
          <w:rFonts w:ascii="宋体" w:hAnsi="宋体" w:eastAsia="宋体"/>
          <w:bCs/>
          <w:sz w:val="24"/>
        </w:rPr>
        <w:t>3）</w:t>
      </w:r>
      <w:r>
        <w:rPr>
          <w:rFonts w:hint="eastAsia" w:ascii="宋体" w:hAnsi="宋体" w:eastAsia="宋体"/>
          <w:bCs/>
          <w:sz w:val="24"/>
        </w:rPr>
        <w:t>安全区域边界</w:t>
      </w:r>
    </w:p>
    <w:p>
      <w:pPr>
        <w:spacing w:line="360" w:lineRule="auto"/>
        <w:ind w:firstLine="480" w:firstLineChars="200"/>
        <w:rPr>
          <w:rFonts w:ascii="宋体" w:hAnsi="宋体" w:eastAsia="宋体"/>
          <w:bCs/>
          <w:sz w:val="24"/>
        </w:rPr>
      </w:pPr>
      <w:r>
        <w:rPr>
          <w:rFonts w:hint="eastAsia" w:ascii="宋体" w:hAnsi="宋体" w:eastAsia="宋体"/>
          <w:bCs/>
          <w:sz w:val="24"/>
        </w:rPr>
        <w:t>根据信息系统安全区域边界测评记录，针对网络方面在“边界防护”、“访问控制”、“入侵防范”、“恶意代码和垃圾邮件防范”、“安全审计”、“可信验证”、“资源控制”。等安全区域边界方面所采取的措施进行检查，判断出与其相对应的各测评项的测评结果。</w:t>
      </w:r>
    </w:p>
    <w:p>
      <w:pPr>
        <w:spacing w:line="360" w:lineRule="auto"/>
        <w:ind w:firstLine="480" w:firstLineChars="200"/>
        <w:rPr>
          <w:rFonts w:ascii="宋体" w:hAnsi="宋体" w:eastAsia="宋体"/>
          <w:bCs/>
          <w:sz w:val="24"/>
        </w:rPr>
      </w:pPr>
      <w:r>
        <w:rPr>
          <w:rFonts w:hint="eastAsia" w:ascii="宋体" w:hAnsi="宋体" w:eastAsia="宋体"/>
          <w:bCs/>
          <w:sz w:val="24"/>
        </w:rPr>
        <w:t>（</w:t>
      </w:r>
      <w:r>
        <w:rPr>
          <w:rFonts w:ascii="宋体" w:hAnsi="宋体" w:eastAsia="宋体"/>
          <w:bCs/>
          <w:sz w:val="24"/>
        </w:rPr>
        <w:t>4）</w:t>
      </w:r>
      <w:r>
        <w:rPr>
          <w:rFonts w:hint="eastAsia" w:ascii="宋体" w:hAnsi="宋体" w:eastAsia="宋体"/>
          <w:bCs/>
          <w:sz w:val="24"/>
        </w:rPr>
        <w:t>安全计算环境</w:t>
      </w:r>
    </w:p>
    <w:p>
      <w:pPr>
        <w:spacing w:line="360" w:lineRule="auto"/>
        <w:ind w:firstLine="480" w:firstLineChars="200"/>
        <w:rPr>
          <w:rFonts w:ascii="宋体" w:hAnsi="宋体" w:eastAsia="宋体"/>
          <w:bCs/>
          <w:sz w:val="24"/>
        </w:rPr>
      </w:pPr>
      <w:r>
        <w:rPr>
          <w:rFonts w:hint="eastAsia" w:ascii="宋体" w:hAnsi="宋体" w:eastAsia="宋体"/>
          <w:bCs/>
          <w:sz w:val="24"/>
        </w:rPr>
        <w:t>根据信息系统安全计算环境测评记录，针对网络方面在“身份鉴别”、“访问控制”、“安全审计”、“入侵防范”、“恶意代码防范”、“可信验证”、“数据完整性”、“数据保密性”、“数据备份恢复”、“剩余信息保护”、“剩余信息保护”等安全计算环境方面所采取的措施进行检查，判断出与其相对应的各测评项的测评结果。</w:t>
      </w:r>
    </w:p>
    <w:p>
      <w:pPr>
        <w:spacing w:line="360" w:lineRule="auto"/>
        <w:ind w:firstLine="480" w:firstLineChars="200"/>
        <w:rPr>
          <w:rFonts w:ascii="宋体" w:hAnsi="宋体" w:eastAsia="宋体"/>
          <w:bCs/>
          <w:sz w:val="24"/>
        </w:rPr>
      </w:pPr>
      <w:r>
        <w:rPr>
          <w:rFonts w:hint="eastAsia" w:ascii="宋体" w:hAnsi="宋体" w:eastAsia="宋体"/>
          <w:bCs/>
          <w:sz w:val="24"/>
        </w:rPr>
        <w:t>（</w:t>
      </w:r>
      <w:r>
        <w:rPr>
          <w:rFonts w:ascii="宋体" w:hAnsi="宋体" w:eastAsia="宋体"/>
          <w:bCs/>
          <w:sz w:val="24"/>
        </w:rPr>
        <w:t>5）</w:t>
      </w:r>
      <w:r>
        <w:rPr>
          <w:rFonts w:hint="eastAsia" w:ascii="宋体" w:hAnsi="宋体" w:eastAsia="宋体"/>
          <w:bCs/>
          <w:sz w:val="24"/>
        </w:rPr>
        <w:t>安全管理中心</w:t>
      </w:r>
    </w:p>
    <w:p>
      <w:pPr>
        <w:spacing w:line="360" w:lineRule="auto"/>
        <w:ind w:firstLine="480" w:firstLineChars="200"/>
        <w:rPr>
          <w:rFonts w:ascii="宋体" w:hAnsi="宋体" w:eastAsia="宋体"/>
          <w:bCs/>
          <w:sz w:val="24"/>
        </w:rPr>
      </w:pPr>
      <w:r>
        <w:rPr>
          <w:rFonts w:hint="eastAsia" w:ascii="宋体" w:hAnsi="宋体" w:eastAsia="宋体"/>
          <w:bCs/>
          <w:sz w:val="24"/>
        </w:rPr>
        <w:t>信息系统安全管理中心现场测评包括“系统管理”、“审计管理”、“安全管理”、“集中管控”等安全计算环境方面所采取的措施进行检查，判断出与其相对应的各测评项的测评结果。</w:t>
      </w:r>
    </w:p>
    <w:p>
      <w:pPr>
        <w:spacing w:line="360" w:lineRule="auto"/>
        <w:ind w:firstLine="480" w:firstLineChars="200"/>
        <w:rPr>
          <w:rFonts w:ascii="宋体" w:hAnsi="宋体" w:eastAsia="宋体"/>
          <w:bCs/>
          <w:sz w:val="24"/>
        </w:rPr>
      </w:pPr>
      <w:r>
        <w:rPr>
          <w:rFonts w:hint="eastAsia" w:ascii="宋体" w:hAnsi="宋体" w:eastAsia="宋体"/>
          <w:bCs/>
          <w:sz w:val="24"/>
        </w:rPr>
        <w:t>（</w:t>
      </w:r>
      <w:r>
        <w:rPr>
          <w:rFonts w:ascii="宋体" w:hAnsi="宋体" w:eastAsia="宋体"/>
          <w:bCs/>
          <w:sz w:val="24"/>
        </w:rPr>
        <w:t>6）安全管理制度</w:t>
      </w:r>
    </w:p>
    <w:p>
      <w:pPr>
        <w:spacing w:line="360" w:lineRule="auto"/>
        <w:ind w:firstLine="480" w:firstLineChars="200"/>
        <w:rPr>
          <w:rFonts w:ascii="宋体" w:hAnsi="宋体" w:eastAsia="宋体"/>
          <w:bCs/>
          <w:sz w:val="24"/>
        </w:rPr>
      </w:pPr>
      <w:r>
        <w:rPr>
          <w:rFonts w:hint="eastAsia" w:ascii="宋体" w:hAnsi="宋体" w:eastAsia="宋体"/>
          <w:bCs/>
          <w:sz w:val="24"/>
        </w:rPr>
        <w:t>根据现场安全测评记录，针对信息系统在安全管理制度方面的“安全策略”、“管理制度”、“制定和发布”以及“评审和修订”等测评指标，判断出与其相对应的各测评项的测评结果。</w:t>
      </w:r>
    </w:p>
    <w:p>
      <w:pPr>
        <w:spacing w:line="360" w:lineRule="auto"/>
        <w:ind w:firstLine="480" w:firstLineChars="200"/>
        <w:rPr>
          <w:rFonts w:ascii="宋体" w:hAnsi="宋体" w:eastAsia="宋体"/>
          <w:bCs/>
          <w:sz w:val="24"/>
        </w:rPr>
      </w:pPr>
      <w:r>
        <w:rPr>
          <w:rFonts w:hint="eastAsia" w:ascii="宋体" w:hAnsi="宋体" w:eastAsia="宋体"/>
          <w:bCs/>
          <w:sz w:val="24"/>
        </w:rPr>
        <w:t>（</w:t>
      </w:r>
      <w:r>
        <w:rPr>
          <w:rFonts w:ascii="宋体" w:hAnsi="宋体" w:eastAsia="宋体"/>
          <w:bCs/>
          <w:sz w:val="24"/>
        </w:rPr>
        <w:t>7）安全管理机构</w:t>
      </w:r>
    </w:p>
    <w:p>
      <w:pPr>
        <w:spacing w:line="360" w:lineRule="auto"/>
        <w:ind w:firstLine="480" w:firstLineChars="200"/>
        <w:rPr>
          <w:rFonts w:ascii="宋体" w:hAnsi="宋体" w:eastAsia="宋体"/>
          <w:bCs/>
          <w:sz w:val="24"/>
        </w:rPr>
      </w:pPr>
      <w:r>
        <w:rPr>
          <w:rFonts w:hint="eastAsia" w:ascii="宋体" w:hAnsi="宋体" w:eastAsia="宋体"/>
          <w:bCs/>
          <w:sz w:val="24"/>
        </w:rPr>
        <w:t>根据现场安全测评记录，针对信息系统在安全管理机构方面的“岗位设置”、“人员配备”、“授权和审批”、“沟通和合作”以及“审核和检查”等测评指标，判断出与其相对应的各测评项的测评结果。</w:t>
      </w:r>
    </w:p>
    <w:p>
      <w:pPr>
        <w:spacing w:line="360" w:lineRule="auto"/>
        <w:ind w:firstLine="480" w:firstLineChars="200"/>
        <w:rPr>
          <w:rFonts w:ascii="宋体" w:hAnsi="宋体" w:eastAsia="宋体"/>
          <w:bCs/>
          <w:sz w:val="24"/>
        </w:rPr>
      </w:pPr>
      <w:r>
        <w:rPr>
          <w:rFonts w:hint="eastAsia" w:ascii="宋体" w:hAnsi="宋体" w:eastAsia="宋体"/>
          <w:bCs/>
          <w:sz w:val="24"/>
        </w:rPr>
        <w:t>（</w:t>
      </w:r>
      <w:r>
        <w:rPr>
          <w:rFonts w:ascii="宋体" w:hAnsi="宋体" w:eastAsia="宋体"/>
          <w:bCs/>
          <w:sz w:val="24"/>
        </w:rPr>
        <w:t>8）人员安全管理</w:t>
      </w:r>
    </w:p>
    <w:p>
      <w:pPr>
        <w:spacing w:line="360" w:lineRule="auto"/>
        <w:ind w:firstLine="480" w:firstLineChars="200"/>
        <w:rPr>
          <w:rFonts w:ascii="宋体" w:hAnsi="宋体" w:eastAsia="宋体"/>
          <w:bCs/>
          <w:sz w:val="24"/>
        </w:rPr>
      </w:pPr>
      <w:r>
        <w:rPr>
          <w:rFonts w:hint="eastAsia" w:ascii="宋体" w:hAnsi="宋体" w:eastAsia="宋体"/>
          <w:bCs/>
          <w:sz w:val="24"/>
        </w:rPr>
        <w:t>根据现场安全测评记录，针对信息系统在人员安全管理方面的“人员录用”、“人员离岗”、“安全意识教育和培训”以及“外部人员访问管理”等测评指标，判断出与其相对应的各测评项的测评结果。</w:t>
      </w:r>
    </w:p>
    <w:p>
      <w:pPr>
        <w:spacing w:line="360" w:lineRule="auto"/>
        <w:ind w:firstLine="480" w:firstLineChars="200"/>
        <w:rPr>
          <w:rFonts w:ascii="宋体" w:hAnsi="宋体" w:eastAsia="宋体"/>
          <w:bCs/>
          <w:sz w:val="24"/>
        </w:rPr>
      </w:pPr>
      <w:r>
        <w:rPr>
          <w:rFonts w:hint="eastAsia" w:ascii="宋体" w:hAnsi="宋体" w:eastAsia="宋体"/>
          <w:bCs/>
          <w:sz w:val="24"/>
        </w:rPr>
        <w:t>（</w:t>
      </w:r>
      <w:r>
        <w:rPr>
          <w:rFonts w:ascii="宋体" w:hAnsi="宋体" w:eastAsia="宋体"/>
          <w:bCs/>
          <w:sz w:val="24"/>
        </w:rPr>
        <w:t>9）</w:t>
      </w:r>
      <w:r>
        <w:rPr>
          <w:rFonts w:hint="eastAsia" w:ascii="宋体" w:hAnsi="宋体" w:eastAsia="宋体"/>
          <w:bCs/>
          <w:sz w:val="24"/>
        </w:rPr>
        <w:t>安全</w:t>
      </w:r>
      <w:r>
        <w:rPr>
          <w:rFonts w:ascii="宋体" w:hAnsi="宋体" w:eastAsia="宋体"/>
          <w:bCs/>
          <w:sz w:val="24"/>
        </w:rPr>
        <w:t>建设管理</w:t>
      </w:r>
    </w:p>
    <w:p>
      <w:pPr>
        <w:spacing w:line="360" w:lineRule="auto"/>
        <w:ind w:firstLine="480" w:firstLineChars="200"/>
        <w:rPr>
          <w:rFonts w:ascii="宋体" w:hAnsi="宋体" w:eastAsia="宋体"/>
          <w:bCs/>
          <w:sz w:val="24"/>
        </w:rPr>
      </w:pPr>
      <w:r>
        <w:rPr>
          <w:rFonts w:hint="eastAsia" w:ascii="宋体" w:hAnsi="宋体" w:eastAsia="宋体"/>
          <w:bCs/>
          <w:sz w:val="24"/>
        </w:rPr>
        <w:t>根据现场安全测评记录，针对信息系统在系统建设管理方面的“定级和备案”、“安全方案设计”、“产品采购和使用”、“自行软件开发”、“外包软件开发”、“工程实施”、“测试验收”、“系统交付”、“等级测评”以及“安全服务商选择”等测评指标，判断出与其相对应的各测评项的测评结果。</w:t>
      </w:r>
    </w:p>
    <w:p>
      <w:pPr>
        <w:spacing w:line="360" w:lineRule="auto"/>
        <w:ind w:firstLine="480" w:firstLineChars="200"/>
        <w:rPr>
          <w:rFonts w:ascii="宋体" w:hAnsi="宋体" w:eastAsia="宋体"/>
          <w:bCs/>
          <w:sz w:val="24"/>
        </w:rPr>
      </w:pPr>
      <w:r>
        <w:rPr>
          <w:rFonts w:hint="eastAsia" w:ascii="宋体" w:hAnsi="宋体" w:eastAsia="宋体"/>
          <w:bCs/>
          <w:sz w:val="24"/>
        </w:rPr>
        <w:t>（</w:t>
      </w:r>
      <w:r>
        <w:rPr>
          <w:rFonts w:ascii="宋体" w:hAnsi="宋体" w:eastAsia="宋体"/>
          <w:bCs/>
          <w:sz w:val="24"/>
        </w:rPr>
        <w:t>10）系统运维管理</w:t>
      </w:r>
    </w:p>
    <w:p>
      <w:pPr>
        <w:spacing w:line="360" w:lineRule="auto"/>
        <w:ind w:firstLine="480" w:firstLineChars="200"/>
        <w:rPr>
          <w:rFonts w:ascii="宋体" w:hAnsi="宋体" w:eastAsia="宋体"/>
          <w:bCs/>
          <w:sz w:val="24"/>
        </w:rPr>
      </w:pPr>
      <w:r>
        <w:rPr>
          <w:rFonts w:hint="eastAsia" w:ascii="宋体" w:hAnsi="宋体" w:eastAsia="宋体"/>
          <w:bCs/>
          <w:sz w:val="24"/>
        </w:rPr>
        <w:t>根据现场安全测评记录，针对信息系统在系统运维管理方面的“环境管理”、“资产管理”、“介质管理”、“设备维护管理”、</w:t>
      </w:r>
      <w:r>
        <w:rPr>
          <w:rFonts w:ascii="宋体" w:hAnsi="宋体" w:eastAsia="宋体"/>
          <w:bCs/>
          <w:sz w:val="24"/>
        </w:rPr>
        <w:t>“</w:t>
      </w:r>
      <w:r>
        <w:rPr>
          <w:rFonts w:hint="eastAsia" w:ascii="宋体" w:hAnsi="宋体" w:eastAsia="宋体"/>
          <w:bCs/>
          <w:sz w:val="24"/>
        </w:rPr>
        <w:t>漏洞和风险管理</w:t>
      </w:r>
      <w:r>
        <w:rPr>
          <w:rFonts w:ascii="宋体" w:hAnsi="宋体" w:eastAsia="宋体"/>
          <w:bCs/>
          <w:sz w:val="24"/>
        </w:rPr>
        <w:t>”、“</w:t>
      </w:r>
      <w:r>
        <w:rPr>
          <w:rFonts w:hint="eastAsia" w:ascii="宋体" w:hAnsi="宋体" w:eastAsia="宋体"/>
          <w:bCs/>
          <w:sz w:val="24"/>
        </w:rPr>
        <w:t>网络和</w:t>
      </w:r>
      <w:r>
        <w:rPr>
          <w:rFonts w:ascii="宋体" w:hAnsi="宋体" w:eastAsia="宋体"/>
          <w:bCs/>
          <w:sz w:val="24"/>
        </w:rPr>
        <w:t>系统安全管理”、“恶意代码防范管理”、</w:t>
      </w:r>
      <w:r>
        <w:rPr>
          <w:rFonts w:hint="eastAsia" w:ascii="宋体" w:hAnsi="宋体" w:eastAsia="宋体"/>
          <w:bCs/>
          <w:sz w:val="24"/>
        </w:rPr>
        <w:t>“配置管理”、</w:t>
      </w:r>
      <w:r>
        <w:rPr>
          <w:rFonts w:ascii="宋体" w:hAnsi="宋体" w:eastAsia="宋体"/>
          <w:bCs/>
          <w:sz w:val="24"/>
        </w:rPr>
        <w:t>“密码管理”、“变更管理”、“备份与恢复管理”、“安全事件处置”</w:t>
      </w:r>
      <w:r>
        <w:rPr>
          <w:rFonts w:hint="eastAsia" w:ascii="宋体" w:hAnsi="宋体" w:eastAsia="宋体"/>
          <w:bCs/>
          <w:sz w:val="24"/>
        </w:rPr>
        <w:t>、</w:t>
      </w:r>
      <w:r>
        <w:rPr>
          <w:rFonts w:ascii="宋体" w:hAnsi="宋体" w:eastAsia="宋体"/>
          <w:bCs/>
          <w:sz w:val="24"/>
        </w:rPr>
        <w:t>“应急预案管理”</w:t>
      </w:r>
      <w:r>
        <w:rPr>
          <w:rFonts w:hint="eastAsia" w:ascii="宋体" w:hAnsi="宋体" w:eastAsia="宋体"/>
          <w:bCs/>
          <w:sz w:val="24"/>
        </w:rPr>
        <w:t>以及“外包运维管理”</w:t>
      </w:r>
      <w:r>
        <w:rPr>
          <w:rFonts w:ascii="宋体" w:hAnsi="宋体" w:eastAsia="宋体"/>
          <w:bCs/>
          <w:sz w:val="24"/>
        </w:rPr>
        <w:t>等测评指标，判断出与其相对应的各测评项的测评结果。</w:t>
      </w:r>
    </w:p>
    <w:p>
      <w:pPr>
        <w:spacing w:line="360" w:lineRule="auto"/>
        <w:ind w:firstLine="480" w:firstLineChars="200"/>
        <w:rPr>
          <w:rFonts w:ascii="宋体" w:hAnsi="宋体" w:eastAsia="宋体"/>
          <w:bCs/>
          <w:sz w:val="24"/>
        </w:rPr>
      </w:pPr>
      <w:r>
        <w:rPr>
          <w:rFonts w:hint="eastAsia" w:ascii="宋体" w:hAnsi="宋体" w:eastAsia="宋体"/>
          <w:bCs/>
          <w:sz w:val="24"/>
        </w:rPr>
        <w:t>4</w:t>
      </w:r>
      <w:r>
        <w:rPr>
          <w:rFonts w:ascii="宋体" w:hAnsi="宋体" w:eastAsia="宋体"/>
          <w:bCs/>
          <w:sz w:val="24"/>
        </w:rPr>
        <w:t>.2</w:t>
      </w:r>
      <w:r>
        <w:rPr>
          <w:rFonts w:hint="eastAsia" w:ascii="宋体" w:hAnsi="宋体" w:eastAsia="宋体"/>
          <w:bCs/>
          <w:sz w:val="24"/>
        </w:rPr>
        <w:t>网络安全培训</w:t>
      </w:r>
    </w:p>
    <w:p>
      <w:pPr>
        <w:spacing w:line="360" w:lineRule="auto"/>
        <w:ind w:firstLine="480" w:firstLineChars="200"/>
        <w:rPr>
          <w:rFonts w:ascii="宋体" w:hAnsi="宋体" w:eastAsia="宋体"/>
          <w:bCs/>
          <w:sz w:val="24"/>
        </w:rPr>
      </w:pPr>
      <w:r>
        <w:rPr>
          <w:rFonts w:hint="eastAsia" w:ascii="宋体" w:hAnsi="宋体" w:eastAsia="宋体"/>
          <w:bCs/>
          <w:sz w:val="24"/>
        </w:rPr>
        <w:t>需依据国家相关标准和要求，对甲方运营维护人员开展数据安全治理方面的培训，培训内容及培训大纲需依据注册信息安全治理人员（CISP-DSG）的要求开展，包括且不限于：</w:t>
      </w:r>
    </w:p>
    <w:p>
      <w:pPr>
        <w:spacing w:line="360" w:lineRule="auto"/>
        <w:ind w:firstLine="480" w:firstLineChars="200"/>
        <w:rPr>
          <w:rFonts w:ascii="宋体" w:hAnsi="宋体" w:eastAsia="宋体"/>
          <w:bCs/>
          <w:sz w:val="24"/>
        </w:rPr>
      </w:pPr>
      <w:r>
        <w:rPr>
          <w:rFonts w:hint="eastAsia" w:ascii="宋体" w:hAnsi="宋体" w:eastAsia="宋体"/>
          <w:bCs/>
          <w:sz w:val="24"/>
        </w:rPr>
        <w:t>（1）网络安全技术</w:t>
      </w:r>
    </w:p>
    <w:p>
      <w:pPr>
        <w:spacing w:line="360" w:lineRule="auto"/>
        <w:ind w:firstLine="480" w:firstLineChars="200"/>
        <w:rPr>
          <w:rFonts w:ascii="宋体" w:hAnsi="宋体" w:eastAsia="宋体"/>
          <w:bCs/>
          <w:sz w:val="24"/>
        </w:rPr>
      </w:pPr>
      <w:r>
        <w:rPr>
          <w:rFonts w:hint="eastAsia" w:ascii="宋体" w:hAnsi="宋体" w:eastAsia="宋体"/>
          <w:bCs/>
          <w:sz w:val="24"/>
        </w:rPr>
        <w:t>此内容包括：信息安全保障、信息安全评估、网络安全监管、信息安全支撑技术等</w:t>
      </w:r>
    </w:p>
    <w:p>
      <w:pPr>
        <w:spacing w:line="360" w:lineRule="auto"/>
        <w:ind w:firstLine="480" w:firstLineChars="200"/>
        <w:rPr>
          <w:rFonts w:ascii="宋体" w:hAnsi="宋体" w:eastAsia="宋体"/>
          <w:bCs/>
          <w:sz w:val="24"/>
        </w:rPr>
      </w:pPr>
      <w:r>
        <w:rPr>
          <w:rFonts w:hint="eastAsia" w:ascii="宋体" w:hAnsi="宋体" w:eastAsia="宋体"/>
          <w:bCs/>
          <w:sz w:val="24"/>
        </w:rPr>
        <w:t>（2）数据安全基础知识</w:t>
      </w:r>
    </w:p>
    <w:p>
      <w:pPr>
        <w:spacing w:line="360" w:lineRule="auto"/>
        <w:ind w:firstLine="480" w:firstLineChars="200"/>
        <w:rPr>
          <w:rFonts w:ascii="宋体" w:hAnsi="宋体" w:eastAsia="宋体"/>
          <w:bCs/>
          <w:sz w:val="24"/>
        </w:rPr>
      </w:pPr>
      <w:r>
        <w:rPr>
          <w:rFonts w:hint="eastAsia" w:ascii="宋体" w:hAnsi="宋体" w:eastAsia="宋体"/>
          <w:bCs/>
          <w:sz w:val="24"/>
        </w:rPr>
        <w:t>此内容包括：数据安全基础知识、机构化数据应用、非结构化数据应用、大数据应用、数据安全基础等</w:t>
      </w:r>
    </w:p>
    <w:p>
      <w:pPr>
        <w:spacing w:line="360" w:lineRule="auto"/>
        <w:ind w:firstLine="480" w:firstLineChars="200"/>
        <w:rPr>
          <w:rFonts w:ascii="宋体" w:hAnsi="宋体" w:eastAsia="宋体"/>
          <w:bCs/>
          <w:sz w:val="24"/>
        </w:rPr>
      </w:pPr>
      <w:r>
        <w:rPr>
          <w:rFonts w:hint="eastAsia" w:ascii="宋体" w:hAnsi="宋体" w:eastAsia="宋体"/>
          <w:bCs/>
          <w:sz w:val="24"/>
        </w:rPr>
        <w:t>（3）数据安全技术</w:t>
      </w:r>
    </w:p>
    <w:p>
      <w:pPr>
        <w:spacing w:line="360" w:lineRule="auto"/>
        <w:ind w:firstLine="480" w:firstLineChars="200"/>
        <w:rPr>
          <w:rFonts w:ascii="宋体" w:hAnsi="宋体" w:eastAsia="宋体"/>
          <w:bCs/>
          <w:sz w:val="24"/>
        </w:rPr>
      </w:pPr>
      <w:r>
        <w:rPr>
          <w:rFonts w:hint="eastAsia" w:ascii="宋体" w:hAnsi="宋体" w:eastAsia="宋体"/>
          <w:bCs/>
          <w:sz w:val="24"/>
        </w:rPr>
        <w:t>此内容包括：数据防泄漏技术、数据库安全技术、数据可用性保障、大数据安全防护</w:t>
      </w:r>
    </w:p>
    <w:p>
      <w:pPr>
        <w:spacing w:line="360" w:lineRule="auto"/>
        <w:ind w:firstLine="480" w:firstLineChars="200"/>
        <w:rPr>
          <w:rFonts w:ascii="宋体" w:hAnsi="宋体" w:eastAsia="宋体"/>
          <w:bCs/>
          <w:sz w:val="24"/>
        </w:rPr>
      </w:pPr>
      <w:r>
        <w:rPr>
          <w:rFonts w:hint="eastAsia" w:ascii="宋体" w:hAnsi="宋体" w:eastAsia="宋体"/>
          <w:bCs/>
          <w:sz w:val="24"/>
        </w:rPr>
        <w:t>（4）数据安全治理及保障体系</w:t>
      </w:r>
    </w:p>
    <w:p>
      <w:pPr>
        <w:spacing w:line="360" w:lineRule="auto"/>
        <w:ind w:firstLine="480" w:firstLineChars="200"/>
        <w:rPr>
          <w:rFonts w:ascii="宋体" w:hAnsi="宋体" w:eastAsia="宋体"/>
          <w:bCs/>
          <w:sz w:val="24"/>
        </w:rPr>
      </w:pPr>
      <w:r>
        <w:rPr>
          <w:rFonts w:hint="eastAsia" w:ascii="宋体" w:hAnsi="宋体" w:eastAsia="宋体"/>
          <w:bCs/>
          <w:sz w:val="24"/>
        </w:rPr>
        <w:t>此内容包括：治理与保障框架、数据安全管理、数据安全评估、数据安全策略、数据安全运营、合规评测</w:t>
      </w:r>
      <w:bookmarkStart w:id="7" w:name="_Toc308768922"/>
    </w:p>
    <w:p>
      <w:pPr>
        <w:spacing w:line="360" w:lineRule="auto"/>
        <w:jc w:val="left"/>
        <w:rPr>
          <w:rFonts w:ascii="宋体" w:hAnsi="宋体" w:eastAsia="宋体"/>
          <w:bCs/>
          <w:sz w:val="24"/>
        </w:rPr>
      </w:pPr>
      <w:r>
        <w:rPr>
          <w:rFonts w:hint="eastAsia" w:ascii="宋体" w:hAnsi="宋体" w:eastAsia="宋体"/>
          <w:sz w:val="28"/>
          <w:szCs w:val="28"/>
        </w:rPr>
        <w:t>5、成果交付</w:t>
      </w:r>
      <w:bookmarkEnd w:id="7"/>
    </w:p>
    <w:p>
      <w:pPr>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该项目提交的文档至少包括以下几类文件：</w:t>
      </w:r>
    </w:p>
    <w:p>
      <w:pPr>
        <w:numPr>
          <w:ilvl w:val="0"/>
          <w:numId w:val="2"/>
        </w:numPr>
        <w:spacing w:line="360" w:lineRule="auto"/>
        <w:ind w:left="851"/>
        <w:jc w:val="left"/>
        <w:rPr>
          <w:rFonts w:ascii="宋体" w:hAnsi="宋体" w:eastAsia="宋体" w:cs="宋体"/>
          <w:kern w:val="0"/>
          <w:sz w:val="24"/>
        </w:rPr>
      </w:pPr>
      <w:r>
        <w:rPr>
          <w:rFonts w:hint="eastAsia" w:ascii="宋体" w:hAnsi="宋体" w:eastAsia="宋体" w:cs="宋体"/>
          <w:kern w:val="0"/>
          <w:sz w:val="24"/>
        </w:rPr>
        <w:t>《信息系统网络安全等级保护测评方案》</w:t>
      </w:r>
    </w:p>
    <w:p>
      <w:pPr>
        <w:numPr>
          <w:ilvl w:val="0"/>
          <w:numId w:val="2"/>
        </w:numPr>
        <w:spacing w:line="360" w:lineRule="auto"/>
        <w:ind w:left="870" w:hanging="390"/>
        <w:jc w:val="left"/>
        <w:rPr>
          <w:rFonts w:ascii="宋体" w:hAnsi="宋体" w:eastAsia="宋体" w:cs="宋体"/>
          <w:kern w:val="0"/>
          <w:sz w:val="24"/>
        </w:rPr>
      </w:pPr>
      <w:r>
        <w:rPr>
          <w:rFonts w:hint="eastAsia" w:ascii="宋体" w:hAnsi="宋体" w:eastAsia="宋体" w:cs="宋体"/>
          <w:kern w:val="0"/>
          <w:sz w:val="24"/>
        </w:rPr>
        <w:t>《信息系统网络安全等级保护测评报告》</w:t>
      </w:r>
    </w:p>
    <w:p>
      <w:pPr>
        <w:numPr>
          <w:ilvl w:val="0"/>
          <w:numId w:val="2"/>
        </w:numPr>
        <w:spacing w:line="360" w:lineRule="auto"/>
        <w:ind w:left="870" w:hanging="390"/>
        <w:jc w:val="left"/>
        <w:rPr>
          <w:rFonts w:ascii="宋体" w:hAnsi="宋体" w:eastAsia="宋体" w:cs="宋体"/>
          <w:kern w:val="0"/>
          <w:sz w:val="24"/>
        </w:rPr>
      </w:pPr>
      <w:r>
        <w:rPr>
          <w:rFonts w:hint="eastAsia" w:ascii="宋体" w:hAnsi="宋体" w:eastAsia="宋体" w:cs="宋体"/>
          <w:kern w:val="0"/>
          <w:sz w:val="24"/>
        </w:rPr>
        <w:t>《测评报告电子版文档》</w:t>
      </w:r>
    </w:p>
    <w:p>
      <w:pPr>
        <w:pStyle w:val="13"/>
        <w:spacing w:line="540" w:lineRule="exact"/>
        <w:rPr>
          <w:rFonts w:ascii="宋体" w:hAnsi="宋体" w:eastAsia="宋体"/>
          <w:sz w:val="28"/>
          <w:szCs w:val="28"/>
        </w:rPr>
      </w:pPr>
      <w:r>
        <w:rPr>
          <w:rFonts w:hint="eastAsia" w:ascii="宋体" w:hAnsi="宋体" w:eastAsia="宋体"/>
          <w:sz w:val="28"/>
          <w:szCs w:val="28"/>
        </w:rPr>
        <w:t>6、其他相关服务</w:t>
      </w:r>
    </w:p>
    <w:p>
      <w:pPr>
        <w:spacing w:line="360" w:lineRule="auto"/>
        <w:ind w:firstLine="480" w:firstLineChars="200"/>
        <w:rPr>
          <w:rFonts w:ascii="宋体" w:hAnsi="宋体" w:eastAsia="宋体"/>
          <w:bCs/>
          <w:sz w:val="24"/>
        </w:rPr>
      </w:pPr>
      <w:r>
        <w:rPr>
          <w:rFonts w:ascii="宋体" w:hAnsi="宋体" w:eastAsia="宋体"/>
          <w:bCs/>
          <w:sz w:val="24"/>
        </w:rPr>
        <w:t>（</w:t>
      </w:r>
      <w:r>
        <w:rPr>
          <w:rFonts w:hint="eastAsia" w:ascii="宋体" w:hAnsi="宋体" w:eastAsia="宋体"/>
          <w:bCs/>
          <w:sz w:val="24"/>
        </w:rPr>
        <w:t>1</w:t>
      </w:r>
      <w:r>
        <w:rPr>
          <w:rFonts w:ascii="宋体" w:hAnsi="宋体" w:eastAsia="宋体"/>
          <w:bCs/>
          <w:sz w:val="24"/>
        </w:rPr>
        <w:t>）漏洞扫描服务</w:t>
      </w:r>
    </w:p>
    <w:p>
      <w:pPr>
        <w:pStyle w:val="13"/>
        <w:spacing w:line="540" w:lineRule="exact"/>
        <w:ind w:firstLine="480" w:firstLineChars="200"/>
        <w:rPr>
          <w:rFonts w:ascii="宋体" w:hAnsi="宋体" w:eastAsia="宋体"/>
          <w:bCs/>
          <w:sz w:val="24"/>
        </w:rPr>
      </w:pPr>
      <w:r>
        <w:rPr>
          <w:rFonts w:ascii="宋体" w:hAnsi="宋体" w:eastAsia="宋体"/>
          <w:bCs/>
          <w:sz w:val="24"/>
        </w:rPr>
        <w:t>利用专业的漏洞扫描工具，对系统与应用每半年进行一次脆弱性扫描，通过漏洞扫描找到各个层面上的脆弱性漏洞，分析各脆弱性的利用可能性和危害程度，并提供漏洞统计、漏洞分类、漏洞详情等信息，为信息安全加固</w:t>
      </w:r>
      <w:r>
        <w:rPr>
          <w:rFonts w:hint="eastAsia" w:ascii="宋体" w:hAnsi="宋体" w:eastAsia="宋体"/>
          <w:bCs/>
          <w:sz w:val="24"/>
        </w:rPr>
        <w:t>、</w:t>
      </w:r>
      <w:r>
        <w:rPr>
          <w:rFonts w:ascii="宋体" w:hAnsi="宋体" w:eastAsia="宋体"/>
          <w:bCs/>
          <w:sz w:val="24"/>
        </w:rPr>
        <w:t>整改提供支持信息。</w:t>
      </w:r>
    </w:p>
    <w:p>
      <w:pPr>
        <w:spacing w:line="360" w:lineRule="auto"/>
        <w:ind w:firstLine="480" w:firstLineChars="200"/>
        <w:rPr>
          <w:rFonts w:ascii="宋体" w:hAnsi="宋体" w:eastAsia="宋体"/>
          <w:bCs/>
          <w:sz w:val="24"/>
        </w:rPr>
      </w:pPr>
      <w:r>
        <w:rPr>
          <w:rFonts w:ascii="宋体" w:hAnsi="宋体" w:eastAsia="宋体"/>
          <w:bCs/>
          <w:sz w:val="24"/>
        </w:rPr>
        <w:t>（</w:t>
      </w:r>
      <w:r>
        <w:rPr>
          <w:rFonts w:hint="eastAsia" w:ascii="宋体" w:hAnsi="宋体" w:eastAsia="宋体"/>
          <w:bCs/>
          <w:sz w:val="24"/>
        </w:rPr>
        <w:t>2</w:t>
      </w:r>
      <w:r>
        <w:rPr>
          <w:rFonts w:ascii="宋体" w:hAnsi="宋体" w:eastAsia="宋体"/>
          <w:bCs/>
          <w:sz w:val="24"/>
        </w:rPr>
        <w:t>）安全意识培训</w:t>
      </w:r>
    </w:p>
    <w:p>
      <w:pPr>
        <w:pStyle w:val="13"/>
        <w:spacing w:line="540" w:lineRule="exact"/>
        <w:ind w:firstLine="480" w:firstLineChars="200"/>
        <w:rPr>
          <w:rFonts w:ascii="宋体" w:hAnsi="宋体" w:eastAsia="宋体"/>
          <w:bCs/>
          <w:sz w:val="24"/>
        </w:rPr>
      </w:pPr>
      <w:r>
        <w:rPr>
          <w:rFonts w:ascii="宋体" w:hAnsi="宋体" w:eastAsia="宋体"/>
          <w:bCs/>
          <w:sz w:val="24"/>
        </w:rPr>
        <w:t>提供不少于1天的安全培训，培训体系针对不同受训角色提供相应的培训内容，涵盖从领导层、技术管理层到一般技术人员等各层次人员所需了解或掌握的网络安全知识和技术。制定详细的培训计划和方案，包括：信息系统安全等级保护培训、安全意识培训等。</w:t>
      </w:r>
    </w:p>
    <w:p>
      <w:pPr>
        <w:spacing w:line="360" w:lineRule="auto"/>
        <w:ind w:firstLine="480" w:firstLineChars="200"/>
        <w:rPr>
          <w:rFonts w:ascii="宋体" w:hAnsi="宋体" w:eastAsia="宋体"/>
          <w:bCs/>
          <w:sz w:val="24"/>
        </w:rPr>
      </w:pPr>
      <w:r>
        <w:rPr>
          <w:rFonts w:ascii="宋体" w:hAnsi="宋体" w:eastAsia="宋体"/>
          <w:bCs/>
          <w:sz w:val="24"/>
        </w:rPr>
        <w:t>（</w:t>
      </w:r>
      <w:r>
        <w:rPr>
          <w:rFonts w:hint="eastAsia" w:ascii="宋体" w:hAnsi="宋体" w:eastAsia="宋体"/>
          <w:bCs/>
          <w:sz w:val="24"/>
        </w:rPr>
        <w:t>3</w:t>
      </w:r>
      <w:r>
        <w:rPr>
          <w:rFonts w:ascii="宋体" w:hAnsi="宋体" w:eastAsia="宋体"/>
          <w:bCs/>
          <w:sz w:val="24"/>
        </w:rPr>
        <w:t>）渗透测试服务</w:t>
      </w:r>
    </w:p>
    <w:p>
      <w:pPr>
        <w:pStyle w:val="13"/>
        <w:spacing w:line="540" w:lineRule="exact"/>
        <w:ind w:firstLine="480" w:firstLineChars="200"/>
        <w:rPr>
          <w:rFonts w:ascii="宋体" w:hAnsi="宋体" w:eastAsia="宋体"/>
          <w:bCs/>
          <w:sz w:val="24"/>
        </w:rPr>
      </w:pPr>
      <w:r>
        <w:rPr>
          <w:rFonts w:ascii="宋体" w:hAnsi="宋体" w:eastAsia="宋体"/>
          <w:bCs/>
          <w:sz w:val="24"/>
        </w:rPr>
        <w:t>对系统每半年进行一次渗透测试服务一次，将遵循保密性原则、标准性原则、规范性原则、可控性原则、整体性原则、最小影响原则。</w:t>
      </w:r>
    </w:p>
    <w:p>
      <w:pPr>
        <w:spacing w:line="360" w:lineRule="auto"/>
        <w:ind w:firstLine="480" w:firstLineChars="200"/>
        <w:rPr>
          <w:rFonts w:ascii="宋体" w:hAnsi="宋体" w:eastAsia="宋体"/>
          <w:bCs/>
          <w:sz w:val="24"/>
        </w:rPr>
      </w:pPr>
      <w:r>
        <w:rPr>
          <w:rFonts w:ascii="宋体" w:hAnsi="宋体" w:eastAsia="宋体"/>
          <w:bCs/>
          <w:sz w:val="24"/>
        </w:rPr>
        <w:t>（</w:t>
      </w:r>
      <w:r>
        <w:rPr>
          <w:rFonts w:hint="eastAsia" w:ascii="宋体" w:hAnsi="宋体" w:eastAsia="宋体"/>
          <w:bCs/>
          <w:sz w:val="24"/>
        </w:rPr>
        <w:t>4</w:t>
      </w:r>
      <w:r>
        <w:rPr>
          <w:rFonts w:ascii="宋体" w:hAnsi="宋体" w:eastAsia="宋体"/>
          <w:bCs/>
          <w:sz w:val="24"/>
        </w:rPr>
        <w:t>）应急支援</w:t>
      </w:r>
    </w:p>
    <w:p>
      <w:pPr>
        <w:pStyle w:val="13"/>
        <w:spacing w:line="540" w:lineRule="exact"/>
        <w:ind w:firstLine="480" w:firstLineChars="200"/>
        <w:rPr>
          <w:rFonts w:ascii="宋体" w:hAnsi="宋体" w:eastAsia="宋体"/>
          <w:bCs/>
          <w:sz w:val="24"/>
        </w:rPr>
      </w:pPr>
      <w:r>
        <w:rPr>
          <w:rFonts w:ascii="宋体" w:hAnsi="宋体" w:eastAsia="宋体"/>
          <w:bCs/>
          <w:sz w:val="24"/>
        </w:rPr>
        <w:t>在服务期内提供信息安全应急支援服务及重大节假日应急响应，包括远程应急支援和现场应急支援。现场应急响应时间不超过6小时，正常情况6小时到达用户现场。</w:t>
      </w:r>
    </w:p>
    <w:p>
      <w:pPr>
        <w:spacing w:line="360" w:lineRule="auto"/>
        <w:ind w:firstLine="480" w:firstLineChars="200"/>
        <w:rPr>
          <w:rFonts w:ascii="宋体" w:hAnsi="宋体" w:eastAsia="宋体"/>
          <w:bCs/>
          <w:sz w:val="24"/>
        </w:rPr>
      </w:pPr>
      <w:bookmarkStart w:id="8" w:name="_Toc46300022"/>
      <w:bookmarkStart w:id="9" w:name="_Toc46734872"/>
      <w:r>
        <w:rPr>
          <w:rFonts w:ascii="宋体" w:hAnsi="宋体" w:eastAsia="宋体"/>
          <w:bCs/>
          <w:sz w:val="24"/>
        </w:rPr>
        <w:t>（</w:t>
      </w:r>
      <w:r>
        <w:rPr>
          <w:rFonts w:hint="eastAsia" w:ascii="宋体" w:hAnsi="宋体" w:eastAsia="宋体"/>
          <w:bCs/>
          <w:sz w:val="24"/>
        </w:rPr>
        <w:t>5</w:t>
      </w:r>
      <w:r>
        <w:rPr>
          <w:rFonts w:ascii="宋体" w:hAnsi="宋体" w:eastAsia="宋体"/>
          <w:bCs/>
          <w:sz w:val="24"/>
        </w:rPr>
        <w:t>）安全咨询服务</w:t>
      </w:r>
      <w:bookmarkEnd w:id="8"/>
      <w:bookmarkEnd w:id="9"/>
    </w:p>
    <w:p>
      <w:pPr>
        <w:pStyle w:val="13"/>
        <w:spacing w:line="540" w:lineRule="exact"/>
        <w:ind w:firstLine="480" w:firstLineChars="200"/>
        <w:rPr>
          <w:rFonts w:ascii="宋体" w:hAnsi="宋体" w:eastAsia="宋体"/>
          <w:bCs/>
          <w:sz w:val="24"/>
        </w:rPr>
      </w:pPr>
      <w:r>
        <w:rPr>
          <w:rFonts w:ascii="宋体" w:hAnsi="宋体" w:eastAsia="宋体"/>
          <w:bCs/>
          <w:sz w:val="24"/>
        </w:rPr>
        <w:t>基于用户的信息安全需求，依据国家政策和国家信息安全标准，提供信息安全技术和信息安全管理方面的信息安全咨询。</w:t>
      </w:r>
    </w:p>
    <w:p>
      <w:pPr>
        <w:pStyle w:val="3"/>
        <w:jc w:val="center"/>
        <w:rPr>
          <w:rFonts w:ascii="宋体" w:hAnsi="宋体" w:eastAsia="宋体"/>
          <w:bCs w:val="0"/>
          <w:sz w:val="24"/>
          <w:szCs w:val="32"/>
        </w:rPr>
      </w:pPr>
      <w:r>
        <w:rPr>
          <w:rFonts w:hint="eastAsia" w:ascii="宋体" w:hAnsi="宋体" w:eastAsia="宋体"/>
          <w:sz w:val="32"/>
          <w:szCs w:val="32"/>
        </w:rPr>
        <w:t>第二部分 网络安全运维服务</w:t>
      </w:r>
    </w:p>
    <w:tbl>
      <w:tblPr>
        <w:tblStyle w:val="16"/>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701"/>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jc w:val="center"/>
              <w:rPr>
                <w:rFonts w:ascii="宋体" w:hAnsi="宋体" w:eastAsia="宋体" w:cs="Times New Roman"/>
                <w:bCs/>
                <w:sz w:val="24"/>
              </w:rPr>
            </w:pPr>
            <w:r>
              <w:rPr>
                <w:rFonts w:hint="eastAsia" w:ascii="宋体" w:hAnsi="宋体" w:eastAsia="宋体" w:cs="Times New Roman"/>
                <w:bCs/>
                <w:sz w:val="24"/>
              </w:rPr>
              <w:t>序号</w:t>
            </w:r>
          </w:p>
        </w:tc>
        <w:tc>
          <w:tcPr>
            <w:tcW w:w="1701" w:type="dxa"/>
            <w:vAlign w:val="center"/>
          </w:tcPr>
          <w:p>
            <w:pPr>
              <w:jc w:val="center"/>
              <w:rPr>
                <w:rFonts w:ascii="宋体" w:hAnsi="宋体" w:eastAsia="宋体" w:cs="Times New Roman"/>
                <w:bCs/>
                <w:sz w:val="24"/>
              </w:rPr>
            </w:pPr>
            <w:r>
              <w:rPr>
                <w:rFonts w:hint="eastAsia" w:ascii="宋体" w:hAnsi="宋体" w:eastAsia="宋体" w:cs="Times New Roman"/>
                <w:bCs/>
                <w:sz w:val="24"/>
              </w:rPr>
              <w:t>服务名称</w:t>
            </w:r>
          </w:p>
        </w:tc>
        <w:tc>
          <w:tcPr>
            <w:tcW w:w="6095" w:type="dxa"/>
            <w:vAlign w:val="center"/>
          </w:tcPr>
          <w:p>
            <w:pPr>
              <w:jc w:val="center"/>
              <w:rPr>
                <w:rFonts w:ascii="宋体" w:hAnsi="宋体" w:eastAsia="宋体" w:cs="Times New Roman"/>
                <w:bCs/>
                <w:sz w:val="24"/>
              </w:rPr>
            </w:pPr>
            <w:r>
              <w:rPr>
                <w:rFonts w:hint="eastAsia" w:ascii="宋体" w:hAnsi="宋体" w:eastAsia="宋体" w:cs="Times New Roman"/>
                <w:bCs/>
                <w:sz w:val="24"/>
              </w:rPr>
              <w:t>参考需求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jc w:val="center"/>
              <w:rPr>
                <w:rFonts w:ascii="宋体" w:hAnsi="宋体" w:eastAsia="宋体" w:cs="Times New Roman"/>
                <w:bCs/>
                <w:sz w:val="24"/>
              </w:rPr>
            </w:pPr>
            <w:r>
              <w:rPr>
                <w:rFonts w:hint="eastAsia" w:ascii="宋体" w:hAnsi="宋体" w:eastAsia="宋体" w:cs="Times New Roman"/>
                <w:bCs/>
                <w:sz w:val="24"/>
              </w:rPr>
              <w:t>1</w:t>
            </w:r>
          </w:p>
        </w:tc>
        <w:tc>
          <w:tcPr>
            <w:tcW w:w="1701" w:type="dxa"/>
            <w:vAlign w:val="center"/>
          </w:tcPr>
          <w:p>
            <w:pPr>
              <w:jc w:val="center"/>
              <w:rPr>
                <w:rFonts w:ascii="宋体" w:hAnsi="宋体" w:eastAsia="宋体" w:cs="Times New Roman"/>
                <w:bCs/>
                <w:sz w:val="24"/>
              </w:rPr>
            </w:pPr>
            <w:r>
              <w:rPr>
                <w:rFonts w:hint="eastAsia" w:ascii="宋体" w:hAnsi="宋体" w:eastAsia="宋体" w:cs="Times New Roman"/>
                <w:bCs/>
                <w:sz w:val="24"/>
              </w:rPr>
              <w:t>安全运维服务</w:t>
            </w:r>
          </w:p>
        </w:tc>
        <w:tc>
          <w:tcPr>
            <w:tcW w:w="6095" w:type="dxa"/>
            <w:vAlign w:val="center"/>
          </w:tcPr>
          <w:p>
            <w:pP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1、每周定期提供安全巡检，对安全设备的可用性进行检查。</w:t>
            </w:r>
          </w:p>
          <w:p>
            <w:pP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2、结合现有安全手段和服务单位的安全检测手段对用户安全状态进行监控，实现对内外网安全风险的监控，及时发现网络中的安全风险；包括但不限于</w:t>
            </w:r>
            <w:r>
              <w:rPr>
                <w:rFonts w:ascii="宋体" w:hAnsi="宋体" w:eastAsia="宋体" w:cs="宋体"/>
                <w:color w:val="000000" w:themeColor="text1"/>
                <w:kern w:val="0"/>
                <w:sz w:val="24"/>
                <w14:textFill>
                  <w14:solidFill>
                    <w14:schemeClr w14:val="tx1"/>
                  </w14:solidFill>
                </w14:textFill>
              </w:rPr>
              <w:t>高级可持续威胁攻击</w:t>
            </w:r>
            <w:r>
              <w:rPr>
                <w:rFonts w:hint="eastAsia" w:ascii="宋体" w:hAnsi="宋体" w:eastAsia="宋体" w:cs="宋体"/>
                <w:color w:val="000000" w:themeColor="text1"/>
                <w:kern w:val="0"/>
                <w:sz w:val="24"/>
                <w14:textFill>
                  <w14:solidFill>
                    <w14:schemeClr w14:val="tx1"/>
                  </w14:solidFill>
                </w14:textFill>
              </w:rPr>
              <w:t>监测、失陷主机监测、攻击监测、僵木蠕监测、DDoS监测、恶意程序监测、WEB安全监测、元数据提取、流量分析等。</w:t>
            </w:r>
          </w:p>
          <w:p>
            <w:pP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3、对安全告警进行研判分析；每周出具相关分析报告；</w:t>
            </w:r>
          </w:p>
          <w:p>
            <w:pPr>
              <w:rPr>
                <w:rFonts w:ascii="宋体" w:hAnsi="宋体" w:eastAsia="宋体" w:cs="宋体"/>
                <w:color w:val="000000" w:themeColor="text1"/>
                <w:kern w:val="0"/>
                <w:sz w:val="24"/>
                <w14:textFill>
                  <w14:solidFill>
                    <w14:schemeClr w14:val="tx1"/>
                  </w14:solidFill>
                </w14:textFill>
              </w:rPr>
            </w:pPr>
            <w:r>
              <w:rPr>
                <w:rFonts w:ascii="宋体" w:hAnsi="宋体" w:eastAsia="宋体" w:cs="宋体"/>
                <w:color w:val="000000" w:themeColor="text1"/>
                <w:kern w:val="0"/>
                <w:sz w:val="24"/>
                <w14:textFill>
                  <w14:solidFill>
                    <w14:schemeClr w14:val="tx1"/>
                  </w14:solidFill>
                </w14:textFill>
              </w:rPr>
              <w:t>4</w:t>
            </w:r>
            <w:r>
              <w:rPr>
                <w:rFonts w:hint="eastAsia" w:ascii="宋体" w:hAnsi="宋体" w:eastAsia="宋体" w:cs="宋体"/>
                <w:color w:val="000000" w:themeColor="text1"/>
                <w:kern w:val="0"/>
                <w:sz w:val="24"/>
                <w14:textFill>
                  <w14:solidFill>
                    <w14:schemeClr w14:val="tx1"/>
                  </w14:solidFill>
                </w14:textFill>
              </w:rPr>
              <w:t>、根据告警情况提供安全优化建议，对安全策略进行优化调整。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jc w:val="center"/>
              <w:rPr>
                <w:rFonts w:ascii="宋体" w:hAnsi="宋体" w:eastAsia="宋体" w:cs="Times New Roman"/>
                <w:bCs/>
                <w:sz w:val="24"/>
              </w:rPr>
            </w:pPr>
            <w:r>
              <w:rPr>
                <w:rFonts w:hint="eastAsia" w:ascii="宋体" w:hAnsi="宋体" w:eastAsia="宋体" w:cs="Times New Roman"/>
                <w:bCs/>
                <w:sz w:val="24"/>
              </w:rPr>
              <w:t>2</w:t>
            </w:r>
          </w:p>
        </w:tc>
        <w:tc>
          <w:tcPr>
            <w:tcW w:w="1701" w:type="dxa"/>
            <w:vAlign w:val="center"/>
          </w:tcPr>
          <w:p>
            <w:pPr>
              <w:jc w:val="center"/>
              <w:rPr>
                <w:rFonts w:ascii="宋体" w:hAnsi="宋体" w:eastAsia="宋体" w:cs="Times New Roman"/>
                <w:bCs/>
                <w:sz w:val="24"/>
              </w:rPr>
            </w:pPr>
            <w:r>
              <w:rPr>
                <w:rFonts w:hint="eastAsia" w:ascii="宋体" w:hAnsi="宋体" w:eastAsia="宋体" w:cs="Times New Roman"/>
                <w:bCs/>
                <w:sz w:val="24"/>
              </w:rPr>
              <w:t>应急演练服务</w:t>
            </w:r>
          </w:p>
        </w:tc>
        <w:tc>
          <w:tcPr>
            <w:tcW w:w="6095" w:type="dxa"/>
            <w:vAlign w:val="center"/>
          </w:tcPr>
          <w:p>
            <w:pPr>
              <w:rPr>
                <w:rFonts w:ascii="宋体" w:hAnsi="宋体" w:eastAsia="宋体" w:cs="宋体"/>
                <w:kern w:val="0"/>
                <w:sz w:val="24"/>
              </w:rPr>
            </w:pPr>
            <w:r>
              <w:rPr>
                <w:rFonts w:hint="eastAsia" w:ascii="宋体" w:hAnsi="宋体" w:eastAsia="宋体" w:cs="宋体"/>
                <w:kern w:val="0"/>
                <w:sz w:val="24"/>
              </w:rPr>
              <w:t>1、服务期内每年进行应急演练，服务单位需根据用户实际情况，创建演练场景，每次不少于3个不同类型场景，包含不限于暴力破解场景，终端病毒场景、数据泄露场景、数据损坏场景、软件后门事件、高危漏洞场景等演练内容。</w:t>
            </w:r>
          </w:p>
          <w:p>
            <w:pPr>
              <w:rPr>
                <w:rFonts w:ascii="宋体" w:hAnsi="宋体" w:eastAsia="宋体" w:cs="宋体"/>
                <w:kern w:val="0"/>
                <w:sz w:val="24"/>
              </w:rPr>
            </w:pPr>
            <w:r>
              <w:rPr>
                <w:rFonts w:ascii="宋体" w:hAnsi="宋体" w:eastAsia="宋体" w:cs="宋体"/>
                <w:kern w:val="0"/>
                <w:sz w:val="24"/>
              </w:rPr>
              <w:t>2</w:t>
            </w:r>
            <w:r>
              <w:rPr>
                <w:rFonts w:hint="eastAsia" w:ascii="宋体" w:hAnsi="宋体" w:eastAsia="宋体" w:cs="宋体"/>
                <w:kern w:val="0"/>
                <w:sz w:val="24"/>
              </w:rPr>
              <w:t>、服务单位提供响应技术支持；配合客户做技术支持模拟发生网络与信息安全事件，并依照应急预案的规定开展事件处置工作。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jc w:val="center"/>
              <w:rPr>
                <w:rFonts w:ascii="宋体" w:hAnsi="宋体" w:eastAsia="宋体" w:cs="Times New Roman"/>
                <w:bCs/>
                <w:sz w:val="24"/>
              </w:rPr>
            </w:pPr>
            <w:r>
              <w:rPr>
                <w:rFonts w:hint="eastAsia" w:ascii="宋体" w:hAnsi="宋体" w:eastAsia="宋体" w:cs="Times New Roman"/>
                <w:bCs/>
                <w:sz w:val="24"/>
              </w:rPr>
              <w:t>3</w:t>
            </w:r>
          </w:p>
        </w:tc>
        <w:tc>
          <w:tcPr>
            <w:tcW w:w="1701" w:type="dxa"/>
            <w:vAlign w:val="center"/>
          </w:tcPr>
          <w:p>
            <w:pPr>
              <w:jc w:val="center"/>
              <w:rPr>
                <w:rFonts w:ascii="宋体" w:hAnsi="宋体" w:eastAsia="宋体" w:cs="Times New Roman"/>
                <w:bCs/>
                <w:sz w:val="24"/>
              </w:rPr>
            </w:pPr>
            <w:r>
              <w:rPr>
                <w:rFonts w:hint="eastAsia" w:ascii="宋体" w:hAnsi="宋体" w:eastAsia="宋体" w:cs="Times New Roman"/>
                <w:bCs/>
                <w:sz w:val="24"/>
              </w:rPr>
              <w:t>应急响应保障服务</w:t>
            </w:r>
          </w:p>
        </w:tc>
        <w:tc>
          <w:tcPr>
            <w:tcW w:w="6095" w:type="dxa"/>
            <w:vAlign w:val="center"/>
          </w:tcPr>
          <w:p>
            <w:pPr>
              <w:rPr>
                <w:rFonts w:ascii="宋体" w:hAnsi="宋体" w:eastAsia="宋体" w:cs="宋体"/>
                <w:kern w:val="0"/>
                <w:sz w:val="24"/>
              </w:rPr>
            </w:pPr>
            <w:r>
              <w:rPr>
                <w:rFonts w:hint="eastAsia" w:ascii="宋体" w:hAnsi="宋体" w:eastAsia="宋体" w:cs="宋体"/>
                <w:kern w:val="0"/>
                <w:sz w:val="24"/>
              </w:rPr>
              <w:t>1、提供安全事件应急响应服务，针对突发的危害程序事件，网络攻击事件，信息破坏事件，设备实施故障和灾害性事件等安全事件开展应急响应处置工作，对安全事件进行快速抑制及消除，减少安全事件造成的损失。</w:t>
            </w:r>
          </w:p>
          <w:p>
            <w:pPr>
              <w:rPr>
                <w:rFonts w:ascii="宋体" w:hAnsi="宋体" w:eastAsia="宋体" w:cs="宋体"/>
                <w:kern w:val="0"/>
                <w:sz w:val="24"/>
              </w:rPr>
            </w:pPr>
            <w:r>
              <w:rPr>
                <w:rFonts w:ascii="宋体" w:hAnsi="宋体" w:eastAsia="宋体" w:cs="宋体"/>
                <w:kern w:val="0"/>
                <w:sz w:val="24"/>
              </w:rPr>
              <w:t>2</w:t>
            </w:r>
            <w:r>
              <w:rPr>
                <w:rFonts w:hint="eastAsia" w:ascii="宋体" w:hAnsi="宋体" w:eastAsia="宋体" w:cs="宋体"/>
                <w:kern w:val="0"/>
                <w:sz w:val="24"/>
              </w:rPr>
              <w:t>、服务单位要求提供专业的安全应急支撑队伍，对安全事件进行分析和取证，对安全事件进行分析、处置和响应的过程进行复盘；对安全隐患进行排查。</w:t>
            </w:r>
          </w:p>
          <w:p>
            <w:pPr>
              <w:rPr>
                <w:rFonts w:ascii="宋体" w:hAnsi="宋体" w:eastAsia="宋体" w:cs="宋体"/>
                <w:kern w:val="0"/>
                <w:sz w:val="24"/>
              </w:rPr>
            </w:pPr>
            <w:r>
              <w:rPr>
                <w:rFonts w:hint="eastAsia" w:ascii="宋体" w:hAnsi="宋体" w:eastAsia="宋体" w:cs="宋体"/>
                <w:kern w:val="0"/>
                <w:sz w:val="24"/>
              </w:rPr>
              <w:t>3、要求服务单位以现场、远程等多种服务方式提供7×24小时的应急响应服务。</w:t>
            </w:r>
          </w:p>
          <w:p>
            <w:pPr>
              <w:rPr>
                <w:rFonts w:ascii="宋体" w:hAnsi="宋体" w:eastAsia="宋体" w:cs="Times New Roman"/>
                <w:bCs/>
                <w:sz w:val="24"/>
              </w:rPr>
            </w:pPr>
            <w:r>
              <w:rPr>
                <w:rFonts w:ascii="宋体" w:hAnsi="宋体" w:eastAsia="宋体" w:cs="宋体"/>
                <w:kern w:val="0"/>
                <w:sz w:val="24"/>
              </w:rPr>
              <w:t>4</w:t>
            </w:r>
            <w:r>
              <w:rPr>
                <w:rFonts w:hint="eastAsia" w:ascii="宋体" w:hAnsi="宋体" w:eastAsia="宋体" w:cs="宋体"/>
                <w:kern w:val="0"/>
                <w:sz w:val="24"/>
              </w:rPr>
              <w:t>、应急涉及安全设备的由服务单位免费借用方式提供。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jc w:val="center"/>
              <w:rPr>
                <w:rFonts w:ascii="宋体" w:hAnsi="宋体" w:eastAsia="宋体" w:cs="Times New Roman"/>
                <w:bCs/>
                <w:sz w:val="24"/>
              </w:rPr>
            </w:pPr>
            <w:r>
              <w:rPr>
                <w:rFonts w:hint="eastAsia" w:ascii="宋体" w:hAnsi="宋体" w:eastAsia="宋体" w:cs="Times New Roman"/>
                <w:bCs/>
                <w:sz w:val="24"/>
              </w:rPr>
              <w:t>4</w:t>
            </w:r>
          </w:p>
        </w:tc>
        <w:tc>
          <w:tcPr>
            <w:tcW w:w="1701" w:type="dxa"/>
            <w:vAlign w:val="center"/>
          </w:tcPr>
          <w:p>
            <w:pPr>
              <w:jc w:val="center"/>
              <w:rPr>
                <w:rFonts w:ascii="宋体" w:hAnsi="宋体" w:eastAsia="宋体" w:cs="宋体"/>
                <w:bCs/>
                <w:kern w:val="0"/>
                <w:sz w:val="24"/>
              </w:rPr>
            </w:pPr>
            <w:r>
              <w:rPr>
                <w:rFonts w:hint="eastAsia" w:ascii="宋体" w:hAnsi="宋体" w:eastAsia="宋体" w:cs="宋体"/>
                <w:bCs/>
                <w:kern w:val="0"/>
                <w:sz w:val="24"/>
              </w:rPr>
              <w:t>新上线业务系统检测</w:t>
            </w:r>
          </w:p>
        </w:tc>
        <w:tc>
          <w:tcPr>
            <w:tcW w:w="6095" w:type="dxa"/>
            <w:vAlign w:val="center"/>
          </w:tcPr>
          <w:p>
            <w:pPr>
              <w:rPr>
                <w:rFonts w:ascii="宋体" w:hAnsi="宋体" w:eastAsia="宋体" w:cs="宋体"/>
                <w:kern w:val="0"/>
                <w:sz w:val="24"/>
              </w:rPr>
            </w:pPr>
            <w:r>
              <w:rPr>
                <w:rFonts w:hint="eastAsia" w:ascii="宋体" w:hAnsi="宋体" w:eastAsia="宋体" w:cs="宋体"/>
                <w:kern w:val="0"/>
                <w:sz w:val="24"/>
              </w:rPr>
              <w:t>1、为满足合规要求，认真履行落实《网络安全法》、《关键信息基础设施安全保护条例》等法律法规针对应用系统运营单位的责任与义务，需对入网系统开展上线运行前的安全检查，全面发现信息系统存在的安全隐患，加强应用系统上线后的安全稳定运行，降低发生网络安全事件与违反政策法规的风险。</w:t>
            </w:r>
          </w:p>
          <w:p>
            <w:pPr>
              <w:rPr>
                <w:rFonts w:ascii="宋体" w:hAnsi="宋体" w:eastAsia="宋体" w:cs="宋体"/>
                <w:kern w:val="0"/>
                <w:sz w:val="24"/>
              </w:rPr>
            </w:pPr>
            <w:r>
              <w:rPr>
                <w:rFonts w:ascii="宋体" w:hAnsi="宋体" w:eastAsia="宋体" w:cs="宋体"/>
                <w:kern w:val="0"/>
                <w:sz w:val="24"/>
              </w:rPr>
              <w:t>2</w:t>
            </w:r>
            <w:r>
              <w:rPr>
                <w:rFonts w:hint="eastAsia" w:ascii="宋体" w:hAnsi="宋体" w:eastAsia="宋体" w:cs="宋体"/>
                <w:kern w:val="0"/>
                <w:sz w:val="24"/>
              </w:rPr>
              <w:t>、入网系统上线前，服务单位需对系统进行上线安全检查工作；包括漏洞扫描、配置核查、渗透测试、安全措施策略等；提前发现信息系统潜在的恶意代码、安全漏洞、配置错误等安全风险，并提供安全风险处置建议修补风险项。</w:t>
            </w:r>
          </w:p>
          <w:p>
            <w:pPr>
              <w:rPr>
                <w:rFonts w:ascii="宋体" w:hAnsi="宋体" w:eastAsia="宋体" w:cs="宋体"/>
                <w:kern w:val="0"/>
                <w:sz w:val="24"/>
              </w:rPr>
            </w:pPr>
            <w:r>
              <w:rPr>
                <w:rFonts w:ascii="宋体" w:hAnsi="宋体" w:eastAsia="宋体" w:cs="宋体"/>
                <w:kern w:val="0"/>
                <w:sz w:val="24"/>
              </w:rPr>
              <w:t>3</w:t>
            </w:r>
            <w:r>
              <w:rPr>
                <w:rFonts w:hint="eastAsia" w:ascii="宋体" w:hAnsi="宋体" w:eastAsia="宋体" w:cs="宋体"/>
                <w:kern w:val="0"/>
                <w:sz w:val="24"/>
              </w:rPr>
              <w:t>、每年提供2次新系统上线检测服务，并提供响应检测报告。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jc w:val="center"/>
              <w:rPr>
                <w:rFonts w:ascii="宋体" w:hAnsi="宋体" w:eastAsia="宋体" w:cs="Times New Roman"/>
                <w:bCs/>
                <w:sz w:val="24"/>
              </w:rPr>
            </w:pPr>
            <w:r>
              <w:rPr>
                <w:rFonts w:hint="eastAsia" w:ascii="宋体" w:hAnsi="宋体" w:eastAsia="宋体" w:cs="Times New Roman"/>
                <w:bCs/>
                <w:sz w:val="24"/>
              </w:rPr>
              <w:t>5</w:t>
            </w:r>
          </w:p>
        </w:tc>
        <w:tc>
          <w:tcPr>
            <w:tcW w:w="1701" w:type="dxa"/>
            <w:vAlign w:val="center"/>
          </w:tcPr>
          <w:p>
            <w:pPr>
              <w:jc w:val="center"/>
              <w:rPr>
                <w:rFonts w:ascii="宋体" w:hAnsi="宋体" w:eastAsia="宋体" w:cs="宋体"/>
                <w:bCs/>
                <w:kern w:val="0"/>
                <w:sz w:val="24"/>
              </w:rPr>
            </w:pPr>
            <w:r>
              <w:rPr>
                <w:rFonts w:hint="eastAsia" w:ascii="宋体" w:hAnsi="宋体" w:eastAsia="宋体" w:cs="宋体"/>
                <w:bCs/>
                <w:kern w:val="0"/>
                <w:sz w:val="24"/>
              </w:rPr>
              <w:t>渗透测试服务</w:t>
            </w:r>
          </w:p>
        </w:tc>
        <w:tc>
          <w:tcPr>
            <w:tcW w:w="6095" w:type="dxa"/>
            <w:vAlign w:val="center"/>
          </w:tcPr>
          <w:p>
            <w:pPr>
              <w:rPr>
                <w:rFonts w:ascii="宋体" w:hAnsi="宋体" w:eastAsia="宋体" w:cs="宋体"/>
                <w:kern w:val="0"/>
                <w:sz w:val="24"/>
              </w:rPr>
            </w:pPr>
            <w:r>
              <w:rPr>
                <w:rFonts w:hint="eastAsia" w:ascii="宋体" w:hAnsi="宋体" w:eastAsia="宋体" w:cs="宋体"/>
                <w:color w:val="000000" w:themeColor="text1"/>
                <w:kern w:val="0"/>
                <w:sz w:val="24"/>
                <w14:textFill>
                  <w14:solidFill>
                    <w14:schemeClr w14:val="tx1"/>
                  </w14:solidFill>
                </w14:textFill>
              </w:rPr>
              <w:t>服务期间对两个指定业务系统进行渗透测试，挖掘安全漏洞；并提出整改意见。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jc w:val="center"/>
              <w:rPr>
                <w:rFonts w:ascii="宋体" w:hAnsi="宋体" w:eastAsia="宋体" w:cs="Times New Roman"/>
                <w:sz w:val="24"/>
              </w:rPr>
            </w:pPr>
            <w:r>
              <w:rPr>
                <w:rFonts w:hint="eastAsia" w:ascii="宋体" w:hAnsi="宋体" w:eastAsia="宋体" w:cs="Times New Roman"/>
                <w:sz w:val="24"/>
              </w:rPr>
              <w:t>6</w:t>
            </w:r>
          </w:p>
        </w:tc>
        <w:tc>
          <w:tcPr>
            <w:tcW w:w="1701" w:type="dxa"/>
            <w:vAlign w:val="center"/>
          </w:tcPr>
          <w:p>
            <w:pPr>
              <w:jc w:val="center"/>
              <w:rPr>
                <w:rFonts w:ascii="宋体" w:hAnsi="宋体" w:eastAsia="宋体" w:cs="宋体"/>
                <w:bCs/>
                <w:kern w:val="0"/>
                <w:sz w:val="24"/>
              </w:rPr>
            </w:pPr>
            <w:r>
              <w:rPr>
                <w:rFonts w:hint="eastAsia" w:ascii="宋体" w:hAnsi="宋体" w:eastAsia="宋体" w:cs="宋体"/>
                <w:bCs/>
                <w:kern w:val="0"/>
                <w:sz w:val="24"/>
              </w:rPr>
              <w:t>安全培训服务</w:t>
            </w:r>
          </w:p>
        </w:tc>
        <w:tc>
          <w:tcPr>
            <w:tcW w:w="6095" w:type="dxa"/>
            <w:vAlign w:val="center"/>
          </w:tcPr>
          <w:p>
            <w:pP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1、安全意识培训</w:t>
            </w:r>
          </w:p>
          <w:p>
            <w:pP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服务期内提供1次网络安全意识培训；提供网络安全意识视频、易拉宝等意识宣传物资。</w:t>
            </w:r>
          </w:p>
          <w:p>
            <w:pP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每年网络安全宣传周期期间，开展网络安全意识宣贯服务，供应商需组织安全意识宣贯，提供网络安全意识视频、易拉宝等宣传物资。组织专家开展意识培训主要介绍网络安全形势，普及网络安全意识，使本单位工作人员能够充分了解和感知网络安全风险，增强工作人员网络安全防范意识。</w:t>
            </w:r>
          </w:p>
          <w:p>
            <w:pP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2、安全知识培训</w:t>
            </w:r>
          </w:p>
          <w:p>
            <w:pP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服务期内可根据用户需要，提供安全知识培训，包括数据安全知识培训，网络安全知识培训、安全产品培训以及操作培训等。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jc w:val="center"/>
              <w:rPr>
                <w:rFonts w:ascii="宋体" w:hAnsi="宋体" w:eastAsia="宋体" w:cs="Times New Roman"/>
                <w:sz w:val="24"/>
              </w:rPr>
            </w:pPr>
            <w:r>
              <w:rPr>
                <w:rFonts w:hint="eastAsia" w:ascii="宋体" w:hAnsi="宋体" w:eastAsia="宋体" w:cs="Times New Roman"/>
                <w:sz w:val="24"/>
              </w:rPr>
              <w:t>7</w:t>
            </w:r>
          </w:p>
        </w:tc>
        <w:tc>
          <w:tcPr>
            <w:tcW w:w="1701" w:type="dxa"/>
            <w:vAlign w:val="center"/>
          </w:tcPr>
          <w:p>
            <w:pPr>
              <w:jc w:val="center"/>
              <w:rPr>
                <w:rFonts w:ascii="宋体" w:hAnsi="宋体" w:eastAsia="宋体" w:cs="宋体"/>
                <w:bCs/>
                <w:kern w:val="0"/>
                <w:sz w:val="24"/>
              </w:rPr>
            </w:pPr>
            <w:r>
              <w:rPr>
                <w:rFonts w:hint="eastAsia" w:ascii="宋体" w:hAnsi="宋体" w:eastAsia="宋体" w:cs="宋体"/>
                <w:bCs/>
                <w:kern w:val="0"/>
                <w:sz w:val="24"/>
              </w:rPr>
              <w:t>重要时期安全保障服务</w:t>
            </w:r>
          </w:p>
        </w:tc>
        <w:tc>
          <w:tcPr>
            <w:tcW w:w="6095" w:type="dxa"/>
            <w:vAlign w:val="center"/>
          </w:tcPr>
          <w:p>
            <w:pPr>
              <w:rPr>
                <w:rFonts w:ascii="宋体" w:hAnsi="宋体" w:eastAsia="宋体" w:cs="宋体"/>
                <w:kern w:val="0"/>
                <w:sz w:val="24"/>
              </w:rPr>
            </w:pPr>
            <w:r>
              <w:rPr>
                <w:rFonts w:hint="eastAsia" w:ascii="宋体" w:hAnsi="宋体" w:eastAsia="宋体" w:cs="宋体"/>
                <w:kern w:val="0"/>
                <w:sz w:val="24"/>
              </w:rPr>
              <w:t>1、在重要时期对单位的重要系统和门户网站提供安全保障服务，解决因人员经验不足、安全技术能力不够和人员配置不全等方面的问题。</w:t>
            </w:r>
          </w:p>
          <w:p>
            <w:pPr>
              <w:rPr>
                <w:rFonts w:ascii="宋体" w:hAnsi="宋体" w:eastAsia="宋体" w:cs="Times New Roman"/>
                <w:sz w:val="24"/>
              </w:rPr>
            </w:pPr>
            <w:r>
              <w:rPr>
                <w:rFonts w:hint="eastAsia" w:ascii="宋体" w:hAnsi="宋体" w:eastAsia="宋体" w:cs="宋体"/>
                <w:kern w:val="0"/>
                <w:sz w:val="24"/>
              </w:rPr>
              <w:t>2、在事前、事中、事后对重要信息系统和门户网站进行全程的安全保障，从而使信息系统在重要时期能安全稳定地运行。包括保障前的风险排除和加固，保障中的安全监测、预警、分析处置，保障后的分析总结，重要保障期间提供连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jc w:val="center"/>
              <w:rPr>
                <w:rFonts w:ascii="宋体" w:hAnsi="宋体" w:eastAsia="宋体" w:cs="Times New Roman"/>
                <w:sz w:val="24"/>
              </w:rPr>
            </w:pPr>
            <w:r>
              <w:rPr>
                <w:rFonts w:hint="eastAsia" w:ascii="宋体" w:hAnsi="宋体" w:eastAsia="宋体" w:cs="Times New Roman"/>
                <w:sz w:val="24"/>
              </w:rPr>
              <w:t>8</w:t>
            </w:r>
          </w:p>
        </w:tc>
        <w:tc>
          <w:tcPr>
            <w:tcW w:w="1701" w:type="dxa"/>
            <w:vAlign w:val="center"/>
          </w:tcPr>
          <w:p>
            <w:pPr>
              <w:jc w:val="center"/>
              <w:rPr>
                <w:rFonts w:ascii="宋体" w:hAnsi="宋体" w:eastAsia="宋体" w:cs="宋体"/>
                <w:bCs/>
                <w:kern w:val="0"/>
                <w:sz w:val="24"/>
              </w:rPr>
            </w:pPr>
            <w:r>
              <w:rPr>
                <w:rFonts w:hint="eastAsia" w:ascii="宋体" w:hAnsi="宋体" w:eastAsia="宋体" w:cs="宋体"/>
                <w:bCs/>
                <w:kern w:val="0"/>
                <w:sz w:val="24"/>
              </w:rPr>
              <w:t>安全建设规划服务</w:t>
            </w:r>
          </w:p>
        </w:tc>
        <w:tc>
          <w:tcPr>
            <w:tcW w:w="6095" w:type="dxa"/>
            <w:vAlign w:val="center"/>
          </w:tcPr>
          <w:p>
            <w:pPr>
              <w:rPr>
                <w:rFonts w:ascii="宋体" w:hAnsi="宋体" w:eastAsia="宋体" w:cs="Times New Roman"/>
                <w:sz w:val="24"/>
              </w:rPr>
            </w:pPr>
            <w:r>
              <w:rPr>
                <w:rFonts w:hint="eastAsia" w:ascii="宋体" w:hAnsi="宋体" w:eastAsia="宋体" w:cs="宋体"/>
                <w:kern w:val="0"/>
                <w:sz w:val="24"/>
              </w:rPr>
              <w:t>依据客户网络安全现状和需求，结合相应法律、法规要求，提供安全风险评估，出具合理化安全建设规划方案及建议。</w:t>
            </w:r>
          </w:p>
        </w:tc>
      </w:tr>
    </w:tbl>
    <w:p>
      <w:pPr>
        <w:rPr>
          <w:rFonts w:ascii="宋体" w:hAnsi="宋体" w:eastAsia="宋体"/>
          <w:sz w:val="22"/>
        </w:rPr>
      </w:pPr>
    </w:p>
    <w:p>
      <w:pPr>
        <w:rPr>
          <w:rFonts w:ascii="宋体" w:hAnsi="宋体" w:eastAsia="宋体"/>
          <w:bCs/>
          <w:sz w:val="28"/>
          <w:szCs w:val="28"/>
        </w:rPr>
      </w:pPr>
      <w:r>
        <w:rPr>
          <w:rFonts w:hint="eastAsia" w:ascii="宋体" w:hAnsi="宋体" w:eastAsia="宋体"/>
          <w:bCs/>
          <w:sz w:val="28"/>
          <w:szCs w:val="28"/>
        </w:rPr>
        <w:t>一、服务单位能力参考要求</w:t>
      </w:r>
    </w:p>
    <w:p>
      <w:pPr>
        <w:pStyle w:val="2"/>
        <w:spacing w:line="439" w:lineRule="auto"/>
        <w:ind w:left="200" w:right="197" w:firstLine="480"/>
        <w:rPr>
          <w:rFonts w:ascii="宋体" w:hAnsi="宋体"/>
          <w:sz w:val="24"/>
          <w:lang w:eastAsia="zh-CN"/>
        </w:rPr>
      </w:pPr>
      <w:r>
        <w:rPr>
          <w:rFonts w:hint="eastAsia" w:ascii="宋体" w:hAnsi="宋体"/>
          <w:sz w:val="24"/>
          <w:lang w:eastAsia="zh-CN"/>
        </w:rPr>
        <w:t>1、具备专业网络安全服务能力，具备国家级认证的应急支持单位认证，参与过部级攻防演练活动，具备高水平漏洞挖掘能力是国家信息安全漏洞共享平台（CNVD）技术成员单位和国家信息安全漏洞库（ CNNVD ）技术支撑单位，具备中国信息安全测评中心风险评估认证和安全运营认证。</w:t>
      </w:r>
    </w:p>
    <w:p>
      <w:pPr>
        <w:pStyle w:val="2"/>
        <w:spacing w:line="439" w:lineRule="auto"/>
        <w:ind w:left="200" w:right="197" w:firstLine="480"/>
        <w:rPr>
          <w:rFonts w:ascii="宋体" w:hAnsi="宋体"/>
          <w:sz w:val="24"/>
          <w:lang w:eastAsia="zh-CN"/>
        </w:rPr>
      </w:pPr>
      <w:r>
        <w:rPr>
          <w:rFonts w:hint="eastAsia" w:ascii="宋体" w:hAnsi="宋体"/>
          <w:sz w:val="24"/>
          <w:lang w:eastAsia="zh-CN"/>
        </w:rPr>
        <w:t>2、</w:t>
      </w:r>
      <w:r>
        <w:rPr>
          <w:rFonts w:ascii="宋体" w:hAnsi="宋体"/>
          <w:sz w:val="24"/>
          <w:lang w:eastAsia="zh-CN"/>
        </w:rPr>
        <w:t>为在项目中实现漏洞闭环机制，服务提供商应具备CNVD平台2021年度（原创漏洞发现、漏洞信息报送、漏洞处置）突出贡献单位证书</w:t>
      </w:r>
      <w:r>
        <w:rPr>
          <w:rFonts w:hint="eastAsia" w:ascii="宋体" w:hAnsi="宋体"/>
          <w:sz w:val="24"/>
          <w:lang w:eastAsia="zh-CN"/>
        </w:rPr>
        <w:t>。</w:t>
      </w:r>
    </w:p>
    <w:p>
      <w:pPr>
        <w:pStyle w:val="2"/>
        <w:spacing w:line="439" w:lineRule="auto"/>
        <w:ind w:left="200" w:right="197" w:firstLine="480"/>
        <w:rPr>
          <w:rFonts w:ascii="宋体" w:hAnsi="宋体"/>
          <w:sz w:val="24"/>
          <w:lang w:eastAsia="zh-CN"/>
        </w:rPr>
      </w:pPr>
      <w:r>
        <w:rPr>
          <w:rFonts w:hint="eastAsia" w:ascii="宋体" w:hAnsi="宋体"/>
          <w:sz w:val="24"/>
          <w:lang w:eastAsia="zh-CN"/>
        </w:rPr>
        <w:t>3、服务商需在潍坊本地具备专业服务团队，技术人员不少于</w:t>
      </w:r>
      <w:r>
        <w:rPr>
          <w:rFonts w:ascii="宋体" w:hAnsi="宋体"/>
          <w:sz w:val="24"/>
          <w:lang w:eastAsia="zh-CN"/>
        </w:rPr>
        <w:t>5</w:t>
      </w:r>
      <w:r>
        <w:rPr>
          <w:rFonts w:hint="eastAsia" w:ascii="宋体" w:hAnsi="宋体"/>
          <w:sz w:val="24"/>
          <w:lang w:eastAsia="zh-CN"/>
        </w:rPr>
        <w:t>人以应对人员变动和重保需求，人员需提供社保查询证明。</w:t>
      </w:r>
    </w:p>
    <w:p>
      <w:pPr>
        <w:pStyle w:val="2"/>
        <w:spacing w:line="439" w:lineRule="auto"/>
        <w:ind w:left="200" w:right="197" w:firstLine="480"/>
        <w:rPr>
          <w:rFonts w:ascii="宋体" w:hAnsi="宋体"/>
          <w:sz w:val="24"/>
          <w:lang w:eastAsia="zh-CN"/>
        </w:rPr>
      </w:pPr>
      <w:r>
        <w:rPr>
          <w:rFonts w:hint="eastAsia" w:ascii="宋体" w:hAnsi="宋体"/>
          <w:sz w:val="24"/>
          <w:lang w:eastAsia="zh-CN"/>
        </w:rPr>
        <w:t>4、为应对突发安全应急事件，服务提供商本地需具备应急设备支撑库，服务提供商需提供公司官网查询证明。</w:t>
      </w:r>
    </w:p>
    <w:p>
      <w:pPr>
        <w:rPr>
          <w:rFonts w:ascii="宋体" w:hAnsi="宋体" w:eastAsia="宋体"/>
          <w:bCs/>
          <w:sz w:val="28"/>
          <w:szCs w:val="28"/>
        </w:rPr>
      </w:pPr>
      <w:r>
        <w:rPr>
          <w:rFonts w:hint="eastAsia" w:ascii="宋体" w:hAnsi="宋体" w:eastAsia="宋体"/>
          <w:bCs/>
          <w:sz w:val="28"/>
          <w:szCs w:val="28"/>
        </w:rPr>
        <w:t>二、其它参考要求</w:t>
      </w:r>
    </w:p>
    <w:p>
      <w:pPr>
        <w:pStyle w:val="2"/>
        <w:spacing w:line="439" w:lineRule="auto"/>
        <w:ind w:left="200" w:right="197" w:firstLine="480"/>
        <w:rPr>
          <w:rFonts w:ascii="宋体" w:hAnsi="宋体"/>
          <w:sz w:val="24"/>
          <w:lang w:eastAsia="zh-CN"/>
        </w:rPr>
      </w:pPr>
      <w:r>
        <w:rPr>
          <w:rFonts w:ascii="宋体" w:hAnsi="宋体"/>
          <w:sz w:val="24"/>
          <w:lang w:eastAsia="zh-CN"/>
        </w:rPr>
        <w:t>1</w:t>
      </w:r>
      <w:r>
        <w:rPr>
          <w:rFonts w:hint="eastAsia" w:ascii="宋体" w:hAnsi="宋体"/>
          <w:sz w:val="24"/>
          <w:lang w:eastAsia="zh-CN"/>
        </w:rPr>
        <w:t>、安全运维人员需具备丰富的项目实施维护经验，渗透攻防能力突出，具备漏洞挖掘能力，参加过省市级攻防比赛，具备行业内相关资格认证。安全运维人员需经过我院面试，面试合格后入场，服务期间发现人员能力不足不能胜任我院工作的，我院有权提出更换，服务单位要在接到更换通知后1</w:t>
      </w:r>
      <w:r>
        <w:rPr>
          <w:rFonts w:ascii="宋体" w:hAnsi="宋体"/>
          <w:sz w:val="24"/>
          <w:lang w:eastAsia="zh-CN"/>
        </w:rPr>
        <w:t>0</w:t>
      </w:r>
      <w:r>
        <w:rPr>
          <w:rFonts w:hint="eastAsia" w:ascii="宋体" w:hAnsi="宋体"/>
          <w:sz w:val="24"/>
          <w:lang w:eastAsia="zh-CN"/>
        </w:rPr>
        <w:t>个工作日内进行更换。</w:t>
      </w:r>
    </w:p>
    <w:p>
      <w:pPr>
        <w:pStyle w:val="2"/>
        <w:spacing w:line="439" w:lineRule="auto"/>
        <w:ind w:left="200" w:right="197" w:firstLine="480"/>
        <w:rPr>
          <w:rFonts w:ascii="宋体" w:hAnsi="宋体"/>
          <w:sz w:val="24"/>
          <w:lang w:eastAsia="zh-CN"/>
        </w:rPr>
      </w:pPr>
      <w:r>
        <w:rPr>
          <w:rFonts w:ascii="宋体" w:hAnsi="宋体"/>
          <w:sz w:val="24"/>
          <w:lang w:eastAsia="zh-CN"/>
        </w:rPr>
        <w:t>2</w:t>
      </w:r>
      <w:r>
        <w:rPr>
          <w:rFonts w:hint="eastAsia" w:ascii="宋体" w:hAnsi="宋体"/>
          <w:sz w:val="24"/>
          <w:lang w:eastAsia="zh-CN"/>
        </w:rPr>
        <w:t>、除我院现有设备外，服务单位在服务期间开展的安全检测、风险评估、暴露面检测、安全监测、安全应急等服务时涉及的安全设备由服务单位自行提供。</w:t>
      </w:r>
    </w:p>
    <w:p>
      <w:pPr>
        <w:pStyle w:val="2"/>
        <w:spacing w:line="439" w:lineRule="auto"/>
        <w:ind w:left="200" w:right="197" w:firstLine="480"/>
        <w:rPr>
          <w:rFonts w:ascii="宋体" w:hAnsi="宋体"/>
          <w:sz w:val="24"/>
          <w:lang w:eastAsia="zh-CN"/>
        </w:rPr>
      </w:pPr>
      <w:r>
        <w:rPr>
          <w:rFonts w:hint="eastAsia" w:ascii="宋体" w:hAnsi="宋体"/>
          <w:sz w:val="24"/>
          <w:lang w:eastAsia="zh-CN"/>
        </w:rPr>
        <w:t>3、服务周期以一年为单位进行考核；考核合格后进入下一周期服务；考核不合格我院有权解除合同。</w:t>
      </w:r>
    </w:p>
    <w:p>
      <w:pPr>
        <w:pStyle w:val="2"/>
        <w:spacing w:line="439" w:lineRule="auto"/>
        <w:ind w:left="200" w:right="197" w:firstLine="480"/>
        <w:rPr>
          <w:rFonts w:ascii="宋体" w:hAnsi="宋体"/>
          <w:sz w:val="24"/>
          <w:lang w:eastAsia="zh-CN"/>
        </w:rPr>
      </w:pPr>
      <w:r>
        <w:rPr>
          <w:rFonts w:hint="eastAsia" w:ascii="宋体" w:hAnsi="宋体"/>
          <w:sz w:val="24"/>
          <w:lang w:eastAsia="zh-CN"/>
        </w:rPr>
        <w:t>4、服务商必须严格遵守采购人网络安全方面的要求。对于参与项目实施的咨询人员、技术人员均需要签订公司统一的信息保密协议。供应商需对以下信息进行保密，具体包括：</w:t>
      </w:r>
    </w:p>
    <w:p>
      <w:pPr>
        <w:pStyle w:val="2"/>
        <w:spacing w:line="439" w:lineRule="auto"/>
        <w:ind w:left="200" w:right="197" w:firstLine="480"/>
        <w:rPr>
          <w:rFonts w:ascii="宋体" w:hAnsi="宋体"/>
          <w:sz w:val="24"/>
          <w:lang w:eastAsia="zh-CN"/>
        </w:rPr>
      </w:pPr>
      <w:r>
        <w:rPr>
          <w:rFonts w:hint="eastAsia" w:ascii="宋体" w:hAnsi="宋体"/>
          <w:sz w:val="24"/>
          <w:lang w:eastAsia="zh-CN"/>
        </w:rPr>
        <w:t>（</w:t>
      </w:r>
      <w:r>
        <w:rPr>
          <w:rFonts w:ascii="宋体" w:hAnsi="宋体"/>
          <w:sz w:val="24"/>
          <w:lang w:eastAsia="zh-CN"/>
        </w:rPr>
        <w:t>1</w:t>
      </w:r>
      <w:r>
        <w:rPr>
          <w:rFonts w:hint="eastAsia" w:ascii="宋体" w:hAnsi="宋体"/>
          <w:sz w:val="24"/>
          <w:lang w:eastAsia="zh-CN"/>
        </w:rPr>
        <w:t>）项目信息：如业务流程、技术方案、业务数据（静态数据、动态数据、历史数据）、报表指标、工程设计、技术指标、计算机软件、数据库、操作手册、技术资料、用户防系统漏洞、用户方信息系统架构等。</w:t>
      </w:r>
    </w:p>
    <w:p>
      <w:pPr>
        <w:pStyle w:val="2"/>
        <w:spacing w:line="439" w:lineRule="auto"/>
        <w:ind w:left="200" w:right="197" w:firstLine="480"/>
        <w:rPr>
          <w:rFonts w:ascii="宋体" w:hAnsi="宋体"/>
          <w:sz w:val="24"/>
          <w:lang w:eastAsia="zh-CN"/>
        </w:rPr>
      </w:pPr>
      <w:r>
        <w:rPr>
          <w:rFonts w:hint="eastAsia" w:ascii="宋体" w:hAnsi="宋体"/>
          <w:sz w:val="24"/>
          <w:lang w:eastAsia="zh-CN"/>
        </w:rPr>
        <w:t>（</w:t>
      </w:r>
      <w:r>
        <w:rPr>
          <w:rFonts w:ascii="宋体" w:hAnsi="宋体"/>
          <w:sz w:val="24"/>
          <w:lang w:eastAsia="zh-CN"/>
        </w:rPr>
        <w:t>2</w:t>
      </w:r>
      <w:r>
        <w:rPr>
          <w:rFonts w:hint="eastAsia" w:ascii="宋体" w:hAnsi="宋体"/>
          <w:sz w:val="24"/>
          <w:lang w:eastAsia="zh-CN"/>
        </w:rPr>
        <w:t>）服务商项目参与人员在履行职责期间，必须遵守采购人规定的任何成文或不成文的保密规章、制度，履行与其工作岗位相应的保密职责。不向不承担相应保密义务的任何第三人披露采购人的商业秘密。采购人的保密规章、制度没有规定或者规定不明确之处，项目组成员亦应本着谨慎、诚实的态度，采取任何必要、合理的措施，维护其于履行职责期间知悉或者持有的任何属于采购人或者虽属于第三方但采购人承诺有保密义务的技术秘密或其他商业秘密信息，以保持其机密性。</w:t>
      </w:r>
    </w:p>
    <w:p>
      <w:pPr>
        <w:pStyle w:val="2"/>
        <w:spacing w:line="439" w:lineRule="auto"/>
        <w:ind w:left="200" w:right="197" w:firstLine="480"/>
        <w:rPr>
          <w:rFonts w:ascii="宋体" w:hAnsi="宋体"/>
          <w:sz w:val="24"/>
          <w:lang w:eastAsia="zh-CN"/>
        </w:rPr>
      </w:pPr>
      <w:r>
        <w:rPr>
          <w:rFonts w:hint="eastAsia" w:ascii="宋体" w:hAnsi="宋体"/>
          <w:sz w:val="24"/>
          <w:lang w:eastAsia="zh-CN"/>
        </w:rPr>
        <w:t>（</w:t>
      </w:r>
      <w:r>
        <w:rPr>
          <w:rFonts w:ascii="宋体" w:hAnsi="宋体"/>
          <w:sz w:val="24"/>
          <w:lang w:eastAsia="zh-CN"/>
        </w:rPr>
        <w:t>3</w:t>
      </w:r>
      <w:r>
        <w:rPr>
          <w:rFonts w:hint="eastAsia" w:ascii="宋体" w:hAnsi="宋体"/>
          <w:sz w:val="24"/>
          <w:lang w:eastAsia="zh-CN"/>
        </w:rPr>
        <w:t>）除了履行职务的需要之外，项目组成员承诺，未经采购人书面同意，不得以泄露、告知、公布、发布、出版、传授、转让或者以其他任何方式使任何第三方（包括按照保密制度的规定不得知悉该项秘密的采购人其他职员）知悉属于采购人或者虽属于他人但采购人承诺有保密义务的技术秘密或其他商业秘密信息，也不得在履行职务之外使用这些秘密信息。</w:t>
      </w:r>
    </w:p>
    <w:p>
      <w:pPr>
        <w:pStyle w:val="2"/>
        <w:rPr>
          <w:rFonts w:ascii="宋体" w:hAnsi="宋体"/>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0E"/>
    <w:multiLevelType w:val="multilevel"/>
    <w:tmpl w:val="0000000E"/>
    <w:lvl w:ilvl="0" w:tentative="0">
      <w:start w:val="1"/>
      <w:numFmt w:val="decimal"/>
      <w:lvlText w:val="（%1）"/>
      <w:lvlJc w:val="left"/>
      <w:pPr>
        <w:ind w:left="928" w:hanging="360"/>
      </w:pPr>
      <w:rPr>
        <w:rFonts w:ascii="宋体" w:hAnsi="宋体" w:eastAsia="宋体" w:cs="Times New Roman"/>
        <w:lang w:val="en-US"/>
      </w:rPr>
    </w:lvl>
    <w:lvl w:ilvl="1" w:tentative="0">
      <w:start w:val="1"/>
      <w:numFmt w:val="lowerLetter"/>
      <w:lvlText w:val="%2)"/>
      <w:lvlJc w:val="left"/>
      <w:pPr>
        <w:ind w:left="3534" w:hanging="420"/>
      </w:pPr>
    </w:lvl>
    <w:lvl w:ilvl="2" w:tentative="0">
      <w:start w:val="1"/>
      <w:numFmt w:val="lowerRoman"/>
      <w:lvlText w:val="%3."/>
      <w:lvlJc w:val="right"/>
      <w:pPr>
        <w:ind w:left="3954" w:hanging="420"/>
      </w:pPr>
    </w:lvl>
    <w:lvl w:ilvl="3" w:tentative="0">
      <w:start w:val="1"/>
      <w:numFmt w:val="decimal"/>
      <w:lvlText w:val="%4."/>
      <w:lvlJc w:val="left"/>
      <w:pPr>
        <w:ind w:left="4374" w:hanging="420"/>
      </w:pPr>
    </w:lvl>
    <w:lvl w:ilvl="4" w:tentative="0">
      <w:start w:val="1"/>
      <w:numFmt w:val="lowerLetter"/>
      <w:lvlText w:val="%5)"/>
      <w:lvlJc w:val="left"/>
      <w:pPr>
        <w:ind w:left="4794" w:hanging="420"/>
      </w:pPr>
    </w:lvl>
    <w:lvl w:ilvl="5" w:tentative="0">
      <w:start w:val="1"/>
      <w:numFmt w:val="lowerRoman"/>
      <w:lvlText w:val="%6."/>
      <w:lvlJc w:val="right"/>
      <w:pPr>
        <w:ind w:left="5214" w:hanging="420"/>
      </w:pPr>
    </w:lvl>
    <w:lvl w:ilvl="6" w:tentative="0">
      <w:start w:val="1"/>
      <w:numFmt w:val="decimal"/>
      <w:lvlText w:val="%7."/>
      <w:lvlJc w:val="left"/>
      <w:pPr>
        <w:ind w:left="5634" w:hanging="420"/>
      </w:pPr>
    </w:lvl>
    <w:lvl w:ilvl="7" w:tentative="0">
      <w:start w:val="1"/>
      <w:numFmt w:val="lowerLetter"/>
      <w:lvlText w:val="%8)"/>
      <w:lvlJc w:val="left"/>
      <w:pPr>
        <w:ind w:left="6054" w:hanging="420"/>
      </w:pPr>
    </w:lvl>
    <w:lvl w:ilvl="8" w:tentative="0">
      <w:start w:val="1"/>
      <w:numFmt w:val="lowerRoman"/>
      <w:lvlText w:val="%9."/>
      <w:lvlJc w:val="right"/>
      <w:pPr>
        <w:ind w:left="6474"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408"/>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7789F"/>
    <w:rsid w:val="001858ED"/>
    <w:rsid w:val="00194924"/>
    <w:rsid w:val="001A09DF"/>
    <w:rsid w:val="001B38EF"/>
    <w:rsid w:val="001B4B80"/>
    <w:rsid w:val="001C3422"/>
    <w:rsid w:val="001C7A4E"/>
    <w:rsid w:val="001D647D"/>
    <w:rsid w:val="00204185"/>
    <w:rsid w:val="0021307C"/>
    <w:rsid w:val="00216E84"/>
    <w:rsid w:val="00223E7C"/>
    <w:rsid w:val="00245E8E"/>
    <w:rsid w:val="002729E2"/>
    <w:rsid w:val="00285F00"/>
    <w:rsid w:val="00295386"/>
    <w:rsid w:val="002968D5"/>
    <w:rsid w:val="002B6BAB"/>
    <w:rsid w:val="002B78E7"/>
    <w:rsid w:val="002B7AB1"/>
    <w:rsid w:val="002E0382"/>
    <w:rsid w:val="002E171C"/>
    <w:rsid w:val="002E7888"/>
    <w:rsid w:val="002F130A"/>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C4B08"/>
    <w:rsid w:val="004D5C26"/>
    <w:rsid w:val="004D6E30"/>
    <w:rsid w:val="004F2922"/>
    <w:rsid w:val="00500849"/>
    <w:rsid w:val="005050E4"/>
    <w:rsid w:val="005052AD"/>
    <w:rsid w:val="00514A9A"/>
    <w:rsid w:val="00527466"/>
    <w:rsid w:val="00537BD2"/>
    <w:rsid w:val="00540D5C"/>
    <w:rsid w:val="00563775"/>
    <w:rsid w:val="005677C9"/>
    <w:rsid w:val="00581EC1"/>
    <w:rsid w:val="00587AB9"/>
    <w:rsid w:val="005970C2"/>
    <w:rsid w:val="005B3717"/>
    <w:rsid w:val="005B58E2"/>
    <w:rsid w:val="005B780D"/>
    <w:rsid w:val="005C5DC7"/>
    <w:rsid w:val="005C6D7F"/>
    <w:rsid w:val="005D2260"/>
    <w:rsid w:val="005D32B5"/>
    <w:rsid w:val="005E2C51"/>
    <w:rsid w:val="005F1A4A"/>
    <w:rsid w:val="00616AC7"/>
    <w:rsid w:val="00625773"/>
    <w:rsid w:val="0063366B"/>
    <w:rsid w:val="00655D76"/>
    <w:rsid w:val="00667BB9"/>
    <w:rsid w:val="00670CAB"/>
    <w:rsid w:val="00677A3E"/>
    <w:rsid w:val="006954BC"/>
    <w:rsid w:val="006A4CDA"/>
    <w:rsid w:val="006A7F38"/>
    <w:rsid w:val="006C28D1"/>
    <w:rsid w:val="006C7CB7"/>
    <w:rsid w:val="006D0289"/>
    <w:rsid w:val="006D7333"/>
    <w:rsid w:val="006E1B90"/>
    <w:rsid w:val="006E74CC"/>
    <w:rsid w:val="006F30D7"/>
    <w:rsid w:val="006F54C1"/>
    <w:rsid w:val="00707CCC"/>
    <w:rsid w:val="0072018A"/>
    <w:rsid w:val="00730DF9"/>
    <w:rsid w:val="00741392"/>
    <w:rsid w:val="0074166E"/>
    <w:rsid w:val="00750701"/>
    <w:rsid w:val="007511C7"/>
    <w:rsid w:val="00762C7C"/>
    <w:rsid w:val="007679FB"/>
    <w:rsid w:val="00767B0B"/>
    <w:rsid w:val="00771DBD"/>
    <w:rsid w:val="0077701D"/>
    <w:rsid w:val="00782336"/>
    <w:rsid w:val="007833AB"/>
    <w:rsid w:val="00793701"/>
    <w:rsid w:val="00795972"/>
    <w:rsid w:val="00795E03"/>
    <w:rsid w:val="007A22BA"/>
    <w:rsid w:val="007A26F4"/>
    <w:rsid w:val="007A3CD3"/>
    <w:rsid w:val="007B5090"/>
    <w:rsid w:val="007C2731"/>
    <w:rsid w:val="007C62C1"/>
    <w:rsid w:val="007E684B"/>
    <w:rsid w:val="007F7AC8"/>
    <w:rsid w:val="008036AB"/>
    <w:rsid w:val="008104DE"/>
    <w:rsid w:val="00811247"/>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54DE"/>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E04CC"/>
    <w:rsid w:val="009E58F7"/>
    <w:rsid w:val="009F112C"/>
    <w:rsid w:val="00A066BF"/>
    <w:rsid w:val="00A06960"/>
    <w:rsid w:val="00A22E88"/>
    <w:rsid w:val="00A2347A"/>
    <w:rsid w:val="00A275B0"/>
    <w:rsid w:val="00A308B3"/>
    <w:rsid w:val="00A436ED"/>
    <w:rsid w:val="00A449D9"/>
    <w:rsid w:val="00A46E19"/>
    <w:rsid w:val="00A707E6"/>
    <w:rsid w:val="00A72C58"/>
    <w:rsid w:val="00A81AC7"/>
    <w:rsid w:val="00A827EA"/>
    <w:rsid w:val="00A90442"/>
    <w:rsid w:val="00A9655D"/>
    <w:rsid w:val="00A972CB"/>
    <w:rsid w:val="00AD7390"/>
    <w:rsid w:val="00AE047E"/>
    <w:rsid w:val="00AE0F16"/>
    <w:rsid w:val="00AE4415"/>
    <w:rsid w:val="00B02B70"/>
    <w:rsid w:val="00B02C94"/>
    <w:rsid w:val="00B04F12"/>
    <w:rsid w:val="00B11D20"/>
    <w:rsid w:val="00B1403B"/>
    <w:rsid w:val="00B22AE3"/>
    <w:rsid w:val="00B4022A"/>
    <w:rsid w:val="00B44099"/>
    <w:rsid w:val="00B450BF"/>
    <w:rsid w:val="00B45B39"/>
    <w:rsid w:val="00B460D1"/>
    <w:rsid w:val="00B5537A"/>
    <w:rsid w:val="00B55C43"/>
    <w:rsid w:val="00B60B67"/>
    <w:rsid w:val="00B73B87"/>
    <w:rsid w:val="00B8030A"/>
    <w:rsid w:val="00B85AB1"/>
    <w:rsid w:val="00B90394"/>
    <w:rsid w:val="00BA08B7"/>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E7F90"/>
    <w:rsid w:val="00CF7406"/>
    <w:rsid w:val="00D10B33"/>
    <w:rsid w:val="00D15D43"/>
    <w:rsid w:val="00D24C9B"/>
    <w:rsid w:val="00D32DF2"/>
    <w:rsid w:val="00D330DC"/>
    <w:rsid w:val="00D51514"/>
    <w:rsid w:val="00D51F88"/>
    <w:rsid w:val="00D532B3"/>
    <w:rsid w:val="00D54303"/>
    <w:rsid w:val="00D57B3E"/>
    <w:rsid w:val="00D61AC3"/>
    <w:rsid w:val="00D622E0"/>
    <w:rsid w:val="00D67976"/>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4475D"/>
    <w:rsid w:val="00E523F6"/>
    <w:rsid w:val="00E55EDA"/>
    <w:rsid w:val="00E67A49"/>
    <w:rsid w:val="00E706AC"/>
    <w:rsid w:val="00E82BB1"/>
    <w:rsid w:val="00E93A6A"/>
    <w:rsid w:val="00EA55FF"/>
    <w:rsid w:val="00EA58A8"/>
    <w:rsid w:val="00EB7C26"/>
    <w:rsid w:val="00EC69E3"/>
    <w:rsid w:val="00EF5562"/>
    <w:rsid w:val="00EF6FA4"/>
    <w:rsid w:val="00F021D3"/>
    <w:rsid w:val="00F04F3F"/>
    <w:rsid w:val="00F058E5"/>
    <w:rsid w:val="00F0638B"/>
    <w:rsid w:val="00F064B1"/>
    <w:rsid w:val="00F0791E"/>
    <w:rsid w:val="00F1167C"/>
    <w:rsid w:val="00F14B33"/>
    <w:rsid w:val="00F16E84"/>
    <w:rsid w:val="00F36ACB"/>
    <w:rsid w:val="00F409C5"/>
    <w:rsid w:val="00F55D42"/>
    <w:rsid w:val="00F6651A"/>
    <w:rsid w:val="00F66D0B"/>
    <w:rsid w:val="00F858E4"/>
    <w:rsid w:val="00F90675"/>
    <w:rsid w:val="00FD511A"/>
    <w:rsid w:val="00FE1D92"/>
    <w:rsid w:val="00FF27C6"/>
    <w:rsid w:val="00FF3541"/>
    <w:rsid w:val="00FF53CD"/>
    <w:rsid w:val="09784CA3"/>
    <w:rsid w:val="12295B6E"/>
    <w:rsid w:val="15842186"/>
    <w:rsid w:val="1BB95724"/>
    <w:rsid w:val="1D9549DC"/>
    <w:rsid w:val="27F15728"/>
    <w:rsid w:val="2A5E2C90"/>
    <w:rsid w:val="2C5E77B9"/>
    <w:rsid w:val="2EAC236E"/>
    <w:rsid w:val="375826BB"/>
    <w:rsid w:val="53F67128"/>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qFormat/>
    <w:uiPriority w:val="0"/>
    <w:pPr>
      <w:keepNext/>
      <w:keepLines/>
      <w:spacing w:before="260" w:after="260" w:line="413" w:lineRule="auto"/>
      <w:outlineLvl w:val="1"/>
    </w:pPr>
    <w:rPr>
      <w:rFonts w:ascii="Arial" w:hAnsi="Arial" w:eastAsia="黑体" w:cs="Times New Roman"/>
      <w:b/>
      <w:sz w:val="32"/>
      <w:szCs w:val="24"/>
    </w:rPr>
  </w:style>
  <w:style w:type="paragraph" w:styleId="5">
    <w:name w:val="heading 3"/>
    <w:basedOn w:val="1"/>
    <w:next w:val="1"/>
    <w:link w:val="48"/>
    <w:semiHidden/>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28"/>
    <w:qFormat/>
    <w:uiPriority w:val="0"/>
    <w:pPr>
      <w:widowControl/>
      <w:jc w:val="left"/>
    </w:pPr>
    <w:rPr>
      <w:rFonts w:ascii="Arial" w:hAnsi="Arial" w:eastAsia="宋体" w:cs="Arial"/>
      <w:kern w:val="0"/>
      <w:sz w:val="20"/>
      <w:szCs w:val="24"/>
      <w:lang w:val="de-DE" w:eastAsia="en-US"/>
    </w:r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annotation text"/>
    <w:basedOn w:val="1"/>
    <w:link w:val="25"/>
    <w:qFormat/>
    <w:uiPriority w:val="0"/>
  </w:style>
  <w:style w:type="paragraph" w:styleId="8">
    <w:name w:val="Plain Text"/>
    <w:basedOn w:val="1"/>
    <w:link w:val="46"/>
    <w:qFormat/>
    <w:uiPriority w:val="0"/>
    <w:rPr>
      <w:rFonts w:ascii="宋体" w:hAnsi="Courier New" w:eastAsia="宋体" w:cs="Times New Roman"/>
      <w:szCs w:val="24"/>
    </w:rPr>
  </w:style>
  <w:style w:type="paragraph" w:styleId="9">
    <w:name w:val="Date"/>
    <w:basedOn w:val="1"/>
    <w:next w:val="1"/>
    <w:link w:val="24"/>
    <w:unhideWhenUsed/>
    <w:qFormat/>
    <w:uiPriority w:val="0"/>
    <w:pPr>
      <w:ind w:left="100" w:leftChars="2500"/>
    </w:p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rPr>
      <w:szCs w:val="24"/>
    </w:rPr>
  </w:style>
  <w:style w:type="paragraph" w:styleId="13">
    <w:name w:val="Body Text 2"/>
    <w:basedOn w:val="1"/>
    <w:link w:val="37"/>
    <w:semiHidden/>
    <w:unhideWhenUsed/>
    <w:qFormat/>
    <w:uiPriority w:val="99"/>
    <w:pPr>
      <w:spacing w:after="120" w:line="480" w:lineRule="auto"/>
    </w:p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6">
    <w:name w:val="Table Grid"/>
    <w:basedOn w:val="15"/>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styleId="20">
    <w:name w:val="annotation reference"/>
    <w:qFormat/>
    <w:uiPriority w:val="0"/>
    <w:rPr>
      <w:rFonts w:ascii="Times New Roman" w:hAnsi="Times New Roman" w:eastAsia="宋体" w:cs="Times New Roman"/>
      <w:sz w:val="16"/>
      <w:szCs w:val="16"/>
    </w:rPr>
  </w:style>
  <w:style w:type="character" w:customStyle="1" w:styleId="21">
    <w:name w:val="页眉 Char"/>
    <w:basedOn w:val="17"/>
    <w:link w:val="11"/>
    <w:qFormat/>
    <w:uiPriority w:val="99"/>
    <w:rPr>
      <w:sz w:val="18"/>
      <w:szCs w:val="18"/>
    </w:rPr>
  </w:style>
  <w:style w:type="character" w:customStyle="1" w:styleId="22">
    <w:name w:val="页脚 Char"/>
    <w:basedOn w:val="17"/>
    <w:link w:val="10"/>
    <w:qFormat/>
    <w:uiPriority w:val="99"/>
    <w:rPr>
      <w:sz w:val="18"/>
      <w:szCs w:val="18"/>
    </w:rPr>
  </w:style>
  <w:style w:type="paragraph" w:styleId="23">
    <w:name w:val="List Paragraph"/>
    <w:basedOn w:val="1"/>
    <w:qFormat/>
    <w:uiPriority w:val="34"/>
    <w:pPr>
      <w:ind w:firstLine="420" w:firstLineChars="200"/>
    </w:pPr>
    <w:rPr>
      <w:rFonts w:ascii="Calibri" w:hAnsi="Calibri" w:eastAsia="宋体" w:cs="Arial"/>
    </w:rPr>
  </w:style>
  <w:style w:type="character" w:customStyle="1" w:styleId="24">
    <w:name w:val="日期 Char"/>
    <w:basedOn w:val="17"/>
    <w:link w:val="9"/>
    <w:semiHidden/>
    <w:qFormat/>
    <w:uiPriority w:val="99"/>
  </w:style>
  <w:style w:type="character" w:customStyle="1" w:styleId="25">
    <w:name w:val="批注文字 Char"/>
    <w:link w:val="7"/>
    <w:qFormat/>
    <w:uiPriority w:val="0"/>
  </w:style>
  <w:style w:type="character" w:customStyle="1" w:styleId="26">
    <w:name w:val="批注文字 Char1"/>
    <w:basedOn w:val="17"/>
    <w:semiHidden/>
    <w:qFormat/>
    <w:uiPriority w:val="99"/>
  </w:style>
  <w:style w:type="character" w:customStyle="1" w:styleId="27">
    <w:name w:val="Anrede1IhrZeichen"/>
    <w:qFormat/>
    <w:uiPriority w:val="0"/>
    <w:rPr>
      <w:rFonts w:ascii="Arial" w:hAnsi="Arial" w:eastAsia="宋体" w:cs="Times New Roman"/>
      <w:sz w:val="20"/>
    </w:rPr>
  </w:style>
  <w:style w:type="character" w:customStyle="1" w:styleId="28">
    <w:name w:val="正文文本 Char"/>
    <w:basedOn w:val="17"/>
    <w:link w:val="2"/>
    <w:qFormat/>
    <w:uiPriority w:val="0"/>
    <w:rPr>
      <w:rFonts w:ascii="Arial" w:hAnsi="Arial" w:eastAsia="宋体" w:cs="Arial"/>
      <w:kern w:val="0"/>
      <w:sz w:val="20"/>
      <w:szCs w:val="24"/>
      <w:lang w:val="de-DE" w:eastAsia="en-US"/>
    </w:rPr>
  </w:style>
  <w:style w:type="paragraph" w:customStyle="1" w:styleId="29">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0">
    <w:name w:val="标题 2 Char"/>
    <w:basedOn w:val="17"/>
    <w:link w:val="4"/>
    <w:qFormat/>
    <w:uiPriority w:val="0"/>
    <w:rPr>
      <w:rFonts w:ascii="Arial" w:hAnsi="Arial" w:eastAsia="黑体" w:cs="Times New Roman"/>
      <w:b/>
      <w:sz w:val="32"/>
      <w:szCs w:val="24"/>
    </w:rPr>
  </w:style>
  <w:style w:type="character" w:customStyle="1" w:styleId="31">
    <w:name w:val="font161"/>
    <w:basedOn w:val="17"/>
    <w:qFormat/>
    <w:uiPriority w:val="0"/>
    <w:rPr>
      <w:rFonts w:hint="eastAsia" w:ascii="宋体" w:hAnsi="宋体" w:eastAsia="宋体" w:cs="宋体"/>
      <w:color w:val="000000"/>
      <w:sz w:val="24"/>
      <w:szCs w:val="24"/>
      <w:u w:val="none"/>
    </w:rPr>
  </w:style>
  <w:style w:type="character" w:customStyle="1" w:styleId="32">
    <w:name w:val="font131"/>
    <w:basedOn w:val="17"/>
    <w:qFormat/>
    <w:uiPriority w:val="0"/>
    <w:rPr>
      <w:rFonts w:ascii="微软雅黑" w:hAnsi="微软雅黑" w:eastAsia="微软雅黑" w:cs="微软雅黑"/>
      <w:color w:val="000000"/>
      <w:sz w:val="24"/>
      <w:szCs w:val="24"/>
      <w:u w:val="none"/>
    </w:rPr>
  </w:style>
  <w:style w:type="character" w:customStyle="1" w:styleId="33">
    <w:name w:val="font51"/>
    <w:basedOn w:val="17"/>
    <w:qFormat/>
    <w:uiPriority w:val="0"/>
    <w:rPr>
      <w:rFonts w:hint="eastAsia" w:ascii="宋体" w:hAnsi="宋体" w:eastAsia="宋体" w:cs="宋体"/>
      <w:b/>
      <w:color w:val="FF0000"/>
      <w:sz w:val="24"/>
      <w:szCs w:val="24"/>
      <w:u w:val="none"/>
    </w:rPr>
  </w:style>
  <w:style w:type="character" w:customStyle="1" w:styleId="34">
    <w:name w:val="font12"/>
    <w:basedOn w:val="17"/>
    <w:qFormat/>
    <w:uiPriority w:val="0"/>
    <w:rPr>
      <w:rFonts w:hint="eastAsia" w:ascii="微软雅黑" w:hAnsi="微软雅黑" w:eastAsia="微软雅黑" w:cs="微软雅黑"/>
      <w:b/>
      <w:color w:val="FF0000"/>
      <w:sz w:val="24"/>
      <w:szCs w:val="24"/>
      <w:u w:val="none"/>
    </w:rPr>
  </w:style>
  <w:style w:type="character" w:customStyle="1" w:styleId="35">
    <w:name w:val="font11"/>
    <w:basedOn w:val="17"/>
    <w:qFormat/>
    <w:uiPriority w:val="0"/>
    <w:rPr>
      <w:rFonts w:hint="eastAsia" w:ascii="宋体" w:hAnsi="宋体" w:eastAsia="宋体" w:cs="宋体"/>
      <w:color w:val="000000"/>
      <w:sz w:val="21"/>
      <w:szCs w:val="21"/>
      <w:u w:val="none"/>
    </w:rPr>
  </w:style>
  <w:style w:type="paragraph" w:customStyle="1" w:styleId="36">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7">
    <w:name w:val="正文文本 2 Char"/>
    <w:basedOn w:val="17"/>
    <w:link w:val="13"/>
    <w:semiHidden/>
    <w:qFormat/>
    <w:uiPriority w:val="99"/>
    <w:rPr>
      <w:kern w:val="2"/>
      <w:sz w:val="21"/>
      <w:szCs w:val="22"/>
    </w:rPr>
  </w:style>
  <w:style w:type="paragraph" w:customStyle="1" w:styleId="38">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39">
    <w:name w:val="表格非标题文字"/>
    <w:link w:val="40"/>
    <w:qFormat/>
    <w:uiPriority w:val="0"/>
    <w:pPr>
      <w:snapToGrid w:val="0"/>
      <w:spacing w:before="80" w:after="40"/>
    </w:pPr>
    <w:rPr>
      <w:rFonts w:ascii="Arial" w:hAnsi="Arial" w:eastAsia="宋体" w:cs="黑体"/>
      <w:kern w:val="2"/>
      <w:sz w:val="18"/>
      <w:szCs w:val="21"/>
      <w:lang w:val="en-US" w:eastAsia="zh-CN" w:bidi="ar-SA"/>
    </w:rPr>
  </w:style>
  <w:style w:type="character" w:customStyle="1" w:styleId="40">
    <w:name w:val="表格非标题文字 Char"/>
    <w:basedOn w:val="17"/>
    <w:link w:val="39"/>
    <w:qFormat/>
    <w:uiPriority w:val="0"/>
    <w:rPr>
      <w:rFonts w:ascii="Arial" w:hAnsi="Arial" w:eastAsia="宋体" w:cs="黑体"/>
      <w:kern w:val="2"/>
      <w:sz w:val="18"/>
      <w:szCs w:val="21"/>
    </w:rPr>
  </w:style>
  <w:style w:type="paragraph" w:customStyle="1" w:styleId="41">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2">
    <w:name w:val="正文格式"/>
    <w:basedOn w:val="2"/>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3">
    <w:name w:val="表格样式1"/>
    <w:basedOn w:val="15"/>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4">
    <w:name w:val="未处理的提及1"/>
    <w:basedOn w:val="17"/>
    <w:semiHidden/>
    <w:unhideWhenUsed/>
    <w:qFormat/>
    <w:uiPriority w:val="99"/>
    <w:rPr>
      <w:color w:val="605E5C"/>
      <w:shd w:val="clear" w:color="auto" w:fill="E1DFDD"/>
    </w:rPr>
  </w:style>
  <w:style w:type="paragraph" w:customStyle="1" w:styleId="45">
    <w:name w:val="_Style 41"/>
    <w:basedOn w:val="1"/>
    <w:next w:val="23"/>
    <w:qFormat/>
    <w:uiPriority w:val="99"/>
    <w:pPr>
      <w:ind w:firstLine="420" w:firstLineChars="200"/>
    </w:pPr>
    <w:rPr>
      <w:rFonts w:ascii="Times New Roman" w:hAnsi="Times New Roman" w:eastAsia="宋体" w:cs="Times New Roman"/>
      <w:szCs w:val="24"/>
    </w:rPr>
  </w:style>
  <w:style w:type="character" w:customStyle="1" w:styleId="46">
    <w:name w:val="纯文本 Char"/>
    <w:basedOn w:val="17"/>
    <w:link w:val="8"/>
    <w:qFormat/>
    <w:uiPriority w:val="0"/>
    <w:rPr>
      <w:rFonts w:ascii="宋体" w:hAnsi="Courier New" w:eastAsia="宋体" w:cs="Times New Roman"/>
      <w:kern w:val="2"/>
      <w:sz w:val="21"/>
      <w:szCs w:val="24"/>
    </w:rPr>
  </w:style>
  <w:style w:type="character" w:customStyle="1" w:styleId="47">
    <w:name w:val="标题 1 Char"/>
    <w:basedOn w:val="17"/>
    <w:link w:val="3"/>
    <w:uiPriority w:val="9"/>
    <w:rPr>
      <w:b/>
      <w:bCs/>
      <w:kern w:val="44"/>
      <w:sz w:val="44"/>
      <w:szCs w:val="44"/>
    </w:rPr>
  </w:style>
  <w:style w:type="character" w:customStyle="1" w:styleId="48">
    <w:name w:val="标题 3 Char"/>
    <w:basedOn w:val="17"/>
    <w:link w:val="5"/>
    <w:semiHidden/>
    <w:uiPriority w:val="9"/>
    <w:rPr>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F7929-006E-4893-8F49-5AFBC7F6D6EF}">
  <ds:schemaRefs/>
</ds:datastoreItem>
</file>

<file path=docProps/app.xml><?xml version="1.0" encoding="utf-8"?>
<Properties xmlns="http://schemas.openxmlformats.org/officeDocument/2006/extended-properties" xmlns:vt="http://schemas.openxmlformats.org/officeDocument/2006/docPropsVTypes">
  <Template>Normal</Template>
  <Pages>11</Pages>
  <Words>6270</Words>
  <Characters>6495</Characters>
  <Lines>47</Lines>
  <Paragraphs>13</Paragraphs>
  <TotalTime>63</TotalTime>
  <ScaleCrop>false</ScaleCrop>
  <LinksUpToDate>false</LinksUpToDate>
  <CharactersWithSpaces>6548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2022-12-06T03:01:47Z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8E798E42FC7548008365FD03C647FBFD</vt:lpwstr>
  </property>
</Properties>
</file>