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34657205"/>
      <w:r>
        <w:rPr>
          <w:rFonts w:hint="eastAsia" w:ascii="宋体" w:hAnsi="宋体" w:eastAsia="宋体"/>
          <w:b/>
          <w:sz w:val="32"/>
          <w:szCs w:val="32"/>
        </w:rPr>
        <w:t>病毒采样管等耗材一批防控物资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紧急采购谈判结果公示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病毒采样管等耗材一批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21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tbl>
      <w:tblPr>
        <w:tblStyle w:val="5"/>
        <w:tblpPr w:leftFromText="180" w:rightFromText="180" w:vertAnchor="text" w:horzAnchor="page" w:tblpX="1230" w:tblpY="616"/>
        <w:tblOverlap w:val="never"/>
        <w:tblW w:w="10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205"/>
        <w:gridCol w:w="1715"/>
        <w:gridCol w:w="1405"/>
        <w:gridCol w:w="253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供货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商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谈判后单价（元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/个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539" w:hRule="atLeast"/>
        </w:trPr>
        <w:tc>
          <w:tcPr>
            <w:tcW w:w="18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一次性使用病毒采样管（1人份、5人份、10人份、20人份、分别带1、5、10、20条拭子）、拭子（头端植绒鼻拭子、咽拭子）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潍坊倍佳经贸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新华安得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1人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551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51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77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292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20人份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（无拭子）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试管4.5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342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拭子0.5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539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拭子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拭子0.5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成武一诺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336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20人份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（无拭子）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试管4.5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298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拭子0.5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山东海王银河医药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山东畅霖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含咽拭子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341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国药器械（山东）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</w:rPr>
              <w:t>医药科技有限公司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江苏康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捷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5人份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（无拭子）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试管3.25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293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拭子0.48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313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10人份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（无拭子）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试管5.4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321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拭子0.48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拭子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潍坊腾飞医疗器械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盛美康</w:t>
            </w:r>
          </w:p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含鼻拭子、咽拭子自选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山东慧远医疗器械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成都瑞琦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含咽拭子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山东佩克医疗器械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新华安得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20人份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一次性使用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防护面屏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潍坊倍佳经贸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济南威阳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潍坊腾飞医疗器械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济南威阳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国药器械（山东）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医药科技有限公司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济宁健达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24" w:hRule="atLeast"/>
        </w:trPr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Cs w:val="21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山东海王银河医药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山东康力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855" w:type="dxa"/>
            <w:gridSpan w:val="4"/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卫生材料管理办公室          财务部           审计办公室                  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纪检监察办公室             物资采购办公室 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四、谈判结果：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五、公示日期：20</w:t>
      </w:r>
      <w:r>
        <w:rPr>
          <w:rFonts w:ascii="宋体" w:hAnsi="宋体"/>
          <w:sz w:val="28"/>
          <w:szCs w:val="28"/>
          <w:lang w:val="zh-CN"/>
        </w:rPr>
        <w:t>20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ascii="宋体" w:hAnsi="宋体"/>
          <w:sz w:val="28"/>
          <w:szCs w:val="28"/>
          <w:lang w:val="zh-CN"/>
        </w:rPr>
        <w:t>7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ascii="宋体" w:hAnsi="宋体"/>
          <w:sz w:val="28"/>
          <w:szCs w:val="28"/>
          <w:lang w:val="zh-CN"/>
        </w:rPr>
        <w:t>30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default" w:ascii="宋体" w:hAnsi="宋体" w:cs="宋体" w:eastAsiaTheme="minorEastAsia"/>
          <w:color w:val="010005"/>
          <w:kern w:val="0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物资采购办公室</w:t>
      </w:r>
    </w:p>
    <w:p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980563A"/>
    <w:rsid w:val="0E1E41E3"/>
    <w:rsid w:val="12380A48"/>
    <w:rsid w:val="191E38E3"/>
    <w:rsid w:val="242A1D8F"/>
    <w:rsid w:val="27AD796F"/>
    <w:rsid w:val="370C5E5F"/>
    <w:rsid w:val="38193B9A"/>
    <w:rsid w:val="4386040A"/>
    <w:rsid w:val="43A23303"/>
    <w:rsid w:val="445C3ADA"/>
    <w:rsid w:val="46B42E62"/>
    <w:rsid w:val="4B5D16F9"/>
    <w:rsid w:val="54EE3254"/>
    <w:rsid w:val="574578E6"/>
    <w:rsid w:val="65C17EA5"/>
    <w:rsid w:val="69C61FB9"/>
    <w:rsid w:val="6E48056C"/>
    <w:rsid w:val="7003544A"/>
    <w:rsid w:val="71E6080D"/>
    <w:rsid w:val="74E7348C"/>
    <w:rsid w:val="7775283C"/>
    <w:rsid w:val="777A3AF4"/>
    <w:rsid w:val="7C1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575</Words>
  <Characters>675</Characters>
  <Lines>4</Lines>
  <Paragraphs>1</Paragraphs>
  <TotalTime>15</TotalTime>
  <ScaleCrop>false</ScaleCrop>
  <LinksUpToDate>false</LinksUpToDate>
  <CharactersWithSpaces>841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dcterms:modified xsi:type="dcterms:W3CDTF">2022-04-06T08:30:23Z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BEE987479B464DCA98F0425CAA1118E3</vt:lpwstr>
  </property>
</Properties>
</file>