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潍坊市人民医院斑贴试验测试器等试剂一批项目</w:t>
      </w:r>
    </w:p>
    <w:p>
      <w:pPr>
        <w:jc w:val="center"/>
        <w:rPr>
          <w:rFonts w:hint="eastAsia" w:ascii="宋体" w:hAnsi="宋体" w:cs="方正小标宋简体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竞争性谈判公告</w:t>
      </w:r>
    </w:p>
    <w:p>
      <w:pPr>
        <w:pStyle w:val="5"/>
        <w:rPr>
          <w:rFonts w:hint="eastAsia" w:ascii="宋体" w:hAnsi="宋体" w:cs="方正小标宋简体"/>
          <w:b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sz w:val="32"/>
          <w:szCs w:val="32"/>
        </w:rPr>
        <w:t>一、项目名称：斑贴试验测试器等试剂一批</w:t>
      </w: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sz w:val="32"/>
          <w:szCs w:val="32"/>
        </w:rPr>
        <w:t>二、联系人：潍坊市人民医院物资采购办公室</w:t>
      </w:r>
    </w:p>
    <w:p>
      <w:pPr>
        <w:widowControl/>
        <w:spacing w:line="460" w:lineRule="exact"/>
        <w:ind w:firstLine="640" w:firstLineChars="200"/>
        <w:rPr>
          <w:rFonts w:hint="eastAsia" w:ascii="仿宋" w:hAnsi="仿宋" w:eastAsia="仿宋" w:cs="宋体"/>
          <w:color w:val="010005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sz w:val="32"/>
          <w:szCs w:val="32"/>
        </w:rPr>
        <w:t xml:space="preserve">联系电话：0536-8192593   </w:t>
      </w:r>
    </w:p>
    <w:p>
      <w:pPr>
        <w:widowControl/>
        <w:spacing w:line="460" w:lineRule="exact"/>
        <w:rPr>
          <w:rFonts w:ascii="仿宋" w:hAnsi="仿宋" w:eastAsia="仿宋" w:cs="宋体"/>
          <w:color w:val="010005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sz w:val="32"/>
          <w:szCs w:val="32"/>
        </w:rPr>
        <w:t>三、</w:t>
      </w:r>
      <w:bookmarkStart w:id="0" w:name="_Hlk83797156"/>
      <w:r>
        <w:rPr>
          <w:rFonts w:hint="eastAsia" w:ascii="仿宋" w:hAnsi="仿宋" w:eastAsia="仿宋" w:cs="宋体"/>
          <w:color w:val="010005"/>
          <w:sz w:val="32"/>
          <w:szCs w:val="32"/>
        </w:rPr>
        <w:t>技术参数及要求</w:t>
      </w:r>
      <w:bookmarkEnd w:id="0"/>
      <w:r>
        <w:rPr>
          <w:rFonts w:hint="eastAsia" w:ascii="仿宋" w:hAnsi="仿宋" w:eastAsia="仿宋" w:cs="宋体"/>
          <w:color w:val="010005"/>
          <w:sz w:val="32"/>
          <w:szCs w:val="32"/>
        </w:rPr>
        <w:t>：见附件。</w:t>
      </w:r>
    </w:p>
    <w:p>
      <w:pPr>
        <w:widowControl/>
        <w:spacing w:line="460" w:lineRule="exact"/>
        <w:rPr>
          <w:rFonts w:ascii="仿宋" w:hAnsi="仿宋" w:eastAsia="仿宋" w:cs="宋体"/>
          <w:color w:val="010005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sz w:val="32"/>
          <w:szCs w:val="32"/>
        </w:rPr>
        <w:t>四、项目内容：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2625"/>
        <w:gridCol w:w="151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华文中宋"/>
                <w:color w:val="000000"/>
                <w:sz w:val="21"/>
                <w:szCs w:val="21"/>
              </w:rPr>
            </w:pP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华文中宋"/>
                <w:color w:val="000000"/>
                <w:sz w:val="21"/>
                <w:szCs w:val="21"/>
              </w:rPr>
            </w:pP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sz w:val="21"/>
                <w:szCs w:val="21"/>
                <w:lang w:bidi="ar"/>
              </w:rPr>
              <w:t>预计年用量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sz w:val="21"/>
                <w:szCs w:val="21"/>
                <w:lang w:bidi="ar"/>
              </w:rPr>
              <w:t>最高限价</w:t>
            </w:r>
            <w:r>
              <w:rPr>
                <w:rFonts w:hint="eastAsia" w:hAnsi="宋体" w:eastAsia="宋体"/>
                <w:bCs/>
                <w:sz w:val="21"/>
                <w:szCs w:val="21"/>
              </w:rPr>
              <w:t>（元/人份）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华文中宋"/>
                <w:color w:val="000000"/>
                <w:sz w:val="21"/>
                <w:szCs w:val="21"/>
              </w:rPr>
            </w:pP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第</w:t>
            </w:r>
            <w:r>
              <w:rPr>
                <w:rFonts w:hint="eastAsia" w:hAnsi="宋体" w:cs="华文中宋"/>
                <w:color w:val="000000"/>
                <w:sz w:val="21"/>
                <w:szCs w:val="21"/>
                <w:lang w:bidi="ar"/>
              </w:rPr>
              <w:t>一</w:t>
            </w: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标段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bidi="ar"/>
              </w:rPr>
              <w:t>斑贴试验测试器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300人份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华文中宋"/>
                <w:color w:val="000000"/>
                <w:sz w:val="21"/>
                <w:szCs w:val="21"/>
                <w:lang w:bidi="ar"/>
              </w:rPr>
            </w:pP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第</w:t>
            </w:r>
            <w:r>
              <w:rPr>
                <w:rFonts w:hint="eastAsia" w:hAnsi="宋体" w:cs="华文中宋"/>
                <w:color w:val="000000"/>
                <w:sz w:val="21"/>
                <w:szCs w:val="21"/>
                <w:lang w:eastAsia="zh-CN" w:bidi="ar"/>
              </w:rPr>
              <w:t>二</w:t>
            </w: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标段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bidi="ar"/>
              </w:rPr>
              <w:t>28型人乳头瘤病毒基因分型检测试剂盒（PCR-反向点杂交法)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4000人份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华文中宋"/>
                <w:color w:val="000000"/>
                <w:sz w:val="21"/>
                <w:szCs w:val="21"/>
                <w:lang w:bidi="ar"/>
              </w:rPr>
            </w:pP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第</w:t>
            </w:r>
            <w:r>
              <w:rPr>
                <w:rFonts w:hint="eastAsia" w:hAnsi="宋体" w:cs="华文中宋"/>
                <w:color w:val="000000"/>
                <w:sz w:val="21"/>
                <w:szCs w:val="21"/>
                <w:lang w:eastAsia="zh-CN" w:bidi="ar"/>
              </w:rPr>
              <w:t>三</w:t>
            </w:r>
            <w:r>
              <w:rPr>
                <w:rFonts w:hAnsi="宋体" w:cs="华文中宋"/>
                <w:color w:val="000000"/>
                <w:sz w:val="21"/>
                <w:szCs w:val="21"/>
                <w:lang w:bidi="ar"/>
              </w:rPr>
              <w:t>标段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感染性疾病炎性及免疫抑制检测试剂</w:t>
            </w:r>
            <w:r>
              <w:rPr>
                <w:rFonts w:hint="eastAsia" w:hAnsi="宋体" w:cs="华文中宋"/>
                <w:color w:val="000000"/>
                <w:sz w:val="21"/>
                <w:szCs w:val="21"/>
                <w:lang w:val="en-US" w:eastAsia="zh-CN" w:bidi="ar"/>
              </w:rPr>
              <w:t>盒</w:t>
            </w: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bidi="ar"/>
              </w:rPr>
              <w:t>（CD14-FITC/CD45-PerCP/CD64-PE/HLA-DR-AP</w:t>
            </w: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C)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见附表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  <w:t>见附表</w:t>
            </w:r>
          </w:p>
        </w:tc>
      </w:tr>
    </w:tbl>
    <w:p>
      <w:pPr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10005"/>
          <w:sz w:val="32"/>
          <w:szCs w:val="32"/>
          <w:lang w:val="en-US" w:eastAsia="zh-CN"/>
        </w:rPr>
        <w:t>五、功能及技术要求：见附件1</w:t>
      </w:r>
    </w:p>
    <w:p>
      <w:pPr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六、报名时间：北京时间2022年</w:t>
      </w:r>
      <w:r>
        <w:rPr>
          <w:rFonts w:hint="eastAsia" w:ascii="仿宋" w:hAnsi="仿宋" w:eastAsia="仿宋" w:cs="宋体"/>
          <w:color w:val="010005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宋体"/>
          <w:color w:val="010005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日9点至2022年</w:t>
      </w:r>
      <w:r>
        <w:rPr>
          <w:rFonts w:hint="eastAsia" w:ascii="仿宋" w:hAnsi="仿宋" w:eastAsia="仿宋" w:cs="宋体"/>
          <w:color w:val="010005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宋体"/>
          <w:color w:val="010005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日下午3点（休息时间除外）。</w:t>
      </w:r>
    </w:p>
    <w:p>
      <w:pPr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宋体"/>
          <w:color w:val="010005"/>
          <w:sz w:val="32"/>
          <w:szCs w:val="32"/>
        </w:rPr>
        <w:t>报名方式：潜在投标人填写附件Excel电子报名表格一份；报名表纸质版、有效期内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各类资质证书等</w:t>
      </w:r>
      <w:r>
        <w:rPr>
          <w:rFonts w:hint="eastAsia" w:ascii="仿宋" w:hAnsi="仿宋" w:eastAsia="仿宋" w:cs="宋体"/>
          <w:color w:val="010005"/>
          <w:sz w:val="32"/>
          <w:szCs w:val="32"/>
        </w:rPr>
        <w:t>，以上材料加盖公章复印件一套，以邮件附件形式发送到潍坊市人民医院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物资采购办公室邮箱wfrmzbbm@163.com,邮件主题为：项目名称+公司名称，缺项视为报名无效。</w:t>
      </w:r>
    </w:p>
    <w:p>
      <w:pPr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谈判文件的获取：符合条件的项目，报名截止2个工作日内免费发送至供应商预留邮箱，如未按期收到文件，请务必自行电话联系物资采购办公室核实，未核实视为收悉。</w:t>
      </w:r>
    </w:p>
    <w:p>
      <w:pPr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九、谈判截止时间（谈判时间）、地点详见谈判文件。</w:t>
      </w:r>
    </w:p>
    <w:p>
      <w:pPr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十、备注：1.本次采用资格后审，不接受联合体投标；2.单位负责人为同一人或者存在控股、管理关系的不同单位，不得参加同一标段投标或者未划分标段的同一项目；3.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同一标段内项目须整包进行投标不得拆包分项报名；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无需现场报名。</w:t>
      </w:r>
    </w:p>
    <w:p>
      <w:pPr>
        <w:pStyle w:val="2"/>
        <w:rPr>
          <w:rFonts w:hint="eastAsia"/>
          <w:lang w:eastAsia="zh-CN"/>
        </w:rPr>
      </w:pPr>
      <w:bookmarkStart w:id="1" w:name="_GoBack"/>
      <w:bookmarkEnd w:id="1"/>
    </w:p>
    <w:p>
      <w:pPr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 xml:space="preserve">                                     </w:t>
      </w:r>
    </w:p>
    <w:p>
      <w:pPr>
        <w:spacing w:line="460" w:lineRule="exact"/>
        <w:jc w:val="right"/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潍坊市人民医院物资采购办公室</w:t>
      </w:r>
    </w:p>
    <w:p>
      <w:pPr>
        <w:spacing w:line="460" w:lineRule="exact"/>
        <w:jc w:val="right"/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 xml:space="preserve">                        2022年</w:t>
      </w:r>
      <w:r>
        <w:rPr>
          <w:rFonts w:hint="eastAsia" w:ascii="仿宋" w:hAnsi="仿宋" w:eastAsia="仿宋" w:cs="宋体"/>
          <w:color w:val="010005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宋体"/>
          <w:color w:val="010005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sz w:val="32"/>
          <w:szCs w:val="32"/>
          <w:lang w:eastAsia="zh-CN"/>
        </w:rPr>
        <w:t>日</w:t>
      </w: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widowControl/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 w:cs="宋体"/>
          <w:color w:val="010005"/>
          <w:sz w:val="32"/>
          <w:szCs w:val="32"/>
        </w:rPr>
      </w:pPr>
    </w:p>
    <w:p>
      <w:pPr>
        <w:rPr>
          <w:rFonts w:hint="eastAsia"/>
        </w:rPr>
      </w:pPr>
    </w:p>
    <w:p>
      <w:pPr>
        <w:pStyle w:val="5"/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Times New Roman" w:hAnsi="宋体" w:eastAsia="宋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宋体" w:eastAsia="宋体" w:cs="Times New Roman"/>
          <w:b/>
          <w:bCs/>
          <w:sz w:val="30"/>
          <w:szCs w:val="30"/>
          <w:lang w:eastAsia="zh-CN"/>
        </w:rPr>
        <w:t>附件：</w:t>
      </w:r>
      <w:r>
        <w:rPr>
          <w:rFonts w:hint="eastAsia" w:ascii="Times New Roman" w:hAnsi="宋体" w:eastAsia="宋体" w:cs="Times New Roman"/>
          <w:b/>
          <w:bCs/>
          <w:sz w:val="30"/>
          <w:szCs w:val="30"/>
        </w:rPr>
        <w:t>功能及技术要求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hAnsi="宋体"/>
          <w:b/>
          <w:sz w:val="28"/>
          <w:szCs w:val="28"/>
        </w:rPr>
        <w:t>一、公共参数：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宋体"/>
          <w:lang w:eastAsia="zh-CN"/>
        </w:rPr>
      </w:pPr>
      <w:r>
        <w:rPr>
          <w:rFonts w:hint="eastAsia" w:hAnsi="宋体" w:cs="宋体"/>
          <w:sz w:val="24"/>
        </w:rPr>
        <w:t>1</w:t>
      </w:r>
      <w:r>
        <w:rPr>
          <w:rFonts w:hint="eastAsia" w:hAnsi="宋体" w:cs="宋体"/>
          <w:sz w:val="24"/>
          <w:lang w:val="en-US" w:eastAsia="zh-CN"/>
        </w:rPr>
        <w:t>.</w:t>
      </w:r>
      <w:r>
        <w:rPr>
          <w:rFonts w:hint="eastAsia" w:hAnsi="宋体" w:cs="宋体"/>
          <w:sz w:val="24"/>
        </w:rPr>
        <w:t>提供</w:t>
      </w:r>
      <w:r>
        <w:rPr>
          <w:rFonts w:hint="eastAsia" w:hAnsi="宋体" w:cs="宋体"/>
          <w:sz w:val="24"/>
          <w:lang w:eastAsia="zh-CN"/>
        </w:rPr>
        <w:t>国家食品药品监督管理局颁发产品注册证</w:t>
      </w:r>
      <w:r>
        <w:rPr>
          <w:rFonts w:hint="eastAsia" w:hAnsi="宋体" w:cs="宋体"/>
          <w:sz w:val="24"/>
        </w:rPr>
        <w:t>及使用说明书</w:t>
      </w:r>
      <w:r>
        <w:rPr>
          <w:rFonts w:hint="eastAsia" w:hAnsi="宋体" w:cs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</w:rPr>
      </w:pPr>
      <w:r>
        <w:rPr>
          <w:rFonts w:hint="eastAsia" w:hAnsi="宋体" w:cs="宋体"/>
          <w:sz w:val="24"/>
        </w:rPr>
        <w:t>2</w:t>
      </w:r>
      <w:r>
        <w:rPr>
          <w:rFonts w:hint="eastAsia" w:hAnsi="宋体" w:cs="宋体"/>
          <w:sz w:val="24"/>
          <w:lang w:val="en-US" w:eastAsia="zh-CN"/>
        </w:rPr>
        <w:t>.</w:t>
      </w:r>
      <w:r>
        <w:rPr>
          <w:rFonts w:hint="eastAsia"/>
          <w:sz w:val="24"/>
        </w:rPr>
        <w:t>提供省内同级医院或区域医疗中心（确有困难者可提供省外同级医院）近期供货价格证明材料2份；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最高限价为预算价，超出预算价为无效投标；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4.</w:t>
      </w:r>
      <w:r>
        <w:rPr>
          <w:rFonts w:hint="eastAsia"/>
          <w:sz w:val="24"/>
        </w:rPr>
        <w:t>所有产品报价必须为投标日前山东省最低使用价格并承诺，否则为无效投标</w:t>
      </w:r>
      <w:r>
        <w:rPr>
          <w:rFonts w:hint="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5.有※标条款“产品在山东省医用耗材集中采购中标目录内”要求的，需提供省平台截图证明，未提供者为无效投标。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eastAsia="宋体"/>
          <w:b/>
          <w:sz w:val="28"/>
          <w:szCs w:val="28"/>
          <w:lang w:eastAsia="zh-CN"/>
        </w:rPr>
      </w:pPr>
      <w:r>
        <w:rPr>
          <w:rFonts w:hint="eastAsia" w:hAnsi="宋体"/>
          <w:b/>
          <w:sz w:val="28"/>
          <w:szCs w:val="28"/>
        </w:rPr>
        <w:t>二、技术参数</w:t>
      </w:r>
      <w:r>
        <w:rPr>
          <w:rFonts w:hint="eastAsia" w:hAnsi="宋体"/>
          <w:b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第</w:t>
      </w:r>
      <w:r>
        <w:rPr>
          <w:rFonts w:hint="eastAsia" w:hAnsi="宋体"/>
          <w:b/>
          <w:bCs/>
          <w:sz w:val="28"/>
          <w:szCs w:val="28"/>
          <w:lang w:eastAsia="zh-CN"/>
        </w:rPr>
        <w:t>一标段</w:t>
      </w:r>
      <w:r>
        <w:rPr>
          <w:rFonts w:hint="eastAsia" w:hAnsi="宋体"/>
          <w:b/>
          <w:bCs/>
          <w:sz w:val="28"/>
          <w:szCs w:val="28"/>
        </w:rPr>
        <w:t>：</w:t>
      </w:r>
      <w:r>
        <w:rPr>
          <w:rFonts w:hint="eastAsia" w:hAnsi="宋体"/>
          <w:b/>
          <w:color w:val="000000"/>
          <w:sz w:val="28"/>
          <w:szCs w:val="28"/>
        </w:rPr>
        <w:t>斑贴试验测试器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Times New Roman" w:eastAsia="宋体"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1</w:t>
      </w:r>
      <w:r>
        <w:rPr>
          <w:rFonts w:hint="eastAsia" w:hAnsi="Times New Roman" w:eastAsia="宋体" w:cs="Times New Roman"/>
          <w:sz w:val="24"/>
          <w:szCs w:val="24"/>
        </w:rPr>
        <w:t>.芯室为方形小室，芯室无需单独添加滤纸。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Times New Roman" w:eastAsia="宋体" w:cs="Times New Roman"/>
          <w:sz w:val="24"/>
          <w:szCs w:val="24"/>
        </w:rPr>
      </w:pPr>
      <w:r>
        <w:rPr>
          <w:rFonts w:hint="eastAsia" w:hAnsi="Times New Roman" w:eastAsia="宋体" w:cs="Times New Roman"/>
          <w:sz w:val="24"/>
          <w:szCs w:val="24"/>
        </w:rPr>
        <w:t>2.芯室边框为聚乙烯泡沫材质且有边框黏胶设计。非铝制芯室，非硬质边框芯室。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Times New Roman" w:eastAsia="宋体" w:cs="Times New Roman"/>
          <w:sz w:val="24"/>
          <w:szCs w:val="24"/>
        </w:rPr>
      </w:pPr>
      <w:r>
        <w:rPr>
          <w:rFonts w:hint="eastAsia" w:hAnsi="Times New Roman" w:eastAsia="宋体" w:cs="Times New Roman"/>
          <w:sz w:val="24"/>
          <w:szCs w:val="24"/>
        </w:rPr>
        <w:t>3.芯室有防护罩保护且为集成一体。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Times New Roman" w:eastAsia="宋体" w:cs="Times New Roman"/>
          <w:sz w:val="24"/>
          <w:szCs w:val="24"/>
        </w:rPr>
      </w:pPr>
      <w:r>
        <w:rPr>
          <w:rFonts w:hint="eastAsia" w:hAnsi="Times New Roman" w:eastAsia="宋体" w:cs="Times New Roman"/>
          <w:sz w:val="24"/>
          <w:szCs w:val="24"/>
        </w:rPr>
        <w:t>4.斑试器采用低敏压敏胶，防止胶布过敏，帖敷更牢固。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Times New Roman" w:eastAsia="宋体" w:cs="Times New Roman"/>
          <w:sz w:val="24"/>
          <w:szCs w:val="24"/>
        </w:rPr>
      </w:pPr>
      <w:r>
        <w:rPr>
          <w:rFonts w:hint="eastAsia" w:hAnsi="Times New Roman" w:eastAsia="宋体" w:cs="Times New Roman"/>
          <w:sz w:val="24"/>
          <w:szCs w:val="24"/>
        </w:rPr>
        <w:t xml:space="preserve">5.斑试器有防水型号，可洗澡。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Times New Roman" w:eastAsia="宋体" w:cs="Times New Roman"/>
          <w:sz w:val="24"/>
          <w:szCs w:val="24"/>
        </w:rPr>
      </w:pPr>
      <w:r>
        <w:rPr>
          <w:rFonts w:hint="eastAsia" w:hAnsi="Times New Roman" w:eastAsia="宋体" w:cs="Times New Roman"/>
          <w:sz w:val="24"/>
          <w:szCs w:val="24"/>
        </w:rPr>
        <w:t>6.配套皮肤标记笔，需为不含甲醛的低敏标记笔。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Times New Roman" w:eastAsia="宋体" w:cs="Times New Roman"/>
          <w:sz w:val="24"/>
          <w:szCs w:val="24"/>
        </w:rPr>
      </w:pPr>
      <w:r>
        <w:rPr>
          <w:rFonts w:hint="eastAsia" w:hAnsi="Times New Roman" w:eastAsia="宋体" w:cs="Times New Roman"/>
          <w:sz w:val="24"/>
          <w:szCs w:val="24"/>
        </w:rPr>
        <w:t>7.产品有国际文献报道。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color w:val="C00000"/>
          <w:sz w:val="24"/>
          <w:szCs w:val="24"/>
        </w:rPr>
      </w:pPr>
      <w:r>
        <w:rPr>
          <w:rFonts w:hint="eastAsia" w:hAnsi="Times New Roman" w:eastAsia="宋体" w:cs="Times New Roman"/>
          <w:sz w:val="24"/>
          <w:szCs w:val="24"/>
        </w:rPr>
        <w:t>*8.半抗原系列至少包含基础系列（须大于等于60项）、欧洲标准系列（须国际使用并认证）、药物不良反应系列、药剂系列、金属系列、光斑贴系列、化妆品系列（须大于等于60项）、美发剂系列。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8"/>
          <w:szCs w:val="28"/>
        </w:rPr>
        <w:t>第</w:t>
      </w:r>
      <w:r>
        <w:rPr>
          <w:rFonts w:hint="eastAsia" w:hAnsi="宋体" w:cs="宋体"/>
          <w:b/>
          <w:bCs/>
          <w:sz w:val="28"/>
          <w:szCs w:val="28"/>
          <w:lang w:eastAsia="zh-CN"/>
        </w:rPr>
        <w:t>二标段</w:t>
      </w:r>
      <w:r>
        <w:rPr>
          <w:rFonts w:hint="eastAsia" w:hAnsi="宋体" w:cs="宋体"/>
          <w:b/>
          <w:bCs/>
          <w:sz w:val="28"/>
          <w:szCs w:val="28"/>
        </w:rPr>
        <w:t>：</w:t>
      </w:r>
      <w:r>
        <w:rPr>
          <w:rFonts w:hint="eastAsia" w:hAnsi="宋体" w:cs="宋体"/>
          <w:b/>
          <w:bCs/>
          <w:color w:val="000000"/>
          <w:sz w:val="28"/>
          <w:szCs w:val="28"/>
        </w:rPr>
        <w:t>28型人乳头瘤病毒基因分型检测试剂盒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1.检测方法：PCR-反向点杂交法。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2.检测型别：高危型别16,18,31,33,35,39,45,51,52,56,58,59,68, 73,82，中度危险型别26,53,66 ，低度危险型别6,11,40,42,43,44,54,61,81,83。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3.快速检测：单管一次加样反应后杂交同时检测28种HPV型别。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4.设置内参：以人的看家基因作为内参基因，监测样本取样和提取，避免因样本问题和提取不当造成的假阴性结果。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5.显色对照：监控显色体系。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6.热启动酶：确保PCR扩增的特异性。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7.UDG酶：最大程度防止PCR污染。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8.自动化操作：PCR仪自动化扩增，全自动核酸分子杂交仪自动杂交。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9.结果判读：膜条结果清晰直观，可直接肉眼判读，也可使用软件判读。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10.提取试剂：有快速提取试剂及样本释放剂，多种提取试剂选择。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cs="宋体"/>
          <w:b/>
          <w:bCs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第</w:t>
      </w:r>
      <w:r>
        <w:rPr>
          <w:rFonts w:hint="eastAsia" w:hAnsi="宋体" w:cs="宋体"/>
          <w:b/>
          <w:bCs/>
          <w:sz w:val="28"/>
          <w:szCs w:val="28"/>
          <w:lang w:eastAsia="zh-CN"/>
        </w:rPr>
        <w:t>三标段</w:t>
      </w:r>
      <w:r>
        <w:rPr>
          <w:rFonts w:hint="eastAsia" w:hAnsi="宋体" w:cs="宋体"/>
          <w:b/>
          <w:bCs/>
          <w:sz w:val="28"/>
          <w:szCs w:val="28"/>
        </w:rPr>
        <w:t>：感染性疾病炎性及免疫抑制检测试剂盒（CD14-FITC/CD45-PerCP/CD64-PE/HLA-DR-APC)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eastAsia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</w:rPr>
        <w:t>1.检测方法学：流式细胞仪法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*2.用途:检测人体生物标本中CD64 的表达及单核细胞HLA-DR表达率为医师提供诊断的辅助信息。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3.名称及规格:CD14检测试剂（</w:t>
      </w:r>
      <w:r>
        <w:rPr>
          <w:rFonts w:hint="eastAsia" w:hAnsi="宋体" w:cs="宋体"/>
          <w:color w:val="000000"/>
          <w:sz w:val="24"/>
          <w:szCs w:val="24"/>
        </w:rPr>
        <w:t>CD</w:t>
      </w:r>
      <w:r>
        <w:rPr>
          <w:rFonts w:hAnsi="宋体" w:cs="宋体"/>
          <w:color w:val="000000"/>
          <w:sz w:val="24"/>
          <w:szCs w:val="24"/>
        </w:rPr>
        <w:t>1</w:t>
      </w:r>
      <w:r>
        <w:rPr>
          <w:rFonts w:hint="eastAsia" w:hAnsi="宋体" w:cs="宋体"/>
          <w:color w:val="000000"/>
          <w:sz w:val="24"/>
          <w:szCs w:val="24"/>
        </w:rPr>
        <w:t>4-FITC</w:t>
      </w:r>
      <w:r>
        <w:rPr>
          <w:rFonts w:hint="eastAsia" w:hAnsi="宋体" w:cs="宋体"/>
          <w:sz w:val="24"/>
          <w:szCs w:val="24"/>
        </w:rPr>
        <w:t>）、CD45检测试剂（CD45-PerCP）、CD64检测试剂（CD64-PE）、HLA-DR检测试剂 （HLA-DR-APC）。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eastAsia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</w:rPr>
        <w:t xml:space="preserve">4.准确度:在质控品的靶值范围内 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eastAsia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</w:rPr>
        <w:t>5.线性</w:t>
      </w:r>
      <w:r>
        <w:rPr>
          <w:rFonts w:hint="eastAsia" w:hAnsi="宋体" w:cs="宋体"/>
          <w:sz w:val="24"/>
          <w:szCs w:val="24"/>
          <w:lang w:eastAsia="zh-CN"/>
        </w:rPr>
        <w:t>：</w:t>
      </w:r>
      <w:r>
        <w:rPr>
          <w:rFonts w:hint="eastAsia" w:hAnsi="宋体" w:cs="宋体"/>
          <w:sz w:val="24"/>
          <w:szCs w:val="24"/>
        </w:rPr>
        <w:t>将细胞样本连续倍比稀释，共形成 5 个浓度的样本，每个浓度使用 CD64检测试剂重复检测</w:t>
      </w:r>
      <w:r>
        <w:rPr>
          <w:rFonts w:hint="eastAsia" w:hAnsi="宋体" w:cs="宋体"/>
          <w:color w:val="000000"/>
          <w:sz w:val="24"/>
          <w:szCs w:val="24"/>
        </w:rPr>
        <w:t>4次，</w:t>
      </w:r>
      <w:r>
        <w:rPr>
          <w:rFonts w:hint="eastAsia" w:hAnsi="宋体" w:cs="宋体"/>
          <w:sz w:val="24"/>
          <w:szCs w:val="24"/>
        </w:rPr>
        <w:t xml:space="preserve">计算每个浓度中位数和所有稀释度 中位数的最大差值的相对值≤5% 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eastAsia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</w:rPr>
        <w:t>6.精密度</w:t>
      </w:r>
      <w:r>
        <w:rPr>
          <w:rFonts w:hint="eastAsia" w:hAnsi="宋体" w:cs="宋体"/>
          <w:sz w:val="24"/>
          <w:szCs w:val="24"/>
          <w:lang w:eastAsia="zh-CN"/>
        </w:rPr>
        <w:t>：</w:t>
      </w:r>
      <w:r>
        <w:rPr>
          <w:rFonts w:hint="eastAsia" w:hAnsi="宋体" w:cs="宋体"/>
          <w:sz w:val="24"/>
          <w:szCs w:val="24"/>
        </w:rPr>
        <w:t>在Navios上检测：综合精密度CV≤2%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eastAsia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</w:rPr>
        <w:t>7.染色稳定性</w:t>
      </w:r>
      <w:r>
        <w:rPr>
          <w:rFonts w:hint="eastAsia" w:hAnsi="宋体" w:cs="宋体"/>
          <w:sz w:val="24"/>
          <w:szCs w:val="24"/>
          <w:lang w:eastAsia="zh-CN"/>
        </w:rPr>
        <w:t>：</w:t>
      </w:r>
      <w:r>
        <w:rPr>
          <w:rFonts w:hint="eastAsia" w:hAnsi="宋体" w:cs="宋体"/>
          <w:sz w:val="24"/>
          <w:szCs w:val="24"/>
        </w:rPr>
        <w:t xml:space="preserve">细胞质控品检测，染色前后相对偏差≤3% </w:t>
      </w:r>
      <w:r>
        <w:rPr>
          <w:rFonts w:hint="eastAsia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*8.特殊样本</w:t>
      </w:r>
      <w:r>
        <w:rPr>
          <w:rFonts w:hint="eastAsia" w:hAnsi="宋体" w:cs="宋体"/>
          <w:sz w:val="24"/>
          <w:szCs w:val="24"/>
          <w:lang w:eastAsia="zh-CN"/>
        </w:rPr>
        <w:t>：</w:t>
      </w:r>
      <w:r>
        <w:rPr>
          <w:rFonts w:hint="eastAsia" w:hAnsi="宋体" w:cs="宋体"/>
          <w:sz w:val="24"/>
          <w:szCs w:val="24"/>
        </w:rPr>
        <w:t>特殊样本分析性良好，经验证溶血、高脂、黄疸及类风湿因子对本试剂的检测结果没有影响，抗体特异性好。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both"/>
        <w:textAlignment w:val="auto"/>
        <w:rPr>
          <w:rFonts w:hint="eastAsia" w:hAnsi="宋体" w:cs="宋体"/>
          <w:b w:val="0"/>
          <w:bCs w:val="0"/>
          <w:color w:val="000000"/>
          <w:sz w:val="24"/>
          <w:szCs w:val="24"/>
        </w:rPr>
      </w:pPr>
      <w:r>
        <w:rPr>
          <w:rFonts w:hint="eastAsia" w:hAnsi="宋体" w:cs="宋体"/>
          <w:b w:val="0"/>
          <w:bCs w:val="0"/>
          <w:color w:val="000000"/>
          <w:sz w:val="24"/>
          <w:szCs w:val="24"/>
          <w:lang w:eastAsia="zh-CN"/>
        </w:rPr>
        <w:t>按顺序报价，</w:t>
      </w:r>
      <w:r>
        <w:rPr>
          <w:rFonts w:hint="eastAsia"/>
          <w:b w:val="0"/>
          <w:bCs w:val="0"/>
          <w:sz w:val="24"/>
          <w:szCs w:val="24"/>
          <w:lang w:eastAsia="zh-CN"/>
        </w:rPr>
        <w:t>不能漏项缺项。</w:t>
      </w:r>
      <w:r>
        <w:rPr>
          <w:rFonts w:hint="eastAsia" w:hAnsi="宋体" w:cs="宋体"/>
          <w:b w:val="0"/>
          <w:bCs w:val="0"/>
          <w:color w:val="000000"/>
          <w:sz w:val="24"/>
          <w:szCs w:val="24"/>
        </w:rPr>
        <w:t>只接受一个品牌产品投标。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hAnsi="宋体" w:cs="宋体"/>
          <w:b w:val="0"/>
          <w:bCs w:val="0"/>
          <w:color w:val="000000"/>
          <w:sz w:val="24"/>
          <w:szCs w:val="24"/>
          <w:lang w:val="en-US" w:eastAsia="zh-CN"/>
        </w:rPr>
        <w:t>附表：</w:t>
      </w:r>
    </w:p>
    <w:tbl>
      <w:tblPr>
        <w:tblStyle w:val="11"/>
        <w:tblW w:w="8465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620"/>
        <w:gridCol w:w="1230"/>
        <w:gridCol w:w="2145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宋体"/>
                <w:b/>
                <w:bCs w:val="0"/>
                <w:sz w:val="21"/>
                <w:szCs w:val="21"/>
              </w:rPr>
            </w:pPr>
            <w:r>
              <w:rPr>
                <w:rFonts w:hint="eastAsia" w:hAnsi="宋体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422" w:firstLineChars="200"/>
              <w:jc w:val="both"/>
              <w:rPr>
                <w:rFonts w:hint="eastAsia" w:hAnsi="宋体"/>
                <w:b/>
                <w:bCs w:val="0"/>
                <w:sz w:val="21"/>
                <w:szCs w:val="21"/>
              </w:rPr>
            </w:pPr>
            <w:r>
              <w:rPr>
                <w:rFonts w:hint="eastAsia" w:hAnsi="宋体"/>
                <w:b/>
                <w:bCs w:val="0"/>
                <w:sz w:val="21"/>
                <w:szCs w:val="21"/>
              </w:rPr>
              <w:t>产品名称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 w:val="0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 w:val="0"/>
                <w:color w:val="000000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hAnsi="宋体"/>
                <w:b/>
                <w:bCs w:val="0"/>
                <w:color w:val="000000"/>
                <w:sz w:val="21"/>
                <w:szCs w:val="21"/>
              </w:rPr>
              <w:t>价</w:t>
            </w:r>
            <w:r>
              <w:rPr>
                <w:rFonts w:hint="eastAsia" w:hAnsi="宋体"/>
                <w:b/>
                <w:bCs w:val="0"/>
                <w:color w:val="000000"/>
                <w:sz w:val="21"/>
                <w:szCs w:val="21"/>
                <w:lang w:eastAsia="zh-CN"/>
              </w:rPr>
              <w:t>格</w:t>
            </w:r>
            <w:r>
              <w:rPr>
                <w:rFonts w:hint="eastAsia" w:hAnsi="宋体"/>
                <w:b/>
                <w:bCs w:val="0"/>
                <w:color w:val="000000"/>
                <w:sz w:val="21"/>
                <w:szCs w:val="21"/>
              </w:rPr>
              <w:t xml:space="preserve"> （元/人份）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 w:val="0"/>
                <w:color w:val="000000"/>
                <w:sz w:val="21"/>
                <w:szCs w:val="21"/>
                <w:lang w:eastAsia="zh-CN"/>
              </w:rPr>
              <w:t>预计</w:t>
            </w:r>
            <w:r>
              <w:rPr>
                <w:rFonts w:hint="eastAsia" w:hAnsi="宋体"/>
                <w:b/>
                <w:bCs w:val="0"/>
                <w:color w:val="000000"/>
                <w:sz w:val="21"/>
                <w:szCs w:val="21"/>
              </w:rPr>
              <w:t>年用量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1"/>
                <w:szCs w:val="21"/>
              </w:rPr>
              <w:t>CD14-FITC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eastAsia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1"/>
                <w:szCs w:val="21"/>
              </w:rPr>
              <w:t>33.75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5000人份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Arial" w:hAnsi="Arial" w:eastAsia="宋体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1"/>
                <w:szCs w:val="21"/>
              </w:rPr>
              <w:t>CD45-PerCP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1"/>
                <w:szCs w:val="21"/>
              </w:rPr>
              <w:t>33.75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5000人份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Arial" w:hAnsi="Arial" w:eastAsia="宋体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1"/>
                <w:szCs w:val="21"/>
              </w:rPr>
              <w:t>CD64-PE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1"/>
                <w:szCs w:val="21"/>
              </w:rPr>
              <w:t>33.75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5000人份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Arial" w:hAnsi="Arial" w:eastAsia="宋体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1"/>
                <w:szCs w:val="21"/>
              </w:rPr>
              <w:t>HLA-DR-APC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1"/>
                <w:szCs w:val="21"/>
              </w:rPr>
              <w:t>33.75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hint="eastAsia" w:ascii="Arial" w:hAnsi="Arial"/>
                <w:sz w:val="21"/>
                <w:szCs w:val="21"/>
              </w:rPr>
              <w:t>5000人份</w:t>
            </w:r>
          </w:p>
        </w:tc>
      </w:tr>
    </w:tbl>
    <w:p>
      <w:pPr>
        <w:pStyle w:val="5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1C8F0"/>
    <w:multiLevelType w:val="singleLevel"/>
    <w:tmpl w:val="8451C8F0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GRiZDZkYmI2OWYzMmExNGRjOTcxOGM2NmIzODAifQ=="/>
  </w:docVars>
  <w:rsids>
    <w:rsidRoot w:val="70867EB4"/>
    <w:rsid w:val="00014160"/>
    <w:rsid w:val="0005035B"/>
    <w:rsid w:val="003D4878"/>
    <w:rsid w:val="004F27B3"/>
    <w:rsid w:val="00767A96"/>
    <w:rsid w:val="00817273"/>
    <w:rsid w:val="00913E3D"/>
    <w:rsid w:val="009B005A"/>
    <w:rsid w:val="00C51C8D"/>
    <w:rsid w:val="00DB58BB"/>
    <w:rsid w:val="00ED52FE"/>
    <w:rsid w:val="00F64280"/>
    <w:rsid w:val="00FF4E7E"/>
    <w:rsid w:val="097A671A"/>
    <w:rsid w:val="169C56A6"/>
    <w:rsid w:val="1E7C4D66"/>
    <w:rsid w:val="36FE3EA5"/>
    <w:rsid w:val="3BE64ED1"/>
    <w:rsid w:val="42894808"/>
    <w:rsid w:val="477D15A8"/>
    <w:rsid w:val="4F470222"/>
    <w:rsid w:val="53350219"/>
    <w:rsid w:val="57AD28EF"/>
    <w:rsid w:val="583B3AFA"/>
    <w:rsid w:val="5B152C85"/>
    <w:rsid w:val="5B7E4FFC"/>
    <w:rsid w:val="70867EB4"/>
    <w:rsid w:val="78A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pPr>
      <w:jc w:val="center"/>
    </w:pPr>
    <w:rPr>
      <w:szCs w:val="24"/>
    </w:rPr>
  </w:style>
  <w:style w:type="paragraph" w:styleId="6">
    <w:name w:val="Date"/>
    <w:basedOn w:val="1"/>
    <w:next w:val="1"/>
    <w:link w:val="14"/>
    <w:qFormat/>
    <w:uiPriority w:val="0"/>
    <w:pPr>
      <w:ind w:left="100" w:leftChars="25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  <w:lang w:eastAsia="zh-TW"/>
    </w:rPr>
  </w:style>
  <w:style w:type="paragraph" w:styleId="10">
    <w:name w:val="Body Text First Indent"/>
    <w:basedOn w:val="5"/>
    <w:qFormat/>
    <w:uiPriority w:val="99"/>
    <w:pPr>
      <w:ind w:firstLine="420" w:firstLineChars="100"/>
    </w:pPr>
  </w:style>
  <w:style w:type="paragraph" w:customStyle="1" w:styleId="13">
    <w:name w:val="正文格式"/>
    <w:basedOn w:val="5"/>
    <w:next w:val="1"/>
    <w:qFormat/>
    <w:uiPriority w:val="0"/>
    <w:pPr>
      <w:spacing w:line="360" w:lineRule="auto"/>
      <w:ind w:firstLine="200" w:firstLineChars="200"/>
    </w:pPr>
    <w:rPr>
      <w:rFonts w:ascii="宋体" w:hAnsi="宋体"/>
      <w:szCs w:val="22"/>
    </w:rPr>
  </w:style>
  <w:style w:type="character" w:customStyle="1" w:styleId="14">
    <w:name w:val="日期 字符"/>
    <w:basedOn w:val="12"/>
    <w:link w:val="6"/>
    <w:qFormat/>
    <w:uiPriority w:val="0"/>
    <w:rPr>
      <w:kern w:val="2"/>
      <w:sz w:val="28"/>
    </w:rPr>
  </w:style>
  <w:style w:type="character" w:customStyle="1" w:styleId="15">
    <w:name w:val="页眉 字符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2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799</Words>
  <Characters>901</Characters>
  <Lines>5</Lines>
  <Paragraphs>1</Paragraphs>
  <TotalTime>2</TotalTime>
  <ScaleCrop>false</ScaleCrop>
  <LinksUpToDate>false</LinksUpToDate>
  <CharactersWithSpaces>967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2021-12-03T05:43:00Z</dcterms:created>
  <dc:creator>蓝雪</dc:creator>
  <cp:lastModifiedBy>Lenovo</cp:lastModifiedBy>
  <dcterms:modified xsi:type="dcterms:W3CDTF">2022-05-06T07:24:19Z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66E141D8D1EC42BFB8E3ED83E394883D</vt:lpwstr>
  </property>
</Properties>
</file>