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手术显微镜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bookmarkEnd w:id="0"/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手术显微镜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796"/>
        <w:gridCol w:w="1549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手术显微镜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2022年4月20日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  <w:t>青岛海康达医疗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  <w:t>器械有限公司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  <w:t>西默</w:t>
            </w:r>
            <w:r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  <w:t>DOM3000C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118000/台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张祖训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孙玉荣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周福亭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和晓坡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卜晓丽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F223CA0"/>
    <w:rsid w:val="11484073"/>
    <w:rsid w:val="12B10F0A"/>
    <w:rsid w:val="12EE52F8"/>
    <w:rsid w:val="140B3204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4CA3877"/>
    <w:rsid w:val="48E95638"/>
    <w:rsid w:val="4ACB3679"/>
    <w:rsid w:val="4B252A62"/>
    <w:rsid w:val="4C064709"/>
    <w:rsid w:val="4F95220C"/>
    <w:rsid w:val="50F93C13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9EE69D1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257</Words>
  <Characters>304</Characters>
  <Lines>5</Lines>
  <Paragraphs>1</Paragraphs>
  <TotalTime>1</TotalTime>
  <ScaleCrop>false</ScaleCrop>
  <LinksUpToDate>false</LinksUpToDate>
  <CharactersWithSpaces>402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2022-04-26T08:05:23Z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