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内镜洗消机</w:t>
      </w:r>
      <w:r>
        <w:rPr>
          <w:rFonts w:hint="eastAsia" w:ascii="华文中宋" w:hAnsi="华文中宋" w:eastAsia="华文中宋"/>
          <w:b/>
          <w:bCs/>
          <w:sz w:val="44"/>
          <w:szCs w:val="44"/>
        </w:rPr>
        <w:t>项目征集公告</w:t>
      </w:r>
    </w:p>
    <w:p>
      <w:pPr>
        <w:spacing w:line="276" w:lineRule="auto"/>
        <w:ind w:firstLine="640" w:firstLineChars="200"/>
        <w:rPr>
          <w:rFonts w:hint="eastAsia" w:ascii="仿宋" w:hAnsi="仿宋" w:eastAsia="仿宋"/>
          <w:sz w:val="32"/>
          <w:szCs w:val="32"/>
        </w:rPr>
      </w:pP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内镜洗消机</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内镜洗消机</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用于各种型号的软式内窥镜:胃镜、十二指肠镜、结肠镜、支气管镜、耳鼻喉镜、胆道镜等内镜的高水平清洗消毒。</w:t>
      </w:r>
    </w:p>
    <w:p>
      <w:pPr>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#内镜全部漫泡处理，单台洗消机单槽配置，满足一次清洗两条内镜的需求.</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一键式操作，设备自行完成从进水到吹干管路的流程，无需人工操作。</w:t>
      </w:r>
    </w:p>
    <w:p>
      <w:pPr>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透明钢化玻璃上盖，可观察、监控清洗、消毒全过程。</w:t>
      </w:r>
    </w:p>
    <w:p>
      <w:pPr>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#配有上旋转喷淋+底部旋转清洗系统，可以内窥镜外部进行 360”无死角清洗。</w:t>
      </w:r>
    </w:p>
    <w:p>
      <w:pPr>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#具有全灌流功能，独立的腔道，能实时监控内镜各管道灌流状况，保障内镜各腔道消毒效果。</w:t>
      </w:r>
    </w:p>
    <w:p>
      <w:pPr>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配置高压力、低流量的测漏泵，全程为内镜提供泄漏保护。</w:t>
      </w:r>
    </w:p>
    <w:p>
      <w:pPr>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配备脚控电动开盖功能，降低交叉感染风险。</w:t>
      </w:r>
    </w:p>
    <w:p>
      <w:pPr>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具有自身消毒功能:进水管路、消毒液上、回管路，灌流管路集中消毒。</w:t>
      </w:r>
    </w:p>
    <w:p>
      <w:pPr>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设备内置 0.1 m 孔径除菌型空气过滤滤芯，可高效过滤，阻隔空气中的细菌、病毒，防止清洗后的内镜二次污染。</w:t>
      </w:r>
    </w:p>
    <w:p>
      <w:pPr>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消毒剂取样:人性化设计，无需停机、一键自动取样,</w:t>
      </w:r>
    </w:p>
    <w:p>
      <w:pPr>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w:t>
      </w:r>
      <w:r>
        <w:rPr>
          <w:rFonts w:hint="eastAsia" w:ascii="仿宋" w:hAnsi="仿宋" w:eastAsia="仿宋" w:cs="仿宋"/>
          <w:sz w:val="32"/>
          <w:szCs w:val="32"/>
        </w:rPr>
        <w:t>#无需停机、无需开盖即可对消毒剂进行浓度检测。</w:t>
      </w:r>
    </w:p>
    <w:p>
      <w:pPr>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sz w:val="32"/>
          <w:szCs w:val="32"/>
          <w:lang w:val="en-US" w:eastAsia="zh-CN"/>
        </w:rPr>
        <w:t>.</w:t>
      </w:r>
      <w:r>
        <w:rPr>
          <w:rFonts w:hint="eastAsia" w:ascii="仿宋" w:hAnsi="仿宋" w:eastAsia="仿宋" w:cs="仿宋"/>
          <w:sz w:val="32"/>
          <w:szCs w:val="32"/>
        </w:rPr>
        <w:t>实现人性化程序设计，在符合规范的条件下，可根据用户需要，实现个性化程序设计。</w:t>
      </w:r>
    </w:p>
    <w:p>
      <w:pPr>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z w:val="32"/>
          <w:szCs w:val="32"/>
          <w:lang w:val="en-US" w:eastAsia="zh-CN"/>
        </w:rPr>
        <w:t>.</w:t>
      </w:r>
      <w:r>
        <w:rPr>
          <w:rFonts w:hint="eastAsia" w:ascii="仿宋" w:hAnsi="仿宋" w:eastAsia="仿宋" w:cs="仿宋"/>
          <w:sz w:val="32"/>
          <w:szCs w:val="32"/>
        </w:rPr>
        <w:t>高分辨率≥7 英寸显示屏。功能过程实时显示，具有可视化和声音提醒的双重故障报警。</w:t>
      </w:r>
    </w:p>
    <w:p>
      <w:pPr>
        <w:rPr>
          <w:rFonts w:hint="eastAsia" w:ascii="仿宋" w:hAnsi="仿宋" w:eastAsia="仿宋" w:cs="仿宋"/>
          <w:sz w:val="32"/>
          <w:szCs w:val="32"/>
        </w:rPr>
      </w:pPr>
      <w:r>
        <w:rPr>
          <w:rFonts w:hint="eastAsia" w:ascii="仿宋" w:hAnsi="仿宋" w:eastAsia="仿宋" w:cs="仿宋"/>
          <w:sz w:val="32"/>
          <w:szCs w:val="32"/>
        </w:rPr>
        <w:t>15</w:t>
      </w:r>
      <w:r>
        <w:rPr>
          <w:rFonts w:hint="eastAsia" w:ascii="仿宋" w:hAnsi="仿宋" w:eastAsia="仿宋" w:cs="仿宋"/>
          <w:sz w:val="32"/>
          <w:szCs w:val="32"/>
          <w:lang w:val="en-US" w:eastAsia="zh-CN"/>
        </w:rPr>
        <w:t>.</w:t>
      </w:r>
      <w:r>
        <w:rPr>
          <w:rFonts w:hint="eastAsia" w:ascii="仿宋" w:hAnsi="仿宋" w:eastAsia="仿宋" w:cs="仿宋"/>
          <w:sz w:val="32"/>
          <w:szCs w:val="32"/>
        </w:rPr>
        <w:t>可对洗消全过程进行全面的洗消数据管理:实时监控，并显示洗消过程;快速，精准的数据识别:支持数据追溯及实时输出。</w:t>
      </w:r>
    </w:p>
    <w:p>
      <w:pPr>
        <w:rPr>
          <w:rFonts w:hint="eastAsia" w:ascii="仿宋" w:hAnsi="仿宋" w:eastAsia="仿宋" w:cs="仿宋"/>
          <w:sz w:val="32"/>
          <w:szCs w:val="32"/>
        </w:rPr>
      </w:pPr>
      <w:r>
        <w:rPr>
          <w:rFonts w:hint="eastAsia" w:ascii="仿宋" w:hAnsi="仿宋" w:eastAsia="仿宋" w:cs="仿宋"/>
          <w:sz w:val="32"/>
          <w:szCs w:val="32"/>
        </w:rPr>
        <w:t>16</w:t>
      </w:r>
      <w:r>
        <w:rPr>
          <w:rFonts w:hint="eastAsia" w:ascii="仿宋" w:hAnsi="仿宋" w:eastAsia="仿宋" w:cs="仿宋"/>
          <w:sz w:val="32"/>
          <w:szCs w:val="32"/>
          <w:lang w:val="en-US" w:eastAsia="zh-CN"/>
        </w:rPr>
        <w:t>.</w:t>
      </w:r>
      <w:r>
        <w:rPr>
          <w:rFonts w:hint="eastAsia" w:ascii="仿宋" w:hAnsi="仿宋" w:eastAsia="仿宋" w:cs="仿宋"/>
          <w:sz w:val="32"/>
          <w:szCs w:val="32"/>
        </w:rPr>
        <w:t>内置热敏打印机，可在清洗消毒程序完成后自动打印洗消记录</w:t>
      </w:r>
    </w:p>
    <w:p>
      <w:pPr>
        <w:rPr>
          <w:rFonts w:hint="eastAsia" w:ascii="仿宋" w:hAnsi="仿宋" w:eastAsia="仿宋" w:cs="仿宋"/>
          <w:sz w:val="32"/>
          <w:szCs w:val="32"/>
        </w:rPr>
      </w:pPr>
      <w:r>
        <w:rPr>
          <w:rFonts w:hint="eastAsia" w:ascii="仿宋" w:hAnsi="仿宋" w:eastAsia="仿宋" w:cs="仿宋"/>
          <w:sz w:val="32"/>
          <w:szCs w:val="32"/>
        </w:rPr>
        <w:t>17</w:t>
      </w:r>
      <w:r>
        <w:rPr>
          <w:rFonts w:hint="eastAsia" w:ascii="仿宋" w:hAnsi="仿宋" w:eastAsia="仿宋" w:cs="仿宋"/>
          <w:sz w:val="32"/>
          <w:szCs w:val="32"/>
          <w:lang w:val="en-US" w:eastAsia="zh-CN"/>
        </w:rPr>
        <w:t>.</w:t>
      </w:r>
      <w:r>
        <w:rPr>
          <w:rFonts w:hint="eastAsia" w:ascii="仿宋" w:hAnsi="仿宋" w:eastAsia="仿宋" w:cs="仿宋"/>
          <w:sz w:val="32"/>
          <w:szCs w:val="32"/>
        </w:rPr>
        <w:t>独创的手动模式，在应急状态下可手动运行设备。</w:t>
      </w:r>
    </w:p>
    <w:p>
      <w:pPr>
        <w:rPr>
          <w:rFonts w:hint="eastAsia" w:ascii="仿宋" w:hAnsi="仿宋" w:eastAsia="仿宋" w:cs="仿宋"/>
          <w:sz w:val="32"/>
          <w:szCs w:val="32"/>
        </w:rPr>
      </w:pPr>
      <w:r>
        <w:rPr>
          <w:rFonts w:hint="eastAsia" w:ascii="仿宋" w:hAnsi="仿宋" w:eastAsia="仿宋" w:cs="仿宋"/>
          <w:sz w:val="32"/>
          <w:szCs w:val="32"/>
        </w:rPr>
        <w:t>18</w:t>
      </w:r>
      <w:r>
        <w:rPr>
          <w:rFonts w:hint="eastAsia" w:ascii="仿宋" w:hAnsi="仿宋" w:eastAsia="仿宋" w:cs="仿宋"/>
          <w:sz w:val="32"/>
          <w:szCs w:val="32"/>
          <w:lang w:val="en-US" w:eastAsia="zh-CN"/>
        </w:rPr>
        <w:t>.</w:t>
      </w:r>
      <w:r>
        <w:rPr>
          <w:rFonts w:hint="eastAsia" w:ascii="仿宋" w:hAnsi="仿宋" w:eastAsia="仿宋" w:cs="仿宋"/>
          <w:sz w:val="32"/>
          <w:szCs w:val="32"/>
        </w:rPr>
        <w:t>控制系统:采用进口品牌 PLC+液晶显示屏控制方式</w:t>
      </w:r>
    </w:p>
    <w:p>
      <w:pPr>
        <w:rPr>
          <w:rFonts w:hint="eastAsia" w:ascii="仿宋" w:hAnsi="仿宋" w:eastAsia="仿宋" w:cs="仿宋"/>
          <w:sz w:val="32"/>
          <w:szCs w:val="32"/>
        </w:rPr>
      </w:pPr>
      <w:r>
        <w:rPr>
          <w:rFonts w:hint="eastAsia" w:ascii="仿宋" w:hAnsi="仿宋" w:eastAsia="仿宋" w:cs="仿宋"/>
          <w:sz w:val="32"/>
          <w:szCs w:val="32"/>
        </w:rPr>
        <w:t>19</w:t>
      </w:r>
      <w:r>
        <w:rPr>
          <w:rFonts w:hint="eastAsia" w:ascii="仿宋" w:hAnsi="仿宋" w:eastAsia="仿宋" w:cs="仿宋"/>
          <w:sz w:val="32"/>
          <w:szCs w:val="32"/>
          <w:lang w:val="en-US" w:eastAsia="zh-CN"/>
        </w:rPr>
        <w:t>.</w:t>
      </w:r>
      <w:r>
        <w:rPr>
          <w:rFonts w:hint="eastAsia" w:ascii="仿宋" w:hAnsi="仿宋" w:eastAsia="仿宋" w:cs="仿宋"/>
          <w:sz w:val="32"/>
          <w:szCs w:val="32"/>
        </w:rPr>
        <w:t>消毒液存储箱容量≥20L。</w:t>
      </w:r>
    </w:p>
    <w:p>
      <w:pP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w:t>
      </w:r>
      <w:r>
        <w:rPr>
          <w:rFonts w:hint="eastAsia" w:ascii="仿宋" w:hAnsi="仿宋" w:eastAsia="仿宋" w:cs="仿宋"/>
          <w:sz w:val="32"/>
          <w:szCs w:val="32"/>
        </w:rPr>
        <w:t>酶液存储箱容量≥5L。</w:t>
      </w:r>
    </w:p>
    <w:p>
      <w:pPr>
        <w:rPr>
          <w:rFonts w:hint="eastAsia" w:ascii="仿宋" w:hAnsi="仿宋" w:eastAsia="仿宋" w:cs="仿宋"/>
          <w:sz w:val="32"/>
          <w:szCs w:val="32"/>
        </w:rPr>
      </w:pPr>
      <w:r>
        <w:rPr>
          <w:rFonts w:hint="eastAsia" w:ascii="仿宋" w:hAnsi="仿宋" w:eastAsia="仿宋" w:cs="仿宋"/>
          <w:sz w:val="32"/>
          <w:szCs w:val="32"/>
        </w:rPr>
        <w:t>21</w:t>
      </w:r>
      <w:r>
        <w:rPr>
          <w:rFonts w:hint="eastAsia" w:ascii="仿宋" w:hAnsi="仿宋" w:eastAsia="仿宋" w:cs="仿宋"/>
          <w:sz w:val="32"/>
          <w:szCs w:val="32"/>
          <w:lang w:val="en-US" w:eastAsia="zh-CN"/>
        </w:rPr>
        <w:t>.</w:t>
      </w:r>
      <w:r>
        <w:rPr>
          <w:rFonts w:hint="eastAsia" w:ascii="仿宋" w:hAnsi="仿宋" w:eastAsia="仿宋" w:cs="仿宋"/>
          <w:sz w:val="32"/>
          <w:szCs w:val="32"/>
        </w:rPr>
        <w:t>酒精存储箱容量≥2L。</w:t>
      </w:r>
      <w:bookmarkStart w:id="4" w:name="_GoBack"/>
      <w:bookmarkEnd w:id="4"/>
    </w:p>
    <w:p>
      <w:pPr>
        <w:spacing w:line="276" w:lineRule="auto"/>
        <w:rPr>
          <w:rFonts w:hint="eastAsia" w:ascii="仿宋" w:hAnsi="仿宋" w:eastAsia="仿宋" w:cs="仿宋"/>
          <w:color w:val="010005"/>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46170CAB"/>
    <w:rsid w:val="4B134A97"/>
    <w:rsid w:val="520A001E"/>
    <w:rsid w:val="5D6B15F8"/>
    <w:rsid w:val="5ED05F70"/>
    <w:rsid w:val="6042463D"/>
    <w:rsid w:val="6DEA4D5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1008</Characters>
  <Lines>27</Lines>
  <Paragraphs>7</Paragraphs>
  <TotalTime>4</TotalTime>
  <ScaleCrop>false</ScaleCrop>
  <LinksUpToDate>false</LinksUpToDate>
  <CharactersWithSpaces>1038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2022-12-06T07:27:03Z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