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44"/>
          <w:szCs w:val="44"/>
        </w:rPr>
      </w:pPr>
      <w:r>
        <w:rPr>
          <w:rFonts w:hint="eastAsia" w:ascii="华文中宋" w:hAnsi="华文中宋" w:eastAsia="华文中宋"/>
          <w:b/>
          <w:bCs/>
          <w:sz w:val="36"/>
          <w:szCs w:val="36"/>
        </w:rPr>
        <w:t>潍坊市人民医院</w:t>
      </w:r>
      <w:bookmarkStart w:id="0" w:name="_Hlk112857081"/>
      <w:r>
        <w:rPr>
          <w:rFonts w:hint="eastAsia" w:ascii="华文中宋" w:hAnsi="华文中宋" w:eastAsia="华文中宋"/>
          <w:b/>
          <w:bCs/>
          <w:sz w:val="36"/>
          <w:szCs w:val="36"/>
        </w:rPr>
        <w:t>上下肢主动康复训练器（床旁）等</w:t>
      </w:r>
      <w:bookmarkEnd w:id="0"/>
      <w:r>
        <w:rPr>
          <w:rFonts w:hint="eastAsia" w:ascii="华文中宋" w:hAnsi="华文中宋" w:eastAsia="华文中宋"/>
          <w:b/>
          <w:bCs/>
          <w:sz w:val="36"/>
          <w:szCs w:val="36"/>
          <w:lang w:eastAsia="zh-CN"/>
        </w:rPr>
        <w:t>项目</w:t>
      </w:r>
      <w:r>
        <w:rPr>
          <w:rFonts w:hint="eastAsia" w:ascii="华文中宋" w:hAnsi="华文中宋" w:eastAsia="华文中宋"/>
          <w:b/>
          <w:bCs/>
          <w:sz w:val="36"/>
          <w:szCs w:val="36"/>
        </w:rPr>
        <w:t>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潍坊市人民医院根据《中华人民共和国政府采购法》等有关规定，对上下肢主动康复训练器（床旁）等设备采购项目进行</w:t>
      </w:r>
      <w:bookmarkStart w:id="1" w:name="_Hlk82868843"/>
      <w:r>
        <w:rPr>
          <w:rFonts w:hint="eastAsia" w:ascii="仿宋" w:hAnsi="仿宋" w:eastAsia="仿宋"/>
          <w:sz w:val="32"/>
          <w:szCs w:val="32"/>
        </w:rPr>
        <w:t>市场</w:t>
      </w:r>
      <w:bookmarkStart w:id="2" w:name="_Hlk84666644"/>
      <w:r>
        <w:rPr>
          <w:rFonts w:hint="eastAsia" w:ascii="仿宋" w:hAnsi="仿宋" w:eastAsia="仿宋"/>
          <w:sz w:val="32"/>
          <w:szCs w:val="32"/>
        </w:rPr>
        <w:t>价格</w:t>
      </w:r>
      <w:bookmarkEnd w:id="2"/>
      <w:r>
        <w:rPr>
          <w:rFonts w:hint="eastAsia" w:ascii="仿宋" w:hAnsi="仿宋" w:eastAsia="仿宋"/>
          <w:sz w:val="32"/>
          <w:szCs w:val="32"/>
        </w:rPr>
        <w:t>等</w:t>
      </w:r>
      <w:bookmarkStart w:id="3" w:name="_Hlk84666660"/>
      <w:r>
        <w:rPr>
          <w:rFonts w:hint="eastAsia" w:ascii="仿宋" w:hAnsi="仿宋" w:eastAsia="仿宋"/>
          <w:sz w:val="32"/>
          <w:szCs w:val="32"/>
        </w:rPr>
        <w:t>调查</w:t>
      </w:r>
      <w:bookmarkEnd w:id="3"/>
      <w:r>
        <w:rPr>
          <w:rFonts w:hint="eastAsia" w:ascii="仿宋" w:hAnsi="仿宋" w:eastAsia="仿宋"/>
          <w:sz w:val="32"/>
          <w:szCs w:val="32"/>
        </w:rPr>
        <w:t>征集，</w:t>
      </w:r>
      <w:bookmarkEnd w:id="1"/>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7"/>
        <w:tblW w:w="6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85"/>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85" w:type="dxa"/>
          </w:tcPr>
          <w:p>
            <w:pPr>
              <w:spacing w:line="276" w:lineRule="auto"/>
              <w:jc w:val="center"/>
              <w:rPr>
                <w:rFonts w:ascii="仿宋" w:hAnsi="仿宋" w:eastAsia="仿宋" w:cs="Times New Roman"/>
                <w:b/>
                <w:bCs/>
                <w:sz w:val="28"/>
                <w:szCs w:val="28"/>
              </w:rPr>
            </w:pPr>
            <w:r>
              <w:rPr>
                <w:rFonts w:hint="eastAsia" w:ascii="仿宋" w:hAnsi="仿宋" w:eastAsia="仿宋" w:cs="Times New Roman"/>
                <w:b/>
                <w:bCs/>
                <w:sz w:val="28"/>
                <w:szCs w:val="28"/>
              </w:rPr>
              <w:t>设备名称</w:t>
            </w:r>
          </w:p>
        </w:tc>
        <w:tc>
          <w:tcPr>
            <w:tcW w:w="2552" w:type="dxa"/>
          </w:tcPr>
          <w:p>
            <w:pPr>
              <w:spacing w:line="276" w:lineRule="auto"/>
              <w:jc w:val="center"/>
              <w:rPr>
                <w:rFonts w:ascii="仿宋" w:hAnsi="仿宋" w:eastAsia="仿宋" w:cs="Times New Roman"/>
                <w:b/>
                <w:bCs/>
                <w:sz w:val="28"/>
                <w:szCs w:val="28"/>
              </w:rPr>
            </w:pPr>
            <w:r>
              <w:rPr>
                <w:rFonts w:hint="eastAsia" w:ascii="仿宋" w:hAnsi="仿宋" w:eastAsia="仿宋" w:cs="Times New Roman"/>
                <w:b/>
                <w:bCs/>
                <w:sz w:val="28"/>
                <w:szCs w:val="28"/>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85" w:type="dxa"/>
            <w:vAlign w:val="center"/>
          </w:tcPr>
          <w:p>
            <w:pPr>
              <w:widowControl/>
              <w:jc w:val="center"/>
              <w:textAlignment w:val="center"/>
              <w:rPr>
                <w:rFonts w:hint="eastAsia" w:ascii="仿宋" w:hAnsi="仿宋" w:eastAsia="仿宋" w:cs="仿宋"/>
                <w:sz w:val="28"/>
                <w:szCs w:val="28"/>
                <w:lang w:eastAsia="zh-CN"/>
              </w:rPr>
            </w:pPr>
            <w:r>
              <w:rPr>
                <w:rFonts w:hint="eastAsia" w:ascii="仿宋" w:hAnsi="仿宋" w:eastAsia="仿宋" w:cs="仿宋"/>
                <w:sz w:val="28"/>
                <w:szCs w:val="28"/>
                <w:lang w:eastAsia="zh-CN"/>
              </w:rPr>
              <w:t>上</w:t>
            </w:r>
            <w:r>
              <w:rPr>
                <w:rFonts w:hint="eastAsia" w:ascii="仿宋" w:hAnsi="仿宋" w:eastAsia="仿宋" w:cs="仿宋"/>
                <w:sz w:val="28"/>
                <w:szCs w:val="28"/>
                <w:lang w:eastAsia="zh-CN"/>
              </w:rPr>
              <w:t>下肢主动康复训练器（床旁）</w:t>
            </w:r>
          </w:p>
        </w:tc>
        <w:tc>
          <w:tcPr>
            <w:tcW w:w="2552" w:type="dxa"/>
            <w:vAlign w:val="center"/>
          </w:tcPr>
          <w:p>
            <w:pPr>
              <w:widowControl/>
              <w:jc w:val="center"/>
              <w:textAlignment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85" w:type="dxa"/>
            <w:vAlign w:val="center"/>
          </w:tcPr>
          <w:p>
            <w:pPr>
              <w:widowControl/>
              <w:jc w:val="center"/>
              <w:textAlignment w:val="center"/>
              <w:rPr>
                <w:rFonts w:hint="eastAsia" w:ascii="仿宋" w:hAnsi="仿宋" w:eastAsia="仿宋" w:cs="仿宋"/>
                <w:kern w:val="0"/>
                <w:sz w:val="28"/>
                <w:szCs w:val="28"/>
                <w:lang w:eastAsia="zh-CN" w:bidi="ar"/>
              </w:rPr>
            </w:pPr>
            <w:r>
              <w:rPr>
                <w:rFonts w:hint="eastAsia" w:ascii="仿宋" w:hAnsi="仿宋" w:eastAsia="仿宋" w:cs="仿宋"/>
                <w:kern w:val="0"/>
                <w:sz w:val="28"/>
                <w:szCs w:val="28"/>
                <w:lang w:eastAsia="zh-CN" w:bidi="ar"/>
              </w:rPr>
              <w:t>心肺运动测试系统</w:t>
            </w:r>
          </w:p>
        </w:tc>
        <w:tc>
          <w:tcPr>
            <w:tcW w:w="2552" w:type="dxa"/>
            <w:vAlign w:val="center"/>
          </w:tcPr>
          <w:p>
            <w:pPr>
              <w:widowControl/>
              <w:jc w:val="center"/>
              <w:textAlignment w:val="cente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五、征集方式：供应商将填写无误的附件报名表格（同时提交可编辑电子版一份），连同有效期内营业执照副本、进口产品授权代理证书等扫描后以邮件附件形式发送到潍坊市人民医院物资采购办公室邮箱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六、征集时间：202</w:t>
      </w:r>
      <w:r>
        <w:rPr>
          <w:rFonts w:ascii="仿宋" w:hAnsi="仿宋" w:eastAsia="仿宋" w:cs="宋体"/>
          <w:color w:val="010005"/>
          <w:kern w:val="0"/>
          <w:sz w:val="32"/>
          <w:szCs w:val="32"/>
        </w:rPr>
        <w:t>2</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10</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11</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10</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13</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备注：本次征集仅作为上下肢主动康复训练器（床旁）</w:t>
      </w:r>
      <w:r>
        <w:rPr>
          <w:rFonts w:hint="eastAsia" w:ascii="黑体" w:hAnsi="黑体" w:eastAsia="黑体" w:cs="黑体"/>
          <w:b/>
          <w:bCs/>
          <w:kern w:val="0"/>
          <w:sz w:val="32"/>
          <w:szCs w:val="32"/>
          <w:lang w:eastAsia="zh-CN"/>
        </w:rPr>
        <w:t>等</w:t>
      </w:r>
      <w:r>
        <w:rPr>
          <w:rFonts w:hint="eastAsia" w:ascii="黑体" w:hAnsi="黑体" w:eastAsia="黑体" w:cs="黑体"/>
          <w:b/>
          <w:bCs/>
          <w:kern w:val="0"/>
          <w:sz w:val="32"/>
          <w:szCs w:val="32"/>
        </w:rPr>
        <w:t>项目市场价格</w:t>
      </w:r>
      <w:bookmarkStart w:id="4" w:name="_Hlk84667809"/>
      <w:r>
        <w:rPr>
          <w:rFonts w:hint="eastAsia" w:ascii="黑体" w:hAnsi="黑体" w:eastAsia="黑体" w:cs="黑体"/>
          <w:b/>
          <w:bCs/>
          <w:kern w:val="0"/>
          <w:sz w:val="32"/>
          <w:szCs w:val="32"/>
        </w:rPr>
        <w:t>等需求</w:t>
      </w:r>
      <w:bookmarkEnd w:id="4"/>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2022</w:t>
      </w:r>
      <w:r>
        <w:rPr>
          <w:rFonts w:hint="eastAsia" w:ascii="仿宋" w:hAnsi="仿宋" w:eastAsia="仿宋"/>
          <w:sz w:val="32"/>
          <w:szCs w:val="32"/>
        </w:rPr>
        <w:t>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10</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ind w:left="0" w:leftChars="0" w:firstLine="0" w:firstLineChars="0"/>
        <w:rPr>
          <w:rFonts w:hint="eastAsia" w:ascii="楷体" w:hAnsi="楷体" w:eastAsia="楷体" w:cs="楷体"/>
          <w:b/>
          <w:sz w:val="32"/>
          <w:szCs w:val="32"/>
          <w:lang w:eastAsia="zh-CN"/>
        </w:rPr>
      </w:pPr>
      <w:r>
        <w:rPr>
          <w:rFonts w:hint="eastAsia" w:ascii="楷体" w:hAnsi="楷体" w:eastAsia="楷体" w:cs="楷体"/>
          <w:b/>
          <w:sz w:val="32"/>
          <w:szCs w:val="32"/>
          <w:lang w:eastAsia="zh-CN"/>
        </w:rPr>
        <w:t>附件：参考参数</w:t>
      </w:r>
    </w:p>
    <w:p>
      <w:pPr>
        <w:pStyle w:val="2"/>
        <w:ind w:left="0" w:leftChars="0" w:firstLine="0" w:firstLineChars="0"/>
        <w:rPr>
          <w:rFonts w:hint="eastAsia" w:ascii="楷体" w:hAnsi="楷体" w:eastAsia="楷体" w:cs="楷体"/>
          <w:b/>
          <w:sz w:val="32"/>
          <w:szCs w:val="32"/>
          <w:lang w:val="en-US" w:eastAsia="zh-CN"/>
        </w:rPr>
      </w:pPr>
      <w:r>
        <w:rPr>
          <w:rFonts w:hint="eastAsia" w:ascii="楷体" w:hAnsi="楷体" w:eastAsia="楷体" w:cs="楷体"/>
          <w:b/>
          <w:sz w:val="32"/>
          <w:szCs w:val="32"/>
          <w:lang w:eastAsia="zh-CN"/>
        </w:rPr>
        <w:t>上下肢主动康复训练器（床旁）参考参数</w:t>
      </w:r>
    </w:p>
    <w:p>
      <w:pPr>
        <w:rPr>
          <w:rFonts w:hint="eastAsia" w:ascii="宋体" w:hAnsi="宋体" w:eastAsia="宋体" w:cs="宋体"/>
          <w:sz w:val="24"/>
          <w:szCs w:val="24"/>
        </w:rPr>
      </w:pPr>
      <w:r>
        <w:rPr>
          <w:rFonts w:hint="eastAsia" w:ascii="宋体" w:hAnsi="宋体" w:eastAsia="宋体" w:cs="宋体"/>
          <w:sz w:val="24"/>
          <w:szCs w:val="24"/>
        </w:rPr>
        <w:t>(1)系统可进行三种情景模式的运动，包括:床旁躺卧位下肢运动、床边坐位下肢运动及床边坐位上肢运动。</w:t>
      </w:r>
    </w:p>
    <w:p>
      <w:pPr>
        <w:rPr>
          <w:rFonts w:hint="eastAsia" w:ascii="宋体" w:hAnsi="宋体" w:eastAsia="宋体" w:cs="宋体"/>
          <w:sz w:val="24"/>
          <w:szCs w:val="24"/>
        </w:rPr>
      </w:pPr>
      <w:r>
        <w:rPr>
          <w:rFonts w:hint="eastAsia" w:ascii="宋体" w:hAnsi="宋体" w:eastAsia="宋体" w:cs="宋体"/>
          <w:sz w:val="24"/>
          <w:szCs w:val="24"/>
        </w:rPr>
        <w:t>依据:适用于住院期患者的有氧抗阻训练，并且适合病房多种场景运动。</w:t>
      </w:r>
    </w:p>
    <w:p>
      <w:pPr>
        <w:rPr>
          <w:rFonts w:hint="eastAsia" w:ascii="宋体" w:hAnsi="宋体" w:eastAsia="宋体" w:cs="宋体"/>
          <w:sz w:val="24"/>
          <w:szCs w:val="24"/>
        </w:rPr>
      </w:pPr>
      <w:r>
        <w:rPr>
          <w:rFonts w:hint="eastAsia" w:ascii="宋体" w:hAnsi="宋体" w:eastAsia="宋体" w:cs="宋体"/>
          <w:sz w:val="24"/>
          <w:szCs w:val="24"/>
        </w:rPr>
        <w:t>(2)功率计主机通过机械螺旋杆在支撑柱上移动，行程距离为150Cm。</w:t>
      </w:r>
    </w:p>
    <w:p>
      <w:pPr>
        <w:rPr>
          <w:rFonts w:hint="eastAsia" w:ascii="宋体" w:hAnsi="宋体" w:eastAsia="宋体" w:cs="宋体"/>
          <w:sz w:val="24"/>
          <w:szCs w:val="24"/>
        </w:rPr>
      </w:pPr>
      <w:r>
        <w:rPr>
          <w:rFonts w:hint="eastAsia" w:ascii="宋体" w:hAnsi="宋体" w:eastAsia="宋体" w:cs="宋体"/>
          <w:sz w:val="24"/>
          <w:szCs w:val="24"/>
        </w:rPr>
        <w:t>依据:可升降适用于上述(1)中的3种场景。</w:t>
      </w:r>
    </w:p>
    <w:p>
      <w:pPr>
        <w:rPr>
          <w:rFonts w:hint="eastAsia" w:ascii="宋体" w:hAnsi="宋体" w:eastAsia="宋体" w:cs="宋体"/>
          <w:sz w:val="24"/>
          <w:szCs w:val="24"/>
        </w:rPr>
      </w:pPr>
      <w:r>
        <w:rPr>
          <w:rFonts w:hint="eastAsia" w:ascii="宋体" w:hAnsi="宋体" w:eastAsia="宋体" w:cs="宋体"/>
          <w:sz w:val="24"/>
          <w:szCs w:val="24"/>
        </w:rPr>
        <w:t>(3)功率计主机与床面的接触是角度可调方式，主机下平面与床面倾斜角度为</w:t>
      </w:r>
    </w:p>
    <w:p>
      <w:pPr>
        <w:rPr>
          <w:rFonts w:hint="eastAsia" w:ascii="宋体" w:hAnsi="宋体" w:eastAsia="宋体" w:cs="宋体"/>
          <w:sz w:val="24"/>
          <w:szCs w:val="24"/>
        </w:rPr>
      </w:pPr>
      <w:r>
        <w:rPr>
          <w:rFonts w:hint="eastAsia" w:ascii="宋体" w:hAnsi="宋体" w:eastAsia="宋体" w:cs="宋体"/>
          <w:sz w:val="24"/>
          <w:szCs w:val="24"/>
        </w:rPr>
        <w:t>0~30°可调，与移动支撑系统底面倾斜角度为0~30°可调。</w:t>
      </w:r>
    </w:p>
    <w:p>
      <w:pPr>
        <w:rPr>
          <w:rFonts w:hint="eastAsia" w:ascii="宋体" w:hAnsi="宋体" w:eastAsia="宋体" w:cs="宋体"/>
          <w:sz w:val="24"/>
          <w:szCs w:val="24"/>
        </w:rPr>
      </w:pPr>
      <w:r>
        <w:rPr>
          <w:rFonts w:hint="eastAsia" w:ascii="宋体" w:hAnsi="宋体" w:eastAsia="宋体" w:cs="宋体"/>
          <w:sz w:val="24"/>
          <w:szCs w:val="24"/>
        </w:rPr>
        <w:t>(4)角度调整后有锁死装置。</w:t>
      </w:r>
    </w:p>
    <w:p>
      <w:pPr>
        <w:rPr>
          <w:rFonts w:hint="eastAsia" w:ascii="宋体" w:hAnsi="宋体" w:eastAsia="宋体" w:cs="宋体"/>
          <w:sz w:val="24"/>
          <w:szCs w:val="24"/>
        </w:rPr>
      </w:pPr>
      <w:r>
        <w:rPr>
          <w:rFonts w:hint="eastAsia" w:ascii="宋体" w:hAnsi="宋体" w:eastAsia="宋体" w:cs="宋体"/>
          <w:sz w:val="24"/>
          <w:szCs w:val="24"/>
        </w:rPr>
        <w:t>(5)移动支撑系统底板上部与地面最低距离为14cm，移动系统的后轮为万向轮。</w:t>
      </w:r>
    </w:p>
    <w:p>
      <w:pPr>
        <w:rPr>
          <w:rFonts w:hint="eastAsia" w:ascii="宋体" w:hAnsi="宋体" w:eastAsia="宋体" w:cs="宋体"/>
          <w:sz w:val="24"/>
          <w:szCs w:val="24"/>
        </w:rPr>
      </w:pPr>
      <w:r>
        <w:rPr>
          <w:rFonts w:hint="eastAsia" w:ascii="宋体" w:hAnsi="宋体" w:eastAsia="宋体" w:cs="宋体"/>
          <w:sz w:val="24"/>
          <w:szCs w:val="24"/>
        </w:rPr>
        <w:t>(6)系统运动阻力设定为双轮驱动的功率计(ergometer)模式，功率范围0~100w。</w:t>
      </w:r>
    </w:p>
    <w:p>
      <w:pPr>
        <w:rPr>
          <w:rFonts w:hint="eastAsia" w:ascii="宋体" w:hAnsi="宋体" w:eastAsia="宋体" w:cs="宋体"/>
          <w:sz w:val="24"/>
          <w:szCs w:val="24"/>
        </w:rPr>
      </w:pPr>
      <w:r>
        <w:rPr>
          <w:rFonts w:hint="eastAsia" w:ascii="宋体" w:hAnsi="宋体" w:eastAsia="宋体" w:cs="宋体"/>
          <w:sz w:val="24"/>
          <w:szCs w:val="24"/>
        </w:rPr>
        <w:t>(7)恒定功率转速范围:40-70RPM，运动时间设定:00:00-9959min，功率增量1。</w:t>
      </w:r>
    </w:p>
    <w:p>
      <w:pPr>
        <w:rPr>
          <w:rFonts w:hint="eastAsia" w:ascii="宋体" w:hAnsi="宋体" w:eastAsia="宋体" w:cs="宋体"/>
          <w:sz w:val="24"/>
          <w:szCs w:val="24"/>
        </w:rPr>
      </w:pPr>
      <w:r>
        <w:rPr>
          <w:rFonts w:hint="eastAsia" w:ascii="宋体" w:hAnsi="宋体" w:eastAsia="宋体" w:cs="宋体"/>
          <w:sz w:val="24"/>
          <w:szCs w:val="24"/>
        </w:rPr>
        <w:t>(8)运动评估及管理系统屏幕嵌入在支撑柱上端，屏幕与支撑柱倾斜角度为15°。</w:t>
      </w:r>
    </w:p>
    <w:p>
      <w:pPr>
        <w:rPr>
          <w:rFonts w:hint="eastAsia" w:ascii="宋体" w:hAnsi="宋体" w:eastAsia="宋体" w:cs="宋体"/>
          <w:sz w:val="24"/>
          <w:szCs w:val="24"/>
        </w:rPr>
      </w:pPr>
      <w:r>
        <w:rPr>
          <w:rFonts w:hint="eastAsia" w:ascii="宋体" w:hAnsi="宋体" w:eastAsia="宋体" w:cs="宋体"/>
          <w:sz w:val="24"/>
          <w:szCs w:val="24"/>
        </w:rPr>
        <w:t>(9)系统具有信息记录及数据导出功能，包括运动强度、时间、及心率等信息。</w:t>
      </w:r>
    </w:p>
    <w:p>
      <w:pPr>
        <w:rPr>
          <w:rFonts w:hint="eastAsia" w:ascii="宋体" w:hAnsi="宋体" w:eastAsia="宋体" w:cs="宋体"/>
          <w:sz w:val="24"/>
          <w:szCs w:val="24"/>
        </w:rPr>
      </w:pPr>
      <w:r>
        <w:rPr>
          <w:rFonts w:hint="eastAsia" w:ascii="宋体" w:hAnsi="宋体" w:eastAsia="宋体" w:cs="宋体"/>
          <w:sz w:val="24"/>
          <w:szCs w:val="24"/>
        </w:rPr>
        <w:t>(10)系统可分析运动处方执行情况，以数字百分比及图示方式表达。</w:t>
      </w:r>
    </w:p>
    <w:p>
      <w:pPr>
        <w:rPr>
          <w:rFonts w:hint="eastAsia" w:ascii="宋体" w:hAnsi="宋体" w:eastAsia="宋体" w:cs="宋体"/>
          <w:sz w:val="24"/>
          <w:szCs w:val="24"/>
        </w:rPr>
      </w:pPr>
      <w:r>
        <w:rPr>
          <w:rFonts w:hint="eastAsia" w:ascii="宋体" w:hAnsi="宋体" w:eastAsia="宋体" w:cs="宋体"/>
          <w:sz w:val="24"/>
          <w:szCs w:val="24"/>
        </w:rPr>
        <w:t>(11)系统可编辑间歇运动处方及持续运动处方。</w:t>
      </w:r>
    </w:p>
    <w:p>
      <w:pPr>
        <w:rPr>
          <w:rFonts w:hint="eastAsia" w:ascii="宋体" w:hAnsi="宋体" w:eastAsia="宋体" w:cs="宋体"/>
          <w:sz w:val="24"/>
          <w:szCs w:val="24"/>
        </w:rPr>
      </w:pPr>
      <w:r>
        <w:rPr>
          <w:rFonts w:hint="eastAsia" w:ascii="宋体" w:hAnsi="宋体" w:eastAsia="宋体" w:cs="宋体"/>
          <w:sz w:val="24"/>
          <w:szCs w:val="24"/>
        </w:rPr>
        <w:t>(12)系统可接收外涉的心律信息、血压信息、血氧信息，并将信息数据实时显示。</w:t>
      </w:r>
    </w:p>
    <w:p>
      <w:pPr>
        <w:rPr>
          <w:rFonts w:hint="eastAsia" w:ascii="宋体" w:hAnsi="宋体" w:eastAsia="宋体" w:cs="宋体"/>
          <w:sz w:val="24"/>
          <w:szCs w:val="24"/>
        </w:rPr>
      </w:pPr>
      <w:r>
        <w:rPr>
          <w:rFonts w:hint="eastAsia" w:ascii="宋体" w:hAnsi="宋体" w:eastAsia="宋体" w:cs="宋体"/>
          <w:sz w:val="24"/>
          <w:szCs w:val="24"/>
        </w:rPr>
        <w:t>(13)功率计主机根据每个人的安全心率数值测试出安全运动强度数值。</w:t>
      </w:r>
    </w:p>
    <w:p>
      <w:pPr>
        <w:rPr>
          <w:rFonts w:hint="eastAsia" w:ascii="宋体" w:hAnsi="宋体" w:eastAsia="宋体" w:cs="宋体"/>
          <w:sz w:val="24"/>
          <w:szCs w:val="24"/>
        </w:rPr>
      </w:pPr>
      <w:r>
        <w:rPr>
          <w:rFonts w:hint="eastAsia" w:ascii="宋体" w:hAnsi="宋体" w:eastAsia="宋体" w:cs="宋体"/>
          <w:sz w:val="24"/>
          <w:szCs w:val="24"/>
        </w:rPr>
        <w:t>依据:可初步针对不能进行6分钟步行试验和心肺运动试验患者进行安全运动强度</w:t>
      </w:r>
    </w:p>
    <w:p>
      <w:pPr>
        <w:rPr>
          <w:rFonts w:hint="eastAsia" w:ascii="宋体" w:hAnsi="宋体" w:eastAsia="宋体" w:cs="宋体"/>
          <w:sz w:val="24"/>
          <w:szCs w:val="24"/>
        </w:rPr>
      </w:pPr>
      <w:r>
        <w:rPr>
          <w:rFonts w:hint="eastAsia" w:ascii="宋体" w:hAnsi="宋体" w:eastAsia="宋体" w:cs="宋体"/>
          <w:sz w:val="24"/>
          <w:szCs w:val="24"/>
        </w:rPr>
        <w:t>测试，并可根据测试结果进行床旁的运动处方的制定。</w:t>
      </w:r>
    </w:p>
    <w:p>
      <w:pPr>
        <w:rPr>
          <w:rFonts w:hint="eastAsia" w:ascii="宋体" w:hAnsi="宋体" w:eastAsia="宋体" w:cs="宋体"/>
          <w:sz w:val="24"/>
          <w:szCs w:val="24"/>
        </w:rPr>
      </w:pPr>
      <w:r>
        <w:rPr>
          <w:rFonts w:hint="eastAsia" w:ascii="宋体" w:hAnsi="宋体" w:eastAsia="宋体" w:cs="宋体"/>
          <w:sz w:val="24"/>
          <w:szCs w:val="24"/>
        </w:rPr>
        <w:t>(14)心率监测范围:50-240次/min</w:t>
      </w:r>
    </w:p>
    <w:p>
      <w:pPr>
        <w:rPr>
          <w:rFonts w:hint="eastAsia" w:ascii="宋体" w:hAnsi="宋体" w:eastAsia="宋体" w:cs="宋体"/>
          <w:sz w:val="24"/>
          <w:szCs w:val="24"/>
        </w:rPr>
      </w:pPr>
      <w:r>
        <w:rPr>
          <w:rFonts w:hint="eastAsia" w:ascii="宋体" w:hAnsi="宋体" w:eastAsia="宋体" w:cs="宋体"/>
          <w:sz w:val="24"/>
          <w:szCs w:val="24"/>
        </w:rPr>
        <w:t>(15)功率计主机根据心率变化可自动调整输出功率。</w:t>
      </w:r>
    </w:p>
    <w:p>
      <w:pPr>
        <w:rPr>
          <w:rFonts w:hint="eastAsia" w:ascii="宋体" w:hAnsi="宋体" w:eastAsia="宋体" w:cs="宋体"/>
          <w:sz w:val="24"/>
          <w:szCs w:val="24"/>
        </w:rPr>
      </w:pPr>
      <w:r>
        <w:rPr>
          <w:rFonts w:hint="eastAsia" w:ascii="宋体" w:hAnsi="宋体" w:eastAsia="宋体" w:cs="宋体"/>
          <w:sz w:val="24"/>
          <w:szCs w:val="24"/>
        </w:rPr>
        <w:t>依据:心率控制功能，以免发生心率过快导致患者发生生命安全和医疗纠纷。</w:t>
      </w:r>
    </w:p>
    <w:p>
      <w:pPr>
        <w:rPr>
          <w:rFonts w:hint="eastAsia" w:ascii="宋体" w:hAnsi="宋体" w:eastAsia="宋体" w:cs="宋体"/>
          <w:sz w:val="24"/>
          <w:szCs w:val="24"/>
        </w:rPr>
      </w:pPr>
      <w:r>
        <w:rPr>
          <w:rFonts w:hint="eastAsia" w:ascii="宋体" w:hAnsi="宋体" w:eastAsia="宋体" w:cs="宋体"/>
          <w:sz w:val="24"/>
          <w:szCs w:val="24"/>
        </w:rPr>
        <w:t>(16)功率计主机有转速提示功能。</w:t>
      </w:r>
    </w:p>
    <w:p>
      <w:pPr>
        <w:rPr>
          <w:rFonts w:hint="eastAsia" w:ascii="宋体" w:hAnsi="宋体" w:eastAsia="宋体" w:cs="宋体"/>
          <w:sz w:val="24"/>
          <w:szCs w:val="24"/>
        </w:rPr>
      </w:pPr>
      <w:r>
        <w:rPr>
          <w:rFonts w:hint="eastAsia" w:ascii="宋体" w:hAnsi="宋体" w:eastAsia="宋体" w:cs="宋体"/>
          <w:sz w:val="24"/>
          <w:szCs w:val="24"/>
        </w:rPr>
        <w:t>(17)整机重量:60kg</w:t>
      </w:r>
    </w:p>
    <w:p>
      <w:pPr>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w:t>
      </w:r>
      <w:r>
        <w:rPr>
          <w:rFonts w:hint="eastAsia" w:ascii="宋体" w:hAnsi="宋体" w:eastAsia="宋体" w:cs="宋体"/>
          <w:sz w:val="24"/>
          <w:szCs w:val="24"/>
          <w:lang w:eastAsia="zh-CN"/>
        </w:rPr>
        <w:t>工作电压：</w:t>
      </w:r>
      <w:r>
        <w:rPr>
          <w:rFonts w:hint="eastAsia" w:ascii="宋体" w:hAnsi="宋体" w:eastAsia="宋体" w:cs="宋体"/>
          <w:sz w:val="24"/>
          <w:szCs w:val="24"/>
          <w:lang w:val="en-US" w:eastAsia="zh-CN"/>
        </w:rPr>
        <w:t>220V</w:t>
      </w:r>
    </w:p>
    <w:p>
      <w:pPr>
        <w:rPr>
          <w:rFonts w:hint="eastAsia" w:ascii="楷体" w:hAnsi="楷体" w:eastAsia="楷体" w:cs="楷体"/>
          <w:b/>
          <w:kern w:val="2"/>
          <w:sz w:val="32"/>
          <w:szCs w:val="32"/>
          <w:lang w:val="en-US" w:eastAsia="zh-CN" w:bidi="ar-SA"/>
        </w:rPr>
      </w:pPr>
    </w:p>
    <w:p>
      <w:pPr>
        <w:pStyle w:val="2"/>
        <w:ind w:left="0" w:leftChars="0" w:firstLine="0" w:firstLineChars="0"/>
        <w:rPr>
          <w:rFonts w:hint="eastAsia" w:ascii="楷体" w:hAnsi="楷体" w:eastAsia="楷体" w:cs="楷体"/>
          <w:b/>
          <w:kern w:val="2"/>
          <w:sz w:val="32"/>
          <w:szCs w:val="32"/>
          <w:lang w:val="en-US" w:eastAsia="zh-CN" w:bidi="ar-SA"/>
        </w:rPr>
      </w:pPr>
      <w:r>
        <w:rPr>
          <w:rFonts w:hint="eastAsia" w:ascii="楷体" w:hAnsi="楷体" w:eastAsia="楷体" w:cs="楷体"/>
          <w:b/>
          <w:kern w:val="2"/>
          <w:sz w:val="32"/>
          <w:szCs w:val="32"/>
          <w:lang w:val="en-US" w:eastAsia="zh-CN" w:bidi="ar-SA"/>
        </w:rPr>
        <w:t>心肺运动测试系统参考参数</w:t>
      </w:r>
    </w:p>
    <w:p>
      <w:pPr>
        <w:rPr>
          <w:rFonts w:hint="eastAsia" w:ascii="宋体" w:hAnsi="宋体" w:eastAsia="宋体" w:cs="宋体"/>
          <w:b/>
          <w:bCs/>
          <w:sz w:val="24"/>
          <w:szCs w:val="24"/>
        </w:rPr>
      </w:pPr>
      <w:r>
        <w:rPr>
          <w:rFonts w:hint="eastAsia" w:ascii="宋体" w:hAnsi="宋体" w:eastAsia="宋体" w:cs="宋体"/>
          <w:b/>
          <w:bCs/>
          <w:sz w:val="24"/>
          <w:szCs w:val="24"/>
        </w:rPr>
        <w:t>一、心肺运动功能测试仪(包含心肺功能测试系统软件)</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运动肺功能测试时，气体采集方式具有面罩式及咬口式两种方式。</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气体流量定标具有2分钟自动定标和手动定标两种模式。</w:t>
      </w:r>
    </w:p>
    <w:p>
      <w:pPr>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是吸入/呼出氧、二氧化碳浓度的实测数据分析</w:t>
      </w:r>
    </w:p>
    <w:p>
      <w:pPr>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标准Wasserman9宫图的试验结果的图表显示;图形显示内容可自行编辑</w:t>
      </w:r>
    </w:p>
    <w:p>
      <w:pPr>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提供多种的无氧阈值评估方法，具有15秒辅助判断功能</w:t>
      </w:r>
    </w:p>
    <w:p>
      <w:pPr>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可连接血压、血氧测试仪及运动心电测试仪，测试数据能够实时传输到系统软件中。</w:t>
      </w:r>
    </w:p>
    <w:p>
      <w:pPr>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配有用于放置运动心肺功能测试仪、运动血压、运动心电图机的可移动式工作台</w:t>
      </w:r>
    </w:p>
    <w:p>
      <w:pPr>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 UltraF型超声流速传感器对吸入和呼出的气体流速进行测量，彻底杜绝交叉感染。</w:t>
      </w:r>
    </w:p>
    <w:p>
      <w:pPr>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val="en-US" w:eastAsia="zh-CN"/>
        </w:rPr>
        <w:t>.</w:t>
      </w:r>
      <w:r>
        <w:rPr>
          <w:rFonts w:hint="eastAsia" w:ascii="宋体" w:hAnsi="宋体" w:eastAsia="宋体" w:cs="宋体"/>
          <w:sz w:val="24"/>
          <w:szCs w:val="24"/>
        </w:rPr>
        <w:t>流速传感器测量范围:0~16L/s、气道阻力≤01cmH2/L/S;分辨率1ml;死腔容积≤10ml;流速精度:50ml/s或3%;与流速值范围有关</w:t>
      </w:r>
    </w:p>
    <w:p>
      <w:pPr>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lang w:val="en-US" w:eastAsia="zh-CN"/>
        </w:rPr>
        <w:t>.</w:t>
      </w:r>
      <w:r>
        <w:rPr>
          <w:rFonts w:hint="eastAsia" w:ascii="宋体" w:hAnsi="宋体" w:eastAsia="宋体" w:cs="宋体"/>
          <w:sz w:val="24"/>
          <w:szCs w:val="24"/>
        </w:rPr>
        <w:t>氧传感器测量范围:0~100vol%;氧传感器分辨率:0.01 vo1 %;氧传感器测量精度:0.05 vo1%;氧传感器响应时间:≤100ms</w:t>
      </w:r>
    </w:p>
    <w:p>
      <w:pPr>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val="en-US" w:eastAsia="zh-CN"/>
        </w:rPr>
        <w:t>.</w:t>
      </w:r>
      <w:r>
        <w:rPr>
          <w:rFonts w:hint="eastAsia" w:ascii="宋体" w:hAnsi="宋体" w:eastAsia="宋体" w:cs="宋体"/>
          <w:sz w:val="24"/>
          <w:szCs w:val="24"/>
        </w:rPr>
        <w:t>二氧化碳分析器:红外式传感器，二氧化碳测量范围:0~13vo1%;二氧化碳传感器分辨率:0.01vo1%;二氧化碳传感器测量精度:0.1 vo1%;二氧化碳传感器响应时间:≤100ms</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lang w:val="en-US" w:eastAsia="zh-CN"/>
        </w:rPr>
        <w:t>.</w:t>
      </w:r>
      <w:r>
        <w:rPr>
          <w:rFonts w:hint="eastAsia" w:ascii="宋体" w:hAnsi="宋体" w:eastAsia="宋体" w:cs="宋体"/>
          <w:sz w:val="24"/>
          <w:szCs w:val="24"/>
        </w:rPr>
        <w:t>静态肺功能测试参数，如:VCIN吸气肺活量、VC EX呼气肺活量、VT潮气量、IRV补吸气量、ERV补呼气量、IC深吸气量、VE每分钟通气量、呼吸频率BF、FVC用力肺活量、FEV11秒量、FEV1/FVC1秒率，PEF 用力呼气峰流速、FEF25%用力呼气 25%肺活量时流速、FEF50%用力呼气50%肺活量时流速、FEF75%用力呼气75%肺活量时流速、FEF25-75%/MMEF呼气25%到75%肺活量时平均中气流速、FEF50/FIF50呼吸气50%肺活量时的流速比,FIVC吸气肺活量，FIV1吸气1秒量，FIV1/FVC 吸气一秒率， FEV33秒量，FEV66秒量，PIF吸气峰流速，FET100%呼出全部气体时间，MVV每分最大通气量、</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lang w:val="en-US" w:eastAsia="zh-CN"/>
        </w:rPr>
        <w:t>.</w:t>
      </w:r>
      <w:r>
        <w:rPr>
          <w:rFonts w:hint="eastAsia" w:ascii="宋体" w:hAnsi="宋体" w:eastAsia="宋体" w:cs="宋体"/>
          <w:sz w:val="24"/>
          <w:szCs w:val="24"/>
        </w:rPr>
        <w:t>运动肺功能参数，如:V02摄氧量、V02max最大摄氧量、VC02二氧化碳输出量、HRR目标心率，RER 呼吸交换率、BR 呼吸储备、AT 无氧阈、 V02/HR、02pulse氧脉博、CO心排出量、PETO2呼气末端氧分压、PETCO2呼气潮气末端二氧化碳分压、FAT脂肪消耗量、FATmax最大脂肪氧化强度、CHO碳水化合物消耗量、HR心率、SPEED@FATmax最大脂肪氧化强度速度、EE@FAT max最大脂肪氧化强度总能量消耗、FAT@FATmax最大脂肪氧化强度脂肪消耗量、CHO@FATmax最大脂肪氧化强度糖消耗量，W运动负荷，MET 代谢当量，EE能量消耗</w:t>
      </w:r>
    </w:p>
    <w:p>
      <w:pPr>
        <w:rPr>
          <w:rFonts w:hint="eastAsia" w:ascii="宋体" w:hAnsi="宋体" w:eastAsia="宋体" w:cs="宋体"/>
          <w:sz w:val="24"/>
          <w:szCs w:val="24"/>
        </w:rPr>
      </w:pPr>
      <w:r>
        <w:rPr>
          <w:rFonts w:hint="eastAsia" w:ascii="宋体" w:hAnsi="宋体" w:eastAsia="宋体" w:cs="宋体"/>
          <w:sz w:val="24"/>
          <w:szCs w:val="24"/>
        </w:rPr>
        <w:t>14无氧域自动分析功能;无氧域辅助分析功能;辅助结果判读功能;自动运动处方功能</w:t>
      </w:r>
    </w:p>
    <w:p>
      <w:pPr>
        <w:rPr>
          <w:rFonts w:hint="eastAsia" w:ascii="宋体" w:hAnsi="宋体" w:eastAsia="宋体" w:cs="宋体"/>
          <w:b/>
          <w:bCs/>
          <w:sz w:val="24"/>
          <w:szCs w:val="24"/>
        </w:rPr>
      </w:pPr>
      <w:r>
        <w:rPr>
          <w:rFonts w:hint="eastAsia" w:ascii="宋体" w:hAnsi="宋体" w:eastAsia="宋体" w:cs="宋体"/>
          <w:b/>
          <w:bCs/>
          <w:sz w:val="24"/>
          <w:szCs w:val="24"/>
        </w:rPr>
        <w:t>二、运动心电图机</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产品主机可在电源直流5伏，室温5-40℃和相对湿度25%~85%的环境下正常工作。</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导联选择:手动/自动可选，需支持Cabrera导联体系;输入阻抗:&gt;50MΩ(10Hz)</w:t>
      </w:r>
    </w:p>
    <w:p>
      <w:pPr>
        <w:rPr>
          <w:rFonts w:hint="eastAsia" w:ascii="宋体" w:hAnsi="宋体" w:eastAsia="宋体" w:cs="宋体"/>
          <w:sz w:val="24"/>
          <w:szCs w:val="24"/>
        </w:rPr>
      </w:pPr>
      <w:r>
        <w:rPr>
          <w:rFonts w:hint="eastAsia" w:ascii="宋体" w:hAnsi="宋体" w:eastAsia="宋体" w:cs="宋体"/>
          <w:sz w:val="24"/>
          <w:szCs w:val="24"/>
        </w:rPr>
        <w:t>;频率响应:0.05-150Hz(+0.4dB-3dB);定标电压:1mV+2%;抗极化电压:士600mV</w:t>
      </w:r>
    </w:p>
    <w:p>
      <w:pPr>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采集显示功能:可采集人体心电波形，并在屏幕上显示出来;</w:t>
      </w:r>
    </w:p>
    <w:p>
      <w:pPr>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冻结功能:在静态心电采集中实现冻结后可以选择10S进行分析和打印;</w:t>
      </w:r>
    </w:p>
    <w:p>
      <w:pPr>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报告文件名可自由配置，包括姓名、ID、年龄、性别、检查时间等信息内容;</w:t>
      </w:r>
    </w:p>
    <w:p>
      <w:pPr>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数据管理功能:能支持数据的存储、检索、修改、删除、调出等功能;</w:t>
      </w:r>
    </w:p>
    <w:p>
      <w:pPr>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多种报告保存格式，支持PDF、WORD、BMP、JPG格式存储，能以国际标准格式FDA-XML、DICOM、SCP、GDT格式导出方便异地远程传阅报告;</w:t>
      </w:r>
    </w:p>
    <w:p>
      <w:pPr>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心电算法通过欧洲CSE、美国AHA、MIT数据库测试;</w:t>
      </w:r>
    </w:p>
    <w:p>
      <w:pPr>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val="en-US" w:eastAsia="zh-CN"/>
        </w:rPr>
        <w:t>.</w:t>
      </w:r>
      <w:r>
        <w:rPr>
          <w:rFonts w:hint="eastAsia" w:ascii="宋体" w:hAnsi="宋体" w:eastAsia="宋体" w:cs="宋体"/>
          <w:sz w:val="24"/>
          <w:szCs w:val="24"/>
        </w:rPr>
        <w:t>高进度电子尺，方便医生进行再次测量;</w:t>
      </w:r>
    </w:p>
    <w:p>
      <w:pPr>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lang w:val="en-US" w:eastAsia="zh-CN"/>
        </w:rPr>
        <w:t>.</w:t>
      </w:r>
      <w:r>
        <w:rPr>
          <w:rFonts w:hint="eastAsia" w:ascii="宋体" w:hAnsi="宋体" w:eastAsia="宋体" w:cs="宋体"/>
          <w:sz w:val="24"/>
          <w:szCs w:val="24"/>
        </w:rPr>
        <w:t>运动心电测试功能:可控制运动平板或踏车，实现负荷下的心电测试功能;</w:t>
      </w:r>
    </w:p>
    <w:p>
      <w:pPr>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val="en-US" w:eastAsia="zh-CN"/>
        </w:rPr>
        <w:t>.</w:t>
      </w:r>
      <w:r>
        <w:rPr>
          <w:rFonts w:hint="eastAsia" w:ascii="宋体" w:hAnsi="宋体" w:eastAsia="宋体" w:cs="宋体"/>
          <w:sz w:val="24"/>
          <w:szCs w:val="24"/>
        </w:rPr>
        <w:t>具有ST趋势图、ST趋势图、ST/HR趋势图、ST斜率趋势图显示;</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lang w:val="en-US" w:eastAsia="zh-CN"/>
        </w:rPr>
        <w:t>.</w:t>
      </w:r>
      <w:r>
        <w:rPr>
          <w:rFonts w:hint="eastAsia" w:ascii="宋体" w:hAnsi="宋体" w:eastAsia="宋体" w:cs="宋体"/>
          <w:sz w:val="24"/>
          <w:szCs w:val="24"/>
        </w:rPr>
        <w:t>运动方案丰富、用户可自定义方案内容。</w:t>
      </w:r>
    </w:p>
    <w:p>
      <w:pPr>
        <w:rPr>
          <w:rFonts w:hint="eastAsia" w:ascii="宋体" w:hAnsi="宋体" w:eastAsia="宋体" w:cs="宋体"/>
          <w:b/>
          <w:bCs/>
          <w:sz w:val="24"/>
          <w:szCs w:val="24"/>
        </w:rPr>
      </w:pPr>
      <w:r>
        <w:rPr>
          <w:rFonts w:hint="eastAsia" w:ascii="宋体" w:hAnsi="宋体" w:eastAsia="宋体" w:cs="宋体"/>
          <w:b/>
          <w:bCs/>
          <w:sz w:val="24"/>
          <w:szCs w:val="24"/>
        </w:rPr>
        <w:t>三、运动血压监护仪</w:t>
      </w:r>
    </w:p>
    <w:p>
      <w:pPr>
        <w:rPr>
          <w:rFonts w:hint="eastAsia" w:ascii="宋体" w:hAnsi="宋体" w:eastAsia="宋体" w:cs="宋体"/>
          <w:sz w:val="24"/>
          <w:szCs w:val="24"/>
        </w:rPr>
      </w:pPr>
      <w:r>
        <w:rPr>
          <w:rFonts w:hint="eastAsia" w:ascii="宋体" w:hAnsi="宋体" w:eastAsia="宋体" w:cs="宋体"/>
          <w:sz w:val="24"/>
          <w:szCs w:val="24"/>
        </w:rPr>
        <w:t>1.分析技术:运动试验中采用三维K氏音分析(DKA)，静态测量时使用平滑线性放气及示波法</w:t>
      </w:r>
    </w:p>
    <w:p>
      <w:pPr>
        <w:rPr>
          <w:rFonts w:hint="eastAsia" w:ascii="宋体" w:hAnsi="宋体" w:eastAsia="宋体" w:cs="宋体"/>
          <w:sz w:val="24"/>
          <w:szCs w:val="24"/>
        </w:rPr>
      </w:pPr>
      <w:r>
        <w:rPr>
          <w:rFonts w:hint="eastAsia" w:ascii="宋体" w:hAnsi="宋体" w:eastAsia="宋体" w:cs="宋体"/>
          <w:sz w:val="24"/>
          <w:szCs w:val="24"/>
        </w:rPr>
        <w:t>2接口:兼容大多数运动试验系统的心电图接口和RS-232数据接口或USB接口。</w:t>
      </w:r>
    </w:p>
    <w:p>
      <w:pPr>
        <w:rPr>
          <w:rFonts w:hint="eastAsia" w:ascii="宋体" w:hAnsi="宋体" w:eastAsia="宋体" w:cs="宋体"/>
          <w:sz w:val="24"/>
          <w:szCs w:val="24"/>
        </w:rPr>
      </w:pPr>
      <w:r>
        <w:rPr>
          <w:rFonts w:hint="eastAsia" w:ascii="宋体" w:hAnsi="宋体" w:eastAsia="宋体" w:cs="宋体"/>
          <w:sz w:val="24"/>
          <w:szCs w:val="24"/>
        </w:rPr>
        <w:t>3.R波来源:外部运动试验系统的数字/模拟心电信号。</w:t>
      </w:r>
    </w:p>
    <w:p>
      <w:pPr>
        <w:rPr>
          <w:rFonts w:hint="eastAsia" w:ascii="宋体" w:hAnsi="宋体" w:eastAsia="宋体" w:cs="宋体"/>
          <w:sz w:val="24"/>
          <w:szCs w:val="24"/>
        </w:rPr>
      </w:pPr>
      <w:r>
        <w:rPr>
          <w:rFonts w:hint="eastAsia" w:ascii="宋体" w:hAnsi="宋体" w:eastAsia="宋体" w:cs="宋体"/>
          <w:sz w:val="24"/>
          <w:szCs w:val="24"/>
        </w:rPr>
        <w:t>4.DKA模式测量范围:收缩压:40-270mmHg，舒张压:20-160mmHg。</w:t>
      </w:r>
    </w:p>
    <w:p>
      <w:pPr>
        <w:rPr>
          <w:rFonts w:hint="eastAsia" w:ascii="宋体" w:hAnsi="宋体" w:eastAsia="宋体" w:cs="宋体"/>
          <w:sz w:val="24"/>
          <w:szCs w:val="24"/>
        </w:rPr>
      </w:pPr>
      <w:r>
        <w:rPr>
          <w:rFonts w:hint="eastAsia" w:ascii="宋体" w:hAnsi="宋体" w:eastAsia="宋体" w:cs="宋体"/>
          <w:sz w:val="24"/>
          <w:szCs w:val="24"/>
        </w:rPr>
        <w:t>5.OSC模式测量范围:收缩压:40-260mmHg，舒张压:20-160mmHg，心率:40-200BPM。</w:t>
      </w:r>
    </w:p>
    <w:p>
      <w:pPr>
        <w:rPr>
          <w:rFonts w:hint="eastAsia" w:ascii="宋体" w:hAnsi="宋体" w:eastAsia="宋体" w:cs="宋体"/>
          <w:sz w:val="24"/>
          <w:szCs w:val="24"/>
        </w:rPr>
      </w:pPr>
      <w:r>
        <w:rPr>
          <w:rFonts w:hint="eastAsia" w:ascii="宋体" w:hAnsi="宋体" w:eastAsia="宋体" w:cs="宋体"/>
          <w:sz w:val="24"/>
          <w:szCs w:val="24"/>
        </w:rPr>
        <w:t>6.采样间期:从1到20分钟，可由运动试验系统，手动或自动测量间隔控制。</w:t>
      </w:r>
    </w:p>
    <w:p>
      <w:pPr>
        <w:rPr>
          <w:rFonts w:hint="eastAsia" w:ascii="宋体" w:hAnsi="宋体" w:eastAsia="宋体" w:cs="宋体"/>
          <w:sz w:val="24"/>
          <w:szCs w:val="24"/>
        </w:rPr>
      </w:pPr>
      <w:r>
        <w:rPr>
          <w:rFonts w:hint="eastAsia" w:ascii="宋体" w:hAnsi="宋体" w:eastAsia="宋体" w:cs="宋体"/>
          <w:sz w:val="24"/>
          <w:szCs w:val="24"/>
        </w:rPr>
        <w:t>7.报警:根据用户定义的范围在屏幕显示或声音报警。</w:t>
      </w:r>
    </w:p>
    <w:p>
      <w:pPr>
        <w:rPr>
          <w:rFonts w:hint="eastAsia" w:ascii="宋体" w:hAnsi="宋体" w:eastAsia="宋体" w:cs="宋体"/>
          <w:b/>
          <w:bCs/>
          <w:sz w:val="24"/>
          <w:szCs w:val="24"/>
        </w:rPr>
      </w:pPr>
      <w:r>
        <w:rPr>
          <w:rFonts w:hint="eastAsia" w:ascii="宋体" w:hAnsi="宋体" w:eastAsia="宋体" w:cs="宋体"/>
          <w:b/>
          <w:bCs/>
          <w:sz w:val="24"/>
          <w:szCs w:val="24"/>
        </w:rPr>
        <w:t>四、脉搏血氧仪</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产品使用简单方便，可一键操作。</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体积小、重量轻，携带方便。</w:t>
      </w:r>
    </w:p>
    <w:p>
      <w:pPr>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在电池电压过低可能影响正常使用时，OLED显示屏会出现低电压提醒指示标志。</w:t>
      </w:r>
    </w:p>
    <w:p>
      <w:pPr>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无需日常维护和校准。</w:t>
      </w:r>
    </w:p>
    <w:p>
      <w:pPr>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可通过蓝牙与智能终端设备实现通讯。</w:t>
      </w:r>
    </w:p>
    <w:p>
      <w:pPr>
        <w:rPr>
          <w:rFonts w:hint="eastAsia" w:ascii="宋体" w:hAnsi="宋体" w:eastAsia="宋体" w:cs="宋体"/>
          <w:b/>
          <w:bCs/>
          <w:sz w:val="24"/>
          <w:szCs w:val="24"/>
        </w:rPr>
      </w:pPr>
      <w:r>
        <w:rPr>
          <w:rFonts w:hint="eastAsia" w:ascii="宋体" w:hAnsi="宋体" w:eastAsia="宋体" w:cs="宋体"/>
          <w:b/>
          <w:bCs/>
          <w:sz w:val="24"/>
          <w:szCs w:val="24"/>
        </w:rPr>
        <w:t>五、功率自行车</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医疗级的康复功率车用于有氧康复训练，运动负荷为步进式设计，最大功率≥999瓦，适合于非活动受限患者。</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功率车控制器可180°旋转，此功能可使医生在不同方向和不同角度对患者进行运动康复的数据和实时运动状态进行监控，并对设备进行快速控制;此功能可使患者对运动数据进行实时观察，提示运动状态。</w:t>
      </w:r>
    </w:p>
    <w:p>
      <w:pPr>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控制器正面和背面同时显示运动转速信息，以数字方式及指示灯形式显示，作用是便于医生对患者运动状态的观察。正面以数字方式显示，背面以红、绿LED灯显示，红灯表示患者实际转速超过处方范围，绿灯表示患者运动转速在正常范围。</w:t>
      </w:r>
    </w:p>
    <w:p>
      <w:pPr>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配置电动控制的座椅垂直位置调节器，使座椅高度调节更省力便捷，方便患者在运动前、运动中及运动后进行座椅高度调节。如连接心脏康复管理系统，可储存每个患者的适合高度，系统每次自动调节座椅高度无需人工调节。</w:t>
      </w:r>
    </w:p>
    <w:p>
      <w:pPr>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功率车手柄可360°旋转，适用于肩关节、肘关节活动受限患者调节合适手柄角度，减轻因肩、肘关节疼痛所造成的运动受限。适用于不同身高患者身体位置与手柄距离的调节。</w:t>
      </w:r>
    </w:p>
    <w:p>
      <w:pPr>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最大负载不低于200Kg</w:t>
      </w:r>
    </w:p>
    <w:p>
      <w:pPr>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0w初始功率，功率范围0-1100w</w:t>
      </w:r>
    </w:p>
    <w:p>
      <w:pPr>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含患者显示屏的控制器可180度旋转，患者手柄可360度旋转。</w:t>
      </w:r>
    </w:p>
    <w:p>
      <w:pPr>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val="en-US" w:eastAsia="zh-CN"/>
        </w:rPr>
        <w:t>.</w:t>
      </w:r>
      <w:r>
        <w:rPr>
          <w:rFonts w:hint="eastAsia" w:ascii="宋体" w:hAnsi="宋体" w:eastAsia="宋体" w:cs="宋体"/>
          <w:sz w:val="24"/>
          <w:szCs w:val="24"/>
        </w:rPr>
        <w:t>座椅垂直方向升降调节开关位于设备控制器的侧上方，为电动控制调节。</w:t>
      </w:r>
    </w:p>
    <w:p>
      <w:pPr>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lang w:val="en-US" w:eastAsia="zh-CN"/>
        </w:rPr>
        <w:t>.</w:t>
      </w:r>
      <w:r>
        <w:rPr>
          <w:rFonts w:hint="eastAsia" w:ascii="宋体" w:hAnsi="宋体" w:eastAsia="宋体" w:cs="宋体"/>
          <w:sz w:val="24"/>
          <w:szCs w:val="24"/>
        </w:rPr>
        <w:t>电气隔离式的RS-232接口，与控制端连接。</w:t>
      </w:r>
    </w:p>
    <w:p>
      <w:pPr>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val="en-US" w:eastAsia="zh-CN"/>
        </w:rPr>
        <w:t>.</w:t>
      </w:r>
      <w:r>
        <w:rPr>
          <w:rFonts w:hint="eastAsia" w:ascii="宋体" w:hAnsi="宋体" w:eastAsia="宋体" w:cs="宋体"/>
          <w:sz w:val="24"/>
          <w:szCs w:val="24"/>
        </w:rPr>
        <w:t>控制器显示信息等:功率，转速，时间，座椅高度等。</w:t>
      </w:r>
    </w:p>
    <w:p>
      <w:pPr>
        <w:pStyle w:val="2"/>
        <w:rPr>
          <w:rFonts w:hint="eastAsia" w:ascii="宋体" w:hAnsi="宋体" w:eastAsia="宋体" w:cs="宋体"/>
          <w:sz w:val="24"/>
          <w:szCs w:val="24"/>
        </w:rPr>
      </w:pPr>
    </w:p>
    <w:p>
      <w:pPr>
        <w:pStyle w:val="2"/>
        <w:ind w:left="0" w:leftChars="0" w:firstLine="0" w:firstLineChars="0"/>
        <w:rPr>
          <w:rFonts w:hint="eastAsia" w:ascii="宋体" w:hAnsi="宋体" w:eastAsia="宋体" w:cs="宋体"/>
          <w:b/>
          <w:sz w:val="24"/>
          <w:szCs w:val="24"/>
          <w:lang w:eastAsia="zh-CN"/>
        </w:rPr>
      </w:pPr>
    </w:p>
    <w:p>
      <w:pPr>
        <w:rPr>
          <w:rFonts w:hint="eastAsia" w:ascii="宋体" w:hAnsi="宋体" w:eastAsia="宋体" w:cs="宋体"/>
          <w:bCs/>
          <w:sz w:val="24"/>
          <w:szCs w:val="24"/>
        </w:rPr>
      </w:pPr>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279DA"/>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E7153"/>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D3ADF"/>
    <w:rsid w:val="009E04CC"/>
    <w:rsid w:val="009E58F7"/>
    <w:rsid w:val="009F112C"/>
    <w:rsid w:val="00A066BF"/>
    <w:rsid w:val="00A06960"/>
    <w:rsid w:val="00A22E88"/>
    <w:rsid w:val="00A275B0"/>
    <w:rsid w:val="00A308B3"/>
    <w:rsid w:val="00A436ED"/>
    <w:rsid w:val="00A449D9"/>
    <w:rsid w:val="00A6030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36ADB"/>
    <w:rsid w:val="00F409C5"/>
    <w:rsid w:val="00F55D42"/>
    <w:rsid w:val="00F6651A"/>
    <w:rsid w:val="00F66D0B"/>
    <w:rsid w:val="00F858E4"/>
    <w:rsid w:val="00F90675"/>
    <w:rsid w:val="00FD511A"/>
    <w:rsid w:val="00FF27C6"/>
    <w:rsid w:val="00FF3541"/>
    <w:rsid w:val="00FF53CD"/>
    <w:rsid w:val="09784CA3"/>
    <w:rsid w:val="12295B6E"/>
    <w:rsid w:val="1BB95724"/>
    <w:rsid w:val="1D9549DC"/>
    <w:rsid w:val="204C2EB5"/>
    <w:rsid w:val="2A5E2C90"/>
    <w:rsid w:val="2BC2669F"/>
    <w:rsid w:val="2C5E77B9"/>
    <w:rsid w:val="2EAC236E"/>
    <w:rsid w:val="3709261A"/>
    <w:rsid w:val="375826BB"/>
    <w:rsid w:val="3EA575EF"/>
    <w:rsid w:val="413B5B86"/>
    <w:rsid w:val="478E144F"/>
    <w:rsid w:val="4B7257E4"/>
    <w:rsid w:val="5D6B15F8"/>
    <w:rsid w:val="5ED05F70"/>
    <w:rsid w:val="6042463D"/>
    <w:rsid w:val="6A4F0377"/>
    <w:rsid w:val="7202348B"/>
    <w:rsid w:val="79336950"/>
    <w:rsid w:val="7ABD5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32"/>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rPr>
      <w:szCs w:val="21"/>
    </w:rPr>
  </w:style>
  <w:style w:type="paragraph" w:customStyle="1" w:styleId="4">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6">
    <w:name w:val="caption"/>
    <w:basedOn w:val="1"/>
    <w:next w:val="1"/>
    <w:unhideWhenUsed/>
    <w:qFormat/>
    <w:uiPriority w:val="0"/>
    <w:rPr>
      <w:rFonts w:ascii="Cambria" w:hAnsi="Cambria" w:eastAsia="黑体" w:cs="Times New Roman"/>
      <w:sz w:val="20"/>
      <w:szCs w:val="20"/>
    </w:rPr>
  </w:style>
  <w:style w:type="paragraph" w:styleId="7">
    <w:name w:val="annotation text"/>
    <w:basedOn w:val="1"/>
    <w:link w:val="27"/>
    <w:qFormat/>
    <w:uiPriority w:val="0"/>
  </w:style>
  <w:style w:type="paragraph" w:styleId="8">
    <w:name w:val="Body Text"/>
    <w:basedOn w:val="1"/>
    <w:link w:val="30"/>
    <w:qFormat/>
    <w:uiPriority w:val="0"/>
    <w:pPr>
      <w:widowControl/>
      <w:jc w:val="left"/>
    </w:pPr>
    <w:rPr>
      <w:rFonts w:ascii="Arial" w:hAnsi="Arial" w:eastAsia="宋体" w:cs="Arial"/>
      <w:kern w:val="0"/>
      <w:sz w:val="20"/>
      <w:szCs w:val="24"/>
      <w:lang w:val="de-DE" w:eastAsia="en-US"/>
    </w:rPr>
  </w:style>
  <w:style w:type="paragraph" w:styleId="9">
    <w:name w:val="Plain Text"/>
    <w:basedOn w:val="1"/>
    <w:link w:val="48"/>
    <w:qFormat/>
    <w:uiPriority w:val="0"/>
    <w:rPr>
      <w:rFonts w:ascii="宋体" w:hAnsi="Courier New" w:eastAsia="宋体" w:cs="Times New Roman"/>
      <w:szCs w:val="24"/>
    </w:rPr>
  </w:style>
  <w:style w:type="paragraph" w:styleId="10">
    <w:name w:val="Date"/>
    <w:basedOn w:val="1"/>
    <w:next w:val="1"/>
    <w:link w:val="26"/>
    <w:unhideWhenUsed/>
    <w:qFormat/>
    <w:uiPriority w:val="0"/>
    <w:pPr>
      <w:ind w:left="100" w:leftChars="2500"/>
    </w:p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rPr>
      <w:szCs w:val="24"/>
    </w:rPr>
  </w:style>
  <w:style w:type="paragraph" w:styleId="14">
    <w:name w:val="Body Text 2"/>
    <w:basedOn w:val="1"/>
    <w:link w:val="39"/>
    <w:semiHidden/>
    <w:unhideWhenUsed/>
    <w:qFormat/>
    <w:uiPriority w:val="99"/>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qFormat/>
    <w:uiPriority w:val="0"/>
    <w:rPr>
      <w:rFonts w:ascii="Times New Roman" w:hAnsi="Times New Roman" w:eastAsia="宋体" w:cs="Times New Roman"/>
      <w:sz w:val="16"/>
      <w:szCs w:val="16"/>
    </w:rPr>
  </w:style>
  <w:style w:type="paragraph" w:customStyle="1" w:styleId="22">
    <w:name w:val="UserStyle_0"/>
    <w:basedOn w:val="1"/>
    <w:qFormat/>
    <w:uiPriority w:val="0"/>
    <w:pPr>
      <w:ind w:firstLine="420" w:firstLineChars="200"/>
      <w:textAlignment w:val="baseline"/>
    </w:pPr>
    <w:rPr>
      <w:rFonts w:ascii="Calibri" w:hAnsi="Calibri" w:eastAsia="宋体"/>
    </w:rPr>
  </w:style>
  <w:style w:type="character" w:customStyle="1" w:styleId="23">
    <w:name w:val="页眉 字符"/>
    <w:basedOn w:val="18"/>
    <w:link w:val="12"/>
    <w:qFormat/>
    <w:uiPriority w:val="99"/>
    <w:rPr>
      <w:sz w:val="18"/>
      <w:szCs w:val="18"/>
    </w:rPr>
  </w:style>
  <w:style w:type="character" w:customStyle="1" w:styleId="24">
    <w:name w:val="页脚 字符"/>
    <w:basedOn w:val="18"/>
    <w:link w:val="11"/>
    <w:qFormat/>
    <w:uiPriority w:val="99"/>
    <w:rPr>
      <w:sz w:val="18"/>
      <w:szCs w:val="18"/>
    </w:rPr>
  </w:style>
  <w:style w:type="paragraph" w:styleId="25">
    <w:name w:val="List Paragraph"/>
    <w:basedOn w:val="1"/>
    <w:qFormat/>
    <w:uiPriority w:val="34"/>
    <w:pPr>
      <w:ind w:firstLine="420" w:firstLineChars="200"/>
    </w:pPr>
    <w:rPr>
      <w:rFonts w:ascii="Calibri" w:hAnsi="Calibri" w:eastAsia="宋体" w:cs="Arial"/>
    </w:rPr>
  </w:style>
  <w:style w:type="character" w:customStyle="1" w:styleId="26">
    <w:name w:val="日期 字符"/>
    <w:basedOn w:val="18"/>
    <w:link w:val="10"/>
    <w:semiHidden/>
    <w:qFormat/>
    <w:uiPriority w:val="99"/>
  </w:style>
  <w:style w:type="character" w:customStyle="1" w:styleId="27">
    <w:name w:val="批注文字 字符"/>
    <w:link w:val="7"/>
    <w:qFormat/>
    <w:uiPriority w:val="0"/>
  </w:style>
  <w:style w:type="character" w:customStyle="1" w:styleId="28">
    <w:name w:val="批注文字 Char1"/>
    <w:basedOn w:val="18"/>
    <w:semiHidden/>
    <w:qFormat/>
    <w:uiPriority w:val="99"/>
  </w:style>
  <w:style w:type="character" w:customStyle="1" w:styleId="29">
    <w:name w:val="Anrede1IhrZeichen"/>
    <w:qFormat/>
    <w:uiPriority w:val="0"/>
    <w:rPr>
      <w:rFonts w:ascii="Arial" w:hAnsi="Arial" w:eastAsia="宋体" w:cs="Times New Roman"/>
      <w:sz w:val="20"/>
    </w:rPr>
  </w:style>
  <w:style w:type="character" w:customStyle="1" w:styleId="30">
    <w:name w:val="正文文本 字符"/>
    <w:basedOn w:val="18"/>
    <w:link w:val="8"/>
    <w:qFormat/>
    <w:uiPriority w:val="0"/>
    <w:rPr>
      <w:rFonts w:ascii="Arial" w:hAnsi="Arial" w:eastAsia="宋体" w:cs="Arial"/>
      <w:kern w:val="0"/>
      <w:sz w:val="20"/>
      <w:szCs w:val="24"/>
      <w:lang w:val="de-DE" w:eastAsia="en-US"/>
    </w:rPr>
  </w:style>
  <w:style w:type="paragraph" w:customStyle="1" w:styleId="31">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2">
    <w:name w:val="标题 2 字符"/>
    <w:basedOn w:val="18"/>
    <w:link w:val="5"/>
    <w:qFormat/>
    <w:uiPriority w:val="0"/>
    <w:rPr>
      <w:rFonts w:ascii="Arial" w:hAnsi="Arial" w:eastAsia="黑体" w:cs="Times New Roman"/>
      <w:b/>
      <w:sz w:val="32"/>
      <w:szCs w:val="24"/>
    </w:rPr>
  </w:style>
  <w:style w:type="character" w:customStyle="1" w:styleId="33">
    <w:name w:val="font161"/>
    <w:basedOn w:val="18"/>
    <w:qFormat/>
    <w:uiPriority w:val="0"/>
    <w:rPr>
      <w:rFonts w:hint="eastAsia" w:ascii="宋体" w:hAnsi="宋体" w:eastAsia="宋体" w:cs="宋体"/>
      <w:color w:val="000000"/>
      <w:sz w:val="24"/>
      <w:szCs w:val="24"/>
      <w:u w:val="none"/>
    </w:rPr>
  </w:style>
  <w:style w:type="character" w:customStyle="1" w:styleId="34">
    <w:name w:val="font131"/>
    <w:basedOn w:val="18"/>
    <w:qFormat/>
    <w:uiPriority w:val="0"/>
    <w:rPr>
      <w:rFonts w:ascii="微软雅黑" w:hAnsi="微软雅黑" w:eastAsia="微软雅黑" w:cs="微软雅黑"/>
      <w:color w:val="000000"/>
      <w:sz w:val="24"/>
      <w:szCs w:val="24"/>
      <w:u w:val="none"/>
    </w:rPr>
  </w:style>
  <w:style w:type="character" w:customStyle="1" w:styleId="35">
    <w:name w:val="font51"/>
    <w:basedOn w:val="18"/>
    <w:qFormat/>
    <w:uiPriority w:val="0"/>
    <w:rPr>
      <w:rFonts w:hint="eastAsia" w:ascii="宋体" w:hAnsi="宋体" w:eastAsia="宋体" w:cs="宋体"/>
      <w:b/>
      <w:color w:val="FF0000"/>
      <w:sz w:val="24"/>
      <w:szCs w:val="24"/>
      <w:u w:val="none"/>
    </w:rPr>
  </w:style>
  <w:style w:type="character" w:customStyle="1" w:styleId="36">
    <w:name w:val="font12"/>
    <w:basedOn w:val="18"/>
    <w:qFormat/>
    <w:uiPriority w:val="0"/>
    <w:rPr>
      <w:rFonts w:hint="eastAsia" w:ascii="微软雅黑" w:hAnsi="微软雅黑" w:eastAsia="微软雅黑" w:cs="微软雅黑"/>
      <w:b/>
      <w:color w:val="FF0000"/>
      <w:sz w:val="24"/>
      <w:szCs w:val="24"/>
      <w:u w:val="none"/>
    </w:rPr>
  </w:style>
  <w:style w:type="character" w:customStyle="1" w:styleId="37">
    <w:name w:val="font11"/>
    <w:basedOn w:val="18"/>
    <w:qFormat/>
    <w:uiPriority w:val="0"/>
    <w:rPr>
      <w:rFonts w:hint="eastAsia" w:ascii="宋体" w:hAnsi="宋体" w:eastAsia="宋体" w:cs="宋体"/>
      <w:color w:val="000000"/>
      <w:sz w:val="21"/>
      <w:szCs w:val="21"/>
      <w:u w:val="none"/>
    </w:rPr>
  </w:style>
  <w:style w:type="paragraph" w:customStyle="1" w:styleId="38">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9">
    <w:name w:val="正文文本 2 字符"/>
    <w:basedOn w:val="18"/>
    <w:link w:val="14"/>
    <w:semiHidden/>
    <w:qFormat/>
    <w:uiPriority w:val="99"/>
    <w:rPr>
      <w:kern w:val="2"/>
      <w:sz w:val="21"/>
      <w:szCs w:val="22"/>
    </w:rPr>
  </w:style>
  <w:style w:type="paragraph" w:customStyle="1" w:styleId="40">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41">
    <w:name w:val="表格非标题文字"/>
    <w:link w:val="42"/>
    <w:qFormat/>
    <w:uiPriority w:val="0"/>
    <w:pPr>
      <w:snapToGrid w:val="0"/>
      <w:spacing w:before="80" w:after="40"/>
    </w:pPr>
    <w:rPr>
      <w:rFonts w:ascii="Arial" w:hAnsi="Arial" w:eastAsia="宋体" w:cs="黑体"/>
      <w:kern w:val="2"/>
      <w:sz w:val="18"/>
      <w:szCs w:val="21"/>
      <w:lang w:val="en-US" w:eastAsia="zh-CN" w:bidi="ar-SA"/>
    </w:rPr>
  </w:style>
  <w:style w:type="character" w:customStyle="1" w:styleId="42">
    <w:name w:val="表格非标题文字 Char"/>
    <w:basedOn w:val="18"/>
    <w:link w:val="41"/>
    <w:qFormat/>
    <w:uiPriority w:val="0"/>
    <w:rPr>
      <w:rFonts w:ascii="Arial" w:hAnsi="Arial" w:eastAsia="宋体" w:cs="黑体"/>
      <w:kern w:val="2"/>
      <w:sz w:val="18"/>
      <w:szCs w:val="21"/>
    </w:rPr>
  </w:style>
  <w:style w:type="paragraph" w:customStyle="1" w:styleId="43">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4">
    <w:name w:val="正文格式"/>
    <w:basedOn w:val="8"/>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5">
    <w:name w:val="表格样式1"/>
    <w:basedOn w:val="1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
    <w:name w:val="未处理的提及1"/>
    <w:basedOn w:val="18"/>
    <w:semiHidden/>
    <w:unhideWhenUsed/>
    <w:qFormat/>
    <w:uiPriority w:val="99"/>
    <w:rPr>
      <w:color w:val="605E5C"/>
      <w:shd w:val="clear" w:color="auto" w:fill="E1DFDD"/>
    </w:rPr>
  </w:style>
  <w:style w:type="paragraph" w:customStyle="1" w:styleId="47">
    <w:name w:val="_Style 41"/>
    <w:basedOn w:val="1"/>
    <w:next w:val="25"/>
    <w:qFormat/>
    <w:uiPriority w:val="99"/>
    <w:pPr>
      <w:ind w:firstLine="420" w:firstLineChars="200"/>
    </w:pPr>
    <w:rPr>
      <w:rFonts w:ascii="Times New Roman" w:hAnsi="Times New Roman" w:eastAsia="宋体" w:cs="Times New Roman"/>
      <w:szCs w:val="24"/>
    </w:rPr>
  </w:style>
  <w:style w:type="character" w:customStyle="1" w:styleId="48">
    <w:name w:val="纯文本 字符"/>
    <w:basedOn w:val="18"/>
    <w:link w:val="9"/>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3169</Words>
  <Characters>3709</Characters>
  <Lines>6</Lines>
  <Paragraphs>1</Paragraphs>
  <TotalTime>0</TotalTime>
  <ScaleCrop>false</ScaleCrop>
  <LinksUpToDate>false</LinksUpToDate>
  <CharactersWithSpaces>3895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2022-10-10T09:08:50Z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8E798E42FC7548008365FD03C647FBFD</vt:lpwstr>
  </property>
</Properties>
</file>