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气相液氮罐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等</w:t>
      </w:r>
      <w:r>
        <w:rPr>
          <w:rFonts w:hint="eastAsia" w:ascii="宋体" w:hAnsi="宋体" w:eastAsia="宋体"/>
          <w:b/>
          <w:bCs/>
          <w:sz w:val="36"/>
          <w:szCs w:val="36"/>
        </w:rPr>
        <w:t>设备参数</w:t>
      </w:r>
    </w:p>
    <w:p>
      <w:pPr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/>
          <w:b/>
          <w:bCs/>
          <w:sz w:val="28"/>
          <w:szCs w:val="28"/>
        </w:rPr>
        <w:t>设备名称：气相液氮罐</w:t>
      </w:r>
    </w:p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设备参数：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1. 气相液氮存储，避免交叉污染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2. 顶部温度低于-180℃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3. 液氮总容量≥1000L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4．2mL冻存管容量≥51000支  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5. 自动液氮加液系统，手动液氮加液系统。保证在自动加液系统故障或者停电等状态下液氮可以正常补给。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6.手动除雾及自动除雾系统，两种除雾方式可快速除雾，便于观察及取放储存样本。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7.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中文系统，控制器采用内置计算机彩色触摸屏操作，实时显示时间日期、罐体内的顶部温度、底部温度、液位高度、体积以及样品温度等参数，所有系统操作需在触屏完成。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8. 包含远程监控和报警系统：温度、湿度和氧气浓度监测，液氮液位、温度安全报警，高温报警、超高低液位报警、传感器故障报警、声光报警指示、开盖报警等。可调的报警温度，保证样品的绝对安全，保障样本库设备及环境的实时监控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9.数据记录功能，包括温度、液氮液位、系统事件、系统访问和系统报警等。控制系统可对罐体内液位、温度等参数每隔一段时间记录一次（时间间隔可设置），存储于罐体控制器内，USB接口、网口方便调出数据观察液氮罐运行情况，历史数据可导入电脑或网络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0. 液氮存储系统内置传感器，分别测量样本温度，顶部温度及底部不同点位温度，保持气相液氮环境，样品不会被液氮浸泡。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手机</w:t>
      </w:r>
      <w:r>
        <w:rPr>
          <w:rFonts w:ascii="宋体" w:hAnsi="宋体" w:eastAsia="宋体" w:cs="宋体"/>
          <w:sz w:val="28"/>
          <w:szCs w:val="28"/>
        </w:rPr>
        <w:t>APP可在有网络环境下实时监测液氮罐运行状态。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2. 液氮液位、温度安全报警系统。高温报警、高液位报警，超高液位报警，低液位报警，超低液位报警，传感器故障报警、声光报警指示、开盖报警。可调的报警温度，保证样品的绝对安全。</w:t>
      </w:r>
    </w:p>
    <w:p>
      <w:pPr>
        <w:spacing w:line="560" w:lineRule="exact"/>
        <w:ind w:firstLine="565" w:firstLineChars="2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标配满罐冻存架一套。</w:t>
      </w:r>
    </w:p>
    <w:p>
      <w:pPr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二、设备名称：液氮供给罐</w:t>
      </w:r>
    </w:p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设备参数：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1.外径≥660mm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2.高度≤1500mm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3.空重≤144KG 、几何容积≥250L、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ascii="宋体" w:hAnsi="宋体" w:eastAsia="宋体" w:cs="宋体"/>
          <w:sz w:val="28"/>
          <w:szCs w:val="28"/>
        </w:rPr>
        <w:t>.充装介质：液氮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最大充液重量≥</w:t>
      </w:r>
      <w:r>
        <w:rPr>
          <w:rFonts w:ascii="宋体" w:hAnsi="宋体" w:eastAsia="宋体" w:cs="宋体"/>
          <w:sz w:val="28"/>
          <w:szCs w:val="28"/>
        </w:rPr>
        <w:t>190KG、蒸发率：≤1.8％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泄压装置：安全阀</w:t>
      </w:r>
      <w:r>
        <w:rPr>
          <w:rFonts w:ascii="宋体" w:hAnsi="宋体" w:eastAsia="宋体" w:cs="宋体"/>
          <w:sz w:val="28"/>
          <w:szCs w:val="28"/>
        </w:rPr>
        <w:t>0.152Mpa、爆破片：1.21Mpa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安全阀设定值：</w:t>
      </w:r>
      <w:r>
        <w:rPr>
          <w:rFonts w:ascii="宋体" w:hAnsi="宋体" w:eastAsia="宋体" w:cs="宋体"/>
          <w:sz w:val="28"/>
          <w:szCs w:val="28"/>
        </w:rPr>
        <w:t>22PSI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液位计：浮杆式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</w:t>
      </w:r>
      <w:r>
        <w:rPr>
          <w:rFonts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表面处理：抛光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0.</w:t>
      </w:r>
      <w:r>
        <w:rPr>
          <w:rFonts w:hint="eastAsia" w:ascii="宋体" w:hAnsi="宋体" w:eastAsia="宋体" w:cs="宋体"/>
          <w:sz w:val="28"/>
          <w:szCs w:val="28"/>
        </w:rPr>
        <w:t>底座型式：底座带脚轮方便推动，脚轮可锁定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供给罐罐体配备压力表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三、设备名称：超低温冰箱</w:t>
      </w:r>
    </w:p>
    <w:bookmarkEnd w:id="0"/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设备参数：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1、总有效容积：&gt;820升。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2、制冷系统：变频制冷系统，2个高性能进口压缩机，采用双级复叠制冷技术，高温级与低温级耦合制冷，动态匹配不同工况。系统稳定、可靠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3、采用HC制冷剂，节能环保，提供铭牌证明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4、25℃环温时，耗电量9.0kWh/24h。同时产品获得国家节能认证和环保认证。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5、显示界面：10寸高性能LCD电容屏，触控敏锐，直观显示箱内温度、环境温度、输入电压等数据和温度曲线。箱内温度异常时，主页温度显示醒目红色提醒用户。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6、物联系统：物联APP随时随地监控设备运行状态，系统故障自诊断和报警，保障样本安全。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7、噪声：低噪音，稳定运行噪音低于50分贝，超级静音。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8、均匀性：设定温度在-40～-86℃范围调节，20点测试箱内温度均匀度≤±3℃，有国家级均匀性检测报告。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9、报警及安全保护：多种故障报警（高低温报警、传感器故障报警、冷凝器脏报警、环温过高报警、断电报警、后备系统故障报警）；报警方式（声音蜂鸣报警、灯光闪烁报警）；多重保护功能（开机延时保护、密码保护、压机延时保护、压机高温保护、压力过高保护） 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10、数据接口：标配R485数据接口，可同计算机网线连接，显示箱内温度，监控设备状态。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11、具有不少于4个发泡内门，保障样本存取时温度波动最小。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12、安全锁：双锁设计，冰箱自带挂锁锁孔，可配备两把挂锁。配有转锁钥匙锁（带4把钥匙），还可以选配打卡和指纹电磁锁，安全保存物品；支持多用户共用管理一台冰箱。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13、USB模块：标配USB，用于记录箱内温度、设置温度、高低温报警、环温等，可储存数据10年以上。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14、设备总宽度（含手把）≤1180mm，总高度（含脚轮）≤2000mm,保证设备有足够空间放置</w:t>
      </w: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565" w:firstLineChars="202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166737"/>
    <w:rsid w:val="00107031"/>
    <w:rsid w:val="00166737"/>
    <w:rsid w:val="00184955"/>
    <w:rsid w:val="001A2665"/>
    <w:rsid w:val="0025211B"/>
    <w:rsid w:val="002F5720"/>
    <w:rsid w:val="0031090D"/>
    <w:rsid w:val="003F689A"/>
    <w:rsid w:val="0047327A"/>
    <w:rsid w:val="00474429"/>
    <w:rsid w:val="00474E2A"/>
    <w:rsid w:val="005006DA"/>
    <w:rsid w:val="00521026"/>
    <w:rsid w:val="005A1DF2"/>
    <w:rsid w:val="005A3293"/>
    <w:rsid w:val="00653045"/>
    <w:rsid w:val="00702081"/>
    <w:rsid w:val="00796055"/>
    <w:rsid w:val="00807EB3"/>
    <w:rsid w:val="008575BD"/>
    <w:rsid w:val="00894603"/>
    <w:rsid w:val="008E37C0"/>
    <w:rsid w:val="00954702"/>
    <w:rsid w:val="00B20FE1"/>
    <w:rsid w:val="00B34996"/>
    <w:rsid w:val="00BA0A64"/>
    <w:rsid w:val="00C31DE1"/>
    <w:rsid w:val="00C82772"/>
    <w:rsid w:val="00CC1869"/>
    <w:rsid w:val="00D00049"/>
    <w:rsid w:val="00D038ED"/>
    <w:rsid w:val="00DD2F33"/>
    <w:rsid w:val="00FE56D6"/>
    <w:rsid w:val="23494A60"/>
    <w:rsid w:val="780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outlineLvl w:val="1"/>
    </w:pPr>
    <w:rPr>
      <w:rFonts w:eastAsia="仿宋"/>
      <w:b/>
      <w:sz w:val="32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ind w:left="840" w:leftChars="400"/>
    </w:pPr>
    <w:rPr>
      <w:rFonts w:eastAsia="仿宋"/>
      <w:b/>
      <w:sz w:val="2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  <w:rPr>
      <w:rFonts w:eastAsia="仿宋"/>
      <w:b/>
      <w:sz w:val="28"/>
    </w:rPr>
  </w:style>
  <w:style w:type="character" w:customStyle="1" w:styleId="10">
    <w:name w:val="标题 2 字符"/>
    <w:basedOn w:val="9"/>
    <w:link w:val="2"/>
    <w:qFormat/>
    <w:uiPriority w:val="9"/>
    <w:rPr>
      <w:rFonts w:eastAsia="仿宋"/>
      <w:b/>
      <w:sz w:val="32"/>
    </w:rPr>
  </w:style>
  <w:style w:type="character" w:customStyle="1" w:styleId="11">
    <w:name w:val="标题 3 字符"/>
    <w:basedOn w:val="9"/>
    <w:link w:val="3"/>
    <w:qFormat/>
    <w:uiPriority w:val="9"/>
    <w:rPr>
      <w:rFonts w:eastAsia="宋体"/>
      <w:b/>
      <w:bCs/>
      <w:sz w:val="32"/>
      <w:szCs w:val="32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1432</Words>
  <Characters>1566</Characters>
  <Lines>51</Lines>
  <Paragraphs>14</Paragraphs>
  <TotalTime>1</TotalTime>
  <ScaleCrop>false</ScaleCrop>
  <LinksUpToDate>false</LinksUpToDate>
  <CharactersWithSpaces>1581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2022-05-30T02:38:00Z</dcterms:created>
  <dc:creator>国锋 张</dc:creator>
  <cp:lastModifiedBy>Lenovo</cp:lastModifiedBy>
  <cp:lastPrinted>2022-05-31T00:09:00Z</cp:lastPrinted>
  <dcterms:modified xsi:type="dcterms:W3CDTF">2022-06-05T01:28:09Z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8016311DAC9342059709C3FA97D94F40</vt:lpwstr>
  </property>
</Properties>
</file>