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快速免疫组织化学染色与诊断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ind w:firstLine="2409" w:firstLineChars="7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快速免疫组织化学染色与诊断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年8月25日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67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906"/>
        <w:gridCol w:w="1574"/>
        <w:gridCol w:w="1365"/>
        <w:gridCol w:w="1845"/>
        <w:gridCol w:w="11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84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快速免疫组织化学染色与诊断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2022年9月26日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潍坊博纳生物技术有限公司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贵州美鑫达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（各型号）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各规格型号单价：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390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Cs w:val="21"/>
              </w:rPr>
              <w:t>元/片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张云香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王洪刚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高  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  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袁世英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29日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0"/>
    <w:qFormat/>
    <w:uiPriority w:val="0"/>
    <w:pPr>
      <w:spacing w:after="120"/>
    </w:p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link w:val="12"/>
    <w:qFormat/>
    <w:uiPriority w:val="99"/>
    <w:pPr>
      <w:ind w:firstLine="420" w:firstLineChars="200"/>
    </w:pPr>
  </w:style>
  <w:style w:type="character" w:customStyle="1" w:styleId="10">
    <w:name w:val="正文文本 Char"/>
    <w:basedOn w:val="9"/>
    <w:link w:val="2"/>
    <w:qFormat/>
    <w:uiPriority w:val="0"/>
  </w:style>
  <w:style w:type="character" w:customStyle="1" w:styleId="11">
    <w:name w:val="正文文本缩进 Char"/>
    <w:basedOn w:val="9"/>
    <w:link w:val="3"/>
    <w:semiHidden/>
    <w:uiPriority w:val="99"/>
  </w:style>
  <w:style w:type="character" w:customStyle="1" w:styleId="12">
    <w:name w:val="正文首行缩进 2 Char"/>
    <w:basedOn w:val="11"/>
    <w:link w:val="7"/>
    <w:uiPriority w:val="99"/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278</Words>
  <Characters>308</Characters>
  <Lines>3</Lines>
  <Paragraphs>1</Paragraphs>
  <TotalTime>70</TotalTime>
  <ScaleCrop>false</ScaleCrop>
  <LinksUpToDate>false</LinksUpToDate>
  <CharactersWithSpaces>406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2022-09-29T08:42:29Z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