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 w:val="0"/>
          <w:color w:val="FFFFFF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FFFFF"/>
          <w:sz w:val="44"/>
          <w:szCs w:val="44"/>
        </w:rPr>
        <w:t>长沙国际会展</w:t>
      </w:r>
      <w:r>
        <w:rPr>
          <w:rFonts w:hint="eastAsia" w:ascii="宋体" w:hAnsi="宋体" w:eastAsia="宋体" w:cs="宋体"/>
          <w:b/>
          <w:bCs w:val="0"/>
          <w:color w:val="FFFFFF"/>
          <w:sz w:val="44"/>
          <w:szCs w:val="44"/>
          <w:lang w:val="en-US" w:eastAsia="zh-CN"/>
        </w:rPr>
        <w:t>中心2021-2024年</w:t>
      </w:r>
      <w:r>
        <w:rPr>
          <w:rFonts w:hint="eastAsia" w:ascii="宋体" w:hAnsi="宋体" w:cs="宋体"/>
          <w:b/>
          <w:bCs w:val="0"/>
          <w:color w:val="FFFFFF"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宋体" w:cs="宋体"/>
          <w:b/>
          <w:bCs w:val="0"/>
          <w:color w:val="FFFFFF"/>
          <w:sz w:val="44"/>
          <w:szCs w:val="44"/>
          <w:lang w:val="en-US" w:eastAsia="zh-CN"/>
        </w:rPr>
        <w:t>驻场物流服务</w:t>
      </w:r>
      <w:r>
        <w:rPr>
          <w:rFonts w:hint="eastAsia" w:ascii="宋体" w:hAnsi="宋体" w:cs="宋体"/>
          <w:b/>
          <w:bCs w:val="0"/>
          <w:color w:val="FFFFFF"/>
          <w:sz w:val="44"/>
          <w:szCs w:val="44"/>
          <w:lang w:val="en-US" w:eastAsia="zh-CN"/>
        </w:rPr>
        <w:t>项目</w:t>
      </w:r>
      <w:r>
        <w:rPr>
          <w:rFonts w:hint="eastAsia"/>
          <w:b/>
          <w:bCs w:val="0"/>
          <w:color w:val="FFFFFF"/>
          <w:sz w:val="44"/>
          <w:szCs w:val="44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right="0" w:rightChars="0" w:firstLine="0" w:firstLineChars="0"/>
        <w:jc w:val="left"/>
        <w:textAlignment w:val="auto"/>
        <w:outlineLvl w:val="9"/>
        <w:rPr>
          <w:rFonts w:hint="eastAsia"/>
          <w:b/>
          <w:bCs w:val="0"/>
          <w:color w:val="FFFFFF"/>
          <w:sz w:val="44"/>
          <w:szCs w:val="44"/>
          <w:lang w:val="en-US" w:eastAsia="zh-CN"/>
        </w:rPr>
        <w:sectPr>
          <w:headerReference r:id="rId3" w:type="default"/>
          <w:pgSz w:w="11906" w:h="16838"/>
          <w:pgMar w:top="1157" w:right="1800" w:bottom="1440" w:left="1800" w:header="851" w:footer="992" w:gutter="0"/>
          <w:pgNumType w:start="0" w:chapStyle="1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rPr>
          <w:rFonts w:hint="eastAsia"/>
        </w:rPr>
        <w:sectPr>
          <w:headerReference r:id="rId4" w:type="default"/>
          <w:footerReference r:id="rId5" w:type="default"/>
          <w:pgSz w:w="11906" w:h="16838"/>
          <w:pgMar w:top="1440" w:right="1800" w:bottom="1157" w:left="1800" w:header="851" w:footer="992" w:gutter="0"/>
          <w:pgNumType w:start="1" w:chapStyle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项目名称</w:t>
      </w:r>
      <w:bookmarkStart w:id="0" w:name="_Toc38315990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长沙国际会展中心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2021-2024年度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驻场物流服务项目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我司2016年签定的《物流服务协议》于2021年10月31日到期，为确保展会物流服务正常运行，须招纳驻场物流服务商为展会提供专业、标准、安全的展会物流服务，包括但不限于以下内容：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国际展品运输（国际货运代理、进出境报关、清关等工作）。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国内展品运输（一站式物流服务、收发货服务、国内货运代理服务、现场展品仓储服务）。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办理货运车辆入场证件并组织展会现场货车物流管理。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空包装箱仓储、转运。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叉车、吊车等机力服务保障。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审核特种作业车辆资质。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物流工器具租赁（如手推车、液压车等）。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物流劳务输出。</w:t>
      </w:r>
    </w:p>
    <w:p>
      <w:pPr>
        <w:numPr>
          <w:ilvl w:val="0"/>
          <w:numId w:val="2"/>
        </w:numPr>
        <w:spacing w:line="520" w:lineRule="exact"/>
        <w:ind w:left="-60"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委托的其他业务。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服务要求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及组委会需求，为组委会、参展商、搭建商提供专业、优质的展会物流服务。具体服务标准如下：</w:t>
      </w:r>
    </w:p>
    <w:p>
      <w:pPr>
        <w:numPr>
          <w:ilvl w:val="0"/>
          <w:numId w:val="4"/>
        </w:numPr>
        <w:spacing w:line="52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在展会活动开展前15个工作日，根据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及组委会要求，负责提供管理人员、技术人员、服务人员及现场服务所涉及的足够机力（叉车、吊车等）以满足展会物流保障服务的需求。</w:t>
      </w:r>
    </w:p>
    <w:p>
      <w:pPr>
        <w:numPr>
          <w:ilvl w:val="0"/>
          <w:numId w:val="4"/>
        </w:numPr>
        <w:spacing w:line="52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负责红线内外现场交通及车辆疏导、办退证处点位设置、物流人员安排、展位卸货秩序、仓储安排、包装箱存储、物流运输等事宜，制定切实可行的物流保障服务方案，经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审核批准后方能实施。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须在长沙国际会展中心常驻机力设备：叉车不少于10台（3吨叉车8台，5吨叉车2台），吊车能在24小时内就位。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所提供的机力须有定期检验报告，产品质量合格证明、行驶证，并满足国家尾气排放要求。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所提供的机力及手推车、地牛等特种设备或搬运工具须有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该公司的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运营服务标识。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工作人员需注重企业形象管理，所有人员需统一着装，特种设备作业人员需持证上岗，相关资料、证件应报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备案并及时报送变更信息。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管理人员总人数不得少于8人，主要涉及：项目经理、机力操作、物流服务、仓储服务、现场协调、交通疏导等服务岗位，专业管理团队及相关服务成员需具备国家相应资质要求。</w:t>
      </w:r>
    </w:p>
    <w:p>
      <w:pPr>
        <w:numPr>
          <w:ilvl w:val="0"/>
          <w:numId w:val="3"/>
        </w:numPr>
        <w:spacing w:line="520" w:lineRule="exact"/>
        <w:ind w:left="0" w:leftChars="0" w:firstLine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进场前须购买员工保险（含工作人员、临时工作人员及操作人员等）、装卸等物流相关展会意外险、货物保险等3类保险，否则不得进场作业。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安全管理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驻场物流服务商负责承担物流服务范围内的企业安全生产主体责任，严格遵守国家应急管理、消防等监管部门和行业规定，保证服务质量，建立安全隐患排查机制，坚决杜绝各类安全问题的发生。须设专职现场安全责任人，对现场物流服务进行安全巡查和监督管理。如有因驻场物流服务商引发的纠纷或事故，由其负责进行协调处理并承担全部经济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服务期限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服务期限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暂定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3年，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一年一签。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考核标准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客户服务部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定期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对驻场物流服务商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的服务质量进行月度考核，月度考核平均成绩将作为年度合同续签的参考依据之一。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现场服务商月度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考核表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以月为周期按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100分制考核，考核标准及规则如下：</w:t>
      </w:r>
    </w:p>
    <w:tbl>
      <w:tblPr>
        <w:tblStyle w:val="6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471"/>
        <w:gridCol w:w="5866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评分指标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（100分）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加分/扣分说明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安全管理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（20分）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安全隐患排查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机制、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工作保障方案、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安全应急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预案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并严格实施的计20分，否则每项扣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质量管理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（20分）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认真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履行合同，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质量管理体系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全面、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规范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（含作业标准、专业）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的计20分，否则发现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次扣5分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环境管理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现场物流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管理有序；作业环境干净、整洁的，不破坏展馆环境的计10分，否则每项扣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服务价格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价格合理、明细清晰、符合客户需求及行业规范的计10分，否则发现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违规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次扣5分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技术水平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（5分）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员工掌握基本技能并能熟练操作、配备必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的设备设施等技术条件的计5分，发现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违规操作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次扣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服务响应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按时供应、及时服务的计10分，否则发现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次扣5分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客户反馈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（15分）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客户信息管理档案完整，及时收集客户意见，不断提升服务品质，有效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投诉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次扣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分，表彰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次加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增值服务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（6分）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满足顾客新需求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，改进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措施落实到位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的计6分，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项措施落实不到位扣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47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企业文化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（4分）</w:t>
            </w:r>
          </w:p>
        </w:tc>
        <w:tc>
          <w:tcPr>
            <w:tcW w:w="586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统一服装、统一标示、文明作业、行为礼貌的计4分，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发现违规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扣1分</w:t>
            </w:r>
          </w:p>
        </w:tc>
        <w:tc>
          <w:tcPr>
            <w:tcW w:w="93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最终得分</w:t>
            </w:r>
          </w:p>
        </w:tc>
        <w:tc>
          <w:tcPr>
            <w:tcW w:w="6805" w:type="dxa"/>
            <w:gridSpan w:val="2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考评结果</w:t>
            </w:r>
          </w:p>
        </w:tc>
        <w:tc>
          <w:tcPr>
            <w:tcW w:w="6805" w:type="dxa"/>
            <w:gridSpan w:val="2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□优秀 □良好 □合格 □不合格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考核结果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90分≦月度平均考核成绩≦100分为优秀；80分≦月度平均考核成绩&lt;90分为良好；70分≦月度平均考核成绩&lt;80分为合格；月度平均考核成绩&lt;70分为不合格。月度平均考核成绩不合格，视为不合格服务商，驻场物流服务商整改后仍达不到要求的，我司有权直接解除合同，并不作任何赔偿，且已收管理费不予退还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质量或安全事故一票否决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对质量或安全事故（或隐患）即时进行处理，质量或安全事故考评在事故确认后的五个工作日内进行，由相关管理部门填写“质量或安全事故考评（记录）表”，报总经理办公会审核处理。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-1111885</wp:posOffset>
          </wp:positionH>
          <wp:positionV relativeFrom="paragraph">
            <wp:posOffset>-528955</wp:posOffset>
          </wp:positionV>
          <wp:extent cx="7561580" cy="10673080"/>
          <wp:effectExtent l="0" t="0" r="1270" b="13970"/>
          <wp:wrapNone/>
          <wp:docPr id="1" name="图片 1" descr="页眉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竖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E19DF"/>
    <w:multiLevelType w:val="singleLevel"/>
    <w:tmpl w:val="928E19D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37E2A6A"/>
    <w:multiLevelType w:val="singleLevel"/>
    <w:tmpl w:val="D37E2A6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844E1D3"/>
    <w:multiLevelType w:val="singleLevel"/>
    <w:tmpl w:val="1844E1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DAD9BE2"/>
    <w:multiLevelType w:val="singleLevel"/>
    <w:tmpl w:val="3DAD9BE2"/>
    <w:lvl w:ilvl="0" w:tentative="0">
      <w:start w:val="1"/>
      <w:numFmt w:val="chineseCounting"/>
      <w:suff w:val="nothing"/>
      <w:lvlText w:val="（%1）"/>
      <w:lvlJc w:val="left"/>
      <w:pPr>
        <w:ind w:left="-60"/>
      </w:pPr>
      <w:rPr>
        <w:rFonts w:hint="eastAsia"/>
      </w:rPr>
    </w:lvl>
  </w:abstractNum>
  <w:abstractNum w:abstractNumId="4">
    <w:nsid w:val="7FE757AE"/>
    <w:multiLevelType w:val="singleLevel"/>
    <w:tmpl w:val="7FE757A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F6C91"/>
    <w:rsid w:val="01BC2606"/>
    <w:rsid w:val="044C4666"/>
    <w:rsid w:val="078B1F32"/>
    <w:rsid w:val="1AC50C62"/>
    <w:rsid w:val="1F592AAC"/>
    <w:rsid w:val="2C0B18E6"/>
    <w:rsid w:val="30695CBA"/>
    <w:rsid w:val="34E853C4"/>
    <w:rsid w:val="458A071C"/>
    <w:rsid w:val="46D7064B"/>
    <w:rsid w:val="4D4F6C91"/>
    <w:rsid w:val="51493274"/>
    <w:rsid w:val="54FD7484"/>
    <w:rsid w:val="61C3432B"/>
    <w:rsid w:val="61EA441A"/>
    <w:rsid w:val="63D51C6D"/>
    <w:rsid w:val="65C85086"/>
    <w:rsid w:val="6AB26985"/>
    <w:rsid w:val="759E4006"/>
    <w:rsid w:val="7C5B6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2020-07-21T05:29:00Z</dcterms:created>
  <dc:creator>Administrator</dc:creator>
  <cp:lastModifiedBy>回忆里待续</cp:lastModifiedBy>
  <cp:lastPrinted>2020-07-21T12:09:00Z</cp:lastPrinted>
  <dcterms:modified xsi:type="dcterms:W3CDTF">2021-11-15T06:10:09Z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0B405FC9DB9341BB93E9F14020282943</vt:lpwstr>
  </property>
</Properties>
</file>