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pPr>
      <w:bookmarkStart w:id="0" w:name="_Toc249327464"/>
      <w:bookmarkStart w:id="1" w:name="_Toc266807863"/>
      <w:bookmarkStart w:id="2" w:name="_Toc485725796"/>
      <w:bookmarkStart w:id="3" w:name="_Toc122163313"/>
      <w:bookmarkStart w:id="4" w:name="_Toc285197850"/>
      <w:bookmarkStart w:id="5" w:name="_Toc52497357"/>
      <w:bookmarkStart w:id="6" w:name="_Toc2825"/>
      <w:bookmarkStart w:id="7" w:name="_Toc202775725"/>
      <w:bookmarkStart w:id="8" w:name="_Toc52752751"/>
      <w:bookmarkStart w:id="9" w:name="_Toc244068818"/>
      <w:bookmarkStart w:id="10" w:name="_Toc236115871"/>
      <w:bookmarkStart w:id="11" w:name="_Toc178129391"/>
      <w:bookmarkStart w:id="12" w:name="_Toc52498863"/>
      <w:bookmarkStart w:id="13" w:name="_Toc52594926"/>
    </w:p>
    <w:p>
      <w:pPr>
        <w:pStyle w:val="40"/>
        <w:rPr>
          <w:rFonts w:hint="eastAsia"/>
          <w:lang w:eastAsia="zh-CN"/>
        </w:rPr>
      </w:pPr>
    </w:p>
    <w:p>
      <w:pPr>
        <w:pStyle w:val="40"/>
        <w:spacing w:line="276" w:lineRule="auto"/>
        <w:ind w:firstLine="0" w:firstLineChars="0"/>
        <w:jc w:val="center"/>
        <w:rPr>
          <w:rFonts w:hint="eastAsia" w:ascii="Times New Roman" w:hAnsi="Times New Roman" w:eastAsia="宋体" w:cs="Times New Roman"/>
          <w:b/>
          <w:kern w:val="2"/>
          <w:sz w:val="52"/>
          <w:szCs w:val="52"/>
          <w:lang w:val="en-US" w:eastAsia="zh-CN" w:bidi="ar-SA"/>
        </w:rPr>
      </w:pPr>
    </w:p>
    <w:p>
      <w:pPr>
        <w:pStyle w:val="40"/>
        <w:spacing w:line="276" w:lineRule="auto"/>
        <w:ind w:firstLine="0" w:firstLineChars="0"/>
        <w:jc w:val="center"/>
        <w:rPr>
          <w:rFonts w:hint="eastAsia" w:ascii="Times New Roman" w:hAnsi="Times New Roman" w:eastAsia="宋体" w:cs="Times New Roman"/>
          <w:b/>
          <w:kern w:val="2"/>
          <w:sz w:val="52"/>
          <w:szCs w:val="52"/>
          <w:lang w:val="en-US" w:eastAsia="zh-CN" w:bidi="ar-SA"/>
        </w:rPr>
      </w:pPr>
    </w:p>
    <w:p>
      <w:pPr>
        <w:adjustRightInd w:val="0"/>
        <w:snapToGrid w:val="0"/>
        <w:spacing w:line="276" w:lineRule="auto"/>
        <w:ind w:firstLine="0" w:firstLineChars="0"/>
        <w:jc w:val="center"/>
        <w:rPr>
          <w:rFonts w:hint="eastAsia" w:ascii="Times New Roman" w:hAnsi="Times New Roman" w:eastAsia="宋体" w:cs="Times New Roman"/>
          <w:b/>
          <w:sz w:val="48"/>
          <w:szCs w:val="48"/>
        </w:rPr>
      </w:pPr>
      <w:r>
        <w:rPr>
          <w:rFonts w:hint="eastAsia" w:ascii="黑体" w:hAnsi="黑体" w:eastAsia="黑体" w:cs="黑体"/>
          <w:b/>
          <w:kern w:val="2"/>
          <w:sz w:val="48"/>
          <w:szCs w:val="48"/>
          <w:lang w:val="en-US" w:eastAsia="zh-CN" w:bidi="ar-SA"/>
        </w:rPr>
        <w:t>大连住化金港化工有限公司AFB硝化工序移出改建项目</w:t>
      </w:r>
    </w:p>
    <w:p>
      <w:pPr>
        <w:pStyle w:val="40"/>
        <w:rPr>
          <w:rFonts w:hint="eastAsia"/>
          <w:lang w:val="en-US" w:eastAsia="zh-CN"/>
        </w:rPr>
      </w:pPr>
    </w:p>
    <w:p>
      <w:pPr>
        <w:pStyle w:val="40"/>
        <w:rPr>
          <w:rFonts w:hint="eastAsia"/>
          <w:lang w:eastAsia="zh-CN"/>
        </w:rPr>
      </w:pPr>
    </w:p>
    <w:p>
      <w:pPr>
        <w:pStyle w:val="40"/>
        <w:spacing w:line="240" w:lineRule="auto"/>
        <w:ind w:firstLine="0" w:firstLineChars="0"/>
        <w:jc w:val="center"/>
        <w:rPr>
          <w:rFonts w:hint="eastAsia" w:ascii="华文新魏" w:eastAsia="华文新魏"/>
          <w:b/>
          <w:sz w:val="72"/>
          <w:szCs w:val="72"/>
          <w:lang w:eastAsia="zh-CN"/>
        </w:rPr>
      </w:pPr>
      <w:r>
        <w:rPr>
          <w:rFonts w:hint="eastAsia" w:ascii="华文新魏" w:eastAsia="华文新魏"/>
          <w:b/>
          <w:sz w:val="72"/>
          <w:szCs w:val="72"/>
          <w:lang w:eastAsia="zh-CN"/>
        </w:rPr>
        <w:t>公众参与说明</w:t>
      </w:r>
    </w:p>
    <w:p>
      <w:pPr>
        <w:pStyle w:val="40"/>
        <w:rPr>
          <w:rFonts w:hint="eastAsia"/>
          <w:lang w:eastAsia="zh-CN"/>
        </w:rPr>
      </w:pPr>
    </w:p>
    <w:p>
      <w:pPr>
        <w:pStyle w:val="40"/>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pStyle w:val="40"/>
        <w:ind w:firstLine="0" w:firstLineChars="0"/>
        <w:jc w:val="center"/>
        <w:rPr>
          <w:rFonts w:hint="eastAsia"/>
          <w:lang w:eastAsia="zh-CN"/>
        </w:rPr>
      </w:pPr>
    </w:p>
    <w:p>
      <w:pPr>
        <w:adjustRightInd w:val="0"/>
        <w:snapToGrid w:val="0"/>
        <w:spacing w:line="276" w:lineRule="auto"/>
        <w:ind w:firstLine="0" w:firstLineChars="0"/>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lang w:eastAsia="zh-CN"/>
        </w:rPr>
        <w:t>大连</w:t>
      </w:r>
      <w:r>
        <w:rPr>
          <w:rFonts w:hint="eastAsia" w:cs="Times New Roman"/>
          <w:b/>
          <w:sz w:val="32"/>
          <w:szCs w:val="32"/>
          <w:lang w:eastAsia="zh-CN"/>
        </w:rPr>
        <w:t>住化金港化工</w:t>
      </w:r>
      <w:r>
        <w:rPr>
          <w:rFonts w:hint="eastAsia" w:ascii="Times New Roman" w:hAnsi="Times New Roman" w:eastAsia="宋体" w:cs="Times New Roman"/>
          <w:b/>
          <w:sz w:val="32"/>
          <w:szCs w:val="32"/>
          <w:lang w:val="en-US" w:eastAsia="zh-CN"/>
        </w:rPr>
        <w:t>有限公司</w:t>
      </w:r>
    </w:p>
    <w:p>
      <w:pPr>
        <w:pStyle w:val="40"/>
        <w:ind w:firstLine="0" w:firstLineChars="0"/>
        <w:jc w:val="center"/>
        <w:rPr>
          <w:rFonts w:hint="eastAsia"/>
          <w:b/>
          <w:sz w:val="32"/>
          <w:szCs w:val="32"/>
          <w:lang w:eastAsia="zh-CN"/>
        </w:rPr>
      </w:pPr>
      <w:r>
        <w:rPr>
          <w:rFonts w:hint="eastAsia"/>
          <w:b/>
          <w:sz w:val="32"/>
          <w:szCs w:val="32"/>
          <w:lang w:eastAsia="zh-CN"/>
        </w:rPr>
        <w:t>20</w:t>
      </w:r>
      <w:r>
        <w:rPr>
          <w:rFonts w:hint="eastAsia"/>
          <w:b/>
          <w:sz w:val="32"/>
          <w:szCs w:val="32"/>
          <w:lang w:val="en-US" w:eastAsia="zh-CN"/>
        </w:rPr>
        <w:t>24</w:t>
      </w:r>
      <w:r>
        <w:rPr>
          <w:rFonts w:hint="eastAsia"/>
          <w:b/>
          <w:sz w:val="32"/>
          <w:szCs w:val="32"/>
          <w:lang w:eastAsia="zh-CN"/>
        </w:rPr>
        <w:t>年</w:t>
      </w:r>
      <w:r>
        <w:rPr>
          <w:rFonts w:hint="eastAsia"/>
          <w:b/>
          <w:sz w:val="32"/>
          <w:szCs w:val="32"/>
          <w:lang w:val="en-US" w:eastAsia="zh-CN"/>
        </w:rPr>
        <w:t>3</w:t>
      </w:r>
      <w:r>
        <w:rPr>
          <w:rFonts w:hint="eastAsia"/>
          <w:b/>
          <w:sz w:val="32"/>
          <w:szCs w:val="32"/>
          <w:lang w:eastAsia="zh-CN"/>
        </w:rPr>
        <w:t>月</w:t>
      </w:r>
    </w:p>
    <w:p>
      <w:pPr>
        <w:spacing w:line="240" w:lineRule="auto"/>
        <w:ind w:firstLine="0" w:firstLineChars="0"/>
        <w:jc w:val="center"/>
      </w:pPr>
    </w:p>
    <w:p>
      <w:pPr>
        <w:ind w:firstLine="480"/>
      </w:pPr>
    </w:p>
    <w:p>
      <w:pPr>
        <w:ind w:firstLine="480"/>
      </w:pPr>
    </w:p>
    <w:p>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480"/>
      </w:pPr>
    </w:p>
    <w:p>
      <w:pPr>
        <w:widowControl/>
        <w:spacing w:line="420" w:lineRule="auto"/>
        <w:ind w:firstLine="0" w:firstLineChars="0"/>
        <w:jc w:val="center"/>
        <w:rPr>
          <w:rFonts w:ascii="黑体" w:hAnsi="黑体" w:eastAsia="黑体"/>
          <w:b/>
          <w:color w:val="000000"/>
          <w:sz w:val="44"/>
          <w:szCs w:val="44"/>
        </w:rPr>
      </w:pPr>
      <w:r>
        <w:rPr>
          <w:rFonts w:hint="eastAsia" w:ascii="黑体" w:hAnsi="黑体" w:eastAsia="黑体"/>
          <w:b/>
          <w:color w:val="000000"/>
          <w:sz w:val="44"/>
          <w:szCs w:val="44"/>
        </w:rPr>
        <w:t>目  录</w:t>
      </w:r>
    </w:p>
    <w:p>
      <w:pPr>
        <w:widowControl/>
        <w:spacing w:line="420" w:lineRule="auto"/>
        <w:ind w:firstLine="0" w:firstLineChars="0"/>
        <w:jc w:val="center"/>
        <w:rPr>
          <w:rFonts w:ascii="黑体" w:hAnsi="黑体" w:eastAsia="黑体"/>
          <w:b/>
          <w:color w:val="000000"/>
          <w:sz w:val="44"/>
          <w:szCs w:val="44"/>
        </w:rPr>
      </w:pPr>
    </w:p>
    <w:p>
      <w:pPr>
        <w:ind w:firstLine="0" w:firstLineChars="0"/>
      </w:pPr>
    </w:p>
    <w:p>
      <w:pPr>
        <w:pStyle w:val="12"/>
        <w:tabs>
          <w:tab w:val="right" w:leader="dot" w:pos="8296"/>
        </w:tabs>
        <w:ind w:firstLine="480"/>
        <w:rPr>
          <w:rFonts w:asciiTheme="minorHAnsi" w:hAnsiTheme="minorHAnsi" w:eastAsiaTheme="minorEastAsia" w:cstheme="minorBidi"/>
          <w:sz w:val="21"/>
        </w:rPr>
      </w:pPr>
      <w:r>
        <w:rPr>
          <w:szCs w:val="24"/>
        </w:rPr>
        <w:fldChar w:fldCharType="begin"/>
      </w:r>
      <w:r>
        <w:rPr>
          <w:szCs w:val="24"/>
        </w:rPr>
        <w:instrText xml:space="preserve"> </w:instrText>
      </w:r>
      <w:r>
        <w:rPr>
          <w:rFonts w:hint="eastAsia"/>
          <w:szCs w:val="24"/>
        </w:rPr>
        <w:instrText xml:space="preserve">TOC \o "1-3" \h \z \u</w:instrText>
      </w:r>
      <w:r>
        <w:rPr>
          <w:szCs w:val="24"/>
        </w:rPr>
        <w:instrText xml:space="preserve"> </w:instrText>
      </w:r>
      <w:r>
        <w:rPr>
          <w:szCs w:val="24"/>
        </w:rPr>
        <w:fldChar w:fldCharType="separate"/>
      </w:r>
      <w:r>
        <w:fldChar w:fldCharType="begin"/>
      </w:r>
      <w:r>
        <w:instrText xml:space="preserve"> HYPERLINK \l "_Toc105506752" </w:instrText>
      </w:r>
      <w:r>
        <w:fldChar w:fldCharType="separate"/>
      </w:r>
      <w:r>
        <w:rPr>
          <w:rStyle w:val="18"/>
        </w:rPr>
        <w:t xml:space="preserve">1 </w:t>
      </w:r>
      <w:r>
        <w:rPr>
          <w:rStyle w:val="18"/>
          <w:rFonts w:hint="eastAsia"/>
        </w:rPr>
        <w:t>概述</w:t>
      </w:r>
      <w:r>
        <w:tab/>
      </w:r>
      <w:r>
        <w:fldChar w:fldCharType="begin"/>
      </w:r>
      <w:r>
        <w:instrText xml:space="preserve"> PAGEREF _Toc105506752 \h </w:instrText>
      </w:r>
      <w:r>
        <w:fldChar w:fldCharType="separate"/>
      </w:r>
      <w:r>
        <w:t>- 1 -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"_Toc105506753" </w:instrText>
      </w:r>
      <w:r>
        <w:fldChar w:fldCharType="separate"/>
      </w:r>
      <w:r>
        <w:rPr>
          <w:rStyle w:val="18"/>
        </w:rPr>
        <w:t xml:space="preserve">2 </w:t>
      </w:r>
      <w:r>
        <w:rPr>
          <w:rStyle w:val="18"/>
          <w:rFonts w:hint="eastAsia"/>
        </w:rPr>
        <w:t>首次环境影响评价信息公开情况</w:t>
      </w:r>
      <w:r>
        <w:tab/>
      </w:r>
      <w:r>
        <w:fldChar w:fldCharType="begin"/>
      </w:r>
      <w:r>
        <w:instrText xml:space="preserve"> PAGEREF _Toc105506753 \h </w:instrText>
      </w:r>
      <w:r>
        <w:fldChar w:fldCharType="separate"/>
      </w:r>
      <w:r>
        <w:t>- 4 -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"_Toc105506754" </w:instrText>
      </w:r>
      <w:r>
        <w:fldChar w:fldCharType="separate"/>
      </w:r>
      <w:r>
        <w:rPr>
          <w:rStyle w:val="18"/>
        </w:rPr>
        <w:t xml:space="preserve">2.1 </w:t>
      </w:r>
      <w:r>
        <w:rPr>
          <w:rStyle w:val="18"/>
          <w:rFonts w:hint="eastAsia"/>
        </w:rPr>
        <w:t>公开内容及日期</w:t>
      </w:r>
      <w:r>
        <w:tab/>
      </w:r>
      <w:r>
        <w:fldChar w:fldCharType="begin"/>
      </w:r>
      <w:r>
        <w:instrText xml:space="preserve"> PAGEREF _Toc105506754 \h </w:instrText>
      </w:r>
      <w:r>
        <w:fldChar w:fldCharType="separate"/>
      </w:r>
      <w:r>
        <w:t>- 4 -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"_Toc105506755" </w:instrText>
      </w:r>
      <w:r>
        <w:fldChar w:fldCharType="separate"/>
      </w:r>
      <w:r>
        <w:rPr>
          <w:rStyle w:val="18"/>
        </w:rPr>
        <w:t xml:space="preserve">2.2 </w:t>
      </w:r>
      <w:r>
        <w:rPr>
          <w:rStyle w:val="18"/>
          <w:rFonts w:hint="eastAsia"/>
        </w:rPr>
        <w:t>公开方式</w:t>
      </w:r>
      <w:r>
        <w:tab/>
      </w:r>
      <w:r>
        <w:fldChar w:fldCharType="begin"/>
      </w:r>
      <w:r>
        <w:instrText xml:space="preserve"> PAGEREF _Toc105506755 \h </w:instrText>
      </w:r>
      <w:r>
        <w:fldChar w:fldCharType="separate"/>
      </w:r>
      <w:r>
        <w:t>- 4 -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"_Toc105506756" </w:instrText>
      </w:r>
      <w:r>
        <w:fldChar w:fldCharType="separate"/>
      </w:r>
      <w:r>
        <w:rPr>
          <w:rStyle w:val="18"/>
        </w:rPr>
        <w:t xml:space="preserve">2.3 </w:t>
      </w:r>
      <w:r>
        <w:rPr>
          <w:rStyle w:val="18"/>
          <w:rFonts w:hint="eastAsia"/>
        </w:rPr>
        <w:t>公众意见情况</w:t>
      </w:r>
      <w:r>
        <w:tab/>
      </w:r>
      <w:r>
        <w:fldChar w:fldCharType="begin"/>
      </w:r>
      <w:r>
        <w:instrText xml:space="preserve"> PAGEREF _Toc105506756 \h </w:instrText>
      </w:r>
      <w:r>
        <w:fldChar w:fldCharType="separate"/>
      </w:r>
      <w:r>
        <w:t>- 5 -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"_Toc105506757" </w:instrText>
      </w:r>
      <w:r>
        <w:fldChar w:fldCharType="separate"/>
      </w:r>
      <w:r>
        <w:rPr>
          <w:rStyle w:val="18"/>
        </w:rPr>
        <w:t xml:space="preserve">3 </w:t>
      </w:r>
      <w:r>
        <w:rPr>
          <w:rStyle w:val="18"/>
          <w:rFonts w:hint="eastAsia"/>
        </w:rPr>
        <w:t>征求意见稿公示情况</w:t>
      </w:r>
      <w:r>
        <w:tab/>
      </w:r>
      <w:r>
        <w:fldChar w:fldCharType="begin"/>
      </w:r>
      <w:r>
        <w:instrText xml:space="preserve"> PAGEREF _Toc105506757 \h </w:instrText>
      </w:r>
      <w:r>
        <w:fldChar w:fldCharType="separate"/>
      </w:r>
      <w:r>
        <w:t>- 6 -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"_Toc105506758" </w:instrText>
      </w:r>
      <w:r>
        <w:fldChar w:fldCharType="separate"/>
      </w:r>
      <w:r>
        <w:rPr>
          <w:rStyle w:val="18"/>
        </w:rPr>
        <w:t xml:space="preserve">3.1 </w:t>
      </w:r>
      <w:r>
        <w:rPr>
          <w:rStyle w:val="18"/>
          <w:rFonts w:hint="eastAsia"/>
        </w:rPr>
        <w:t>公示内容及时限</w:t>
      </w:r>
      <w:r>
        <w:tab/>
      </w:r>
      <w:r>
        <w:fldChar w:fldCharType="begin"/>
      </w:r>
      <w:r>
        <w:instrText xml:space="preserve"> PAGEREF _Toc105506758 \h </w:instrText>
      </w:r>
      <w:r>
        <w:fldChar w:fldCharType="separate"/>
      </w:r>
      <w:r>
        <w:t>- 6 -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"_Toc105506759" </w:instrText>
      </w:r>
      <w:r>
        <w:fldChar w:fldCharType="separate"/>
      </w:r>
      <w:r>
        <w:rPr>
          <w:rStyle w:val="18"/>
        </w:rPr>
        <w:t xml:space="preserve">3.2 </w:t>
      </w:r>
      <w:r>
        <w:rPr>
          <w:rStyle w:val="18"/>
          <w:rFonts w:hint="eastAsia"/>
        </w:rPr>
        <w:t>公示方式</w:t>
      </w:r>
      <w:r>
        <w:tab/>
      </w:r>
      <w:r>
        <w:fldChar w:fldCharType="begin"/>
      </w:r>
      <w:r>
        <w:instrText xml:space="preserve"> PAGEREF _Toc105506759 \h </w:instrText>
      </w:r>
      <w:r>
        <w:fldChar w:fldCharType="separate"/>
      </w:r>
      <w:r>
        <w:t>- 6 -</w:t>
      </w:r>
      <w:r>
        <w:fldChar w:fldCharType="end"/>
      </w:r>
      <w:r>
        <w:fldChar w:fldCharType="end"/>
      </w:r>
    </w:p>
    <w:p>
      <w:pPr>
        <w:pStyle w:val="7"/>
        <w:tabs>
          <w:tab w:val="right" w:leader="dot" w:pos="8296"/>
        </w:tabs>
        <w:ind w:left="960" w:firstLine="480"/>
        <w:rPr>
          <w:rFonts w:asciiTheme="minorHAnsi" w:hAnsiTheme="minorHAnsi" w:eastAsiaTheme="minorEastAsia" w:cstheme="minorBidi"/>
          <w:sz w:val="21"/>
        </w:rPr>
      </w:pPr>
      <w:r>
        <w:fldChar w:fldCharType="begin"/>
      </w:r>
      <w:r>
        <w:instrText xml:space="preserve"> HYPERLINK \l "_Toc105506760" </w:instrText>
      </w:r>
      <w:r>
        <w:fldChar w:fldCharType="separate"/>
      </w:r>
      <w:r>
        <w:rPr>
          <w:rStyle w:val="18"/>
        </w:rPr>
        <w:t xml:space="preserve">3.2.1 </w:t>
      </w:r>
      <w:r>
        <w:rPr>
          <w:rStyle w:val="18"/>
          <w:rFonts w:hint="eastAsia"/>
        </w:rPr>
        <w:t>网络</w:t>
      </w:r>
      <w:r>
        <w:tab/>
      </w:r>
      <w:r>
        <w:fldChar w:fldCharType="begin"/>
      </w:r>
      <w:r>
        <w:instrText xml:space="preserve"> PAGEREF _Toc105506760 \h </w:instrText>
      </w:r>
      <w:r>
        <w:fldChar w:fldCharType="separate"/>
      </w:r>
      <w:r>
        <w:t>- 6 -</w:t>
      </w:r>
      <w:r>
        <w:fldChar w:fldCharType="end"/>
      </w:r>
      <w:r>
        <w:fldChar w:fldCharType="end"/>
      </w:r>
    </w:p>
    <w:p>
      <w:pPr>
        <w:pStyle w:val="7"/>
        <w:tabs>
          <w:tab w:val="right" w:leader="dot" w:pos="8296"/>
        </w:tabs>
        <w:ind w:left="960" w:firstLine="480"/>
        <w:rPr>
          <w:rFonts w:asciiTheme="minorHAnsi" w:hAnsiTheme="minorHAnsi" w:eastAsiaTheme="minorEastAsia" w:cstheme="minorBidi"/>
          <w:sz w:val="21"/>
        </w:rPr>
      </w:pPr>
      <w:r>
        <w:fldChar w:fldCharType="begin"/>
      </w:r>
      <w:r>
        <w:instrText xml:space="preserve"> HYPERLINK \l "_Toc105506761" </w:instrText>
      </w:r>
      <w:r>
        <w:fldChar w:fldCharType="separate"/>
      </w:r>
      <w:r>
        <w:rPr>
          <w:rStyle w:val="18"/>
        </w:rPr>
        <w:t xml:space="preserve">3.2.2 </w:t>
      </w:r>
      <w:r>
        <w:rPr>
          <w:rStyle w:val="18"/>
          <w:rFonts w:hint="eastAsia"/>
        </w:rPr>
        <w:t>报纸</w:t>
      </w:r>
      <w:r>
        <w:tab/>
      </w:r>
      <w:r>
        <w:fldChar w:fldCharType="begin"/>
      </w:r>
      <w:r>
        <w:instrText xml:space="preserve"> PAGEREF _Toc105506761 \h </w:instrText>
      </w:r>
      <w:r>
        <w:fldChar w:fldCharType="separate"/>
      </w:r>
      <w:r>
        <w:t>- 7 -</w:t>
      </w:r>
      <w:r>
        <w:fldChar w:fldCharType="end"/>
      </w:r>
      <w:r>
        <w:fldChar w:fldCharType="end"/>
      </w:r>
    </w:p>
    <w:p>
      <w:pPr>
        <w:pStyle w:val="7"/>
        <w:tabs>
          <w:tab w:val="right" w:leader="dot" w:pos="8296"/>
        </w:tabs>
        <w:ind w:left="960" w:firstLine="480"/>
        <w:rPr>
          <w:rFonts w:asciiTheme="minorHAnsi" w:hAnsiTheme="minorHAnsi" w:eastAsiaTheme="minorEastAsia" w:cstheme="minorBidi"/>
          <w:sz w:val="21"/>
        </w:rPr>
      </w:pPr>
      <w:r>
        <w:fldChar w:fldCharType="begin"/>
      </w:r>
      <w:r>
        <w:instrText xml:space="preserve"> HYPERLINK \l "_Toc105506762" </w:instrText>
      </w:r>
      <w:r>
        <w:fldChar w:fldCharType="separate"/>
      </w:r>
      <w:r>
        <w:rPr>
          <w:rStyle w:val="18"/>
        </w:rPr>
        <w:t xml:space="preserve">3.2.3 </w:t>
      </w:r>
      <w:r>
        <w:rPr>
          <w:rStyle w:val="18"/>
          <w:rFonts w:hint="eastAsia"/>
        </w:rPr>
        <w:t>张贴</w:t>
      </w:r>
      <w:r>
        <w:tab/>
      </w:r>
      <w:r>
        <w:fldChar w:fldCharType="begin"/>
      </w:r>
      <w:r>
        <w:instrText xml:space="preserve"> PAGEREF _Toc105506762 \h </w:instrText>
      </w:r>
      <w:r>
        <w:fldChar w:fldCharType="separate"/>
      </w:r>
      <w:r>
        <w:t>- 12 -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"_Toc105506763" </w:instrText>
      </w:r>
      <w:r>
        <w:fldChar w:fldCharType="separate"/>
      </w:r>
      <w:r>
        <w:rPr>
          <w:rStyle w:val="18"/>
        </w:rPr>
        <w:t xml:space="preserve">3.3 </w:t>
      </w:r>
      <w:r>
        <w:rPr>
          <w:rStyle w:val="18"/>
          <w:rFonts w:hint="eastAsia"/>
        </w:rPr>
        <w:t>查阅情况</w:t>
      </w:r>
      <w:r>
        <w:tab/>
      </w:r>
      <w:r>
        <w:fldChar w:fldCharType="begin"/>
      </w:r>
      <w:r>
        <w:instrText xml:space="preserve"> PAGEREF _Toc105506763 \h </w:instrText>
      </w:r>
      <w:r>
        <w:fldChar w:fldCharType="separate"/>
      </w:r>
      <w:r>
        <w:t>- 19 -</w:t>
      </w:r>
      <w:r>
        <w:fldChar w:fldCharType="end"/>
      </w:r>
      <w:r>
        <w:fldChar w:fldCharType="end"/>
      </w:r>
    </w:p>
    <w:p>
      <w:pPr>
        <w:pStyle w:val="13"/>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"_Toc105506764" </w:instrText>
      </w:r>
      <w:r>
        <w:fldChar w:fldCharType="separate"/>
      </w:r>
      <w:r>
        <w:rPr>
          <w:rStyle w:val="18"/>
        </w:rPr>
        <w:t xml:space="preserve">3.4 </w:t>
      </w:r>
      <w:r>
        <w:rPr>
          <w:rStyle w:val="18"/>
          <w:rFonts w:hint="eastAsia"/>
        </w:rPr>
        <w:t>公众提出意见情况</w:t>
      </w:r>
      <w:r>
        <w:tab/>
      </w:r>
      <w:r>
        <w:fldChar w:fldCharType="begin"/>
      </w:r>
      <w:r>
        <w:instrText xml:space="preserve"> PAGEREF _Toc105506764 \h </w:instrText>
      </w:r>
      <w:r>
        <w:fldChar w:fldCharType="separate"/>
      </w:r>
      <w:r>
        <w:t>- 19 -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"_Toc105506765" </w:instrText>
      </w:r>
      <w:r>
        <w:fldChar w:fldCharType="separate"/>
      </w:r>
      <w:r>
        <w:rPr>
          <w:rStyle w:val="18"/>
        </w:rPr>
        <w:t xml:space="preserve">4 </w:t>
      </w:r>
      <w:r>
        <w:rPr>
          <w:rStyle w:val="18"/>
          <w:rFonts w:hint="eastAsia"/>
        </w:rPr>
        <w:t>其他公众参与情况</w:t>
      </w:r>
      <w:r>
        <w:tab/>
      </w:r>
      <w:r>
        <w:fldChar w:fldCharType="begin"/>
      </w:r>
      <w:r>
        <w:instrText xml:space="preserve"> PAGEREF _Toc105506765 \h </w:instrText>
      </w:r>
      <w:r>
        <w:fldChar w:fldCharType="separate"/>
      </w:r>
      <w:r>
        <w:t>- 20 -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"_Toc105506766" </w:instrText>
      </w:r>
      <w:r>
        <w:fldChar w:fldCharType="separate"/>
      </w:r>
      <w:r>
        <w:rPr>
          <w:rStyle w:val="18"/>
        </w:rPr>
        <w:t xml:space="preserve">5 </w:t>
      </w:r>
      <w:r>
        <w:rPr>
          <w:rStyle w:val="18"/>
          <w:rFonts w:hint="eastAsia"/>
        </w:rPr>
        <w:t>公众意见处理情况</w:t>
      </w:r>
      <w:r>
        <w:tab/>
      </w:r>
      <w:r>
        <w:fldChar w:fldCharType="begin"/>
      </w:r>
      <w:r>
        <w:instrText xml:space="preserve"> PAGEREF _Toc105506766 \h </w:instrText>
      </w:r>
      <w:r>
        <w:fldChar w:fldCharType="separate"/>
      </w:r>
      <w:r>
        <w:t>- 21 -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"_Toc105506767" </w:instrText>
      </w:r>
      <w:r>
        <w:fldChar w:fldCharType="separate"/>
      </w:r>
      <w:r>
        <w:rPr>
          <w:rStyle w:val="18"/>
        </w:rPr>
        <w:t xml:space="preserve">6 </w:t>
      </w:r>
      <w:r>
        <w:rPr>
          <w:rStyle w:val="18"/>
          <w:rFonts w:hint="eastAsia"/>
        </w:rPr>
        <w:t>报批前公开情况</w:t>
      </w:r>
      <w:r>
        <w:tab/>
      </w:r>
      <w:r>
        <w:fldChar w:fldCharType="begin"/>
      </w:r>
      <w:r>
        <w:instrText xml:space="preserve"> PAGEREF _Toc105506767 \h </w:instrText>
      </w:r>
      <w:r>
        <w:fldChar w:fldCharType="separate"/>
      </w:r>
      <w:r>
        <w:t>- 22 -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"_Toc105506768" </w:instrText>
      </w:r>
      <w:r>
        <w:fldChar w:fldCharType="separate"/>
      </w:r>
      <w:r>
        <w:rPr>
          <w:rStyle w:val="18"/>
        </w:rPr>
        <w:t xml:space="preserve">7 </w:t>
      </w:r>
      <w:r>
        <w:rPr>
          <w:rStyle w:val="18"/>
          <w:rFonts w:hint="eastAsia"/>
        </w:rPr>
        <w:t>其他</w:t>
      </w:r>
      <w:r>
        <w:tab/>
      </w:r>
      <w:r>
        <w:fldChar w:fldCharType="begin"/>
      </w:r>
      <w:r>
        <w:instrText xml:space="preserve"> PAGEREF _Toc105506768 \h </w:instrText>
      </w:r>
      <w:r>
        <w:fldChar w:fldCharType="separate"/>
      </w:r>
      <w:r>
        <w:t>- 23 -</w:t>
      </w:r>
      <w:r>
        <w:fldChar w:fldCharType="end"/>
      </w:r>
      <w:r>
        <w:fldChar w:fldCharType="end"/>
      </w:r>
    </w:p>
    <w:p>
      <w:pPr>
        <w:pStyle w:val="12"/>
        <w:tabs>
          <w:tab w:val="right" w:leader="dot" w:pos="8296"/>
        </w:tabs>
        <w:ind w:firstLine="480"/>
        <w:rPr>
          <w:rFonts w:asciiTheme="minorHAnsi" w:hAnsiTheme="minorHAnsi" w:eastAsiaTheme="minorEastAsia" w:cstheme="minorBidi"/>
          <w:sz w:val="21"/>
        </w:rPr>
      </w:pPr>
      <w:r>
        <w:fldChar w:fldCharType="begin"/>
      </w:r>
      <w:r>
        <w:instrText xml:space="preserve"> HYPERLINK \l "_Toc105506769" </w:instrText>
      </w:r>
      <w:r>
        <w:fldChar w:fldCharType="separate"/>
      </w:r>
      <w:r>
        <w:rPr>
          <w:rStyle w:val="18"/>
        </w:rPr>
        <w:t xml:space="preserve">8 </w:t>
      </w:r>
      <w:r>
        <w:rPr>
          <w:rStyle w:val="18"/>
          <w:rFonts w:hint="eastAsia"/>
        </w:rPr>
        <w:t>诚信承诺</w:t>
      </w:r>
      <w:r>
        <w:tab/>
      </w:r>
      <w:r>
        <w:fldChar w:fldCharType="begin"/>
      </w:r>
      <w:r>
        <w:instrText xml:space="preserve"> PAGEREF _Toc105506769 \h </w:instrText>
      </w:r>
      <w:r>
        <w:fldChar w:fldCharType="separate"/>
      </w:r>
      <w:r>
        <w:t>- 24 -</w:t>
      </w:r>
      <w:r>
        <w:fldChar w:fldCharType="end"/>
      </w:r>
      <w:r>
        <w:fldChar w:fldCharType="end"/>
      </w:r>
    </w:p>
    <w:p>
      <w:pPr>
        <w:ind w:firstLine="0" w:firstLineChars="0"/>
      </w:pPr>
      <w:r>
        <w:rPr>
          <w:szCs w:val="24"/>
        </w:rPr>
        <w:fldChar w:fldCharType="end"/>
      </w:r>
    </w:p>
    <w:p>
      <w:pPr>
        <w:ind w:firstLine="0" w:firstLineChars="0"/>
      </w:pPr>
    </w:p>
    <w:p>
      <w:pPr>
        <w:ind w:firstLine="0" w:firstLineChars="0"/>
      </w:pPr>
    </w:p>
    <w:p>
      <w:pPr>
        <w:ind w:firstLine="48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bookmarkStart w:id="14" w:name="_Toc105506752"/>
      <w:bookmarkStart w:id="15" w:name="_Toc5107962"/>
      <w:bookmarkStart w:id="16" w:name="_Toc5107869"/>
      <w:r>
        <w:rPr>
          <w:rFonts w:hint="eastAsia"/>
        </w:rPr>
        <w:t>1 概述</w:t>
      </w:r>
      <w:bookmarkEnd w:id="14"/>
    </w:p>
    <w:p>
      <w:pPr>
        <w:widowControl/>
        <w:adjustRightInd w:val="0"/>
        <w:snapToGrid w:val="0"/>
        <w:spacing w:line="400" w:lineRule="exact"/>
        <w:ind w:firstLine="480" w:firstLineChars="200"/>
        <w:rPr>
          <w:b/>
          <w:kern w:val="0"/>
          <w:sz w:val="24"/>
        </w:rPr>
      </w:pPr>
      <w:r>
        <w:rPr>
          <w:rFonts w:hint="eastAsia" w:hAnsi="宋体"/>
          <w:kern w:val="0"/>
          <w:sz w:val="24"/>
        </w:rPr>
        <w:t>大连住化金港化工有限公司位</w:t>
      </w:r>
      <w:r>
        <w:rPr>
          <w:rFonts w:hAnsi="宋体"/>
          <w:kern w:val="0"/>
          <w:sz w:val="24"/>
        </w:rPr>
        <w:t>于大连</w:t>
      </w:r>
      <w:r>
        <w:rPr>
          <w:rFonts w:hint="eastAsia" w:hAnsi="宋体"/>
          <w:kern w:val="0"/>
          <w:sz w:val="24"/>
          <w:lang w:eastAsia="zh-CN"/>
        </w:rPr>
        <w:t>金普新区海青岛街道</w:t>
      </w:r>
      <w:r>
        <w:rPr>
          <w:rFonts w:hint="eastAsia" w:hAnsi="宋体"/>
          <w:kern w:val="0"/>
          <w:sz w:val="24"/>
        </w:rPr>
        <w:t>港兴</w:t>
      </w:r>
      <w:r>
        <w:rPr>
          <w:rFonts w:hAnsi="宋体"/>
          <w:kern w:val="0"/>
          <w:sz w:val="24"/>
        </w:rPr>
        <w:t>大街</w:t>
      </w:r>
      <w:r>
        <w:rPr>
          <w:rFonts w:hint="eastAsia" w:hAnsi="宋体"/>
          <w:kern w:val="0"/>
          <w:sz w:val="24"/>
        </w:rPr>
        <w:t>112号</w:t>
      </w:r>
      <w:r>
        <w:rPr>
          <w:rFonts w:hAnsi="宋体"/>
          <w:kern w:val="0"/>
          <w:sz w:val="24"/>
        </w:rPr>
        <w:t>，</w:t>
      </w:r>
      <w:r>
        <w:rPr>
          <w:rFonts w:hint="eastAsia" w:hAnsi="宋体"/>
          <w:kern w:val="0"/>
          <w:sz w:val="24"/>
          <w:lang w:eastAsia="zh-CN"/>
        </w:rPr>
        <w:t>厂区总占地面积约</w:t>
      </w:r>
      <w:r>
        <w:rPr>
          <w:rFonts w:hint="eastAsia"/>
        </w:rPr>
        <w:t>20</w:t>
      </w:r>
      <w:r>
        <w:rPr>
          <w:rFonts w:hint="eastAsia"/>
          <w:lang w:val="en-US" w:eastAsia="zh-CN"/>
        </w:rPr>
        <w:t>.</w:t>
      </w:r>
      <w:r>
        <w:rPr>
          <w:rFonts w:hint="eastAsia"/>
        </w:rPr>
        <w:t>775</w:t>
      </w:r>
      <w:r>
        <w:rPr>
          <w:rFonts w:hint="eastAsia"/>
          <w:lang w:eastAsia="zh-CN"/>
        </w:rPr>
        <w:t>万</w:t>
      </w:r>
      <w:r>
        <w:rPr>
          <w:rFonts w:hint="eastAsia"/>
        </w:rPr>
        <w:t>m</w:t>
      </w:r>
      <w:r>
        <w:rPr>
          <w:rFonts w:hint="eastAsia"/>
          <w:vertAlign w:val="superscript"/>
        </w:rPr>
        <w:t>2</w:t>
      </w:r>
      <w:r>
        <w:rPr>
          <w:rFonts w:hint="eastAsia"/>
        </w:rPr>
        <w:t>，</w:t>
      </w:r>
      <w:r>
        <w:rPr>
          <w:rFonts w:hAnsi="宋体"/>
          <w:kern w:val="0"/>
          <w:sz w:val="24"/>
        </w:rPr>
        <w:t>为中外合资经营企业，由大连金港集团有限公司和住友化学株式会社于2009年共同投资建设。公司</w:t>
      </w:r>
      <w:r>
        <w:rPr>
          <w:rFonts w:hint="eastAsia" w:hAnsi="宋体"/>
          <w:kern w:val="0"/>
          <w:sz w:val="24"/>
          <w:lang w:eastAsia="zh-CN"/>
        </w:rPr>
        <w:t>主要</w:t>
      </w:r>
      <w:r>
        <w:rPr>
          <w:rFonts w:hint="eastAsia" w:hAnsi="宋体"/>
          <w:kern w:val="0"/>
          <w:sz w:val="24"/>
        </w:rPr>
        <w:t>从事新化学物质生产，专用化学产品制造(不含危险化学品)，专用化学产品销售(不含危险化学品)，塑料制品制造，农用薄膜销售等</w:t>
      </w:r>
      <w:r>
        <w:rPr>
          <w:rFonts w:hAnsi="宋体"/>
          <w:kern w:val="0"/>
          <w:sz w:val="24"/>
        </w:rPr>
        <w:t>。</w:t>
      </w:r>
    </w:p>
    <w:p>
      <w:pPr>
        <w:tabs>
          <w:tab w:val="left" w:pos="-1701"/>
        </w:tabs>
        <w:snapToGrid w:val="0"/>
        <w:ind w:firstLine="480"/>
        <w:rPr>
          <w:rFonts w:hint="eastAsia" w:hAnsi="Times New Roman"/>
        </w:rPr>
      </w:pPr>
      <w:r>
        <w:rPr>
          <w:rFonts w:hint="eastAsia" w:hAnsi="宋体"/>
          <w:kern w:val="0"/>
          <w:sz w:val="24"/>
          <w:lang w:eastAsia="zh-CN"/>
        </w:rPr>
        <w:t>企业建厂至今</w:t>
      </w:r>
      <w:r>
        <w:rPr>
          <w:rFonts w:hint="eastAsia"/>
          <w:lang w:eastAsia="zh-CN"/>
        </w:rPr>
        <w:t>先后</w:t>
      </w:r>
      <w:r>
        <w:rPr>
          <w:rFonts w:hint="eastAsia"/>
        </w:rPr>
        <w:t>投资</w:t>
      </w:r>
      <w:r>
        <w:rPr>
          <w:rFonts w:hint="eastAsia" w:ascii="Times New Roman" w:hAnsi="宋体" w:eastAsia="宋体" w:cs="Times New Roman"/>
          <w:kern w:val="0"/>
          <w:sz w:val="24"/>
        </w:rPr>
        <w:t>建设</w:t>
      </w:r>
      <w:r>
        <w:rPr>
          <w:rFonts w:hint="eastAsia" w:ascii="Times New Roman" w:hAnsi="宋体" w:eastAsia="宋体" w:cs="Times New Roman"/>
          <w:kern w:val="0"/>
          <w:sz w:val="24"/>
          <w:lang w:val="en-US" w:eastAsia="zh-CN"/>
        </w:rPr>
        <w:t>了</w:t>
      </w:r>
      <w:r>
        <w:rPr>
          <w:rFonts w:hint="eastAsia" w:ascii="Times New Roman" w:hAnsi="Times New Roman" w:eastAsia="宋体" w:cs="Times New Roman"/>
          <w:bCs/>
          <w:sz w:val="24"/>
          <w:lang w:val="en-US" w:eastAsia="zh-CN"/>
        </w:rPr>
        <w:t>《</w:t>
      </w:r>
      <w:r>
        <w:rPr>
          <w:rFonts w:hint="eastAsia" w:ascii="Times New Roman" w:hAnsi="Times New Roman" w:eastAsia="宋体" w:cs="Times New Roman"/>
          <w:bCs/>
          <w:sz w:val="24"/>
          <w:lang w:eastAsia="zh-CN"/>
        </w:rPr>
        <w:t>20000t/aLMA饲料添加剂项目</w:t>
      </w:r>
      <w:r>
        <w:rPr>
          <w:rFonts w:hint="eastAsia" w:ascii="Times New Roman" w:hAnsi="Times New Roman" w:eastAsia="宋体" w:cs="Times New Roman"/>
          <w:bCs/>
          <w:sz w:val="24"/>
          <w:lang w:val="en-US" w:eastAsia="zh-CN"/>
        </w:rPr>
        <w:t>》、《</w:t>
      </w:r>
      <w:r>
        <w:rPr>
          <w:rFonts w:hint="eastAsia" w:ascii="Times New Roman" w:hAnsi="Times New Roman" w:eastAsia="宋体" w:cs="Times New Roman"/>
          <w:bCs/>
          <w:sz w:val="24"/>
          <w:lang w:eastAsia="zh-CN"/>
        </w:rPr>
        <w:t>农业用聚烯烃薄膜项目（农PO项目）</w:t>
      </w:r>
      <w:r>
        <w:rPr>
          <w:rFonts w:hint="eastAsia" w:ascii="Times New Roman" w:hAnsi="Times New Roman" w:eastAsia="宋体" w:cs="Times New Roman"/>
          <w:bCs/>
          <w:sz w:val="24"/>
          <w:lang w:val="en-US" w:eastAsia="zh-CN"/>
        </w:rPr>
        <w:t>》、《</w:t>
      </w:r>
      <w:r>
        <w:rPr>
          <w:rFonts w:hint="eastAsia" w:ascii="Times New Roman" w:hAnsi="Times New Roman" w:eastAsia="宋体" w:cs="Times New Roman"/>
          <w:bCs/>
          <w:sz w:val="24"/>
          <w:lang w:eastAsia="zh-CN"/>
        </w:rPr>
        <w:t>农业用聚烯烃薄膜（农PO）涂液更改及增设柴油罐补充环评</w:t>
      </w:r>
      <w:r>
        <w:rPr>
          <w:rFonts w:hint="eastAsia" w:ascii="Times New Roman" w:hAnsi="Times New Roman" w:eastAsia="宋体" w:cs="Times New Roman"/>
          <w:bCs/>
          <w:sz w:val="24"/>
          <w:lang w:val="en-US" w:eastAsia="zh-CN"/>
        </w:rPr>
        <w:t>》、《</w:t>
      </w:r>
      <w:r>
        <w:rPr>
          <w:rFonts w:hint="eastAsia" w:ascii="Times New Roman" w:hAnsi="Times New Roman" w:eastAsia="宋体" w:cs="Times New Roman"/>
          <w:bCs/>
          <w:sz w:val="24"/>
          <w:lang w:eastAsia="zh-CN"/>
        </w:rPr>
        <w:t>大连住化金港化工有限公司APO-E扩建项目</w:t>
      </w:r>
      <w:r>
        <w:rPr>
          <w:rFonts w:hint="eastAsia" w:ascii="Times New Roman" w:hAnsi="Times New Roman" w:eastAsia="宋体" w:cs="Times New Roman"/>
          <w:bCs/>
          <w:sz w:val="24"/>
          <w:lang w:val="en-US" w:eastAsia="zh-CN"/>
        </w:rPr>
        <w:t>》</w:t>
      </w:r>
      <w:r>
        <w:rPr>
          <w:rFonts w:hint="eastAsia" w:cs="Times New Roman"/>
          <w:bCs/>
          <w:sz w:val="24"/>
          <w:lang w:val="en-US" w:eastAsia="zh-CN"/>
        </w:rPr>
        <w:t>、</w:t>
      </w:r>
      <w:r>
        <w:rPr>
          <w:rFonts w:hint="eastAsia" w:ascii="Times New Roman" w:hAnsi="Times New Roman" w:eastAsia="宋体" w:cs="Times New Roman"/>
          <w:bCs/>
          <w:sz w:val="24"/>
          <w:lang w:val="en-US" w:eastAsia="zh-CN"/>
        </w:rPr>
        <w:t>《</w:t>
      </w:r>
      <w:r>
        <w:rPr>
          <w:rFonts w:hint="eastAsia" w:ascii="Times New Roman" w:hAnsi="Times New Roman" w:eastAsia="宋体" w:cs="Times New Roman"/>
          <w:bCs/>
          <w:sz w:val="24"/>
          <w:lang w:eastAsia="zh-CN"/>
        </w:rPr>
        <w:t>大连住化金港化工有限公司AFB（化学品中间体）改建项目</w:t>
      </w:r>
      <w:r>
        <w:rPr>
          <w:rFonts w:hint="eastAsia" w:ascii="Times New Roman" w:hAnsi="Times New Roman" w:eastAsia="宋体" w:cs="Times New Roman"/>
          <w:bCs/>
          <w:sz w:val="24"/>
          <w:lang w:val="en-US" w:eastAsia="zh-CN"/>
        </w:rPr>
        <w:t>》</w:t>
      </w:r>
      <w:r>
        <w:rPr>
          <w:rFonts w:hint="eastAsia" w:cs="Times New Roman"/>
          <w:bCs/>
          <w:sz w:val="24"/>
          <w:lang w:val="en-US" w:eastAsia="zh-CN"/>
        </w:rPr>
        <w:t>、</w:t>
      </w:r>
      <w:r>
        <w:rPr>
          <w:rFonts w:hint="eastAsia" w:hAnsi="宋体"/>
          <w:lang w:val="en-US" w:eastAsia="zh-CN"/>
        </w:rPr>
        <w:t>AFB（化学品中间体）改建项目增设有机废气新技术设备（有机废气燃烧装置）及大连住化金港化工有限公司AFB改建项目（废弃物库房）</w:t>
      </w:r>
      <w:r>
        <w:rPr>
          <w:rFonts w:hint="eastAsia" w:cs="Times New Roman"/>
          <w:bCs/>
          <w:sz w:val="24"/>
          <w:lang w:val="en-US" w:eastAsia="zh-CN"/>
        </w:rPr>
        <w:t>共7</w:t>
      </w:r>
      <w:r>
        <w:rPr>
          <w:rFonts w:hint="eastAsia" w:ascii="Times New Roman" w:hAnsi="Times New Roman" w:eastAsia="宋体" w:cs="Times New Roman"/>
          <w:bCs/>
          <w:sz w:val="24"/>
          <w:lang w:val="en-US" w:eastAsia="zh-CN"/>
        </w:rPr>
        <w:t>个项目</w:t>
      </w:r>
      <w:r>
        <w:rPr>
          <w:rFonts w:hint="eastAsia" w:ascii="Times New Roman" w:hAnsi="Times New Roman" w:eastAsia="宋体" w:cs="Times New Roman"/>
          <w:bCs/>
          <w:sz w:val="24"/>
          <w:lang w:eastAsia="zh-CN"/>
        </w:rPr>
        <w:t>，其中</w:t>
      </w:r>
      <w:r>
        <w:rPr>
          <w:rFonts w:hint="eastAsia" w:hAnsi="宋体"/>
          <w:kern w:val="0"/>
          <w:sz w:val="24"/>
          <w:lang w:eastAsia="zh-CN"/>
        </w:rPr>
        <w:t>产品</w:t>
      </w:r>
      <w:r>
        <w:rPr>
          <w:rFonts w:hint="eastAsia" w:hAnsi="宋体"/>
          <w:kern w:val="0"/>
          <w:sz w:val="24"/>
        </w:rPr>
        <w:t>LMA饲料添加剂</w:t>
      </w:r>
      <w:r>
        <w:rPr>
          <w:rFonts w:hint="eastAsia" w:hAnsi="宋体"/>
          <w:kern w:val="0"/>
          <w:sz w:val="24"/>
          <w:lang w:eastAsia="zh-CN"/>
        </w:rPr>
        <w:t>设计生产规模为</w:t>
      </w:r>
      <w:r>
        <w:rPr>
          <w:rFonts w:hint="eastAsia" w:hAnsi="宋体"/>
          <w:kern w:val="0"/>
          <w:sz w:val="24"/>
          <w:lang w:val="en-US" w:eastAsia="zh-CN"/>
        </w:rPr>
        <w:t>200</w:t>
      </w:r>
      <w:r>
        <w:rPr>
          <w:rFonts w:hint="eastAsia" w:hAnsi="宋体"/>
          <w:kern w:val="0"/>
          <w:sz w:val="24"/>
        </w:rPr>
        <w:t>00t/a</w:t>
      </w:r>
      <w:r>
        <w:rPr>
          <w:rFonts w:hint="eastAsia" w:hAnsi="宋体"/>
          <w:kern w:val="0"/>
          <w:sz w:val="24"/>
          <w:lang w:eastAsia="zh-CN"/>
        </w:rPr>
        <w:t>，该项目</w:t>
      </w:r>
      <w:r>
        <w:rPr>
          <w:rFonts w:hint="eastAsia"/>
          <w:lang w:eastAsia="zh-CN"/>
        </w:rPr>
        <w:t>已于2014 年10月永久停止生产，</w:t>
      </w:r>
      <w:r>
        <w:rPr>
          <w:rFonts w:hint="eastAsia"/>
          <w:bCs/>
          <w:sz w:val="24"/>
        </w:rPr>
        <w:t>至2014 年年底已经完成原料储罐清空、置换、清洗及部分设备的拆除</w:t>
      </w:r>
      <w:r>
        <w:rPr>
          <w:rFonts w:hint="eastAsia"/>
          <w:bCs/>
          <w:sz w:val="24"/>
          <w:lang w:eastAsia="zh-CN"/>
        </w:rPr>
        <w:t>；</w:t>
      </w:r>
      <w:r>
        <w:rPr>
          <w:rFonts w:hint="eastAsia" w:ascii="Times New Roman" w:hAnsi="Times New Roman" w:eastAsia="宋体" w:cs="Times New Roman"/>
          <w:bCs/>
          <w:sz w:val="24"/>
          <w:lang w:eastAsia="zh-CN"/>
        </w:rPr>
        <w:t>农业用聚烯烃薄膜项目（农PO项目</w:t>
      </w:r>
      <w:r>
        <w:rPr>
          <w:rFonts w:hint="eastAsia" w:cs="Times New Roman"/>
          <w:bCs/>
          <w:sz w:val="24"/>
          <w:lang w:val="en-US" w:eastAsia="zh-CN"/>
        </w:rPr>
        <w:t>）（</w:t>
      </w:r>
      <w:r>
        <w:rPr>
          <w:rFonts w:hint="eastAsia" w:hAnsi="宋体"/>
          <w:kern w:val="0"/>
          <w:sz w:val="24"/>
          <w:lang w:eastAsia="zh-CN"/>
        </w:rPr>
        <w:t>设计生产规模为</w:t>
      </w:r>
      <w:r>
        <w:rPr>
          <w:rFonts w:hint="eastAsia" w:hAnsi="宋体"/>
          <w:kern w:val="0"/>
          <w:sz w:val="24"/>
          <w:lang w:val="en-US" w:eastAsia="zh-CN"/>
        </w:rPr>
        <w:t>4000t/a）、</w:t>
      </w:r>
      <w:r>
        <w:rPr>
          <w:rFonts w:hint="eastAsia" w:ascii="Times New Roman" w:hAnsi="Times New Roman" w:eastAsia="宋体" w:cs="Times New Roman"/>
          <w:bCs/>
          <w:sz w:val="24"/>
          <w:lang w:eastAsia="zh-CN"/>
        </w:rPr>
        <w:t>APO-E扩建项目</w:t>
      </w:r>
      <w:r>
        <w:rPr>
          <w:rFonts w:hint="eastAsia" w:cs="Times New Roman"/>
          <w:bCs/>
          <w:sz w:val="24"/>
          <w:lang w:eastAsia="zh-CN"/>
        </w:rPr>
        <w:t>（</w:t>
      </w:r>
      <w:r>
        <w:rPr>
          <w:rFonts w:hint="eastAsia"/>
          <w:lang w:eastAsia="zh-CN"/>
        </w:rPr>
        <w:t>设计生产规模为</w:t>
      </w:r>
      <w:r>
        <w:rPr>
          <w:rFonts w:hint="eastAsia"/>
          <w:lang w:val="en-US" w:eastAsia="zh-CN"/>
        </w:rPr>
        <w:t>6000</w:t>
      </w:r>
      <w:r>
        <w:rPr>
          <w:rFonts w:hint="eastAsia"/>
        </w:rPr>
        <w:t>t/a</w:t>
      </w:r>
      <w:r>
        <w:rPr>
          <w:rFonts w:hint="eastAsia" w:hAnsi="宋体"/>
          <w:kern w:val="0"/>
          <w:sz w:val="24"/>
          <w:lang w:val="en-US" w:eastAsia="zh-CN"/>
        </w:rPr>
        <w:t>）</w:t>
      </w:r>
      <w:r>
        <w:rPr>
          <w:rFonts w:hint="eastAsia" w:hAnsi="宋体"/>
          <w:kern w:val="0"/>
          <w:sz w:val="24"/>
          <w:lang w:eastAsia="zh-CN"/>
        </w:rPr>
        <w:t>，</w:t>
      </w:r>
      <w:r>
        <w:rPr>
          <w:rFonts w:hint="eastAsia" w:hAnsi="宋体"/>
          <w:kern w:val="0"/>
          <w:sz w:val="24"/>
        </w:rPr>
        <w:t>由于市场、成本等原因该</w:t>
      </w:r>
      <w:r>
        <w:rPr>
          <w:rFonts w:hint="eastAsia" w:hAnsi="宋体"/>
          <w:kern w:val="0"/>
          <w:sz w:val="24"/>
          <w:lang w:eastAsia="zh-CN"/>
        </w:rPr>
        <w:t>产品已</w:t>
      </w:r>
      <w:r>
        <w:rPr>
          <w:rFonts w:hint="eastAsia" w:hAnsi="宋体"/>
          <w:kern w:val="0"/>
          <w:sz w:val="24"/>
        </w:rPr>
        <w:t>于2018年4 月永久停止生产</w:t>
      </w:r>
      <w:r>
        <w:rPr>
          <w:rFonts w:hint="eastAsia" w:hAnsi="宋体"/>
          <w:kern w:val="0"/>
          <w:sz w:val="24"/>
          <w:lang w:eastAsia="zh-CN"/>
        </w:rPr>
        <w:t>；</w:t>
      </w:r>
      <w:r>
        <w:rPr>
          <w:rFonts w:hint="eastAsia"/>
          <w:bCs/>
          <w:sz w:val="24"/>
          <w:lang w:eastAsia="zh-CN"/>
        </w:rPr>
        <w:t>产品</w:t>
      </w:r>
      <w:r>
        <w:rPr>
          <w:rFonts w:hint="eastAsia"/>
          <w:bCs/>
          <w:sz w:val="24"/>
          <w:lang w:val="en-US" w:eastAsia="zh-CN"/>
        </w:rPr>
        <w:t>AFB</w:t>
      </w:r>
      <w:r>
        <w:rPr>
          <w:rFonts w:hint="eastAsia"/>
          <w:bCs/>
          <w:sz w:val="24"/>
        </w:rPr>
        <w:t>化学</w:t>
      </w:r>
      <w:r>
        <w:rPr>
          <w:rFonts w:hint="eastAsia"/>
          <w:bCs/>
          <w:sz w:val="24"/>
          <w:lang w:eastAsia="zh-CN"/>
        </w:rPr>
        <w:t>品</w:t>
      </w:r>
      <w:r>
        <w:rPr>
          <w:rFonts w:hint="eastAsia"/>
          <w:bCs/>
          <w:sz w:val="24"/>
        </w:rPr>
        <w:t>中间体</w:t>
      </w:r>
      <w:r>
        <w:rPr>
          <w:rFonts w:hint="eastAsia"/>
          <w:bCs/>
          <w:sz w:val="24"/>
          <w:lang w:val="en-US" w:eastAsia="zh-CN"/>
        </w:rPr>
        <w:t>设计</w:t>
      </w:r>
      <w:r>
        <w:rPr>
          <w:rFonts w:hint="eastAsia" w:hAnsi="宋体"/>
          <w:kern w:val="0"/>
          <w:sz w:val="24"/>
          <w:szCs w:val="24"/>
        </w:rPr>
        <w:t>生产规模500t/a（折纯约400t/a）</w:t>
      </w:r>
      <w:r>
        <w:rPr>
          <w:rFonts w:hint="eastAsia" w:hAnsi="宋体"/>
          <w:kern w:val="0"/>
          <w:sz w:val="24"/>
          <w:szCs w:val="24"/>
          <w:lang w:eastAsia="zh-CN"/>
        </w:rPr>
        <w:t>，该项目</w:t>
      </w:r>
      <w:r>
        <w:rPr>
          <w:rFonts w:hint="eastAsia" w:hAnsi="Times New Roman"/>
        </w:rPr>
        <w:t>于2015年4月23日得到大连金州新区经济贸易局出具的AFB（化学品中间体）改建项目企业投资项目备案确认书，其后进行了项目的相关建设，并于2017年初开始生产至今。</w:t>
      </w:r>
    </w:p>
    <w:p>
      <w:pPr>
        <w:adjustRightInd w:val="0"/>
        <w:snapToGrid w:val="0"/>
        <w:spacing w:line="400" w:lineRule="exact"/>
        <w:ind w:firstLine="480" w:firstLineChars="200"/>
        <w:rPr>
          <w:rFonts w:hint="default"/>
          <w:sz w:val="24"/>
          <w:lang w:val="en-US" w:eastAsia="zh-CN"/>
        </w:rPr>
      </w:pPr>
      <w:r>
        <w:rPr>
          <w:rFonts w:hint="eastAsia"/>
          <w:sz w:val="24"/>
        </w:rPr>
        <w:t>因AFB产品生产工艺中包含硝化反应，为满足中国化学品协会编制的≪硝化工艺安全生产技术规范≫中“5.3.11 车间内硝化装置区与其相邻区之间设置有效的防火防爆隔离措施，减少车间内不同工艺区域间的相互影响”；以及“5.4.1硝化车间（装置）应实现全流程自动化控制，应满足：a）包含硝化车间（装置）、硝化工艺上下游装置的所有生产工序”的要求，大连住化金港化工有限公司拟将硝化工艺涉及的硝化、洗净、萃取三个工序移出现有AFB厂房，在厂区中部东侧原停用设备区域新建面积约297</w:t>
      </w:r>
      <w:r>
        <w:rPr>
          <w:rFonts w:hint="eastAsia"/>
          <w:sz w:val="24"/>
          <w:lang w:val="en-US" w:eastAsia="zh-CN"/>
        </w:rPr>
        <w:t>m</w:t>
      </w:r>
      <w:r>
        <w:rPr>
          <w:rFonts w:hint="eastAsia"/>
          <w:sz w:val="24"/>
          <w:vertAlign w:val="superscript"/>
          <w:lang w:val="en-US" w:eastAsia="zh-CN"/>
        </w:rPr>
        <w:t>2</w:t>
      </w:r>
      <w:r>
        <w:rPr>
          <w:rFonts w:hint="eastAsia"/>
          <w:sz w:val="24"/>
        </w:rPr>
        <w:t>的硝化厂房，将</w:t>
      </w:r>
      <w:r>
        <w:rPr>
          <w:rFonts w:hint="eastAsia"/>
          <w:sz w:val="24"/>
          <w:lang w:eastAsia="zh-CN"/>
        </w:rPr>
        <w:t>上述三个</w:t>
      </w:r>
      <w:r>
        <w:rPr>
          <w:rFonts w:hint="eastAsia"/>
          <w:sz w:val="24"/>
        </w:rPr>
        <w:t>硝化相关工序迁入新建厂房以独立隔离，并实现此三个工序的全自动化控制，确保安全生产。</w:t>
      </w:r>
    </w:p>
    <w:p>
      <w:pPr>
        <w:adjustRightInd w:val="0"/>
        <w:snapToGrid w:val="0"/>
        <w:spacing w:line="400" w:lineRule="exact"/>
        <w:ind w:firstLine="480" w:firstLineChars="200"/>
        <w:rPr>
          <w:rFonts w:hint="default" w:eastAsia="宋体"/>
          <w:sz w:val="24"/>
          <w:lang w:val="en-US" w:eastAsia="zh-CN"/>
        </w:rPr>
      </w:pPr>
      <w:r>
        <w:rPr>
          <w:rFonts w:hint="eastAsia"/>
          <w:sz w:val="24"/>
          <w:lang w:val="en-US" w:eastAsia="zh-CN"/>
        </w:rPr>
        <w:t>AFB生产工艺过程包括</w:t>
      </w:r>
      <w:r>
        <w:rPr>
          <w:rFonts w:hint="eastAsia"/>
          <w:sz w:val="24"/>
        </w:rPr>
        <w:t>硝化反应单元、硝化后萃取单元、缩合反应单元、水洗单元、加氢反应单元、亚胺化反应单元、水解反应单元</w:t>
      </w:r>
      <w:r>
        <w:rPr>
          <w:rFonts w:hint="eastAsia"/>
          <w:sz w:val="24"/>
          <w:lang w:eastAsia="zh-CN"/>
        </w:rPr>
        <w:t>及</w:t>
      </w:r>
      <w:r>
        <w:rPr>
          <w:rFonts w:hint="eastAsia"/>
          <w:sz w:val="24"/>
        </w:rPr>
        <w:t>甲苯回收单元</w:t>
      </w:r>
      <w:r>
        <w:rPr>
          <w:rFonts w:hint="eastAsia"/>
          <w:sz w:val="24"/>
          <w:lang w:eastAsia="zh-CN"/>
        </w:rPr>
        <w:t>，本项目建设内容是在</w:t>
      </w:r>
      <w:r>
        <w:rPr>
          <w:rFonts w:hint="eastAsia"/>
          <w:sz w:val="24"/>
        </w:rPr>
        <w:t>已经拆除的液氨罐区及泵站之间新建一座硝化厂房，将现有AFB厂房中的硝化、洗净及萃取三个工序迁入新建硝化厂房内</w:t>
      </w:r>
      <w:r>
        <w:rPr>
          <w:rFonts w:hint="eastAsia"/>
          <w:sz w:val="24"/>
          <w:lang w:eastAsia="zh-CN"/>
        </w:rPr>
        <w:t>；同时对厂区现有</w:t>
      </w:r>
      <w:r>
        <w:rPr>
          <w:rFonts w:hint="eastAsia"/>
          <w:sz w:val="24"/>
          <w:lang w:val="en-US" w:eastAsia="zh-CN"/>
        </w:rPr>
        <w:t>AFB中间体产品的生产工艺进行微调，将</w:t>
      </w:r>
      <w:r>
        <w:rPr>
          <w:rFonts w:hint="eastAsia"/>
          <w:lang w:val="en-US" w:eastAsia="zh-CN"/>
        </w:rPr>
        <w:t>原溶解工序改为亚胺化工序，另外，从清洁生产角度考虑，取消AFB粗制阶段过滤工序的第二次水洗，缩合工序后的第三次水洗废水返回第一次清洗工序，作为清洗水回用</w:t>
      </w:r>
      <w:r>
        <w:rPr>
          <w:rFonts w:hint="eastAsia"/>
        </w:rPr>
        <w:t>。</w:t>
      </w:r>
      <w:r>
        <w:rPr>
          <w:rFonts w:hint="eastAsia"/>
          <w:lang w:eastAsia="zh-CN"/>
        </w:rPr>
        <w:t>本项目建成后，</w:t>
      </w:r>
      <w:r>
        <w:rPr>
          <w:rFonts w:hint="eastAsia"/>
          <w:lang w:val="en-US" w:eastAsia="zh-CN"/>
        </w:rPr>
        <w:t>AFB中间体产品的</w:t>
      </w:r>
      <w:r>
        <w:rPr>
          <w:rFonts w:hint="eastAsia"/>
          <w:sz w:val="24"/>
          <w:lang w:val="en-US" w:eastAsia="zh-CN"/>
        </w:rPr>
        <w:t>产能、配套储存设施、环保治理措施等均不变，本项目建设不新增危险化学品的产量、储量。</w:t>
      </w:r>
    </w:p>
    <w:p>
      <w:pPr>
        <w:ind w:firstLine="480"/>
        <w:rPr>
          <w:rFonts w:hAnsi="宋体"/>
        </w:rPr>
      </w:pPr>
      <w:r>
        <w:rPr>
          <w:rFonts w:hint="eastAsia" w:hAnsi="宋体"/>
          <w:highlight w:val="none"/>
        </w:rPr>
        <w:t>202</w:t>
      </w:r>
      <w:r>
        <w:rPr>
          <w:rFonts w:hint="eastAsia" w:hAnsi="宋体"/>
          <w:highlight w:val="none"/>
          <w:lang w:val="en-US" w:eastAsia="zh-CN"/>
        </w:rPr>
        <w:t>3</w:t>
      </w:r>
      <w:r>
        <w:rPr>
          <w:rFonts w:hint="eastAsia" w:hAnsi="宋体"/>
          <w:highlight w:val="none"/>
        </w:rPr>
        <w:t>年</w:t>
      </w:r>
      <w:r>
        <w:rPr>
          <w:rFonts w:hint="eastAsia" w:hAnsi="宋体"/>
          <w:highlight w:val="none"/>
          <w:lang w:val="en-US" w:eastAsia="zh-CN"/>
        </w:rPr>
        <w:t>11</w:t>
      </w:r>
      <w:r>
        <w:rPr>
          <w:rFonts w:hint="eastAsia" w:hAnsi="宋体"/>
          <w:highlight w:val="none"/>
        </w:rPr>
        <w:t>月2</w:t>
      </w:r>
      <w:r>
        <w:rPr>
          <w:rFonts w:hint="eastAsia" w:hAnsi="宋体"/>
          <w:highlight w:val="none"/>
          <w:lang w:val="en-US" w:eastAsia="zh-CN"/>
        </w:rPr>
        <w:t>5</w:t>
      </w:r>
      <w:r>
        <w:rPr>
          <w:rFonts w:hint="eastAsia" w:hAnsi="宋体"/>
          <w:highlight w:val="none"/>
        </w:rPr>
        <w:t>日，</w:t>
      </w:r>
      <w:r>
        <w:rPr>
          <w:rFonts w:hint="eastAsia" w:hAnsi="宋体"/>
        </w:rPr>
        <w:t>我单位正式委托大连益驰思安全环境技术有限公司承担</w:t>
      </w:r>
      <w:r>
        <w:rPr>
          <w:rFonts w:hint="eastAsia"/>
          <w:b/>
          <w:color w:val="auto"/>
          <w:lang w:val="en-US" w:eastAsia="zh-CN"/>
        </w:rPr>
        <w:t>AFB硝化工序移出改建</w:t>
      </w:r>
      <w:r>
        <w:rPr>
          <w:rFonts w:hint="eastAsia"/>
          <w:b/>
          <w:color w:val="auto"/>
        </w:rPr>
        <w:t>项目</w:t>
      </w:r>
      <w:r>
        <w:rPr>
          <w:rFonts w:hint="eastAsia" w:hAnsi="宋体"/>
        </w:rPr>
        <w:t>的环境影响评价工作。</w:t>
      </w:r>
      <w:r>
        <w:rPr>
          <w:rFonts w:hint="eastAsia"/>
        </w:rPr>
        <w:t>根据《中华人民共和国环境影响评价法》（主席令</w:t>
      </w:r>
      <w:r>
        <w:t>[2016]</w:t>
      </w:r>
      <w:r>
        <w:rPr>
          <w:rFonts w:hint="eastAsia"/>
        </w:rPr>
        <w:t>第</w:t>
      </w:r>
      <w:r>
        <w:t>48</w:t>
      </w:r>
      <w:r>
        <w:rPr>
          <w:rFonts w:hint="eastAsia"/>
        </w:rPr>
        <w:t>号）和《环境影响评价公众参与办法》（生态环境部令</w:t>
      </w:r>
      <w:r>
        <w:t>[2018]</w:t>
      </w:r>
      <w:r>
        <w:rPr>
          <w:rFonts w:hint="eastAsia"/>
        </w:rPr>
        <w:t>第</w:t>
      </w:r>
      <w:r>
        <w:t>4</w:t>
      </w:r>
      <w:r>
        <w:rPr>
          <w:rFonts w:hint="eastAsia"/>
        </w:rPr>
        <w:t>号）等文件要求，在项目的环境影响评价工作期间应开展公众参与工作。</w:t>
      </w:r>
    </w:p>
    <w:p>
      <w:pPr>
        <w:pStyle w:val="5"/>
        <w:ind w:firstLine="480"/>
        <w:rPr>
          <w:rFonts w:ascii="Times New Roman"/>
          <w:color w:val="auto"/>
        </w:rPr>
      </w:pPr>
      <w:r>
        <w:rPr>
          <w:rFonts w:hint="eastAsia" w:ascii="Times New Roman"/>
          <w:color w:val="auto"/>
        </w:rPr>
        <w:t>在环评报告书编制过程中，我单位严格按照《环境影响评价公众参与办法》（生态环境部令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号）等文件的要求，在首次环境影响评价信息公开和报告书征求意见稿全文公示期间，分别采取网络平台公示、报纸公示和现场张贴公告等方式开展建设项目环境影响评价公众参与。具体工作过程如下：</w:t>
      </w:r>
    </w:p>
    <w:p>
      <w:pPr>
        <w:numPr>
          <w:ilvl w:val="0"/>
          <w:numId w:val="1"/>
        </w:numPr>
        <w:rPr>
          <w:rFonts w:hint="eastAsia"/>
        </w:rPr>
      </w:pPr>
      <w:r>
        <w:rPr>
          <w:rFonts w:hint="eastAsia"/>
        </w:rPr>
        <w:t>环评合同签订的</w:t>
      </w:r>
      <w:r>
        <w:t>7</w:t>
      </w:r>
      <w:r>
        <w:rPr>
          <w:rFonts w:hint="eastAsia"/>
        </w:rPr>
        <w:t>个工作日内，于</w:t>
      </w:r>
      <w:r>
        <w:t>20</w:t>
      </w:r>
      <w:r>
        <w:rPr>
          <w:rFonts w:hint="eastAsia"/>
        </w:rPr>
        <w:t>2</w:t>
      </w:r>
      <w:r>
        <w:rPr>
          <w:rFonts w:hint="eastAsia"/>
          <w:lang w:val="en-US" w:eastAsia="zh-CN"/>
        </w:rPr>
        <w:t>3</w:t>
      </w:r>
      <w:r>
        <w:rPr>
          <w:rFonts w:hint="eastAsia"/>
        </w:rPr>
        <w:t>年</w:t>
      </w:r>
      <w:r>
        <w:rPr>
          <w:rFonts w:hint="eastAsia"/>
          <w:lang w:val="en-US" w:eastAsia="zh-CN"/>
        </w:rPr>
        <w:t>11</w:t>
      </w:r>
      <w:r>
        <w:rPr>
          <w:rFonts w:hint="eastAsia"/>
        </w:rPr>
        <w:t>月</w:t>
      </w:r>
      <w:r>
        <w:rPr>
          <w:rFonts w:hint="eastAsia"/>
          <w:lang w:val="en-US" w:eastAsia="zh-CN"/>
        </w:rPr>
        <w:t>27</w:t>
      </w:r>
      <w:r>
        <w:rPr>
          <w:rFonts w:hint="eastAsia"/>
        </w:rPr>
        <w:t>日在</w:t>
      </w:r>
      <w:r>
        <w:rPr>
          <w:rFonts w:hint="eastAsia"/>
          <w:lang w:eastAsia="zh-CN"/>
        </w:rPr>
        <w:t>全国建设项目环境信息公示平台</w:t>
      </w:r>
      <w:r>
        <w:rPr>
          <w:rFonts w:hint="eastAsia"/>
        </w:rPr>
        <w:t>（https://www.eiacloud.com/gs/detail/1?id=31127HX4FA），对项目建设情况进行了首次环境影响评价信息公开，并附公众意见调查表网络链接。公示期间未收到相关公众的反馈意见。</w:t>
      </w:r>
    </w:p>
    <w:p>
      <w:pPr>
        <w:rPr>
          <w:rFonts w:hint="default" w:eastAsiaTheme="minorEastAsia"/>
          <w:lang w:val="en-US" w:eastAsia="zh-CN"/>
        </w:rPr>
      </w:pPr>
      <w:r>
        <w:rPr>
          <w:rFonts w:hint="eastAsia"/>
          <w:lang w:val="en-US" w:eastAsia="zh-CN"/>
        </w:rPr>
        <w:t>考虑到首轮公示网站不符合《环境影响评价公众参与办法》要求，于2014年1月16日在金港集团</w:t>
      </w:r>
      <w:r>
        <w:rPr>
          <w:rFonts w:hint="eastAsia"/>
        </w:rPr>
        <w:t>官方网站新闻中心版块</w:t>
      </w:r>
      <w:r>
        <w:rPr>
          <w:rFonts w:hint="eastAsia"/>
          <w:lang w:val="en-US" w:eastAsia="zh-CN"/>
        </w:rPr>
        <w:t>（</w:t>
      </w:r>
      <w:r>
        <w:rPr>
          <w:rFonts w:hint="eastAsia"/>
        </w:rPr>
        <w:fldChar w:fldCharType="begin"/>
      </w:r>
      <w:r>
        <w:rPr>
          <w:rFonts w:hint="eastAsia"/>
        </w:rPr>
        <w:instrText xml:space="preserve"> HYPERLINK "https://www.jingang-group.com/news/140.html" </w:instrText>
      </w:r>
      <w:r>
        <w:rPr>
          <w:rFonts w:hint="eastAsia"/>
        </w:rPr>
        <w:fldChar w:fldCharType="separate"/>
      </w:r>
      <w:r>
        <w:rPr>
          <w:rStyle w:val="18"/>
          <w:rFonts w:hint="eastAsia"/>
        </w:rPr>
        <w:t>https://www.jingang-group.com/news/140.html</w:t>
      </w:r>
      <w:r>
        <w:rPr>
          <w:rFonts w:hint="eastAsia"/>
        </w:rPr>
        <w:fldChar w:fldCharType="end"/>
      </w:r>
      <w:r>
        <w:rPr>
          <w:rFonts w:hint="eastAsia"/>
          <w:lang w:val="en-US" w:eastAsia="zh-CN"/>
        </w:rPr>
        <w:t>）再次进行了</w:t>
      </w:r>
      <w:r>
        <w:rPr>
          <w:rFonts w:hint="eastAsia"/>
        </w:rPr>
        <w:t>环境影响评价信息公开，并附公众意见调查表网络链接。公示期间未收到相关公众的反馈意见。</w:t>
      </w:r>
    </w:p>
    <w:p>
      <w:pPr>
        <w:pStyle w:val="5"/>
        <w:ind w:firstLine="480"/>
        <w:rPr>
          <w:rFonts w:ascii="Times New Roman"/>
          <w:color w:val="auto"/>
        </w:rPr>
      </w:pPr>
      <w:r>
        <w:rPr>
          <w:rFonts w:hint="eastAsia" w:ascii="Times New Roman"/>
          <w:color w:val="auto"/>
        </w:rPr>
        <w:t>（2）在项目环评报告书征求意见稿形成后，同步采用三种方式对项目的环境影响评价信息进行了第二次公开，具体公开方式为：</w:t>
      </w:r>
    </w:p>
    <w:p>
      <w:pPr>
        <w:pStyle w:val="5"/>
        <w:numPr>
          <w:ilvl w:val="0"/>
          <w:numId w:val="2"/>
        </w:numPr>
        <w:ind w:left="0" w:firstLine="480"/>
        <w:rPr>
          <w:rFonts w:hint="eastAsia" w:ascii="Times New Roman"/>
          <w:color w:val="auto"/>
        </w:rPr>
      </w:pPr>
      <w:r>
        <w:rPr>
          <w:rFonts w:hint="eastAsia" w:ascii="Times New Roman"/>
          <w:color w:val="auto"/>
        </w:rPr>
        <w:t>于20</w:t>
      </w:r>
      <w:r>
        <w:rPr>
          <w:rFonts w:hint="eastAsia" w:ascii="Times New Roman"/>
          <w:color w:val="auto"/>
          <w:lang w:val="en-US" w:eastAsia="zh-CN"/>
        </w:rPr>
        <w:t>24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29</w:t>
      </w:r>
      <w:r>
        <w:rPr>
          <w:rFonts w:hint="eastAsia" w:ascii="Times New Roman"/>
          <w:color w:val="auto"/>
        </w:rPr>
        <w:t>日在</w:t>
      </w:r>
      <w:r>
        <w:rPr>
          <w:rFonts w:hint="eastAsia" w:ascii="Times New Roman"/>
          <w:color w:val="auto"/>
          <w:lang w:eastAsia="zh-CN"/>
        </w:rPr>
        <w:t>金港集团</w:t>
      </w:r>
      <w:r>
        <w:rPr>
          <w:rFonts w:hint="eastAsia" w:ascii="Times New Roman"/>
          <w:color w:val="auto"/>
        </w:rPr>
        <w:t>官方网站新闻中心版块中公司公告（</w:t>
      </w:r>
      <w:r>
        <w:rPr>
          <w:rFonts w:hint="default" w:ascii="Times New Roman"/>
          <w:color w:val="auto"/>
        </w:rPr>
        <w:t>https://www.jingang-group.com/news/141.html</w:t>
      </w:r>
      <w:r>
        <w:rPr>
          <w:rFonts w:hint="eastAsia" w:ascii="Times New Roman"/>
          <w:color w:val="auto"/>
        </w:rPr>
        <w:t>）对报告书征求意见稿的全文进行了公示，并附公众意见调查表网络链接；</w:t>
      </w:r>
    </w:p>
    <w:p>
      <w:pPr>
        <w:pStyle w:val="5"/>
        <w:numPr>
          <w:ilvl w:val="0"/>
          <w:numId w:val="2"/>
        </w:numPr>
        <w:ind w:left="0" w:firstLine="480"/>
        <w:rPr>
          <w:rFonts w:ascii="Times New Roman"/>
          <w:color w:val="auto"/>
        </w:rPr>
      </w:pPr>
      <w:r>
        <w:rPr>
          <w:rFonts w:hint="eastAsia" w:ascii="Times New Roman"/>
          <w:color w:val="auto"/>
        </w:rPr>
        <w:t>分别于</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31</w:t>
      </w:r>
      <w:r>
        <w:rPr>
          <w:rFonts w:hint="eastAsia" w:ascii="Times New Roman"/>
          <w:color w:val="auto"/>
        </w:rPr>
        <w:t>日和</w:t>
      </w:r>
      <w:r>
        <w:rPr>
          <w:rFonts w:ascii="Times New Roman"/>
          <w:color w:val="auto"/>
        </w:rPr>
        <w:t>20</w:t>
      </w:r>
      <w:r>
        <w:rPr>
          <w:rFonts w:hint="eastAsia" w:ascii="Times New Roman"/>
          <w:color w:val="auto"/>
        </w:rPr>
        <w:t>2</w:t>
      </w:r>
      <w:r>
        <w:rPr>
          <w:rFonts w:hint="eastAsia" w:ascii="Times New Roman"/>
          <w:color w:val="auto"/>
          <w:lang w:val="en-US" w:eastAsia="zh-CN"/>
        </w:rPr>
        <w:t>4年2</w:t>
      </w:r>
      <w:r>
        <w:rPr>
          <w:rFonts w:hint="eastAsia" w:ascii="Times New Roman"/>
          <w:color w:val="auto"/>
        </w:rPr>
        <w:t>月</w:t>
      </w:r>
      <w:r>
        <w:rPr>
          <w:rFonts w:hint="eastAsia" w:ascii="Times New Roman"/>
          <w:color w:val="auto"/>
          <w:lang w:val="en-US" w:eastAsia="zh-CN"/>
        </w:rPr>
        <w:t>4</w:t>
      </w:r>
      <w:r>
        <w:rPr>
          <w:rFonts w:hint="eastAsia" w:ascii="Times New Roman"/>
          <w:color w:val="auto"/>
        </w:rPr>
        <w:t>日在《</w:t>
      </w:r>
      <w:r>
        <w:rPr>
          <w:rFonts w:hint="eastAsia" w:ascii="Times New Roman"/>
          <w:color w:val="auto"/>
          <w:lang w:eastAsia="zh-CN"/>
        </w:rPr>
        <w:t>大连晚报</w:t>
      </w:r>
      <w:r>
        <w:rPr>
          <w:rFonts w:hint="eastAsia" w:ascii="Times New Roman"/>
          <w:color w:val="auto"/>
        </w:rPr>
        <w:t>》进行了两次环评信息公开；</w:t>
      </w:r>
    </w:p>
    <w:p>
      <w:pPr>
        <w:pStyle w:val="5"/>
        <w:numPr>
          <w:ilvl w:val="0"/>
          <w:numId w:val="2"/>
        </w:numPr>
        <w:ind w:left="0" w:firstLine="480"/>
        <w:rPr>
          <w:rFonts w:hint="eastAsia" w:ascii="Times New Roman"/>
          <w:color w:val="auto"/>
        </w:rPr>
      </w:pPr>
      <w:r>
        <w:rPr>
          <w:rFonts w:hint="eastAsia" w:ascii="Times New Roman"/>
          <w:color w:val="auto"/>
        </w:rPr>
        <w:t>于202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30</w:t>
      </w:r>
      <w:r>
        <w:rPr>
          <w:rFonts w:hint="eastAsia" w:ascii="Times New Roman"/>
          <w:color w:val="auto"/>
        </w:rPr>
        <w:t>日，分别项目评价范围内的</w:t>
      </w:r>
      <w:r>
        <w:rPr>
          <w:rFonts w:hint="eastAsia" w:ascii="Times New Roman"/>
          <w:color w:val="auto"/>
          <w:lang w:eastAsia="zh-CN"/>
        </w:rPr>
        <w:t>顺风里</w:t>
      </w:r>
      <w:r>
        <w:rPr>
          <w:rFonts w:hint="eastAsia" w:ascii="Times New Roman"/>
          <w:color w:val="auto"/>
        </w:rPr>
        <w:t>、</w:t>
      </w:r>
      <w:r>
        <w:rPr>
          <w:rFonts w:hint="eastAsia" w:ascii="Times New Roman"/>
          <w:color w:val="auto"/>
          <w:lang w:eastAsia="zh-CN"/>
        </w:rPr>
        <w:t>小孤山居住区</w:t>
      </w:r>
      <w:r>
        <w:rPr>
          <w:rFonts w:hint="eastAsia" w:ascii="Times New Roman"/>
          <w:color w:val="auto"/>
        </w:rPr>
        <w:t>等环境保护目标处以及厂区</w:t>
      </w:r>
      <w:r>
        <w:rPr>
          <w:rFonts w:hint="eastAsia" w:ascii="Times New Roman"/>
          <w:color w:val="auto"/>
          <w:lang w:eastAsia="zh-CN"/>
        </w:rPr>
        <w:t>选址处</w:t>
      </w:r>
      <w:r>
        <w:rPr>
          <w:rFonts w:hint="eastAsia" w:ascii="Times New Roman"/>
          <w:color w:val="auto"/>
        </w:rPr>
        <w:t>采用现场张贴信息公告的方式，对环评信息进行公开，持续公开期限为10个工作日。</w:t>
      </w:r>
    </w:p>
    <w:p>
      <w:pPr>
        <w:pStyle w:val="5"/>
        <w:ind w:firstLine="480"/>
        <w:rPr>
          <w:rFonts w:ascii="Times New Roman"/>
          <w:color w:val="auto"/>
        </w:rPr>
      </w:pPr>
      <w:r>
        <w:rPr>
          <w:rFonts w:hint="eastAsia" w:ascii="Times New Roman"/>
          <w:color w:val="auto"/>
        </w:rPr>
        <w:t>以上公示期间均未收到相关公众的反馈意见，根据《环境影响评价公众参与办法》（生态环境部令[2018]第4号），本项目不属于《办法》中第十四条所认定的“对环境影响方面公众质疑性意见多的建设项目”，无需组织开展深度公众参与工作。</w:t>
      </w:r>
    </w:p>
    <w:p>
      <w:pPr>
        <w:pStyle w:val="5"/>
        <w:ind w:firstLine="480"/>
        <w:rPr>
          <w:rFonts w:ascii="Times New Roman"/>
          <w:color w:val="auto"/>
        </w:rPr>
      </w:pPr>
      <w:r>
        <w:rPr>
          <w:rFonts w:hint="eastAsia" w:ascii="Times New Roman"/>
          <w:color w:val="auto"/>
        </w:rPr>
        <w:t>综上，</w:t>
      </w:r>
      <w:r>
        <w:rPr>
          <w:rFonts w:hint="eastAsia"/>
          <w:b w:val="0"/>
          <w:bCs/>
        </w:rPr>
        <w:t>大连</w:t>
      </w:r>
      <w:r>
        <w:rPr>
          <w:rFonts w:hint="eastAsia"/>
          <w:b w:val="0"/>
          <w:bCs/>
          <w:lang w:eastAsia="zh-CN"/>
        </w:rPr>
        <w:t>住化金港</w:t>
      </w:r>
      <w:r>
        <w:rPr>
          <w:rFonts w:hint="eastAsia"/>
          <w:b w:val="0"/>
          <w:bCs/>
        </w:rPr>
        <w:t>有限公司</w:t>
      </w:r>
      <w:r>
        <w:rPr>
          <w:rFonts w:hint="eastAsia"/>
          <w:b/>
          <w:color w:val="auto"/>
          <w:lang w:val="en-US" w:eastAsia="zh-CN"/>
        </w:rPr>
        <w:t>AFB硝化工序移出改建</w:t>
      </w:r>
      <w:r>
        <w:rPr>
          <w:rFonts w:hint="eastAsia"/>
          <w:b/>
          <w:color w:val="auto"/>
        </w:rPr>
        <w:t>项目</w:t>
      </w:r>
      <w:r>
        <w:rPr>
          <w:rFonts w:hint="default" w:ascii="Times New Roman" w:hAnsi="Times New Roman" w:cs="Times New Roman"/>
          <w:color w:val="auto"/>
        </w:rPr>
        <w:t>公众</w:t>
      </w:r>
      <w:r>
        <w:rPr>
          <w:rFonts w:hint="eastAsia" w:ascii="Times New Roman"/>
          <w:color w:val="auto"/>
        </w:rPr>
        <w:t>参与的方法和过程符合《环境影响评价公众参与办法》（环境部令[2018]第4号）的相关规定，公参程序和形式合法，各公示平台和现场张贴公告地址具有代表性，最终的公参结果真实、有效。我们在本项目建设期间和运营期间，将积极采取有效的环境保护措施，加强环境管理。</w:t>
      </w: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pStyle w:val="2"/>
      </w:pPr>
      <w:bookmarkStart w:id="17" w:name="_Toc105506753"/>
      <w:r>
        <w:t xml:space="preserve">2 </w:t>
      </w:r>
      <w:r>
        <w:rPr>
          <w:rFonts w:hint="eastAsia"/>
        </w:rPr>
        <w:t>首次环境影响评价信息公开情况</w:t>
      </w:r>
      <w:bookmarkEnd w:id="17"/>
    </w:p>
    <w:p>
      <w:pPr>
        <w:pStyle w:val="3"/>
        <w:spacing w:line="360" w:lineRule="auto"/>
        <w:rPr>
          <w:sz w:val="32"/>
        </w:rPr>
      </w:pPr>
      <w:bookmarkStart w:id="18" w:name="_Toc105506754"/>
      <w:r>
        <w:rPr>
          <w:sz w:val="32"/>
        </w:rPr>
        <w:t xml:space="preserve">2.1 </w:t>
      </w:r>
      <w:r>
        <w:rPr>
          <w:rFonts w:hint="eastAsia"/>
          <w:sz w:val="32"/>
        </w:rPr>
        <w:t>公开内容及日期</w:t>
      </w:r>
      <w:bookmarkEnd w:id="18"/>
    </w:p>
    <w:p>
      <w:pPr>
        <w:ind w:firstLine="480"/>
      </w:pPr>
      <w:r>
        <w:rPr>
          <w:rFonts w:hint="eastAsia"/>
        </w:rPr>
        <w:t>202</w:t>
      </w:r>
      <w:r>
        <w:rPr>
          <w:rFonts w:hint="eastAsia"/>
          <w:lang w:val="en-US" w:eastAsia="zh-CN"/>
        </w:rPr>
        <w:t>3</w:t>
      </w:r>
      <w:r>
        <w:rPr>
          <w:rFonts w:hint="eastAsia"/>
        </w:rPr>
        <w:t>年</w:t>
      </w:r>
      <w:r>
        <w:rPr>
          <w:rFonts w:hint="eastAsia"/>
          <w:lang w:val="en-US" w:eastAsia="zh-CN"/>
        </w:rPr>
        <w:t>11</w:t>
      </w:r>
      <w:r>
        <w:rPr>
          <w:rFonts w:hint="eastAsia"/>
        </w:rPr>
        <w:t>月，大连</w:t>
      </w:r>
      <w:r>
        <w:rPr>
          <w:rFonts w:hint="eastAsia"/>
          <w:lang w:eastAsia="zh-CN"/>
        </w:rPr>
        <w:t>住化金港化工</w:t>
      </w:r>
      <w:r>
        <w:rPr>
          <w:rFonts w:hint="eastAsia"/>
        </w:rPr>
        <w:t>有限公司正式委托环评单位承担本项目的环评工作。环评合同签订后的</w:t>
      </w:r>
      <w:r>
        <w:t>7</w:t>
      </w:r>
      <w:r>
        <w:rPr>
          <w:rFonts w:hint="eastAsia"/>
        </w:rPr>
        <w:t>个工作日内，于</w:t>
      </w:r>
      <w:r>
        <w:t>20</w:t>
      </w:r>
      <w:r>
        <w:rPr>
          <w:rFonts w:hint="eastAsia"/>
        </w:rPr>
        <w:t>2</w:t>
      </w:r>
      <w:r>
        <w:rPr>
          <w:rFonts w:hint="eastAsia"/>
          <w:lang w:val="en-US" w:eastAsia="zh-CN"/>
        </w:rPr>
        <w:t>3</w:t>
      </w:r>
      <w:r>
        <w:rPr>
          <w:rFonts w:hint="eastAsia"/>
        </w:rPr>
        <w:t>年</w:t>
      </w:r>
      <w:r>
        <w:rPr>
          <w:rFonts w:hint="eastAsia"/>
          <w:lang w:val="en-US" w:eastAsia="zh-CN"/>
        </w:rPr>
        <w:t>11</w:t>
      </w:r>
      <w:r>
        <w:rPr>
          <w:rFonts w:hint="eastAsia"/>
        </w:rPr>
        <w:t>月</w:t>
      </w:r>
      <w:r>
        <w:rPr>
          <w:rFonts w:hint="eastAsia"/>
          <w:lang w:val="en-US" w:eastAsia="zh-CN"/>
        </w:rPr>
        <w:t>27</w:t>
      </w:r>
      <w:r>
        <w:rPr>
          <w:rFonts w:hint="eastAsia"/>
        </w:rPr>
        <w:t>日</w:t>
      </w:r>
      <w:r>
        <w:rPr>
          <w:rFonts w:hint="eastAsia"/>
          <w:lang w:eastAsia="zh-CN"/>
        </w:rPr>
        <w:t>在全国建设项目环境信息公示平台</w:t>
      </w:r>
      <w:r>
        <w:rPr>
          <w:rFonts w:hint="eastAsia"/>
        </w:rPr>
        <w:t>（https://www.eiacloud.com/gs/detail/1?id=31127HX4FA）</w:t>
      </w:r>
      <w:r>
        <w:rPr>
          <w:rFonts w:hint="eastAsia"/>
          <w:lang w:eastAsia="zh-CN"/>
        </w:rPr>
        <w:t>、</w:t>
      </w:r>
      <w:r>
        <w:rPr>
          <w:rFonts w:hint="eastAsia"/>
          <w:lang w:val="en-US" w:eastAsia="zh-CN"/>
        </w:rPr>
        <w:t>2024年1月16日</w:t>
      </w:r>
      <w:r>
        <w:rPr>
          <w:rFonts w:hint="eastAsia"/>
          <w:lang w:eastAsia="zh-CN"/>
        </w:rPr>
        <w:t>在</w:t>
      </w:r>
      <w:r>
        <w:rPr>
          <w:rFonts w:hint="eastAsia"/>
          <w:lang w:val="en-US" w:eastAsia="zh-CN"/>
        </w:rPr>
        <w:t>金港集团</w:t>
      </w:r>
      <w:r>
        <w:rPr>
          <w:rFonts w:hint="eastAsia"/>
        </w:rPr>
        <w:t>官方网站新闻中心版块</w:t>
      </w:r>
      <w:r>
        <w:rPr>
          <w:rFonts w:hint="eastAsia"/>
          <w:lang w:val="en-US" w:eastAsia="zh-CN"/>
        </w:rPr>
        <w:t>（</w:t>
      </w:r>
      <w:r>
        <w:rPr>
          <w:rFonts w:hint="eastAsia"/>
        </w:rPr>
        <w:fldChar w:fldCharType="begin"/>
      </w:r>
      <w:r>
        <w:rPr>
          <w:rFonts w:hint="eastAsia"/>
        </w:rPr>
        <w:instrText xml:space="preserve"> HYPERLINK "https://www.jingang-group.com/news/140.html" </w:instrText>
      </w:r>
      <w:r>
        <w:rPr>
          <w:rFonts w:hint="eastAsia"/>
        </w:rPr>
        <w:fldChar w:fldCharType="separate"/>
      </w:r>
      <w:r>
        <w:rPr>
          <w:rStyle w:val="18"/>
          <w:rFonts w:hint="eastAsia"/>
        </w:rPr>
        <w:t>https://www.jingang-group.com/news/140.html</w:t>
      </w:r>
      <w:r>
        <w:rPr>
          <w:rFonts w:hint="eastAsia"/>
        </w:rPr>
        <w:fldChar w:fldCharType="end"/>
      </w:r>
      <w:r>
        <w:rPr>
          <w:rFonts w:hint="eastAsia"/>
          <w:lang w:val="en-US" w:eastAsia="zh-CN"/>
        </w:rPr>
        <w:t>）</w:t>
      </w:r>
      <w:r>
        <w:rPr>
          <w:rFonts w:hint="eastAsia"/>
        </w:rPr>
        <w:t>，对项目建设情况进行了首次环境影响评价信息公开，首次公示主要内容如下：</w:t>
      </w:r>
    </w:p>
    <w:p>
      <w:pPr>
        <w:pStyle w:val="5"/>
        <w:ind w:firstLine="480"/>
        <w:rPr>
          <w:rFonts w:ascii="Times New Roman"/>
          <w:color w:val="auto"/>
        </w:rPr>
      </w:pPr>
      <w:r>
        <w:rPr>
          <w:rFonts w:hint="eastAsia" w:ascii="Times New Roman"/>
          <w:color w:val="auto"/>
        </w:rPr>
        <w:t>（1）建设项目名称、建设内容、主要环境问题等基本情况；</w:t>
      </w:r>
    </w:p>
    <w:p>
      <w:pPr>
        <w:pStyle w:val="5"/>
        <w:ind w:firstLine="480"/>
        <w:rPr>
          <w:rFonts w:ascii="Times New Roman"/>
          <w:color w:val="auto"/>
        </w:rPr>
      </w:pPr>
      <w:r>
        <w:rPr>
          <w:rFonts w:hint="eastAsia" w:ascii="Times New Roman"/>
          <w:color w:val="auto"/>
        </w:rPr>
        <w:t>（2）建设单位名称和联系方式；</w:t>
      </w:r>
    </w:p>
    <w:p>
      <w:pPr>
        <w:pStyle w:val="5"/>
        <w:ind w:firstLine="480"/>
        <w:rPr>
          <w:rFonts w:ascii="Times New Roman"/>
          <w:color w:val="auto"/>
        </w:rPr>
      </w:pPr>
      <w:r>
        <w:rPr>
          <w:rFonts w:hint="eastAsia" w:ascii="Times New Roman"/>
          <w:color w:val="auto"/>
        </w:rPr>
        <w:t>（3）环境影响报告书编制单位的名称和联系方式；</w:t>
      </w:r>
    </w:p>
    <w:p>
      <w:pPr>
        <w:pStyle w:val="5"/>
        <w:ind w:firstLine="480"/>
        <w:rPr>
          <w:rFonts w:ascii="Times New Roman"/>
          <w:color w:val="auto"/>
        </w:rPr>
      </w:pPr>
      <w:r>
        <w:rPr>
          <w:rFonts w:hint="eastAsia" w:ascii="Times New Roman"/>
          <w:color w:val="auto"/>
        </w:rPr>
        <w:t>（4）公众意见表的网络链接；</w:t>
      </w:r>
    </w:p>
    <w:p>
      <w:pPr>
        <w:pStyle w:val="5"/>
        <w:ind w:firstLine="480"/>
        <w:rPr>
          <w:rFonts w:ascii="Times New Roman"/>
          <w:color w:val="auto"/>
        </w:rPr>
      </w:pPr>
      <w:r>
        <w:rPr>
          <w:rFonts w:hint="eastAsia" w:ascii="Times New Roman"/>
          <w:color w:val="auto"/>
        </w:rPr>
        <w:t>（5）公众提出意见的主要方式和途径。</w:t>
      </w:r>
    </w:p>
    <w:p>
      <w:pPr>
        <w:pStyle w:val="5"/>
        <w:ind w:firstLine="480"/>
        <w:rPr>
          <w:rFonts w:ascii="Times New Roman"/>
          <w:color w:val="auto"/>
        </w:rPr>
      </w:pPr>
      <w:r>
        <w:rPr>
          <w:rFonts w:hint="eastAsia" w:ascii="Times New Roman"/>
          <w:color w:val="auto"/>
        </w:rPr>
        <w:t>根据《环境影响评价公众参与办法》（生态环境部令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号）中第九条要求：建设单位应当在确定环境影响报告书编制单位后</w:t>
      </w:r>
      <w:r>
        <w:rPr>
          <w:rFonts w:ascii="Times New Roman"/>
          <w:color w:val="auto"/>
        </w:rPr>
        <w:t>7</w:t>
      </w:r>
      <w:r>
        <w:rPr>
          <w:rFonts w:hint="eastAsia" w:ascii="Times New Roman"/>
          <w:color w:val="auto"/>
        </w:rPr>
        <w:t>个工作日内，通过其网站、建设项目所在地公共媒体网站或者建设项目所在地相关政府网站（以下统称网络平台），公开建设项目相关信息。</w:t>
      </w:r>
    </w:p>
    <w:p>
      <w:pPr>
        <w:pStyle w:val="5"/>
        <w:ind w:firstLine="480"/>
        <w:rPr>
          <w:rFonts w:ascii="Times New Roman"/>
          <w:color w:val="auto"/>
        </w:rPr>
      </w:pPr>
      <w:r>
        <w:rPr>
          <w:rFonts w:hint="eastAsia" w:ascii="Times New Roman"/>
          <w:color w:val="auto"/>
        </w:rPr>
        <w:t>我单位公开的内容和时间均符合《环境影响评价公众参与办法》的相关要求。</w:t>
      </w:r>
    </w:p>
    <w:p>
      <w:pPr>
        <w:pStyle w:val="3"/>
        <w:spacing w:line="360" w:lineRule="auto"/>
        <w:rPr>
          <w:sz w:val="32"/>
        </w:rPr>
      </w:pPr>
      <w:bookmarkStart w:id="19" w:name="_Toc105506755"/>
      <w:r>
        <w:rPr>
          <w:sz w:val="32"/>
        </w:rPr>
        <w:t xml:space="preserve">2.2 </w:t>
      </w:r>
      <w:r>
        <w:rPr>
          <w:rFonts w:hint="eastAsia"/>
          <w:sz w:val="32"/>
        </w:rPr>
        <w:t>公开方式</w:t>
      </w:r>
      <w:bookmarkEnd w:id="19"/>
    </w:p>
    <w:p>
      <w:pPr>
        <w:pStyle w:val="5"/>
        <w:ind w:firstLine="480"/>
        <w:rPr>
          <w:rFonts w:ascii="Times New Roman"/>
          <w:color w:val="auto"/>
        </w:rPr>
      </w:pPr>
      <w:r>
        <w:rPr>
          <w:rFonts w:hint="eastAsia" w:ascii="Times New Roman"/>
          <w:color w:val="auto"/>
        </w:rPr>
        <w:t>首次环境影响评价信息公开</w:t>
      </w:r>
      <w:r>
        <w:rPr>
          <w:rFonts w:hint="eastAsia" w:ascii="Times New Roman"/>
          <w:color w:val="auto"/>
          <w:lang w:eastAsia="zh-CN"/>
        </w:rPr>
        <w:t>先后</w:t>
      </w:r>
      <w:r>
        <w:rPr>
          <w:rFonts w:hint="eastAsia"/>
          <w:lang w:eastAsia="zh-CN"/>
        </w:rPr>
        <w:t>在全国建设项目环境信息公示平台</w:t>
      </w:r>
      <w:r>
        <w:rPr>
          <w:rFonts w:hint="eastAsia"/>
        </w:rPr>
        <w:t>（https://www.eiacloud.com/gs/detail/1?id=31127HX4FA）</w:t>
      </w:r>
      <w:r>
        <w:rPr>
          <w:rFonts w:hint="eastAsia"/>
          <w:lang w:eastAsia="zh-CN"/>
        </w:rPr>
        <w:t>、</w:t>
      </w:r>
      <w:r>
        <w:rPr>
          <w:rFonts w:hint="eastAsia"/>
          <w:lang w:val="en-US" w:eastAsia="zh-CN"/>
        </w:rPr>
        <w:t>金港集团</w:t>
      </w:r>
      <w:r>
        <w:rPr>
          <w:rFonts w:hint="eastAsia"/>
        </w:rPr>
        <w:t>官方网站新闻中心版块</w:t>
      </w:r>
      <w:r>
        <w:rPr>
          <w:rFonts w:hint="eastAsia"/>
          <w:lang w:val="en-US" w:eastAsia="zh-CN"/>
        </w:rPr>
        <w:t>（</w:t>
      </w:r>
      <w:r>
        <w:rPr>
          <w:rFonts w:hint="eastAsia"/>
        </w:rPr>
        <w:fldChar w:fldCharType="begin"/>
      </w:r>
      <w:r>
        <w:rPr>
          <w:rFonts w:hint="eastAsia"/>
        </w:rPr>
        <w:instrText xml:space="preserve"> HYPERLINK "https://www.jingang-group.com/news/140.html" </w:instrText>
      </w:r>
      <w:r>
        <w:rPr>
          <w:rFonts w:hint="eastAsia"/>
        </w:rPr>
        <w:fldChar w:fldCharType="separate"/>
      </w:r>
      <w:r>
        <w:rPr>
          <w:rStyle w:val="18"/>
          <w:rFonts w:hint="eastAsia"/>
        </w:rPr>
        <w:t>https://www.jingang-group.com/news/140.html</w:t>
      </w:r>
      <w:r>
        <w:rPr>
          <w:rFonts w:hint="eastAsia"/>
        </w:rPr>
        <w:fldChar w:fldCharType="end"/>
      </w:r>
      <w:r>
        <w:rPr>
          <w:rFonts w:hint="eastAsia"/>
          <w:lang w:val="en-US" w:eastAsia="zh-CN"/>
        </w:rPr>
        <w:t>）</w:t>
      </w:r>
      <w:r>
        <w:rPr>
          <w:rFonts w:hint="eastAsia"/>
          <w:lang w:eastAsia="zh-CN"/>
        </w:rPr>
        <w:t>进行，</w:t>
      </w:r>
      <w:r>
        <w:rPr>
          <w:rFonts w:hint="eastAsia" w:ascii="Times New Roman"/>
          <w:color w:val="auto"/>
        </w:rPr>
        <w:t>并提供了公众意见表的网络下载链接；</w:t>
      </w:r>
      <w:r>
        <w:rPr>
          <w:rFonts w:hint="eastAsia" w:ascii="Times New Roman"/>
          <w:color w:val="auto"/>
          <w:lang w:eastAsia="zh-CN"/>
        </w:rPr>
        <w:t>公开期限为全过程，</w:t>
      </w:r>
      <w:r>
        <w:rPr>
          <w:rFonts w:hint="eastAsia" w:ascii="Times New Roman"/>
          <w:color w:val="auto"/>
        </w:rPr>
        <w:t>符合《环境影响评价公众参与办法》的相关要求。</w:t>
      </w:r>
    </w:p>
    <w:p>
      <w:pPr>
        <w:pStyle w:val="5"/>
        <w:ind w:firstLine="480"/>
        <w:rPr>
          <w:rFonts w:ascii="Times New Roman"/>
          <w:color w:val="auto"/>
        </w:rPr>
      </w:pPr>
      <w:r>
        <w:rPr>
          <w:rFonts w:hint="eastAsia" w:ascii="Times New Roman"/>
          <w:color w:val="auto"/>
        </w:rPr>
        <w:t>公示时间：202</w:t>
      </w:r>
      <w:r>
        <w:rPr>
          <w:rFonts w:hint="eastAsia" w:ascii="Times New Roman"/>
          <w:color w:val="auto"/>
          <w:lang w:val="en-US" w:eastAsia="zh-CN"/>
        </w:rPr>
        <w:t>3</w:t>
      </w:r>
      <w:r>
        <w:rPr>
          <w:rFonts w:hint="eastAsia" w:ascii="Times New Roman"/>
          <w:color w:val="auto"/>
        </w:rPr>
        <w:t>年</w:t>
      </w:r>
      <w:r>
        <w:rPr>
          <w:rFonts w:hint="eastAsia" w:ascii="Times New Roman"/>
          <w:color w:val="auto"/>
          <w:lang w:val="en-US" w:eastAsia="zh-CN"/>
        </w:rPr>
        <w:t>11</w:t>
      </w:r>
      <w:r>
        <w:rPr>
          <w:rFonts w:hint="eastAsia" w:ascii="Times New Roman"/>
          <w:color w:val="auto"/>
        </w:rPr>
        <w:t>月</w:t>
      </w:r>
      <w:r>
        <w:rPr>
          <w:rFonts w:hint="eastAsia" w:ascii="Times New Roman"/>
          <w:color w:val="auto"/>
          <w:lang w:val="en-US" w:eastAsia="zh-CN"/>
        </w:rPr>
        <w:t>27</w:t>
      </w:r>
      <w:r>
        <w:rPr>
          <w:rFonts w:hint="eastAsia" w:ascii="Times New Roman"/>
          <w:color w:val="auto"/>
        </w:rPr>
        <w:t>日</w:t>
      </w:r>
      <w:r>
        <w:rPr>
          <w:rFonts w:hint="eastAsia" w:ascii="Times New Roman"/>
          <w:color w:val="auto"/>
          <w:lang w:eastAsia="zh-CN"/>
        </w:rPr>
        <w:t>、</w:t>
      </w:r>
      <w:r>
        <w:rPr>
          <w:rFonts w:hint="eastAsia" w:ascii="Times New Roman"/>
          <w:color w:val="auto"/>
          <w:lang w:val="en-US" w:eastAsia="zh-CN"/>
        </w:rPr>
        <w:t>2024年1月16日</w:t>
      </w:r>
      <w:r>
        <w:rPr>
          <w:rFonts w:hint="eastAsia" w:ascii="Times New Roman"/>
          <w:color w:val="auto"/>
        </w:rPr>
        <w:t>。</w:t>
      </w:r>
    </w:p>
    <w:p>
      <w:pPr>
        <w:pStyle w:val="5"/>
        <w:ind w:firstLine="480"/>
        <w:rPr>
          <w:rFonts w:hint="eastAsia" w:ascii="Times New Roman"/>
          <w:color w:val="auto"/>
        </w:rPr>
      </w:pPr>
      <w:r>
        <w:rPr>
          <w:rFonts w:hint="eastAsia" w:ascii="Times New Roman"/>
          <w:color w:val="auto"/>
        </w:rPr>
        <w:t>具体的网络公示截图见图</w:t>
      </w:r>
      <w:r>
        <w:rPr>
          <w:rFonts w:ascii="Times New Roman"/>
          <w:color w:val="auto"/>
        </w:rPr>
        <w:t>2-1</w:t>
      </w:r>
      <w:r>
        <w:rPr>
          <w:rFonts w:hint="eastAsia" w:ascii="Times New Roman"/>
          <w:color w:val="auto"/>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eastAsiaTheme="minorEastAsia"/>
          <w:color w:val="auto"/>
          <w:lang w:eastAsia="zh-CN"/>
        </w:rPr>
      </w:pPr>
      <w:r>
        <w:rPr>
          <w:rFonts w:hint="eastAsia" w:ascii="Times New Roman" w:eastAsiaTheme="minorEastAsia"/>
          <w:color w:val="auto"/>
          <w:lang w:eastAsia="zh-CN"/>
        </w:rPr>
        <w:drawing>
          <wp:inline distT="0" distB="0" distL="114300" distR="114300">
            <wp:extent cx="5273675" cy="4083050"/>
            <wp:effectExtent l="9525" t="9525" r="12700" b="22225"/>
            <wp:docPr id="1" name="图片 1" descr="第一轮公示截图11.27-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轮公示截图11.27-12.11"/>
                    <pic:cNvPicPr>
                      <a:picLocks noChangeAspect="1"/>
                    </pic:cNvPicPr>
                  </pic:nvPicPr>
                  <pic:blipFill>
                    <a:blip r:embed="rId13"/>
                    <a:stretch>
                      <a:fillRect/>
                    </a:stretch>
                  </pic:blipFill>
                  <pic:spPr>
                    <a:xfrm>
                      <a:off x="0" y="0"/>
                      <a:ext cx="5273675" cy="4083050"/>
                    </a:xfrm>
                    <a:prstGeom prst="rect">
                      <a:avLst/>
                    </a:prstGeom>
                    <a:ln>
                      <a:solidFill>
                        <a:schemeClr val="tx1"/>
                      </a:solidFill>
                    </a:ln>
                  </pic:spPr>
                </pic:pic>
              </a:graphicData>
            </a:graphic>
          </wp:inline>
        </w:drawing>
      </w:r>
    </w:p>
    <w:p>
      <w:pPr>
        <w:spacing w:line="240" w:lineRule="auto"/>
        <w:ind w:firstLine="0" w:firstLineChars="0"/>
        <w:jc w:val="center"/>
        <w:rPr>
          <w:rFonts w:hint="eastAsia"/>
          <w:lang w:eastAsia="zh-CN"/>
        </w:rPr>
      </w:pPr>
      <w:r>
        <w:rPr>
          <w:rFonts w:hint="eastAsia"/>
          <w:lang w:eastAsia="zh-CN"/>
        </w:rPr>
        <w:drawing>
          <wp:inline distT="0" distB="0" distL="114300" distR="114300">
            <wp:extent cx="5273675" cy="3011170"/>
            <wp:effectExtent l="9525" t="9525" r="12700" b="27305"/>
            <wp:docPr id="2" name="图片 2" descr="第一轮公示截图  2  202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轮公示截图  2  2024.1.16"/>
                    <pic:cNvPicPr>
                      <a:picLocks noChangeAspect="1"/>
                    </pic:cNvPicPr>
                  </pic:nvPicPr>
                  <pic:blipFill>
                    <a:blip r:embed="rId14"/>
                    <a:stretch>
                      <a:fillRect/>
                    </a:stretch>
                  </pic:blipFill>
                  <pic:spPr>
                    <a:xfrm>
                      <a:off x="0" y="0"/>
                      <a:ext cx="5273675" cy="3011170"/>
                    </a:xfrm>
                    <a:prstGeom prst="rect">
                      <a:avLst/>
                    </a:prstGeom>
                    <a:ln>
                      <a:solidFill>
                        <a:schemeClr val="tx1"/>
                      </a:solidFill>
                    </a:ln>
                  </pic:spPr>
                </pic:pic>
              </a:graphicData>
            </a:graphic>
          </wp:inline>
        </w:drawing>
      </w:r>
    </w:p>
    <w:p>
      <w:pPr>
        <w:ind w:firstLine="480"/>
        <w:jc w:val="center"/>
        <w:rPr>
          <w:rFonts w:ascii="黑体" w:hAnsi="黑体" w:eastAsia="黑体" w:cs="榛戜綋"/>
          <w:kern w:val="0"/>
          <w:szCs w:val="24"/>
        </w:rPr>
      </w:pPr>
      <w:r>
        <w:rPr>
          <w:rFonts w:hint="eastAsia" w:ascii="黑体" w:hAnsi="黑体" w:eastAsia="黑体" w:cs="榛戜綋"/>
          <w:kern w:val="0"/>
          <w:szCs w:val="24"/>
        </w:rPr>
        <w:t>图</w:t>
      </w:r>
      <w:r>
        <w:rPr>
          <w:rFonts w:eastAsia="黑体"/>
          <w:kern w:val="0"/>
          <w:szCs w:val="24"/>
        </w:rPr>
        <w:t>2-1</w:t>
      </w:r>
      <w:r>
        <w:rPr>
          <w:rFonts w:ascii="黑体" w:hAnsi="黑体" w:eastAsia="黑体" w:cs="Cambria"/>
          <w:kern w:val="0"/>
          <w:szCs w:val="24"/>
        </w:rPr>
        <w:t xml:space="preserve"> </w:t>
      </w:r>
      <w:r>
        <w:rPr>
          <w:rFonts w:hint="eastAsia" w:ascii="黑体" w:hAnsi="黑体" w:eastAsia="黑体" w:cs="榛戜綋"/>
          <w:kern w:val="0"/>
          <w:szCs w:val="24"/>
        </w:rPr>
        <w:t>首次环境影响评价信息公开网页截图</w:t>
      </w:r>
    </w:p>
    <w:p>
      <w:pPr>
        <w:pStyle w:val="3"/>
        <w:spacing w:line="360" w:lineRule="auto"/>
        <w:rPr>
          <w:sz w:val="32"/>
        </w:rPr>
      </w:pPr>
      <w:bookmarkStart w:id="20" w:name="_Toc105506756"/>
      <w:r>
        <w:rPr>
          <w:sz w:val="32"/>
        </w:rPr>
        <w:t xml:space="preserve">2.3 </w:t>
      </w:r>
      <w:r>
        <w:rPr>
          <w:rFonts w:hint="eastAsia"/>
          <w:sz w:val="32"/>
        </w:rPr>
        <w:t>公众意见情况</w:t>
      </w:r>
      <w:bookmarkEnd w:id="20"/>
    </w:p>
    <w:p>
      <w:pPr>
        <w:pStyle w:val="5"/>
        <w:ind w:firstLine="480"/>
        <w:rPr>
          <w:rFonts w:ascii="Times New Roman"/>
          <w:color w:val="auto"/>
        </w:rPr>
      </w:pPr>
      <w:r>
        <w:rPr>
          <w:rFonts w:hint="eastAsia" w:ascii="Times New Roman"/>
          <w:color w:val="auto"/>
        </w:rPr>
        <w:t>本项目首次环境影响评价信息公示期间，未收到公众的反馈意见。</w:t>
      </w:r>
    </w:p>
    <w:p>
      <w:pPr>
        <w:pStyle w:val="5"/>
        <w:spacing w:afterLines="50" w:line="360" w:lineRule="exact"/>
        <w:ind w:firstLine="480"/>
        <w:rPr>
          <w:rFonts w:ascii="Times New Roman"/>
          <w:color w:val="auto"/>
        </w:rPr>
      </w:pPr>
    </w:p>
    <w:p>
      <w:pPr>
        <w:ind w:firstLine="480"/>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pPr>
      <w:bookmarkStart w:id="21" w:name="_Toc105506757"/>
      <w:r>
        <w:t xml:space="preserve">3 </w:t>
      </w:r>
      <w:r>
        <w:rPr>
          <w:rFonts w:hint="eastAsia"/>
        </w:rPr>
        <w:t>征求意见稿公示情况</w:t>
      </w:r>
      <w:bookmarkEnd w:id="21"/>
    </w:p>
    <w:p>
      <w:pPr>
        <w:pStyle w:val="3"/>
        <w:spacing w:line="360" w:lineRule="auto"/>
        <w:rPr>
          <w:sz w:val="32"/>
        </w:rPr>
      </w:pPr>
      <w:bookmarkStart w:id="22" w:name="_Toc105506758"/>
      <w:r>
        <w:rPr>
          <w:sz w:val="32"/>
        </w:rPr>
        <w:t xml:space="preserve">3.1 </w:t>
      </w:r>
      <w:r>
        <w:rPr>
          <w:rFonts w:hint="eastAsia"/>
          <w:sz w:val="32"/>
        </w:rPr>
        <w:t>公示内容及时限</w:t>
      </w:r>
      <w:bookmarkEnd w:id="22"/>
    </w:p>
    <w:p>
      <w:pPr>
        <w:pStyle w:val="5"/>
        <w:ind w:firstLine="480"/>
        <w:rPr>
          <w:rFonts w:ascii="Times New Roman"/>
          <w:color w:val="auto"/>
        </w:rPr>
      </w:pPr>
      <w:r>
        <w:rPr>
          <w:rFonts w:hint="eastAsia" w:ascii="Times New Roman"/>
          <w:color w:val="auto"/>
        </w:rPr>
        <w:t>在本项目的环评报告书主要内容基本完成，并形成征求意见稿形成后，我单位按照《环境影响评价公众参与办法》（生态环境部令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号）中第十条和第十一条的要求，于</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29</w:t>
      </w:r>
      <w:r>
        <w:rPr>
          <w:rFonts w:hint="eastAsia" w:ascii="Times New Roman"/>
          <w:color w:val="auto"/>
        </w:rPr>
        <w:t>日始，同步采用网络平台、报纸公开和现场张贴公示的方式进行了第二次环评信息公开，公开征求与项目环境影响有关的意见，具体公开内容如下：</w:t>
      </w:r>
    </w:p>
    <w:p>
      <w:pPr>
        <w:pStyle w:val="5"/>
        <w:ind w:firstLine="480"/>
        <w:rPr>
          <w:rFonts w:ascii="Times New Roman"/>
          <w:color w:val="auto"/>
        </w:rPr>
      </w:pPr>
      <w:r>
        <w:rPr>
          <w:rFonts w:hint="eastAsia" w:ascii="Times New Roman"/>
          <w:color w:val="auto"/>
        </w:rPr>
        <w:t>（1）环境影响报告书征求意见稿全文的网络下载链接，查阅纸质报告书的方式和途径；</w:t>
      </w:r>
    </w:p>
    <w:p>
      <w:pPr>
        <w:pStyle w:val="5"/>
        <w:ind w:firstLine="480"/>
        <w:rPr>
          <w:rFonts w:ascii="Times New Roman"/>
          <w:color w:val="auto"/>
        </w:rPr>
      </w:pPr>
      <w:r>
        <w:rPr>
          <w:rFonts w:hint="eastAsia" w:ascii="Times New Roman"/>
          <w:color w:val="auto"/>
        </w:rPr>
        <w:t>（2）征求意见的公众范围；</w:t>
      </w:r>
    </w:p>
    <w:p>
      <w:pPr>
        <w:pStyle w:val="5"/>
        <w:ind w:firstLine="480"/>
        <w:rPr>
          <w:rFonts w:ascii="Times New Roman"/>
          <w:color w:val="auto"/>
        </w:rPr>
      </w:pPr>
      <w:r>
        <w:rPr>
          <w:rFonts w:hint="eastAsia" w:ascii="Times New Roman"/>
          <w:color w:val="auto"/>
        </w:rPr>
        <w:t>（3）公众意见表的网络链接；</w:t>
      </w:r>
    </w:p>
    <w:p>
      <w:pPr>
        <w:pStyle w:val="5"/>
        <w:ind w:firstLine="480"/>
        <w:rPr>
          <w:rFonts w:ascii="Times New Roman"/>
          <w:color w:val="auto"/>
        </w:rPr>
      </w:pPr>
      <w:r>
        <w:rPr>
          <w:rFonts w:hint="eastAsia" w:ascii="Times New Roman"/>
          <w:color w:val="auto"/>
        </w:rPr>
        <w:t>（4）公众提出意见的方式和途径；</w:t>
      </w:r>
    </w:p>
    <w:p>
      <w:pPr>
        <w:pStyle w:val="5"/>
        <w:ind w:firstLine="480"/>
        <w:rPr>
          <w:rFonts w:ascii="Times New Roman"/>
          <w:color w:val="auto"/>
        </w:rPr>
      </w:pPr>
      <w:r>
        <w:rPr>
          <w:rFonts w:hint="eastAsia" w:ascii="Times New Roman"/>
          <w:color w:val="auto"/>
        </w:rPr>
        <w:t>（5）公众提出意见的起止时间。</w:t>
      </w:r>
    </w:p>
    <w:p>
      <w:pPr>
        <w:pStyle w:val="3"/>
        <w:spacing w:line="360" w:lineRule="auto"/>
        <w:rPr>
          <w:sz w:val="32"/>
        </w:rPr>
      </w:pPr>
      <w:bookmarkStart w:id="23" w:name="_Toc105506759"/>
      <w:r>
        <w:rPr>
          <w:sz w:val="32"/>
        </w:rPr>
        <w:t xml:space="preserve">3.2 </w:t>
      </w:r>
      <w:r>
        <w:rPr>
          <w:rFonts w:hint="eastAsia"/>
          <w:sz w:val="32"/>
        </w:rPr>
        <w:t>公示方式</w:t>
      </w:r>
      <w:bookmarkEnd w:id="23"/>
    </w:p>
    <w:p>
      <w:pPr>
        <w:pStyle w:val="4"/>
        <w:spacing w:before="120" w:after="120" w:line="360" w:lineRule="auto"/>
      </w:pPr>
      <w:bookmarkStart w:id="24" w:name="_Toc105506760"/>
      <w:r>
        <w:t xml:space="preserve">3.2.1 </w:t>
      </w:r>
      <w:r>
        <w:rPr>
          <w:rFonts w:hint="eastAsia"/>
        </w:rPr>
        <w:t>网络</w:t>
      </w:r>
      <w:bookmarkEnd w:id="24"/>
    </w:p>
    <w:p>
      <w:pPr>
        <w:pStyle w:val="5"/>
        <w:ind w:firstLine="480"/>
        <w:rPr>
          <w:rFonts w:ascii="Times New Roman"/>
          <w:color w:val="auto"/>
        </w:rPr>
      </w:pPr>
      <w:r>
        <w:rPr>
          <w:rFonts w:hint="eastAsia" w:ascii="Times New Roman"/>
          <w:color w:val="auto"/>
        </w:rPr>
        <w:t>我单位于</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29</w:t>
      </w:r>
      <w:r>
        <w:rPr>
          <w:rFonts w:hint="eastAsia" w:ascii="Times New Roman"/>
          <w:color w:val="auto"/>
        </w:rPr>
        <w:t>日在</w:t>
      </w:r>
      <w:r>
        <w:rPr>
          <w:rFonts w:hint="eastAsia" w:ascii="Times New Roman"/>
          <w:color w:val="auto"/>
          <w:lang w:eastAsia="zh-CN"/>
        </w:rPr>
        <w:t>金港集团</w:t>
      </w:r>
      <w:r>
        <w:rPr>
          <w:rFonts w:hint="eastAsia" w:ascii="Times New Roman"/>
          <w:color w:val="auto"/>
        </w:rPr>
        <w:t>官方网站新闻中心版块中公司公告（</w:t>
      </w:r>
      <w:r>
        <w:rPr>
          <w:rFonts w:hint="default" w:ascii="Times New Roman"/>
          <w:color w:val="auto"/>
        </w:rPr>
        <w:t>https://www.jingang-group.com/news/141.html</w:t>
      </w:r>
      <w:r>
        <w:rPr>
          <w:rFonts w:hint="eastAsia" w:ascii="Times New Roman"/>
          <w:color w:val="auto"/>
        </w:rPr>
        <w:t>）对报告书征求意见稿的全文进行了公示，并提供了报告书征求意见稿全文和公众意见表的网络下载链接；公开期限为</w:t>
      </w:r>
      <w:r>
        <w:rPr>
          <w:rFonts w:ascii="Times New Roman"/>
          <w:color w:val="auto"/>
        </w:rPr>
        <w:t>10</w:t>
      </w:r>
      <w:r>
        <w:rPr>
          <w:rFonts w:hint="eastAsia" w:ascii="Times New Roman"/>
          <w:color w:val="auto"/>
        </w:rPr>
        <w:t>个工作日，符合《环境影响评价公众参与办法》（生态环境部令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号）中第十一条中第</w:t>
      </w:r>
      <w:r>
        <w:rPr>
          <w:rFonts w:ascii="Times New Roman"/>
          <w:color w:val="auto"/>
        </w:rPr>
        <w:t>1</w:t>
      </w:r>
      <w:r>
        <w:rPr>
          <w:rFonts w:hint="eastAsia" w:ascii="Times New Roman"/>
          <w:color w:val="auto"/>
        </w:rPr>
        <w:t>款的要求。</w:t>
      </w:r>
    </w:p>
    <w:p>
      <w:pPr>
        <w:pStyle w:val="5"/>
        <w:ind w:firstLine="480"/>
        <w:rPr>
          <w:rFonts w:hint="eastAsia" w:ascii="Times New Roman"/>
          <w:color w:val="auto"/>
        </w:rPr>
      </w:pPr>
      <w:r>
        <w:rPr>
          <w:rFonts w:hint="eastAsia" w:ascii="Times New Roman"/>
          <w:color w:val="auto"/>
        </w:rPr>
        <w:t>具体的网络公示截图见图</w:t>
      </w:r>
      <w:r>
        <w:rPr>
          <w:rFonts w:ascii="Times New Roman"/>
          <w:color w:val="auto"/>
        </w:rPr>
        <w:t>3-1</w:t>
      </w:r>
      <w:r>
        <w:rPr>
          <w:rFonts w:hint="eastAsia" w:ascii="Times New Roman"/>
          <w:color w:val="auto"/>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eastAsiaTheme="minorEastAsia"/>
          <w:color w:val="auto"/>
          <w:lang w:eastAsia="zh-CN"/>
        </w:rPr>
      </w:pPr>
      <w:r>
        <w:rPr>
          <w:rFonts w:hint="eastAsia" w:ascii="Times New Roman" w:eastAsiaTheme="minorEastAsia"/>
          <w:color w:val="auto"/>
          <w:lang w:eastAsia="zh-CN"/>
        </w:rPr>
        <w:drawing>
          <wp:inline distT="0" distB="0" distL="114300" distR="114300">
            <wp:extent cx="5259070" cy="2077720"/>
            <wp:effectExtent l="9525" t="9525" r="27305" b="27305"/>
            <wp:docPr id="7" name="图片 7" descr="第二轮网上公示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二轮网上公示1.29-2"/>
                    <pic:cNvPicPr>
                      <a:picLocks noChangeAspect="1"/>
                    </pic:cNvPicPr>
                  </pic:nvPicPr>
                  <pic:blipFill>
                    <a:blip r:embed="rId15"/>
                    <a:stretch>
                      <a:fillRect/>
                    </a:stretch>
                  </pic:blipFill>
                  <pic:spPr>
                    <a:xfrm>
                      <a:off x="0" y="0"/>
                      <a:ext cx="5259070" cy="2077720"/>
                    </a:xfrm>
                    <a:prstGeom prst="rect">
                      <a:avLst/>
                    </a:prstGeom>
                    <a:ln>
                      <a:solidFill>
                        <a:schemeClr val="tx1"/>
                      </a:solidFill>
                    </a:ln>
                  </pic:spPr>
                </pic:pic>
              </a:graphicData>
            </a:graphic>
          </wp:inline>
        </w:drawing>
      </w:r>
    </w:p>
    <w:p>
      <w:pPr>
        <w:spacing w:line="240" w:lineRule="auto"/>
        <w:ind w:firstLine="0" w:firstLineChars="0"/>
        <w:rPr>
          <w:rFonts w:hint="eastAsia" w:eastAsia="宋体"/>
          <w:lang w:eastAsia="zh-CN"/>
        </w:rPr>
      </w:pPr>
      <w:r>
        <w:rPr>
          <w:rFonts w:hint="eastAsia" w:eastAsia="宋体"/>
          <w:lang w:eastAsia="zh-CN"/>
        </w:rPr>
        <w:drawing>
          <wp:inline distT="0" distB="0" distL="114300" distR="114300">
            <wp:extent cx="5265420" cy="4387850"/>
            <wp:effectExtent l="9525" t="9525" r="20955" b="22225"/>
            <wp:docPr id="6" name="图片 6" descr="第二轮网上公示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二轮网上公示1.29"/>
                    <pic:cNvPicPr>
                      <a:picLocks noChangeAspect="1"/>
                    </pic:cNvPicPr>
                  </pic:nvPicPr>
                  <pic:blipFill>
                    <a:blip r:embed="rId16"/>
                    <a:stretch>
                      <a:fillRect/>
                    </a:stretch>
                  </pic:blipFill>
                  <pic:spPr>
                    <a:xfrm>
                      <a:off x="0" y="0"/>
                      <a:ext cx="5265420" cy="4387850"/>
                    </a:xfrm>
                    <a:prstGeom prst="rect">
                      <a:avLst/>
                    </a:prstGeom>
                    <a:ln>
                      <a:solidFill>
                        <a:schemeClr val="tx1"/>
                      </a:solidFill>
                    </a:ln>
                  </pic:spPr>
                </pic:pic>
              </a:graphicData>
            </a:graphic>
          </wp:inline>
        </w:drawing>
      </w:r>
    </w:p>
    <w:p>
      <w:pPr>
        <w:ind w:firstLine="480"/>
        <w:jc w:val="center"/>
        <w:rPr>
          <w:rFonts w:hAnsi="黑体" w:eastAsia="黑体" w:cs="榛戜綋"/>
          <w:kern w:val="0"/>
          <w:szCs w:val="24"/>
        </w:rPr>
      </w:pPr>
      <w:r>
        <w:rPr>
          <w:rFonts w:hint="eastAsia" w:hAnsi="黑体" w:eastAsia="黑体" w:cs="榛戜綋"/>
          <w:kern w:val="0"/>
          <w:szCs w:val="24"/>
        </w:rPr>
        <w:t>图3</w:t>
      </w:r>
      <w:r>
        <w:rPr>
          <w:rFonts w:hAnsi="黑体" w:eastAsia="黑体" w:cs="榛戜綋"/>
          <w:kern w:val="0"/>
          <w:szCs w:val="24"/>
        </w:rPr>
        <w:t>-1</w:t>
      </w:r>
      <w:r>
        <w:rPr>
          <w:rFonts w:hint="eastAsia" w:hAnsi="黑体" w:eastAsia="黑体" w:cs="榛戜綋"/>
          <w:kern w:val="0"/>
          <w:szCs w:val="24"/>
        </w:rPr>
        <w:t xml:space="preserve">  第二次环境影响评价信息公开网页截图（</w:t>
      </w:r>
      <w:r>
        <w:rPr>
          <w:rFonts w:hAnsi="黑体" w:eastAsia="黑体" w:cs="榛戜綋"/>
          <w:kern w:val="0"/>
          <w:szCs w:val="24"/>
        </w:rPr>
        <w:t>20</w:t>
      </w:r>
      <w:r>
        <w:rPr>
          <w:rFonts w:hint="eastAsia" w:hAnsi="黑体" w:eastAsia="黑体" w:cs="榛戜綋"/>
          <w:kern w:val="0"/>
          <w:szCs w:val="24"/>
        </w:rPr>
        <w:t>2</w:t>
      </w:r>
      <w:r>
        <w:rPr>
          <w:rFonts w:hint="eastAsia" w:hAnsi="黑体" w:eastAsia="黑体" w:cs="榛戜綋"/>
          <w:kern w:val="0"/>
          <w:szCs w:val="24"/>
          <w:lang w:val="en-US" w:eastAsia="zh-CN"/>
        </w:rPr>
        <w:t>4</w:t>
      </w:r>
      <w:r>
        <w:rPr>
          <w:rFonts w:hint="eastAsia" w:hAnsi="黑体" w:eastAsia="黑体" w:cs="榛戜綋"/>
          <w:kern w:val="0"/>
          <w:szCs w:val="24"/>
        </w:rPr>
        <w:t>年</w:t>
      </w:r>
      <w:r>
        <w:rPr>
          <w:rFonts w:hint="eastAsia" w:hAnsi="黑体" w:eastAsia="黑体" w:cs="榛戜綋"/>
          <w:kern w:val="0"/>
          <w:szCs w:val="24"/>
          <w:lang w:val="en-US" w:eastAsia="zh-CN"/>
        </w:rPr>
        <w:t>1</w:t>
      </w:r>
      <w:r>
        <w:rPr>
          <w:rFonts w:hint="eastAsia" w:hAnsi="黑体" w:eastAsia="黑体" w:cs="榛戜綋"/>
          <w:kern w:val="0"/>
          <w:szCs w:val="24"/>
        </w:rPr>
        <w:t>月</w:t>
      </w:r>
      <w:r>
        <w:rPr>
          <w:rFonts w:hint="eastAsia" w:hAnsi="黑体" w:eastAsia="黑体" w:cs="榛戜綋"/>
          <w:kern w:val="0"/>
          <w:szCs w:val="24"/>
          <w:lang w:val="en-US" w:eastAsia="zh-CN"/>
        </w:rPr>
        <w:t>29</w:t>
      </w:r>
      <w:r>
        <w:rPr>
          <w:rFonts w:hint="eastAsia" w:hAnsi="黑体" w:eastAsia="黑体" w:cs="榛戜綋"/>
          <w:kern w:val="0"/>
          <w:szCs w:val="24"/>
        </w:rPr>
        <w:t>日）</w:t>
      </w:r>
    </w:p>
    <w:p>
      <w:pPr>
        <w:pStyle w:val="4"/>
        <w:spacing w:before="120" w:after="120" w:line="360" w:lineRule="auto"/>
      </w:pPr>
      <w:bookmarkStart w:id="25" w:name="_Toc105506761"/>
      <w:r>
        <w:t xml:space="preserve">3.2.2 </w:t>
      </w:r>
      <w:r>
        <w:rPr>
          <w:rFonts w:hint="eastAsia"/>
        </w:rPr>
        <w:t>报纸</w:t>
      </w:r>
      <w:bookmarkEnd w:id="25"/>
    </w:p>
    <w:p>
      <w:pPr>
        <w:pStyle w:val="5"/>
        <w:ind w:firstLine="480"/>
        <w:rPr>
          <w:rFonts w:ascii="Times New Roman"/>
          <w:color w:val="auto"/>
        </w:rPr>
      </w:pPr>
      <w:r>
        <w:rPr>
          <w:rFonts w:hint="eastAsia" w:ascii="Times New Roman"/>
          <w:color w:val="auto"/>
        </w:rPr>
        <w:t>在进行网络平台公示同时，我单位分别于</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31</w:t>
      </w:r>
      <w:r>
        <w:rPr>
          <w:rFonts w:hint="eastAsia" w:ascii="Times New Roman"/>
          <w:color w:val="auto"/>
        </w:rPr>
        <w:t>日和</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2</w:t>
      </w:r>
      <w:r>
        <w:rPr>
          <w:rFonts w:hint="eastAsia" w:ascii="Times New Roman"/>
          <w:color w:val="auto"/>
        </w:rPr>
        <w:t>月</w:t>
      </w:r>
      <w:r>
        <w:rPr>
          <w:rFonts w:hint="eastAsia" w:ascii="Times New Roman"/>
          <w:color w:val="auto"/>
          <w:lang w:val="en-US" w:eastAsia="zh-CN"/>
        </w:rPr>
        <w:t>4</w:t>
      </w:r>
      <w:r>
        <w:rPr>
          <w:rFonts w:hint="eastAsia" w:ascii="Times New Roman"/>
          <w:color w:val="auto"/>
        </w:rPr>
        <w:t>日在《</w:t>
      </w:r>
      <w:r>
        <w:rPr>
          <w:rFonts w:hint="eastAsia" w:ascii="Times New Roman"/>
          <w:color w:val="auto"/>
          <w:lang w:eastAsia="zh-CN"/>
        </w:rPr>
        <w:t>大连晚报</w:t>
      </w:r>
      <w:r>
        <w:rPr>
          <w:rFonts w:hint="eastAsia" w:ascii="Times New Roman"/>
          <w:color w:val="auto"/>
        </w:rPr>
        <w:t>》进行了两次环评信息公开。</w:t>
      </w:r>
    </w:p>
    <w:p>
      <w:pPr>
        <w:pStyle w:val="5"/>
        <w:ind w:firstLine="480"/>
        <w:rPr>
          <w:rFonts w:ascii="Times New Roman"/>
          <w:color w:val="auto"/>
        </w:rPr>
      </w:pPr>
      <w:r>
        <w:rPr>
          <w:rFonts w:hint="eastAsia" w:ascii="Times New Roman"/>
          <w:color w:val="auto"/>
        </w:rPr>
        <w:t>《</w:t>
      </w:r>
      <w:r>
        <w:rPr>
          <w:rFonts w:hint="eastAsia" w:ascii="Times New Roman"/>
          <w:color w:val="auto"/>
          <w:lang w:eastAsia="zh-CN"/>
        </w:rPr>
        <w:t>大连晚报</w:t>
      </w:r>
      <w:r>
        <w:rPr>
          <w:rFonts w:hint="eastAsia" w:ascii="Times New Roman"/>
          <w:color w:val="auto"/>
        </w:rPr>
        <w:t>》是大连比较有影响力的媒体平台之一，读者广范，受众面广，属于当地公众易于接触的报纸，因此选择《</w:t>
      </w:r>
      <w:r>
        <w:rPr>
          <w:rFonts w:hint="eastAsia" w:ascii="Times New Roman"/>
          <w:color w:val="auto"/>
          <w:lang w:eastAsia="zh-CN"/>
        </w:rPr>
        <w:t>大连晚报</w:t>
      </w:r>
      <w:r>
        <w:rPr>
          <w:rFonts w:hint="eastAsia" w:ascii="Times New Roman"/>
          <w:color w:val="auto"/>
        </w:rPr>
        <w:t>》进行环评信息公示，符合《环境影响评价公众参与办法》（生态环境部令</w:t>
      </w:r>
      <w:r>
        <w:rPr>
          <w:rFonts w:ascii="Times New Roman"/>
          <w:color w:val="auto"/>
        </w:rPr>
        <w:t>[2018]</w:t>
      </w:r>
      <w:r>
        <w:rPr>
          <w:rFonts w:hint="eastAsia" w:ascii="Times New Roman"/>
          <w:color w:val="auto"/>
        </w:rPr>
        <w:t>第</w:t>
      </w:r>
      <w:r>
        <w:rPr>
          <w:rFonts w:ascii="Times New Roman"/>
          <w:color w:val="auto"/>
        </w:rPr>
        <w:t>4</w:t>
      </w:r>
      <w:r>
        <w:rPr>
          <w:rFonts w:hint="eastAsia" w:ascii="Times New Roman"/>
          <w:color w:val="auto"/>
        </w:rPr>
        <w:t>号）中第十一条中第</w:t>
      </w:r>
      <w:r>
        <w:rPr>
          <w:rFonts w:ascii="Times New Roman"/>
          <w:color w:val="auto"/>
        </w:rPr>
        <w:t xml:space="preserve">2 </w:t>
      </w:r>
      <w:r>
        <w:rPr>
          <w:rFonts w:hint="eastAsia" w:ascii="Times New Roman"/>
          <w:color w:val="auto"/>
        </w:rPr>
        <w:t>款的要求。</w:t>
      </w:r>
    </w:p>
    <w:p>
      <w:pPr>
        <w:pStyle w:val="5"/>
        <w:ind w:firstLine="482"/>
        <w:rPr>
          <w:rFonts w:ascii="Times New Roman"/>
          <w:b/>
          <w:color w:val="auto"/>
        </w:rPr>
      </w:pPr>
      <w:r>
        <w:rPr>
          <w:rFonts w:hint="eastAsia" w:ascii="Times New Roman"/>
          <w:b/>
          <w:color w:val="auto"/>
        </w:rPr>
        <w:t>（1）第一次报纸公示</w:t>
      </w:r>
    </w:p>
    <w:p>
      <w:pPr>
        <w:pStyle w:val="5"/>
        <w:ind w:firstLine="480"/>
        <w:rPr>
          <w:rFonts w:ascii="Times New Roman"/>
          <w:color w:val="auto"/>
        </w:rPr>
      </w:pPr>
      <w:r>
        <w:rPr>
          <w:rFonts w:hint="eastAsia" w:ascii="Times New Roman"/>
          <w:color w:val="auto"/>
        </w:rPr>
        <w:t>第一次报纸公示时间为</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31</w:t>
      </w:r>
      <w:r>
        <w:rPr>
          <w:rFonts w:hint="eastAsia" w:ascii="Times New Roman"/>
          <w:color w:val="auto"/>
        </w:rPr>
        <w:t>日，在《</w:t>
      </w:r>
      <w:r>
        <w:rPr>
          <w:rFonts w:hint="eastAsia" w:ascii="Times New Roman"/>
          <w:color w:val="auto"/>
          <w:lang w:eastAsia="zh-CN"/>
        </w:rPr>
        <w:t>大连晚报</w:t>
      </w:r>
      <w:r>
        <w:rPr>
          <w:rFonts w:hint="eastAsia" w:ascii="Times New Roman"/>
          <w:color w:val="auto"/>
        </w:rPr>
        <w:t>》（国内统一刊号CN21-00</w:t>
      </w:r>
      <w:r>
        <w:rPr>
          <w:rFonts w:hint="eastAsia" w:ascii="Times New Roman"/>
          <w:color w:val="auto"/>
          <w:lang w:val="en-US" w:eastAsia="zh-CN"/>
        </w:rPr>
        <w:t>45</w:t>
      </w:r>
      <w:r>
        <w:rPr>
          <w:rFonts w:hint="eastAsia" w:ascii="Times New Roman"/>
          <w:color w:val="auto"/>
        </w:rPr>
        <w:t>）总第</w:t>
      </w:r>
      <w:r>
        <w:rPr>
          <w:rFonts w:hint="eastAsia" w:ascii="Times New Roman"/>
          <w:color w:val="auto"/>
          <w:lang w:val="en-US" w:eastAsia="zh-CN"/>
        </w:rPr>
        <w:t>12545</w:t>
      </w:r>
      <w:r>
        <w:rPr>
          <w:rFonts w:hint="eastAsia" w:ascii="Times New Roman"/>
          <w:color w:val="auto"/>
        </w:rPr>
        <w:t>期的第0</w:t>
      </w:r>
      <w:r>
        <w:rPr>
          <w:rFonts w:hint="eastAsia" w:ascii="Times New Roman"/>
          <w:color w:val="auto"/>
          <w:lang w:val="en-US" w:eastAsia="zh-CN"/>
        </w:rPr>
        <w:t>5</w:t>
      </w:r>
      <w:r>
        <w:rPr>
          <w:rFonts w:hint="eastAsia" w:ascii="Times New Roman"/>
          <w:color w:val="auto"/>
        </w:rPr>
        <w:t>版面，具体的报纸公示截图见图</w:t>
      </w:r>
      <w:r>
        <w:rPr>
          <w:rFonts w:ascii="Times New Roman"/>
          <w:color w:val="auto"/>
        </w:rPr>
        <w:t>3-2</w:t>
      </w:r>
      <w:r>
        <w:rPr>
          <w:rFonts w:hint="eastAsia" w:ascii="Times New Roman"/>
          <w:color w:val="auto"/>
        </w:rPr>
        <w:t>。</w:t>
      </w:r>
    </w:p>
    <w:p>
      <w:pPr>
        <w:pStyle w:val="5"/>
        <w:spacing w:line="240" w:lineRule="auto"/>
        <w:ind w:firstLine="0" w:firstLineChars="0"/>
        <w:jc w:val="center"/>
        <w:rPr>
          <w:rFonts w:hint="eastAsia" w:ascii="Times New Roman" w:eastAsiaTheme="minorEastAsia"/>
          <w:color w:val="auto"/>
          <w:lang w:eastAsia="zh-CN"/>
        </w:rPr>
      </w:pPr>
      <w:r>
        <w:drawing>
          <wp:inline distT="0" distB="0" distL="114300" distR="114300">
            <wp:extent cx="5273040" cy="7479030"/>
            <wp:effectExtent l="0" t="0" r="381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lum bright="12000" contrast="6000"/>
                    </a:blip>
                    <a:stretch>
                      <a:fillRect/>
                    </a:stretch>
                  </pic:blipFill>
                  <pic:spPr>
                    <a:xfrm>
                      <a:off x="0" y="0"/>
                      <a:ext cx="5273040" cy="7479030"/>
                    </a:xfrm>
                    <a:prstGeom prst="rect">
                      <a:avLst/>
                    </a:prstGeom>
                    <a:noFill/>
                    <a:ln>
                      <a:noFill/>
                    </a:ln>
                  </pic:spPr>
                </pic:pic>
              </a:graphicData>
            </a:graphic>
          </wp:inline>
        </w:drawing>
      </w:r>
    </w:p>
    <w:p>
      <w:pPr>
        <w:pStyle w:val="5"/>
        <w:spacing w:line="240" w:lineRule="auto"/>
        <w:ind w:firstLine="0" w:firstLineChars="0"/>
        <w:rPr>
          <w:rFonts w:ascii="Times New Roman"/>
          <w:color w:val="auto"/>
        </w:rPr>
      </w:pPr>
    </w:p>
    <w:p>
      <w:pPr>
        <w:pStyle w:val="5"/>
        <w:spacing w:line="240" w:lineRule="auto"/>
        <w:ind w:firstLine="0" w:firstLineChars="0"/>
        <w:jc w:val="center"/>
        <w:rPr>
          <w:rFonts w:hint="eastAsia" w:ascii="Times New Roman" w:eastAsiaTheme="minorEastAsia"/>
          <w:color w:val="auto"/>
          <w:lang w:eastAsia="zh-CN"/>
        </w:rPr>
      </w:pPr>
      <w:r>
        <w:rPr>
          <w:rFonts w:ascii="Times New Roman"/>
          <w:color w:val="auto"/>
        </w:rPr>
        <w:pict>
          <v:shape id="_x0000_s1027" o:spid="_x0000_s1027" o:spt="32" type="#_x0000_t32" style="position:absolute;left:0pt;margin-left:118.4pt;margin-top:541.6pt;height:33.9pt;width:58.5pt;z-index:251660288;mso-width-relative:page;mso-height-relative:page;" filled="f" stroked="t" coordsize="21600,21600">
            <v:path arrowok="t"/>
            <v:fill on="f" focussize="0,0"/>
            <v:stroke weight="1.5pt" color="#FF00FF" endarrow="classic" endarrowwidth="wide" endarrowlength="long"/>
            <v:imagedata o:title=""/>
            <o:lock v:ext="edit" aspectratio="f"/>
          </v:shape>
        </w:pict>
      </w:r>
      <w:r>
        <w:rPr>
          <w:rFonts w:ascii="Times New Roman"/>
          <w:color w:val="auto"/>
        </w:rPr>
        <w:pict>
          <v:shape id="_x0000_s1028" o:spid="_x0000_s1028" o:spt="202" type="#_x0000_t202" style="position:absolute;left:0pt;margin-left:179.3pt;margin-top:481.15pt;height:157.25pt;width:239.9pt;z-index:251661312;mso-width-relative:page;mso-height-relative:page;" fillcolor="#FFFFFF" filled="t" stroked="t" coordsize="21600,21600">
            <v:path/>
            <v:fill on="t" color2="#FFFFFF" focussize="0,0"/>
            <v:stroke color="#FF00FF" joinstyle="miter"/>
            <v:imagedata o:title=""/>
            <o:lock v:ext="edit" aspectratio="f"/>
            <v:textbox>
              <w:txbxContent>
                <w:p>
                  <w:pPr>
                    <w:adjustRightInd w:val="0"/>
                    <w:snapToGrid w:val="0"/>
                    <w:spacing w:line="240" w:lineRule="auto"/>
                    <w:ind w:firstLine="0" w:firstLineChars="0"/>
                  </w:pPr>
                  <w:r>
                    <w:drawing>
                      <wp:inline distT="0" distB="0" distL="114300" distR="114300">
                        <wp:extent cx="2889250" cy="1907540"/>
                        <wp:effectExtent l="0" t="0" r="6350"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lum bright="6000" contrast="6000"/>
                                </a:blip>
                                <a:stretch>
                                  <a:fillRect/>
                                </a:stretch>
                              </pic:blipFill>
                              <pic:spPr>
                                <a:xfrm>
                                  <a:off x="0" y="0"/>
                                  <a:ext cx="2889250" cy="1907540"/>
                                </a:xfrm>
                                <a:prstGeom prst="rect">
                                  <a:avLst/>
                                </a:prstGeom>
                                <a:noFill/>
                                <a:ln>
                                  <a:noFill/>
                                </a:ln>
                              </pic:spPr>
                            </pic:pic>
                          </a:graphicData>
                        </a:graphic>
                      </wp:inline>
                    </w:drawing>
                  </w:r>
                </w:p>
              </w:txbxContent>
            </v:textbox>
          </v:shape>
        </w:pict>
      </w:r>
      <w:r>
        <w:rPr>
          <w:rFonts w:ascii="Times New Roman"/>
          <w:color w:val="auto"/>
        </w:rPr>
        <w:pict>
          <v:shape id="_x0000_s1026" o:spid="_x0000_s1026" o:spt="109" type="#_x0000_t109" style="position:absolute;left:0pt;margin-left:17.25pt;margin-top:482.95pt;height:64.5pt;width:99.75pt;z-index:251659264;mso-width-relative:page;mso-height-relative:page;" filled="f" stroked="t" coordsize="21600,21600">
            <v:path/>
            <v:fill on="f" focussize="0,0"/>
            <v:stroke weight="1.5pt" color="#FF00FF" joinstyle="miter"/>
            <v:imagedata o:title=""/>
            <o:lock v:ext="edit" aspectratio="f"/>
          </v:shape>
        </w:pict>
      </w:r>
      <w:r>
        <w:drawing>
          <wp:inline distT="0" distB="0" distL="114300" distR="114300">
            <wp:extent cx="5010785" cy="7089775"/>
            <wp:effectExtent l="0" t="0" r="1841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lum bright="12000" contrast="6000"/>
                    </a:blip>
                    <a:stretch>
                      <a:fillRect/>
                    </a:stretch>
                  </pic:blipFill>
                  <pic:spPr>
                    <a:xfrm>
                      <a:off x="0" y="0"/>
                      <a:ext cx="5010785" cy="7089775"/>
                    </a:xfrm>
                    <a:prstGeom prst="rect">
                      <a:avLst/>
                    </a:prstGeom>
                    <a:noFill/>
                    <a:ln>
                      <a:noFill/>
                    </a:ln>
                  </pic:spPr>
                </pic:pic>
              </a:graphicData>
            </a:graphic>
          </wp:inline>
        </w:drawing>
      </w:r>
    </w:p>
    <w:p>
      <w:pPr>
        <w:pStyle w:val="5"/>
        <w:spacing w:line="240" w:lineRule="auto"/>
        <w:ind w:firstLine="0" w:firstLineChars="0"/>
        <w:rPr>
          <w:rFonts w:ascii="Times New Roman"/>
          <w:color w:val="auto"/>
        </w:rPr>
      </w:pPr>
    </w:p>
    <w:p>
      <w:pPr>
        <w:pStyle w:val="5"/>
        <w:spacing w:line="240" w:lineRule="auto"/>
        <w:ind w:firstLine="0" w:firstLineChars="0"/>
        <w:rPr>
          <w:rFonts w:ascii="Times New Roman"/>
          <w:color w:val="auto"/>
        </w:rPr>
      </w:pPr>
    </w:p>
    <w:p>
      <w:pPr>
        <w:pStyle w:val="5"/>
        <w:spacing w:line="240" w:lineRule="auto"/>
        <w:ind w:firstLine="0" w:firstLineChars="0"/>
        <w:rPr>
          <w:rFonts w:ascii="Times New Roman"/>
          <w:color w:val="auto"/>
        </w:rPr>
      </w:pPr>
    </w:p>
    <w:p>
      <w:pPr>
        <w:pStyle w:val="5"/>
        <w:spacing w:line="240" w:lineRule="auto"/>
        <w:ind w:firstLine="0" w:firstLineChars="0"/>
        <w:rPr>
          <w:rFonts w:ascii="Times New Roman"/>
          <w:color w:val="auto"/>
        </w:rPr>
      </w:pPr>
    </w:p>
    <w:p>
      <w:pPr>
        <w:pStyle w:val="5"/>
        <w:spacing w:line="240" w:lineRule="auto"/>
        <w:ind w:firstLine="0" w:firstLineChars="0"/>
        <w:rPr>
          <w:rFonts w:ascii="Times New Roman"/>
          <w:color w:val="auto"/>
        </w:rPr>
      </w:pPr>
    </w:p>
    <w:p>
      <w:pPr>
        <w:snapToGrid w:val="0"/>
        <w:spacing w:line="240" w:lineRule="auto"/>
        <w:ind w:firstLine="480"/>
        <w:jc w:val="center"/>
        <w:rPr>
          <w:rFonts w:hAnsi="黑体" w:eastAsia="黑体" w:cs="榛戜綋"/>
          <w:kern w:val="0"/>
          <w:szCs w:val="24"/>
        </w:rPr>
      </w:pPr>
    </w:p>
    <w:p>
      <w:pPr>
        <w:snapToGrid w:val="0"/>
        <w:spacing w:line="240" w:lineRule="auto"/>
        <w:ind w:firstLine="480"/>
        <w:jc w:val="center"/>
        <w:rPr>
          <w:rFonts w:hAnsi="黑体" w:eastAsia="黑体" w:cs="榛戜綋"/>
          <w:kern w:val="0"/>
          <w:szCs w:val="24"/>
        </w:rPr>
      </w:pPr>
      <w:r>
        <w:rPr>
          <w:rFonts w:hint="eastAsia" w:hAnsi="黑体" w:eastAsia="黑体" w:cs="榛戜綋"/>
          <w:kern w:val="0"/>
          <w:szCs w:val="24"/>
        </w:rPr>
        <w:t>图</w:t>
      </w:r>
      <w:r>
        <w:rPr>
          <w:rFonts w:eastAsia="黑体" w:cs="榛戜綋"/>
          <w:kern w:val="0"/>
          <w:szCs w:val="24"/>
        </w:rPr>
        <w:t xml:space="preserve">3-2 </w:t>
      </w:r>
      <w:r>
        <w:rPr>
          <w:rFonts w:hint="eastAsia" w:hAnsi="黑体" w:eastAsia="黑体" w:cs="榛戜綋"/>
          <w:kern w:val="0"/>
          <w:szCs w:val="24"/>
        </w:rPr>
        <w:t>第一次报纸公示情况截图（</w:t>
      </w:r>
      <w:r>
        <w:rPr>
          <w:rFonts w:eastAsia="黑体" w:cs="榛戜綋"/>
          <w:kern w:val="0"/>
          <w:szCs w:val="24"/>
        </w:rPr>
        <w:t>20</w:t>
      </w:r>
      <w:r>
        <w:rPr>
          <w:rFonts w:hint="eastAsia" w:eastAsia="黑体" w:cs="榛戜綋"/>
          <w:kern w:val="0"/>
          <w:szCs w:val="24"/>
        </w:rPr>
        <w:t>2</w:t>
      </w:r>
      <w:r>
        <w:rPr>
          <w:rFonts w:hint="eastAsia" w:eastAsia="黑体" w:cs="榛戜綋"/>
          <w:kern w:val="0"/>
          <w:szCs w:val="24"/>
          <w:lang w:val="en-US" w:eastAsia="zh-CN"/>
        </w:rPr>
        <w:t>4</w:t>
      </w:r>
      <w:r>
        <w:rPr>
          <w:rFonts w:hint="eastAsia" w:hAnsi="黑体" w:eastAsia="黑体" w:cs="榛戜綋"/>
          <w:kern w:val="0"/>
          <w:szCs w:val="24"/>
        </w:rPr>
        <w:t>年</w:t>
      </w:r>
      <w:r>
        <w:rPr>
          <w:rFonts w:hint="eastAsia" w:eastAsia="黑体" w:cs="榛戜綋"/>
          <w:kern w:val="0"/>
          <w:szCs w:val="24"/>
          <w:lang w:val="en-US" w:eastAsia="zh-CN"/>
        </w:rPr>
        <w:t>1</w:t>
      </w:r>
      <w:r>
        <w:rPr>
          <w:rFonts w:hint="eastAsia" w:hAnsi="黑体" w:eastAsia="黑体" w:cs="榛戜綋"/>
          <w:kern w:val="0"/>
          <w:szCs w:val="24"/>
        </w:rPr>
        <w:t>月</w:t>
      </w:r>
      <w:r>
        <w:rPr>
          <w:rFonts w:hint="eastAsia" w:eastAsia="黑体" w:cs="榛戜綋"/>
          <w:kern w:val="0"/>
          <w:szCs w:val="24"/>
          <w:lang w:val="en-US" w:eastAsia="zh-CN"/>
        </w:rPr>
        <w:t>31</w:t>
      </w:r>
      <w:r>
        <w:rPr>
          <w:rFonts w:hint="eastAsia" w:hAnsi="黑体" w:eastAsia="黑体" w:cs="榛戜綋"/>
          <w:kern w:val="0"/>
          <w:szCs w:val="24"/>
        </w:rPr>
        <w:t>日）</w:t>
      </w:r>
    </w:p>
    <w:p>
      <w:pPr>
        <w:snapToGrid w:val="0"/>
        <w:spacing w:line="240" w:lineRule="auto"/>
        <w:ind w:firstLine="480"/>
        <w:jc w:val="center"/>
        <w:rPr>
          <w:rFonts w:hAnsi="黑体" w:eastAsia="黑体" w:cs="榛戜綋"/>
          <w:kern w:val="0"/>
          <w:szCs w:val="24"/>
        </w:rPr>
      </w:pPr>
    </w:p>
    <w:p>
      <w:pPr>
        <w:pStyle w:val="5"/>
        <w:ind w:firstLine="482"/>
        <w:rPr>
          <w:rFonts w:ascii="Times New Roman"/>
          <w:b/>
          <w:color w:val="auto"/>
        </w:rPr>
      </w:pPr>
      <w:r>
        <w:rPr>
          <w:rFonts w:hint="eastAsia" w:ascii="Times New Roman"/>
          <w:b/>
          <w:color w:val="auto"/>
        </w:rPr>
        <w:t>（2）第二次报纸公示</w:t>
      </w:r>
    </w:p>
    <w:p>
      <w:pPr>
        <w:pStyle w:val="5"/>
        <w:ind w:firstLine="480"/>
        <w:rPr>
          <w:rFonts w:ascii="Times New Roman"/>
          <w:color w:val="auto"/>
        </w:rPr>
      </w:pPr>
      <w:r>
        <w:rPr>
          <w:rFonts w:hint="eastAsia" w:ascii="Times New Roman"/>
          <w:color w:val="auto"/>
        </w:rPr>
        <w:t>第二次报纸公示时间为</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2</w:t>
      </w:r>
      <w:r>
        <w:rPr>
          <w:rFonts w:hint="eastAsia" w:ascii="Times New Roman"/>
          <w:color w:val="auto"/>
        </w:rPr>
        <w:t>月</w:t>
      </w:r>
      <w:r>
        <w:rPr>
          <w:rFonts w:hint="eastAsia" w:ascii="Times New Roman"/>
          <w:color w:val="auto"/>
          <w:lang w:val="en-US" w:eastAsia="zh-CN"/>
        </w:rPr>
        <w:t>4</w:t>
      </w:r>
      <w:r>
        <w:rPr>
          <w:rFonts w:hint="eastAsia" w:ascii="Times New Roman"/>
          <w:color w:val="auto"/>
        </w:rPr>
        <w:t>日，在《</w:t>
      </w:r>
      <w:r>
        <w:rPr>
          <w:rFonts w:hint="eastAsia" w:ascii="Times New Roman"/>
          <w:color w:val="auto"/>
          <w:lang w:eastAsia="zh-CN"/>
        </w:rPr>
        <w:t>大连晚报</w:t>
      </w:r>
      <w:r>
        <w:rPr>
          <w:rFonts w:hint="eastAsia" w:ascii="Times New Roman"/>
          <w:color w:val="auto"/>
        </w:rPr>
        <w:t>》（国内统一刊号CN21-00</w:t>
      </w:r>
      <w:r>
        <w:rPr>
          <w:rFonts w:hint="eastAsia" w:ascii="Times New Roman"/>
          <w:color w:val="auto"/>
          <w:lang w:val="en-US" w:eastAsia="zh-CN"/>
        </w:rPr>
        <w:t>45</w:t>
      </w:r>
      <w:r>
        <w:rPr>
          <w:rFonts w:hint="eastAsia" w:ascii="Times New Roman"/>
          <w:color w:val="auto"/>
        </w:rPr>
        <w:t>）总第</w:t>
      </w:r>
      <w:r>
        <w:rPr>
          <w:rFonts w:hint="eastAsia" w:ascii="Times New Roman"/>
          <w:color w:val="auto"/>
          <w:lang w:val="en-US" w:eastAsia="zh-CN"/>
        </w:rPr>
        <w:t>12549</w:t>
      </w:r>
      <w:r>
        <w:rPr>
          <w:rFonts w:hint="eastAsia" w:ascii="Times New Roman"/>
          <w:color w:val="auto"/>
        </w:rPr>
        <w:t>期的第0</w:t>
      </w:r>
      <w:r>
        <w:rPr>
          <w:rFonts w:hint="eastAsia" w:ascii="Times New Roman"/>
          <w:color w:val="auto"/>
          <w:lang w:val="en-US" w:eastAsia="zh-CN"/>
        </w:rPr>
        <w:t>3</w:t>
      </w:r>
      <w:r>
        <w:rPr>
          <w:rFonts w:hint="eastAsia" w:ascii="Times New Roman"/>
          <w:color w:val="auto"/>
        </w:rPr>
        <w:t>版面，具体的报纸公示截图见图</w:t>
      </w:r>
      <w:r>
        <w:rPr>
          <w:rFonts w:ascii="Times New Roman"/>
          <w:color w:val="auto"/>
        </w:rPr>
        <w:t>3-</w:t>
      </w:r>
      <w:r>
        <w:rPr>
          <w:rFonts w:hint="eastAsia" w:ascii="Times New Roman"/>
          <w:color w:val="auto"/>
        </w:rPr>
        <w:t>3。</w:t>
      </w:r>
    </w:p>
    <w:p>
      <w:pPr>
        <w:snapToGrid w:val="0"/>
        <w:spacing w:line="240" w:lineRule="auto"/>
        <w:ind w:firstLine="0" w:firstLineChars="0"/>
        <w:jc w:val="center"/>
        <w:rPr>
          <w:rFonts w:hint="eastAsia" w:hAnsi="黑体" w:eastAsia="黑体" w:cs="榛戜綋"/>
          <w:kern w:val="0"/>
          <w:szCs w:val="24"/>
          <w:lang w:eastAsia="zh-CN"/>
        </w:rPr>
      </w:pPr>
      <w:r>
        <w:drawing>
          <wp:inline distT="0" distB="0" distL="114300" distR="114300">
            <wp:extent cx="5041265" cy="6990715"/>
            <wp:effectExtent l="0" t="0" r="6985"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lum bright="18000" contrast="12000"/>
                    </a:blip>
                    <a:stretch>
                      <a:fillRect/>
                    </a:stretch>
                  </pic:blipFill>
                  <pic:spPr>
                    <a:xfrm>
                      <a:off x="0" y="0"/>
                      <a:ext cx="5041265" cy="6990715"/>
                    </a:xfrm>
                    <a:prstGeom prst="rect">
                      <a:avLst/>
                    </a:prstGeom>
                    <a:noFill/>
                    <a:ln>
                      <a:noFill/>
                    </a:ln>
                  </pic:spPr>
                </pic:pic>
              </a:graphicData>
            </a:graphic>
          </wp:inline>
        </w:drawing>
      </w:r>
    </w:p>
    <w:p>
      <w:pPr>
        <w:adjustRightInd w:val="0"/>
        <w:snapToGrid w:val="0"/>
        <w:spacing w:line="240" w:lineRule="auto"/>
        <w:ind w:firstLine="0" w:firstLineChars="0"/>
        <w:jc w:val="center"/>
        <w:rPr>
          <w:rFonts w:hint="eastAsia" w:eastAsia="黑体"/>
          <w:lang w:eastAsia="zh-CN"/>
        </w:rPr>
      </w:pPr>
      <w:r>
        <w:rPr>
          <w:rFonts w:hAnsi="黑体" w:eastAsia="黑体" w:cs="榛戜綋"/>
          <w:kern w:val="0"/>
          <w:szCs w:val="24"/>
        </w:rPr>
        <w:pict>
          <v:shape id="_x0000_s1030" o:spid="_x0000_s1030" o:spt="109" type="#_x0000_t109" style="position:absolute;left:0pt;margin-left:210.75pt;margin-top:502.8pt;height:63.7pt;width:99.7pt;z-index:251662336;mso-width-relative:page;mso-height-relative:page;" filled="f" stroked="t" coordsize="21600,21600">
            <v:path/>
            <v:fill on="f" focussize="0,0"/>
            <v:stroke weight="1.5pt" color="#FF00FF" joinstyle="miter"/>
            <v:imagedata o:title=""/>
            <o:lock v:ext="edit" aspectratio="f"/>
          </v:shape>
        </w:pict>
      </w:r>
      <w:r>
        <w:rPr>
          <w:rFonts w:hAnsi="黑体" w:eastAsia="黑体" w:cs="榛戜綋"/>
          <w:kern w:val="0"/>
          <w:szCs w:val="24"/>
        </w:rPr>
        <w:pict>
          <v:shape id="_x0000_s1029" o:spid="_x0000_s1029" o:spt="32" type="#_x0000_t32" style="position:absolute;left:0pt;flip:x;margin-left:174pt;margin-top:535.8pt;height:43.65pt;width:42pt;z-index:251664384;mso-width-relative:page;mso-height-relative:page;" o:connectortype="straight" filled="f" stroked="t" coordsize="21600,21600">
            <v:path arrowok="t"/>
            <v:fill on="f" focussize="0,0"/>
            <v:stroke weight="1.5pt" color="#FF00FF" endarrow="classic" endarrowwidth="wide" endarrowlength="long"/>
            <v:imagedata o:title=""/>
            <o:lock v:ext="edit"/>
          </v:shape>
        </w:pict>
      </w:r>
      <w:r>
        <w:rPr>
          <w:rFonts w:hAnsi="黑体" w:eastAsia="黑体" w:cs="榛戜綋"/>
          <w:kern w:val="0"/>
          <w:szCs w:val="24"/>
        </w:rPr>
        <w:pict>
          <v:shape id="_x0000_s1031" o:spid="_x0000_s1031" o:spt="202" type="#_x0000_t202" style="position:absolute;left:0pt;margin-left:-21.5pt;margin-top:527.7pt;height:135.65pt;width:215.25pt;z-index:251663360;mso-width-relative:page;mso-height-relative:page;" fillcolor="#FFFFFF" filled="t" stroked="t" coordsize="21600,21600">
            <v:path/>
            <v:fill on="t" color2="#FFFFFF" focussize="0,0"/>
            <v:stroke color="#FF00FF" joinstyle="miter"/>
            <v:imagedata o:title=""/>
            <o:lock v:ext="edit" aspectratio="f"/>
            <v:textbox>
              <w:txbxContent>
                <w:p>
                  <w:pPr>
                    <w:adjustRightInd w:val="0"/>
                    <w:snapToGrid w:val="0"/>
                    <w:spacing w:line="240" w:lineRule="auto"/>
                    <w:ind w:firstLine="0" w:firstLineChars="0"/>
                  </w:pPr>
                  <w:r>
                    <w:drawing>
                      <wp:inline distT="0" distB="0" distL="114300" distR="114300">
                        <wp:extent cx="2540000" cy="1722120"/>
                        <wp:effectExtent l="0" t="0" r="12700" b="1143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1">
                                  <a:lum bright="24000" contrast="12000"/>
                                </a:blip>
                                <a:stretch>
                                  <a:fillRect/>
                                </a:stretch>
                              </pic:blipFill>
                              <pic:spPr>
                                <a:xfrm>
                                  <a:off x="0" y="0"/>
                                  <a:ext cx="2540000" cy="1722120"/>
                                </a:xfrm>
                                <a:prstGeom prst="rect">
                                  <a:avLst/>
                                </a:prstGeom>
                                <a:noFill/>
                                <a:ln>
                                  <a:noFill/>
                                </a:ln>
                              </pic:spPr>
                            </pic:pic>
                          </a:graphicData>
                        </a:graphic>
                      </wp:inline>
                    </w:drawing>
                  </w:r>
                </w:p>
              </w:txbxContent>
            </v:textbox>
          </v:shape>
        </w:pict>
      </w:r>
      <w:r>
        <w:drawing>
          <wp:inline distT="0" distB="0" distL="114300" distR="114300">
            <wp:extent cx="5268595" cy="7317740"/>
            <wp:effectExtent l="0" t="0" r="8255" b="165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2">
                      <a:lum bright="18000" contrast="12000"/>
                    </a:blip>
                    <a:stretch>
                      <a:fillRect/>
                    </a:stretch>
                  </pic:blipFill>
                  <pic:spPr>
                    <a:xfrm>
                      <a:off x="0" y="0"/>
                      <a:ext cx="5268595" cy="7317740"/>
                    </a:xfrm>
                    <a:prstGeom prst="rect">
                      <a:avLst/>
                    </a:prstGeom>
                    <a:noFill/>
                    <a:ln>
                      <a:noFill/>
                    </a:ln>
                  </pic:spPr>
                </pic:pic>
              </a:graphicData>
            </a:graphic>
          </wp:inline>
        </w:drawing>
      </w:r>
    </w:p>
    <w:p>
      <w:pPr>
        <w:pStyle w:val="5"/>
        <w:spacing w:line="240" w:lineRule="auto"/>
        <w:ind w:firstLine="0" w:firstLineChars="0"/>
      </w:pPr>
    </w:p>
    <w:p>
      <w:pPr>
        <w:ind w:firstLine="480"/>
        <w:jc w:val="center"/>
        <w:rPr>
          <w:rFonts w:hAnsi="黑体" w:eastAsia="黑体" w:cs="榛戜綋"/>
          <w:kern w:val="0"/>
          <w:szCs w:val="24"/>
        </w:rPr>
      </w:pPr>
    </w:p>
    <w:p>
      <w:pPr>
        <w:ind w:firstLine="480"/>
        <w:jc w:val="center"/>
        <w:rPr>
          <w:rFonts w:hAnsi="黑体" w:eastAsia="黑体" w:cs="榛戜綋"/>
          <w:kern w:val="0"/>
          <w:szCs w:val="24"/>
        </w:rPr>
      </w:pPr>
    </w:p>
    <w:p>
      <w:pPr>
        <w:ind w:firstLine="480"/>
        <w:jc w:val="center"/>
        <w:rPr>
          <w:rFonts w:hAnsi="黑体" w:eastAsia="黑体" w:cs="榛戜綋"/>
          <w:kern w:val="0"/>
          <w:szCs w:val="24"/>
        </w:rPr>
      </w:pPr>
    </w:p>
    <w:p>
      <w:pPr>
        <w:ind w:firstLine="480"/>
        <w:jc w:val="center"/>
        <w:rPr>
          <w:rFonts w:hAnsi="黑体" w:eastAsia="黑体" w:cs="榛戜綋"/>
          <w:kern w:val="0"/>
          <w:szCs w:val="24"/>
        </w:rPr>
      </w:pPr>
    </w:p>
    <w:p>
      <w:pPr>
        <w:ind w:firstLine="480"/>
        <w:jc w:val="center"/>
        <w:rPr>
          <w:rFonts w:hAnsi="黑体" w:eastAsia="黑体" w:cs="榛戜綋"/>
          <w:kern w:val="0"/>
          <w:szCs w:val="24"/>
        </w:rPr>
      </w:pPr>
      <w:r>
        <w:rPr>
          <w:rFonts w:hint="eastAsia" w:hAnsi="黑体" w:eastAsia="黑体" w:cs="榛戜綋"/>
          <w:kern w:val="0"/>
          <w:szCs w:val="24"/>
        </w:rPr>
        <w:t>图</w:t>
      </w:r>
      <w:r>
        <w:rPr>
          <w:rFonts w:eastAsia="黑体" w:cs="榛戜綋"/>
          <w:kern w:val="0"/>
          <w:szCs w:val="24"/>
        </w:rPr>
        <w:t>3-</w:t>
      </w:r>
      <w:r>
        <w:rPr>
          <w:rFonts w:hint="eastAsia" w:eastAsia="黑体" w:cs="榛戜綋"/>
          <w:kern w:val="0"/>
          <w:szCs w:val="24"/>
        </w:rPr>
        <w:t>3</w:t>
      </w:r>
      <w:r>
        <w:rPr>
          <w:rFonts w:eastAsia="黑体" w:cs="榛戜綋"/>
          <w:kern w:val="0"/>
          <w:szCs w:val="24"/>
        </w:rPr>
        <w:t xml:space="preserve"> </w:t>
      </w:r>
      <w:r>
        <w:rPr>
          <w:rFonts w:hint="eastAsia" w:hAnsi="黑体" w:eastAsia="黑体" w:cs="榛戜綋"/>
          <w:kern w:val="0"/>
          <w:szCs w:val="24"/>
        </w:rPr>
        <w:t>第二次报纸公示情况截图（</w:t>
      </w:r>
      <w:r>
        <w:rPr>
          <w:rFonts w:eastAsia="黑体" w:cs="榛戜綋"/>
          <w:kern w:val="0"/>
          <w:szCs w:val="24"/>
        </w:rPr>
        <w:t>20</w:t>
      </w:r>
      <w:r>
        <w:rPr>
          <w:rFonts w:hint="eastAsia" w:eastAsia="黑体" w:cs="榛戜綋"/>
          <w:kern w:val="0"/>
          <w:szCs w:val="24"/>
        </w:rPr>
        <w:t>2</w:t>
      </w:r>
      <w:r>
        <w:rPr>
          <w:rFonts w:hint="eastAsia" w:eastAsia="黑体" w:cs="榛戜綋"/>
          <w:kern w:val="0"/>
          <w:szCs w:val="24"/>
          <w:lang w:val="en-US" w:eastAsia="zh-CN"/>
        </w:rPr>
        <w:t>4</w:t>
      </w:r>
      <w:r>
        <w:rPr>
          <w:rFonts w:hint="eastAsia" w:hAnsi="黑体" w:eastAsia="黑体" w:cs="榛戜綋"/>
          <w:kern w:val="0"/>
          <w:szCs w:val="24"/>
        </w:rPr>
        <w:t>年</w:t>
      </w:r>
      <w:r>
        <w:rPr>
          <w:rFonts w:hint="eastAsia" w:eastAsia="黑体" w:cs="榛戜綋"/>
          <w:kern w:val="0"/>
          <w:szCs w:val="24"/>
          <w:lang w:val="en-US" w:eastAsia="zh-CN"/>
        </w:rPr>
        <w:t>2</w:t>
      </w:r>
      <w:r>
        <w:rPr>
          <w:rFonts w:hint="eastAsia" w:hAnsi="黑体" w:eastAsia="黑体" w:cs="榛戜綋"/>
          <w:kern w:val="0"/>
          <w:szCs w:val="24"/>
        </w:rPr>
        <w:t>月</w:t>
      </w:r>
      <w:r>
        <w:rPr>
          <w:rFonts w:hint="eastAsia" w:eastAsia="黑体" w:cs="榛戜綋"/>
          <w:kern w:val="0"/>
          <w:szCs w:val="24"/>
          <w:lang w:val="en-US" w:eastAsia="zh-CN"/>
        </w:rPr>
        <w:t>4</w:t>
      </w:r>
      <w:r>
        <w:rPr>
          <w:rFonts w:hint="eastAsia" w:hAnsi="黑体" w:eastAsia="黑体" w:cs="榛戜綋"/>
          <w:kern w:val="0"/>
          <w:szCs w:val="24"/>
        </w:rPr>
        <w:t>日）</w:t>
      </w:r>
    </w:p>
    <w:p>
      <w:pPr>
        <w:pStyle w:val="4"/>
        <w:spacing w:before="120" w:after="120" w:line="360" w:lineRule="auto"/>
        <w:rPr>
          <w:color w:val="FF0000"/>
        </w:rPr>
      </w:pPr>
      <w:bookmarkStart w:id="26" w:name="_Toc105506762"/>
      <w:r>
        <w:t xml:space="preserve">3.2.3 </w:t>
      </w:r>
      <w:r>
        <w:rPr>
          <w:rFonts w:hint="eastAsia"/>
        </w:rPr>
        <w:t>张贴</w:t>
      </w:r>
      <w:bookmarkEnd w:id="26"/>
    </w:p>
    <w:p>
      <w:pPr>
        <w:pStyle w:val="5"/>
        <w:ind w:firstLine="480"/>
        <w:rPr>
          <w:rFonts w:ascii="Times New Roman"/>
          <w:color w:val="auto"/>
        </w:rPr>
      </w:pPr>
      <w:r>
        <w:rPr>
          <w:rFonts w:hint="eastAsia" w:ascii="Times New Roman"/>
          <w:color w:val="auto"/>
        </w:rPr>
        <w:t>在进行网络平台公示和报纸公示的同时，我单位于</w:t>
      </w:r>
      <w:r>
        <w:rPr>
          <w:rFonts w:ascii="Times New Roman"/>
          <w:color w:val="auto"/>
        </w:rPr>
        <w:t>20</w:t>
      </w:r>
      <w:r>
        <w:rPr>
          <w:rFonts w:hint="eastAsia" w:ascii="Times New Roman"/>
          <w:color w:val="auto"/>
          <w:lang w:val="en-US" w:eastAsia="zh-CN"/>
        </w:rPr>
        <w:t>24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30</w:t>
      </w:r>
      <w:r>
        <w:rPr>
          <w:rFonts w:hint="eastAsia" w:ascii="Times New Roman"/>
          <w:color w:val="auto"/>
        </w:rPr>
        <w:t>日，分别在项目评价范围内的</w:t>
      </w:r>
      <w:r>
        <w:rPr>
          <w:rFonts w:hint="eastAsia" w:ascii="Times New Roman"/>
          <w:color w:val="auto"/>
          <w:lang w:eastAsia="zh-CN"/>
        </w:rPr>
        <w:t>顺风里小区</w:t>
      </w:r>
      <w:r>
        <w:rPr>
          <w:rFonts w:hint="eastAsia"/>
        </w:rPr>
        <w:t>、</w:t>
      </w:r>
      <w:r>
        <w:rPr>
          <w:rFonts w:hint="eastAsia"/>
          <w:lang w:eastAsia="zh-CN"/>
        </w:rPr>
        <w:t>小孤山居住区</w:t>
      </w:r>
      <w:r>
        <w:rPr>
          <w:rFonts w:hint="eastAsia"/>
        </w:rPr>
        <w:t>等环境保护目标处以及厂区</w:t>
      </w:r>
      <w:r>
        <w:rPr>
          <w:rFonts w:hint="eastAsia"/>
          <w:lang w:eastAsia="zh-CN"/>
        </w:rPr>
        <w:t>选址处</w:t>
      </w:r>
      <w:r>
        <w:rPr>
          <w:rFonts w:hint="eastAsia"/>
        </w:rPr>
        <w:t>采用现场张贴信息公告的方式，对环评信息进行公开，</w:t>
      </w:r>
      <w:r>
        <w:rPr>
          <w:rFonts w:hint="eastAsia" w:ascii="Times New Roman"/>
          <w:color w:val="auto"/>
        </w:rPr>
        <w:t>持续公开期限为</w:t>
      </w:r>
      <w:r>
        <w:rPr>
          <w:rFonts w:ascii="Times New Roman"/>
          <w:color w:val="auto"/>
        </w:rPr>
        <w:t>10</w:t>
      </w:r>
      <w:r>
        <w:rPr>
          <w:rFonts w:hint="eastAsia" w:ascii="Times New Roman"/>
          <w:color w:val="auto"/>
        </w:rPr>
        <w:t>个工作日。</w:t>
      </w:r>
    </w:p>
    <w:p>
      <w:pPr>
        <w:pStyle w:val="5"/>
        <w:spacing w:afterLines="50"/>
        <w:ind w:firstLine="480"/>
        <w:rPr>
          <w:rFonts w:ascii="Times New Roman"/>
          <w:color w:val="auto"/>
        </w:rPr>
      </w:pPr>
      <w:r>
        <w:rPr>
          <w:rFonts w:hint="eastAsia" w:ascii="Times New Roman"/>
          <w:color w:val="auto"/>
        </w:rPr>
        <w:t>以上公告张贴位置均为公众容易于知悉的场所，符合《环境影响评价公众参与办法》（生态环境部令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号）中第十一条中第</w:t>
      </w:r>
      <w:r>
        <w:rPr>
          <w:rFonts w:ascii="Times New Roman"/>
          <w:color w:val="auto"/>
        </w:rPr>
        <w:t xml:space="preserve">3 </w:t>
      </w:r>
      <w:r>
        <w:rPr>
          <w:rFonts w:hint="eastAsia" w:ascii="Times New Roman"/>
          <w:color w:val="auto"/>
        </w:rPr>
        <w:t>款的要求。</w:t>
      </w:r>
    </w:p>
    <w:p>
      <w:pPr>
        <w:pStyle w:val="5"/>
        <w:spacing w:afterLines="50"/>
        <w:ind w:firstLine="480"/>
        <w:rPr>
          <w:rFonts w:ascii="Times New Roman"/>
          <w:color w:val="auto"/>
        </w:rPr>
      </w:pPr>
      <w:r>
        <w:rPr>
          <w:rFonts w:hint="eastAsia" w:ascii="Times New Roman"/>
          <w:color w:val="auto"/>
        </w:rPr>
        <w:t>各现场公示张贴的照片见图</w:t>
      </w:r>
      <w:r>
        <w:rPr>
          <w:rFonts w:ascii="Times New Roman"/>
          <w:color w:val="auto"/>
        </w:rPr>
        <w:t>3-</w:t>
      </w:r>
      <w:r>
        <w:rPr>
          <w:rFonts w:hint="eastAsia" w:ascii="Times New Roman"/>
          <w:color w:val="auto"/>
          <w:lang w:val="en-US" w:eastAsia="zh-CN"/>
        </w:rPr>
        <w:t>4</w:t>
      </w:r>
      <w:r>
        <w:rPr>
          <w:rFonts w:hint="eastAsia" w:ascii="Times New Roman"/>
          <w:color w:val="auto"/>
        </w:rPr>
        <w:t>。</w:t>
      </w:r>
    </w:p>
    <w:p>
      <w:pPr>
        <w:pStyle w:val="5"/>
        <w:keepNext w:val="0"/>
        <w:keepLines w:val="0"/>
        <w:pageBreakBefore w:val="0"/>
        <w:widowControl w:val="0"/>
        <w:kinsoku/>
        <w:wordWrap/>
        <w:overflowPunct/>
        <w:topLinePunct w:val="0"/>
        <w:autoSpaceDE/>
        <w:autoSpaceDN/>
        <w:bidi w:val="0"/>
        <w:adjustRightInd/>
        <w:snapToGrid/>
        <w:spacing w:afterLines="50" w:line="240" w:lineRule="auto"/>
        <w:ind w:firstLine="0" w:firstLineChars="0"/>
        <w:jc w:val="center"/>
        <w:textAlignment w:val="auto"/>
        <w:rPr>
          <w:rFonts w:hint="eastAsia" w:ascii="Times New Roman"/>
          <w:color w:val="auto"/>
          <w:lang w:val="en-US" w:eastAsia="zh-CN"/>
        </w:rPr>
      </w:pPr>
      <w:r>
        <w:rPr>
          <w:rFonts w:hint="eastAsia" w:ascii="Times New Roman"/>
          <w:color w:val="auto"/>
          <w:lang w:val="en-US" w:eastAsia="zh-CN"/>
        </w:rPr>
        <w:t xml:space="preserve"> </w:t>
      </w:r>
      <w:r>
        <w:rPr>
          <w:rFonts w:hint="eastAsia" w:ascii="Times New Roman" w:eastAsiaTheme="minorEastAsia"/>
          <w:color w:val="auto"/>
          <w:lang w:eastAsia="zh-CN"/>
        </w:rPr>
        <w:drawing>
          <wp:inline distT="0" distB="0" distL="114300" distR="114300">
            <wp:extent cx="2800350" cy="3732530"/>
            <wp:effectExtent l="0" t="0" r="0" b="1270"/>
            <wp:docPr id="3" name="图片 3" descr="515a1a9381ce72b43a6108d82fdf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5a1a9381ce72b43a6108d82fdf5df"/>
                    <pic:cNvPicPr>
                      <a:picLocks noChangeAspect="1"/>
                    </pic:cNvPicPr>
                  </pic:nvPicPr>
                  <pic:blipFill>
                    <a:blip r:embed="rId23">
                      <a:lum bright="12000"/>
                    </a:blip>
                    <a:stretch>
                      <a:fillRect/>
                    </a:stretch>
                  </pic:blipFill>
                  <pic:spPr>
                    <a:xfrm>
                      <a:off x="0" y="0"/>
                      <a:ext cx="2800350" cy="3732530"/>
                    </a:xfrm>
                    <a:prstGeom prst="rect">
                      <a:avLst/>
                    </a:prstGeom>
                  </pic:spPr>
                </pic:pic>
              </a:graphicData>
            </a:graphic>
          </wp:inline>
        </w:drawing>
      </w:r>
      <w:r>
        <w:rPr>
          <w:rFonts w:hint="eastAsia" w:ascii="Times New Roman"/>
          <w:color w:val="auto"/>
          <w:lang w:val="en-US" w:eastAsia="zh-CN"/>
        </w:rPr>
        <w:t xml:space="preserve"> </w:t>
      </w:r>
      <w:r>
        <w:rPr>
          <w:rFonts w:hint="eastAsia" w:ascii="Times New Roman"/>
          <w:color w:val="auto"/>
          <w:lang w:val="en-US" w:eastAsia="zh-CN"/>
        </w:rPr>
        <w:drawing>
          <wp:inline distT="0" distB="0" distL="114300" distR="114300">
            <wp:extent cx="2217420" cy="4762500"/>
            <wp:effectExtent l="0" t="0" r="11430" b="0"/>
            <wp:docPr id="4" name="图片 4" descr="9c9afe927e5c64c2bfa61317186c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9afe927e5c64c2bfa61317186c7bc"/>
                    <pic:cNvPicPr>
                      <a:picLocks noChangeAspect="1"/>
                    </pic:cNvPicPr>
                  </pic:nvPicPr>
                  <pic:blipFill>
                    <a:blip r:embed="rId24"/>
                    <a:stretch>
                      <a:fillRect/>
                    </a:stretch>
                  </pic:blipFill>
                  <pic:spPr>
                    <a:xfrm>
                      <a:off x="0" y="0"/>
                      <a:ext cx="2217420" cy="4762500"/>
                    </a:xfrm>
                    <a:prstGeom prst="rect">
                      <a:avLst/>
                    </a:prstGeom>
                  </pic:spPr>
                </pic:pic>
              </a:graphicData>
            </a:graphic>
          </wp:inline>
        </w:drawing>
      </w:r>
    </w:p>
    <w:p>
      <w:pPr>
        <w:pStyle w:val="5"/>
        <w:adjustRightInd w:val="0"/>
        <w:snapToGrid w:val="0"/>
        <w:spacing w:beforeLines="50" w:afterLines="50" w:line="240" w:lineRule="auto"/>
        <w:ind w:firstLine="0" w:firstLineChars="0"/>
        <w:jc w:val="center"/>
        <w:rPr>
          <w:rFonts w:ascii="黑体" w:hAnsi="黑体" w:eastAsia="黑体"/>
          <w:color w:val="auto"/>
        </w:rPr>
      </w:pPr>
      <w:r>
        <w:rPr>
          <w:rFonts w:hint="eastAsia" w:ascii="黑体" w:hAnsi="黑体" w:eastAsia="黑体"/>
          <w:color w:val="auto"/>
          <w:lang w:eastAsia="zh-CN"/>
        </w:rPr>
        <w:t>顺风里</w:t>
      </w:r>
      <w:r>
        <w:rPr>
          <w:rFonts w:hint="eastAsia" w:ascii="黑体" w:hAnsi="黑体" w:eastAsia="黑体"/>
          <w:color w:val="auto"/>
        </w:rPr>
        <w:t>张贴现场</w:t>
      </w:r>
    </w:p>
    <w:p>
      <w:pPr>
        <w:pStyle w:val="5"/>
        <w:keepNext w:val="0"/>
        <w:keepLines w:val="0"/>
        <w:pageBreakBefore w:val="0"/>
        <w:widowControl w:val="0"/>
        <w:kinsoku/>
        <w:wordWrap/>
        <w:overflowPunct/>
        <w:topLinePunct w:val="0"/>
        <w:autoSpaceDE/>
        <w:autoSpaceDN/>
        <w:bidi w:val="0"/>
        <w:adjustRightInd/>
        <w:snapToGrid/>
        <w:spacing w:afterLines="50" w:line="240" w:lineRule="auto"/>
        <w:ind w:firstLine="0" w:firstLineChars="0"/>
        <w:jc w:val="center"/>
        <w:textAlignment w:val="auto"/>
        <w:rPr>
          <w:rFonts w:hint="eastAsia" w:ascii="Times New Roman" w:eastAsiaTheme="minorEastAsia"/>
          <w:color w:val="auto"/>
          <w:lang w:eastAsia="zh-CN"/>
        </w:rPr>
      </w:pPr>
      <w:r>
        <w:rPr>
          <w:rFonts w:hint="eastAsia" w:ascii="Times New Roman" w:eastAsiaTheme="minorEastAsia"/>
          <w:color w:val="auto"/>
          <w:lang w:eastAsia="zh-CN"/>
        </w:rPr>
        <w:drawing>
          <wp:inline distT="0" distB="0" distL="114300" distR="114300">
            <wp:extent cx="5260975" cy="2450465"/>
            <wp:effectExtent l="0" t="0" r="15875" b="6985"/>
            <wp:docPr id="5" name="图片 5" descr="34b1556d520d2bb46ccdbd3d5df7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b1556d520d2bb46ccdbd3d5df704b"/>
                    <pic:cNvPicPr>
                      <a:picLocks noChangeAspect="1"/>
                    </pic:cNvPicPr>
                  </pic:nvPicPr>
                  <pic:blipFill>
                    <a:blip r:embed="rId25"/>
                    <a:stretch>
                      <a:fillRect/>
                    </a:stretch>
                  </pic:blipFill>
                  <pic:spPr>
                    <a:xfrm>
                      <a:off x="0" y="0"/>
                      <a:ext cx="5260975" cy="245046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Lines="50" w:line="240" w:lineRule="auto"/>
        <w:ind w:firstLine="0" w:firstLineChars="0"/>
        <w:jc w:val="center"/>
        <w:textAlignment w:val="auto"/>
        <w:rPr>
          <w:rFonts w:hint="eastAsia" w:ascii="Times New Roman" w:eastAsiaTheme="minorEastAsia"/>
          <w:color w:val="auto"/>
          <w:lang w:eastAsia="zh-CN"/>
        </w:rPr>
      </w:pPr>
      <w:r>
        <w:rPr>
          <w:rFonts w:hint="eastAsia" w:ascii="Times New Roman" w:eastAsiaTheme="minorEastAsia"/>
          <w:color w:val="auto"/>
          <w:lang w:eastAsia="zh-CN"/>
        </w:rPr>
        <w:drawing>
          <wp:inline distT="0" distB="0" distL="114300" distR="114300">
            <wp:extent cx="5253990" cy="2446655"/>
            <wp:effectExtent l="0" t="0" r="3810" b="10795"/>
            <wp:docPr id="8" name="图片 8" descr="05e42d2464536a6197b1f86d6b5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e42d2464536a6197b1f86d6b51060"/>
                    <pic:cNvPicPr>
                      <a:picLocks noChangeAspect="1"/>
                    </pic:cNvPicPr>
                  </pic:nvPicPr>
                  <pic:blipFill>
                    <a:blip r:embed="rId26"/>
                    <a:stretch>
                      <a:fillRect/>
                    </a:stretch>
                  </pic:blipFill>
                  <pic:spPr>
                    <a:xfrm>
                      <a:off x="0" y="0"/>
                      <a:ext cx="5253990" cy="2446655"/>
                    </a:xfrm>
                    <a:prstGeom prst="rect">
                      <a:avLst/>
                    </a:prstGeom>
                  </pic:spPr>
                </pic:pic>
              </a:graphicData>
            </a:graphic>
          </wp:inline>
        </w:drawing>
      </w:r>
    </w:p>
    <w:p>
      <w:pPr>
        <w:pStyle w:val="5"/>
        <w:adjustRightInd w:val="0"/>
        <w:snapToGrid w:val="0"/>
        <w:spacing w:beforeLines="50" w:afterLines="50" w:line="240" w:lineRule="auto"/>
        <w:ind w:firstLine="0" w:firstLineChars="0"/>
        <w:jc w:val="center"/>
        <w:rPr>
          <w:rFonts w:hint="eastAsia" w:ascii="黑体" w:hAnsi="黑体" w:eastAsia="黑体"/>
          <w:color w:val="auto"/>
        </w:rPr>
      </w:pPr>
      <w:r>
        <w:rPr>
          <w:rFonts w:hint="eastAsia" w:ascii="黑体" w:hAnsi="黑体" w:eastAsia="黑体"/>
          <w:color w:val="auto"/>
          <w:lang w:eastAsia="zh-CN"/>
        </w:rPr>
        <w:t>小孤山</w:t>
      </w:r>
      <w:r>
        <w:rPr>
          <w:rFonts w:hint="eastAsia" w:ascii="黑体" w:hAnsi="黑体" w:eastAsia="黑体"/>
          <w:color w:val="auto"/>
        </w:rPr>
        <w:t>张贴现场</w:t>
      </w:r>
    </w:p>
    <w:p>
      <w:pPr>
        <w:pStyle w:val="5"/>
        <w:adjustRightInd w:val="0"/>
        <w:snapToGrid w:val="0"/>
        <w:spacing w:beforeLines="50" w:afterLines="50" w:line="240" w:lineRule="auto"/>
        <w:ind w:firstLine="0" w:firstLineChars="0"/>
        <w:jc w:val="center"/>
        <w:rPr>
          <w:rFonts w:hint="eastAsia" w:ascii="黑体" w:hAnsi="黑体" w:eastAsia="黑体"/>
          <w:color w:val="auto"/>
          <w:lang w:eastAsia="zh-CN"/>
        </w:rPr>
      </w:pPr>
      <w:r>
        <w:rPr>
          <w:rFonts w:hint="eastAsia" w:ascii="黑体" w:hAnsi="黑体" w:eastAsia="黑体"/>
          <w:color w:val="auto"/>
          <w:lang w:eastAsia="zh-CN"/>
        </w:rPr>
        <w:drawing>
          <wp:inline distT="0" distB="0" distL="114300" distR="114300">
            <wp:extent cx="5260975" cy="2450465"/>
            <wp:effectExtent l="0" t="0" r="15875" b="6985"/>
            <wp:docPr id="9" name="图片 9" descr="e3d515a6d3e2d73c39f36a41ca3b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d515a6d3e2d73c39f36a41ca3bda9"/>
                    <pic:cNvPicPr>
                      <a:picLocks noChangeAspect="1"/>
                    </pic:cNvPicPr>
                  </pic:nvPicPr>
                  <pic:blipFill>
                    <a:blip r:embed="rId27"/>
                    <a:stretch>
                      <a:fillRect/>
                    </a:stretch>
                  </pic:blipFill>
                  <pic:spPr>
                    <a:xfrm>
                      <a:off x="0" y="0"/>
                      <a:ext cx="5260975" cy="2450465"/>
                    </a:xfrm>
                    <a:prstGeom prst="rect">
                      <a:avLst/>
                    </a:prstGeom>
                  </pic:spPr>
                </pic:pic>
              </a:graphicData>
            </a:graphic>
          </wp:inline>
        </w:drawing>
      </w:r>
      <w:r>
        <w:rPr>
          <w:rFonts w:hint="eastAsia" w:ascii="黑体" w:hAnsi="黑体" w:eastAsia="黑体"/>
          <w:color w:val="auto"/>
          <w:lang w:eastAsia="zh-CN"/>
        </w:rPr>
        <w:drawing>
          <wp:inline distT="0" distB="0" distL="114300" distR="114300">
            <wp:extent cx="1989455" cy="4272280"/>
            <wp:effectExtent l="0" t="0" r="10795" b="13970"/>
            <wp:docPr id="11" name="图片 11" descr="459b823bb0314805a5cec89c010f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59b823bb0314805a5cec89c010f752"/>
                    <pic:cNvPicPr>
                      <a:picLocks noChangeAspect="1"/>
                    </pic:cNvPicPr>
                  </pic:nvPicPr>
                  <pic:blipFill>
                    <a:blip r:embed="rId28"/>
                    <a:stretch>
                      <a:fillRect/>
                    </a:stretch>
                  </pic:blipFill>
                  <pic:spPr>
                    <a:xfrm>
                      <a:off x="0" y="0"/>
                      <a:ext cx="1989455" cy="4272280"/>
                    </a:xfrm>
                    <a:prstGeom prst="rect">
                      <a:avLst/>
                    </a:prstGeom>
                  </pic:spPr>
                </pic:pic>
              </a:graphicData>
            </a:graphic>
          </wp:inline>
        </w:drawing>
      </w:r>
    </w:p>
    <w:p>
      <w:pPr>
        <w:pStyle w:val="5"/>
        <w:adjustRightInd w:val="0"/>
        <w:snapToGrid w:val="0"/>
        <w:spacing w:beforeLines="50" w:afterLines="50" w:line="240" w:lineRule="auto"/>
        <w:ind w:firstLine="0" w:firstLineChars="0"/>
        <w:jc w:val="center"/>
        <w:rPr>
          <w:rFonts w:hint="eastAsia" w:ascii="黑体" w:hAnsi="黑体" w:eastAsia="黑体"/>
          <w:color w:val="auto"/>
          <w:lang w:eastAsia="zh-CN"/>
        </w:rPr>
      </w:pPr>
      <w:r>
        <w:rPr>
          <w:rFonts w:hint="eastAsia" w:ascii="黑体" w:hAnsi="黑体" w:eastAsia="黑体"/>
          <w:color w:val="auto"/>
          <w:lang w:eastAsia="zh-CN"/>
        </w:rPr>
        <w:t>项目选址处</w:t>
      </w:r>
    </w:p>
    <w:p>
      <w:pPr>
        <w:ind w:firstLine="480"/>
        <w:jc w:val="center"/>
        <w:rPr>
          <w:rFonts w:hAnsi="黑体" w:eastAsia="黑体" w:cs="榛戜綋"/>
          <w:kern w:val="0"/>
          <w:szCs w:val="24"/>
        </w:rPr>
      </w:pPr>
      <w:r>
        <w:rPr>
          <w:rFonts w:hint="eastAsia" w:hAnsi="黑体" w:eastAsia="黑体" w:cs="榛戜綋"/>
          <w:kern w:val="0"/>
          <w:szCs w:val="24"/>
        </w:rPr>
        <w:t>图</w:t>
      </w:r>
      <w:r>
        <w:rPr>
          <w:rFonts w:hAnsi="黑体" w:eastAsia="黑体" w:cs="榛戜綋"/>
          <w:kern w:val="0"/>
          <w:szCs w:val="24"/>
        </w:rPr>
        <w:t>3-</w:t>
      </w:r>
      <w:r>
        <w:rPr>
          <w:rFonts w:hint="eastAsia" w:hAnsi="黑体" w:eastAsia="黑体" w:cs="榛戜綋"/>
          <w:kern w:val="0"/>
          <w:szCs w:val="24"/>
          <w:lang w:val="en-US" w:eastAsia="zh-CN"/>
        </w:rPr>
        <w:t>4</w:t>
      </w:r>
      <w:r>
        <w:rPr>
          <w:rFonts w:hint="eastAsia" w:hAnsi="黑体" w:eastAsia="黑体" w:cs="榛戜綋"/>
          <w:kern w:val="0"/>
          <w:szCs w:val="24"/>
        </w:rPr>
        <w:t xml:space="preserve"> </w:t>
      </w:r>
      <w:r>
        <w:rPr>
          <w:rFonts w:hAnsi="黑体" w:eastAsia="黑体" w:cs="榛戜綋"/>
          <w:kern w:val="0"/>
          <w:szCs w:val="24"/>
        </w:rPr>
        <w:t xml:space="preserve"> </w:t>
      </w:r>
      <w:r>
        <w:rPr>
          <w:rFonts w:hint="eastAsia" w:hAnsi="黑体" w:eastAsia="黑体" w:cs="榛戜綋"/>
          <w:kern w:val="0"/>
          <w:szCs w:val="24"/>
        </w:rPr>
        <w:t>现场张贴公告情况照片</w:t>
      </w:r>
    </w:p>
    <w:p>
      <w:pPr>
        <w:pStyle w:val="3"/>
        <w:spacing w:line="360" w:lineRule="auto"/>
        <w:rPr>
          <w:sz w:val="32"/>
        </w:rPr>
      </w:pPr>
      <w:bookmarkStart w:id="27" w:name="_Toc105506763"/>
      <w:r>
        <w:rPr>
          <w:sz w:val="32"/>
        </w:rPr>
        <w:t xml:space="preserve">3.3 </w:t>
      </w:r>
      <w:r>
        <w:rPr>
          <w:rFonts w:hint="eastAsia"/>
          <w:sz w:val="32"/>
        </w:rPr>
        <w:t>查阅情况</w:t>
      </w:r>
      <w:bookmarkEnd w:id="27"/>
    </w:p>
    <w:p>
      <w:pPr>
        <w:pStyle w:val="5"/>
        <w:ind w:firstLine="480"/>
        <w:rPr>
          <w:rFonts w:ascii="Times New Roman"/>
          <w:color w:val="auto"/>
        </w:rPr>
      </w:pPr>
      <w:r>
        <w:rPr>
          <w:rFonts w:hint="eastAsia" w:ascii="Times New Roman"/>
          <w:color w:val="auto"/>
        </w:rPr>
        <w:t>为方便公众查阅本项目环境影响报告书（征求意见稿）的纸版报告，在征求意见稿全文公示期间，我单位在大连</w:t>
      </w:r>
      <w:r>
        <w:rPr>
          <w:rFonts w:hint="eastAsia" w:ascii="Times New Roman"/>
          <w:color w:val="auto"/>
          <w:lang w:eastAsia="zh-CN"/>
        </w:rPr>
        <w:t>住化金港化工</w:t>
      </w:r>
      <w:r>
        <w:rPr>
          <w:rFonts w:hint="eastAsia" w:ascii="Times New Roman"/>
          <w:color w:val="auto"/>
        </w:rPr>
        <w:t>有限公司（</w:t>
      </w:r>
      <w:r>
        <w:rPr>
          <w:rFonts w:hAnsi="宋体"/>
          <w:kern w:val="0"/>
          <w:sz w:val="24"/>
        </w:rPr>
        <w:t>大连</w:t>
      </w:r>
      <w:r>
        <w:rPr>
          <w:rFonts w:hint="eastAsia" w:hAnsi="宋体"/>
          <w:kern w:val="0"/>
          <w:sz w:val="24"/>
          <w:lang w:eastAsia="zh-CN"/>
        </w:rPr>
        <w:t>金普新区海青岛街道</w:t>
      </w:r>
      <w:r>
        <w:rPr>
          <w:rFonts w:hint="eastAsia" w:hAnsi="宋体"/>
          <w:kern w:val="0"/>
          <w:sz w:val="24"/>
        </w:rPr>
        <w:t>港兴</w:t>
      </w:r>
      <w:r>
        <w:rPr>
          <w:rFonts w:hAnsi="宋体"/>
          <w:kern w:val="0"/>
          <w:sz w:val="24"/>
        </w:rPr>
        <w:t>大街</w:t>
      </w:r>
      <w:r>
        <w:rPr>
          <w:rFonts w:hint="eastAsia" w:hAnsi="宋体"/>
          <w:kern w:val="0"/>
          <w:sz w:val="24"/>
        </w:rPr>
        <w:t>112号</w:t>
      </w:r>
      <w:r>
        <w:rPr>
          <w:rFonts w:hint="eastAsia" w:ascii="Times New Roman"/>
          <w:color w:val="auto"/>
        </w:rPr>
        <w:t>）会议室设置了专门的报告书查阅场所，并在征求意见稿环评信息公告中告知公众查阅纸质报告书的联系方式和途径。</w:t>
      </w:r>
    </w:p>
    <w:p>
      <w:pPr>
        <w:pStyle w:val="5"/>
        <w:ind w:firstLine="480"/>
        <w:rPr>
          <w:rFonts w:ascii="Times New Roman"/>
          <w:color w:val="auto"/>
        </w:rPr>
      </w:pPr>
      <w:r>
        <w:rPr>
          <w:rFonts w:hint="eastAsia" w:ascii="Times New Roman"/>
          <w:color w:val="auto"/>
        </w:rPr>
        <w:t>本项目环评报告书（征求意见稿）查阅起止时间为</w:t>
      </w:r>
      <w:r>
        <w:rPr>
          <w:rFonts w:ascii="Times New Roman"/>
          <w:color w:val="auto"/>
        </w:rPr>
        <w:t>20</w:t>
      </w:r>
      <w:r>
        <w:rPr>
          <w:rFonts w:hint="eastAsia" w:ascii="Times New Roman"/>
          <w:color w:val="auto"/>
        </w:rPr>
        <w:t>2</w:t>
      </w:r>
      <w:r>
        <w:rPr>
          <w:rFonts w:hint="eastAsia" w:ascii="Times New Roman"/>
          <w:color w:val="auto"/>
          <w:lang w:val="en-US" w:eastAsia="zh-CN"/>
        </w:rPr>
        <w:t>4</w:t>
      </w:r>
      <w:r>
        <w:rPr>
          <w:rFonts w:hint="eastAsia" w:ascii="Times New Roman"/>
          <w:color w:val="auto"/>
        </w:rPr>
        <w:t>年</w:t>
      </w:r>
      <w:r>
        <w:rPr>
          <w:rFonts w:hint="eastAsia" w:ascii="Times New Roman"/>
          <w:color w:val="auto"/>
          <w:lang w:val="en-US" w:eastAsia="zh-CN"/>
        </w:rPr>
        <w:t>1</w:t>
      </w:r>
      <w:r>
        <w:rPr>
          <w:rFonts w:hint="eastAsia" w:ascii="Times New Roman"/>
          <w:color w:val="auto"/>
        </w:rPr>
        <w:t>月</w:t>
      </w:r>
      <w:r>
        <w:rPr>
          <w:rFonts w:hint="eastAsia" w:ascii="Times New Roman"/>
          <w:color w:val="auto"/>
          <w:lang w:val="en-US" w:eastAsia="zh-CN"/>
        </w:rPr>
        <w:t>29</w:t>
      </w:r>
      <w:r>
        <w:rPr>
          <w:rFonts w:hint="eastAsia" w:ascii="Times New Roman"/>
          <w:color w:val="auto"/>
        </w:rPr>
        <w:t>日</w:t>
      </w:r>
      <w:r>
        <w:rPr>
          <w:rFonts w:ascii="Times New Roman"/>
          <w:color w:val="auto"/>
        </w:rPr>
        <w:t>~</w:t>
      </w:r>
      <w:r>
        <w:rPr>
          <w:rFonts w:hint="eastAsia" w:ascii="Times New Roman"/>
          <w:color w:val="auto"/>
          <w:lang w:val="en-US" w:eastAsia="zh-CN"/>
        </w:rPr>
        <w:t>2</w:t>
      </w:r>
      <w:r>
        <w:rPr>
          <w:rFonts w:hint="eastAsia" w:ascii="Times New Roman"/>
          <w:color w:val="auto"/>
        </w:rPr>
        <w:t>月</w:t>
      </w:r>
      <w:r>
        <w:rPr>
          <w:rFonts w:hint="eastAsia" w:ascii="Times New Roman"/>
          <w:color w:val="auto"/>
          <w:lang w:val="en-US" w:eastAsia="zh-CN"/>
        </w:rPr>
        <w:t>18</w:t>
      </w:r>
      <w:r>
        <w:rPr>
          <w:rFonts w:hint="eastAsia" w:ascii="Times New Roman"/>
          <w:color w:val="auto"/>
        </w:rPr>
        <w:t>日，共</w:t>
      </w:r>
      <w:r>
        <w:rPr>
          <w:rFonts w:ascii="Times New Roman"/>
          <w:color w:val="auto"/>
        </w:rPr>
        <w:t>1</w:t>
      </w:r>
      <w:r>
        <w:rPr>
          <w:rFonts w:hint="eastAsia" w:ascii="Times New Roman"/>
          <w:color w:val="auto"/>
          <w:lang w:val="en-US" w:eastAsia="zh-CN"/>
        </w:rPr>
        <w:t>1</w:t>
      </w:r>
      <w:r>
        <w:rPr>
          <w:rFonts w:hint="eastAsia" w:ascii="Times New Roman"/>
          <w:color w:val="auto"/>
        </w:rPr>
        <w:t>个工作日，在此期间无人到访并查阅纸版环评报告。</w:t>
      </w:r>
    </w:p>
    <w:p>
      <w:pPr>
        <w:pStyle w:val="3"/>
        <w:spacing w:line="360" w:lineRule="auto"/>
        <w:rPr>
          <w:sz w:val="32"/>
        </w:rPr>
      </w:pPr>
      <w:bookmarkStart w:id="28" w:name="_Toc105506764"/>
      <w:r>
        <w:rPr>
          <w:sz w:val="32"/>
        </w:rPr>
        <w:t xml:space="preserve">3.4 </w:t>
      </w:r>
      <w:r>
        <w:rPr>
          <w:rFonts w:hint="eastAsia"/>
          <w:sz w:val="32"/>
        </w:rPr>
        <w:t>公众提出意见情况</w:t>
      </w:r>
      <w:bookmarkEnd w:id="28"/>
    </w:p>
    <w:p>
      <w:pPr>
        <w:pStyle w:val="5"/>
        <w:ind w:firstLine="480"/>
        <w:rPr>
          <w:rFonts w:ascii="Times New Roman"/>
          <w:color w:val="auto"/>
        </w:rPr>
      </w:pPr>
      <w:r>
        <w:rPr>
          <w:rFonts w:hint="eastAsia" w:ascii="Times New Roman"/>
          <w:color w:val="auto"/>
        </w:rPr>
        <w:t>在本项目环评报告书征求意见稿全文公示期间，无人向我单位反馈与项目有关的意见或建议。</w:t>
      </w:r>
    </w:p>
    <w:p>
      <w:pPr>
        <w:pStyle w:val="5"/>
        <w:spacing w:afterLines="50" w:line="360" w:lineRule="exact"/>
        <w:ind w:firstLine="480"/>
        <w:rPr>
          <w:rFonts w:ascii="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pPr>
      <w:bookmarkStart w:id="29" w:name="_Toc105506765"/>
      <w:r>
        <w:t xml:space="preserve">4 </w:t>
      </w:r>
      <w:r>
        <w:rPr>
          <w:rFonts w:hint="eastAsia"/>
        </w:rPr>
        <w:t>其他公众参与情况</w:t>
      </w:r>
      <w:bookmarkEnd w:id="29"/>
    </w:p>
    <w:p>
      <w:pPr>
        <w:pStyle w:val="5"/>
        <w:ind w:firstLine="480"/>
        <w:rPr>
          <w:rFonts w:ascii="Times New Roman"/>
          <w:color w:val="auto"/>
        </w:rPr>
      </w:pPr>
      <w:r>
        <w:rPr>
          <w:rFonts w:hint="eastAsia" w:ascii="Times New Roman"/>
          <w:color w:val="auto"/>
        </w:rPr>
        <w:t>在我单位进行首次环境影响评价信息公示网络公示和环评报告书征求意见稿全文公示期间，我单位均未收到相关公众的来电或来信、来函咨询与本项目环境保护工作有关的情况。</w:t>
      </w:r>
    </w:p>
    <w:p>
      <w:pPr>
        <w:pStyle w:val="5"/>
        <w:ind w:firstLine="480"/>
        <w:rPr>
          <w:rFonts w:ascii="Times New Roman"/>
          <w:color w:val="auto"/>
        </w:rPr>
      </w:pPr>
      <w:r>
        <w:rPr>
          <w:rFonts w:hint="eastAsia" w:ascii="Times New Roman"/>
          <w:color w:val="auto"/>
        </w:rPr>
        <w:t>同时我单位按照《环境影响评价公众参与办法》（生态环境部令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号）的要求，在项目评价范围内的公众易于知悉的地点进行了环评信息告示张贴，设置了纸质报告的查询地址，期间也无相关公众咨询、到访或提交公众参与调查表。</w:t>
      </w:r>
    </w:p>
    <w:p>
      <w:pPr>
        <w:pStyle w:val="5"/>
        <w:ind w:firstLine="480"/>
        <w:rPr>
          <w:rFonts w:ascii="Times New Roman"/>
          <w:color w:val="auto"/>
        </w:rPr>
      </w:pPr>
      <w:r>
        <w:rPr>
          <w:rFonts w:hint="eastAsia" w:ascii="Times New Roman"/>
          <w:color w:val="auto"/>
        </w:rPr>
        <w:t>因此，我单位根据《环境影响评价公众参与办法》（生态环境部令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号），确认拟建项目不属于《办法》中第十四条所认定的“对环境影响方面公众质疑性意见多的建设项目”，无需组织开展深度公众参与。</w:t>
      </w: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pPr>
      <w:bookmarkStart w:id="30" w:name="_Toc105506766"/>
      <w:r>
        <w:t xml:space="preserve">5 </w:t>
      </w:r>
      <w:r>
        <w:rPr>
          <w:rFonts w:hint="eastAsia"/>
        </w:rPr>
        <w:t>公众意见处理情况</w:t>
      </w:r>
      <w:bookmarkEnd w:id="30"/>
    </w:p>
    <w:p>
      <w:pPr>
        <w:pStyle w:val="5"/>
        <w:ind w:firstLine="480"/>
        <w:rPr>
          <w:rFonts w:ascii="Times New Roman"/>
          <w:color w:val="auto"/>
        </w:rPr>
      </w:pPr>
      <w:r>
        <w:rPr>
          <w:rFonts w:hint="eastAsia" w:ascii="Times New Roman"/>
          <w:color w:val="auto"/>
        </w:rPr>
        <w:t>在我单位进行首次环境影响评价信息公示网络公示和环评报告书征求意见稿全文公示期间，均未收到相关公众的来电或来信、来函咨询与本项目环境保护工作有关的情况。</w:t>
      </w:r>
    </w:p>
    <w:p>
      <w:pPr>
        <w:pStyle w:val="5"/>
        <w:ind w:firstLine="480"/>
        <w:rPr>
          <w:rFonts w:ascii="Times New Roman"/>
          <w:color w:val="auto"/>
        </w:rPr>
      </w:pPr>
      <w:r>
        <w:rPr>
          <w:rFonts w:hint="eastAsia" w:ascii="Times New Roman"/>
          <w:color w:val="auto"/>
        </w:rPr>
        <w:t>同时我单位按照《环境影响评价公众参与办法》（生态环境部令</w:t>
      </w:r>
      <w:r>
        <w:rPr>
          <w:rFonts w:ascii="Times New Roman"/>
          <w:color w:val="auto"/>
        </w:rPr>
        <w:t>[2018]</w:t>
      </w:r>
      <w:r>
        <w:rPr>
          <w:rFonts w:hint="eastAsia" w:ascii="Times New Roman"/>
          <w:color w:val="auto"/>
        </w:rPr>
        <w:t>第</w:t>
      </w:r>
      <w:r>
        <w:rPr>
          <w:rFonts w:ascii="Times New Roman"/>
          <w:color w:val="auto"/>
        </w:rPr>
        <w:t xml:space="preserve">4 </w:t>
      </w:r>
      <w:r>
        <w:rPr>
          <w:rFonts w:hint="eastAsia" w:ascii="Times New Roman"/>
          <w:color w:val="auto"/>
        </w:rPr>
        <w:t>号）的要求，在项目评价范围内的公众易于知悉的地点进行了环评信息告示张贴，设置了纸质报告的查询地址，期间也无相关公众咨询、到访或提交公众参与调查表。</w:t>
      </w:r>
    </w:p>
    <w:p>
      <w:pPr>
        <w:pStyle w:val="5"/>
        <w:ind w:firstLine="480"/>
        <w:rPr>
          <w:rFonts w:ascii="Times New Roman"/>
          <w:color w:val="auto"/>
        </w:rPr>
      </w:pPr>
      <w:r>
        <w:rPr>
          <w:rFonts w:hint="eastAsia" w:ascii="Times New Roman"/>
          <w:color w:val="auto"/>
        </w:rPr>
        <w:t>综上，我单位未收到相关公众的反馈意见。</w:t>
      </w: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pPr>
      <w:bookmarkStart w:id="31" w:name="_Toc105506768"/>
      <w:r>
        <w:rPr>
          <w:rFonts w:hint="eastAsia"/>
          <w:lang w:val="en-US" w:eastAsia="zh-CN"/>
        </w:rPr>
        <w:t>6</w:t>
      </w:r>
      <w:r>
        <w:t xml:space="preserve"> </w:t>
      </w:r>
      <w:r>
        <w:rPr>
          <w:rFonts w:hint="eastAsia"/>
        </w:rPr>
        <w:t>其他</w:t>
      </w:r>
      <w:bookmarkEnd w:id="31"/>
    </w:p>
    <w:p>
      <w:pPr>
        <w:pStyle w:val="5"/>
        <w:ind w:firstLine="480"/>
      </w:pPr>
      <w:r>
        <w:rPr>
          <w:rFonts w:hint="eastAsia"/>
        </w:rPr>
        <w:t>本项目公众参与相关资料保存在</w:t>
      </w:r>
      <w:r>
        <w:rPr>
          <w:rFonts w:hint="eastAsia"/>
          <w:lang w:eastAsia="zh-CN"/>
        </w:rPr>
        <w:t>大连住化金港化工有限公司</w:t>
      </w:r>
      <w:r>
        <w:rPr>
          <w:rFonts w:hint="eastAsia"/>
        </w:rPr>
        <w:t>档案室，可供环保部门和公众查阅。</w:t>
      </w:r>
    </w:p>
    <w:p>
      <w:pPr>
        <w:pStyle w:val="5"/>
        <w:ind w:firstLine="480"/>
        <w:rPr>
          <w:rFonts w:hint="default" w:ascii="Times New Roman" w:hAnsi="Times New Roman" w:cs="Times New Roman"/>
        </w:rPr>
      </w:pPr>
      <w:r>
        <w:rPr>
          <w:rFonts w:hint="eastAsia"/>
        </w:rPr>
        <w:t>查阅</w:t>
      </w:r>
      <w:r>
        <w:rPr>
          <w:rFonts w:hint="default" w:ascii="Times New Roman" w:hAnsi="Times New Roman" w:cs="Times New Roman"/>
        </w:rPr>
        <w:t>联系人：</w:t>
      </w:r>
      <w:r>
        <w:rPr>
          <w:rFonts w:hint="default" w:ascii="Times New Roman" w:hAnsi="Times New Roman" w:cs="Times New Roman"/>
          <w:highlight w:val="none"/>
          <w:lang w:eastAsia="zh-CN"/>
        </w:rPr>
        <w:t>徐</w:t>
      </w:r>
      <w:r>
        <w:rPr>
          <w:rFonts w:hint="default" w:ascii="Times New Roman" w:hAnsi="Times New Roman" w:cs="Times New Roman"/>
          <w:highlight w:val="none"/>
        </w:rPr>
        <w:t>工</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查阅地址：</w:t>
      </w:r>
      <w:r>
        <w:rPr>
          <w:rFonts w:hint="default" w:ascii="Times New Roman" w:hAnsi="Times New Roman" w:cs="Times New Roman"/>
          <w:kern w:val="0"/>
          <w:sz w:val="24"/>
        </w:rPr>
        <w:t>大连</w:t>
      </w:r>
      <w:r>
        <w:rPr>
          <w:rFonts w:hint="default" w:ascii="Times New Roman" w:hAnsi="Times New Roman" w:cs="Times New Roman"/>
          <w:kern w:val="0"/>
          <w:sz w:val="24"/>
          <w:lang w:eastAsia="zh-CN"/>
        </w:rPr>
        <w:t>金普新区海青岛街道</w:t>
      </w:r>
      <w:r>
        <w:rPr>
          <w:rFonts w:hint="default" w:ascii="Times New Roman" w:hAnsi="Times New Roman" w:cs="Times New Roman"/>
          <w:kern w:val="0"/>
          <w:sz w:val="24"/>
        </w:rPr>
        <w:t>港兴大街112号</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联系电话：</w:t>
      </w:r>
      <w:r>
        <w:rPr>
          <w:rFonts w:hint="default" w:ascii="Times New Roman" w:hAnsi="Times New Roman" w:cs="Times New Roman"/>
          <w:sz w:val="24"/>
          <w:szCs w:val="24"/>
          <w:lang w:val="en-US" w:eastAsia="zh-CN"/>
        </w:rPr>
        <w:t>0411-87511015</w:t>
      </w: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pPr>
    </w:p>
    <w:p>
      <w:pPr>
        <w:pStyle w:val="5"/>
        <w:spacing w:afterLines="50" w:line="360" w:lineRule="exact"/>
        <w:ind w:firstLine="480"/>
        <w:rPr>
          <w:rFonts w:ascii="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pPr>
      <w:bookmarkStart w:id="32" w:name="_Toc105506769"/>
      <w:r>
        <w:rPr>
          <w:rFonts w:hint="eastAsia"/>
          <w:lang w:val="en-US" w:eastAsia="zh-CN"/>
        </w:rPr>
        <w:t>7</w:t>
      </w:r>
      <w:bookmarkStart w:id="33" w:name="_GoBack"/>
      <w:bookmarkEnd w:id="33"/>
      <w:r>
        <w:t xml:space="preserve"> </w:t>
      </w:r>
      <w:r>
        <w:rPr>
          <w:rFonts w:hint="eastAsia"/>
        </w:rPr>
        <w:t>诚信承诺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5"/>
      <w:bookmarkEnd w:id="16"/>
      <w:bookmarkEnd w:id="32"/>
    </w:p>
    <w:p>
      <w:pPr>
        <w:pStyle w:val="40"/>
        <w:spacing w:line="360" w:lineRule="auto"/>
      </w:pPr>
      <w:r>
        <w:rPr>
          <w:rFonts w:hint="default" w:ascii="Times New Roman" w:hAnsi="Times New Roman" w:eastAsia="宋体" w:cs="Times New Roman"/>
        </w:rPr>
        <w:t>我单位已按照《办法》要求，在</w:t>
      </w:r>
      <w:r>
        <w:rPr>
          <w:rFonts w:hint="default" w:ascii="Times New Roman" w:hAnsi="Times New Roman" w:eastAsia="宋体" w:cs="Times New Roman"/>
          <w:lang w:eastAsia="zh-CN"/>
        </w:rPr>
        <w:t>《</w:t>
      </w:r>
      <w:r>
        <w:rPr>
          <w:rFonts w:hint="eastAsia" w:cs="Times New Roman"/>
          <w:lang w:val="en-US" w:eastAsia="zh-CN"/>
        </w:rPr>
        <w:t>AFB硝化工序移出改建</w:t>
      </w:r>
      <w:r>
        <w:rPr>
          <w:rFonts w:hint="default" w:ascii="Times New Roman" w:hAnsi="Times New Roman" w:eastAsia="宋体" w:cs="Times New Roman"/>
          <w:lang w:val="en-US" w:eastAsia="zh-CN"/>
        </w:rPr>
        <w:t>项目</w:t>
      </w:r>
      <w:r>
        <w:rPr>
          <w:rFonts w:hint="default" w:ascii="Times New Roman" w:hAnsi="Times New Roman" w:cs="Times New Roman"/>
        </w:rPr>
        <w:t>环境影</w:t>
      </w:r>
      <w:r>
        <w:rPr>
          <w:rFonts w:hint="eastAsia"/>
        </w:rPr>
        <w:t>响报告书</w:t>
      </w:r>
      <w:r>
        <w:rPr>
          <w:rFonts w:hint="eastAsia"/>
          <w:lang w:eastAsia="zh-CN"/>
        </w:rPr>
        <w:t>》</w:t>
      </w:r>
      <w:r>
        <w:rPr>
          <w:rFonts w:hint="eastAsia"/>
        </w:rPr>
        <w:t>编制阶段开展了公众参与工作，并按照要求编制了公众参与说明。</w:t>
      </w:r>
    </w:p>
    <w:p>
      <w:pPr>
        <w:pStyle w:val="40"/>
        <w:spacing w:line="360" w:lineRule="auto"/>
        <w:rPr>
          <w:szCs w:val="24"/>
        </w:rPr>
      </w:pPr>
      <w:r>
        <w:rPr>
          <w:rFonts w:hint="eastAsia"/>
        </w:rPr>
        <w:t>我单位承诺，本次提交的《</w:t>
      </w:r>
      <w:r>
        <w:rPr>
          <w:rFonts w:hint="eastAsia" w:cs="Times New Roman"/>
          <w:lang w:val="en-US" w:eastAsia="zh-CN"/>
        </w:rPr>
        <w:t>AFB硝化工序移出改建</w:t>
      </w:r>
      <w:r>
        <w:rPr>
          <w:rFonts w:hint="default" w:ascii="Times New Roman" w:hAnsi="Times New Roman" w:eastAsia="宋体" w:cs="Times New Roman"/>
          <w:lang w:val="en-US" w:eastAsia="zh-CN"/>
        </w:rPr>
        <w:t>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lang w:val="en-US" w:eastAsia="zh-CN"/>
        </w:rPr>
        <w:t>大连</w:t>
      </w:r>
      <w:r>
        <w:rPr>
          <w:rFonts w:hint="eastAsia" w:cs="Times New Roman"/>
          <w:lang w:val="en-US" w:eastAsia="zh-CN"/>
        </w:rPr>
        <w:t>住化金港化工</w:t>
      </w:r>
      <w:r>
        <w:rPr>
          <w:rFonts w:hint="default" w:ascii="Times New Roman" w:hAnsi="Times New Roman" w:eastAsia="宋体" w:cs="Times New Roman"/>
          <w:lang w:val="en-US" w:eastAsia="zh-CN"/>
        </w:rPr>
        <w:t>有限公司</w:t>
      </w:r>
      <w:r>
        <w:rPr>
          <w:rFonts w:hint="eastAsia"/>
          <w:szCs w:val="24"/>
        </w:rPr>
        <w:t>承担全部责任。</w:t>
      </w:r>
    </w:p>
    <w:p>
      <w:pPr>
        <w:pStyle w:val="40"/>
        <w:spacing w:line="360" w:lineRule="auto"/>
        <w:rPr>
          <w:szCs w:val="24"/>
        </w:rPr>
      </w:pPr>
    </w:p>
    <w:p>
      <w:pPr>
        <w:pStyle w:val="40"/>
        <w:spacing w:line="360" w:lineRule="auto"/>
        <w:rPr>
          <w:rFonts w:hint="eastAsia"/>
          <w:szCs w:val="24"/>
          <w:lang w:eastAsia="zh-CN"/>
        </w:rPr>
      </w:pPr>
    </w:p>
    <w:p>
      <w:pPr>
        <w:pStyle w:val="40"/>
        <w:spacing w:line="360" w:lineRule="auto"/>
        <w:rPr>
          <w:rFonts w:hint="eastAsia"/>
          <w:szCs w:val="24"/>
          <w:lang w:eastAsia="zh-CN"/>
        </w:rPr>
      </w:pPr>
      <w:r>
        <w:rPr>
          <w:rFonts w:hint="eastAsia"/>
          <w:szCs w:val="24"/>
          <w:lang w:eastAsia="zh-CN"/>
        </w:rPr>
        <w:t>承诺单位（公章）：</w:t>
      </w:r>
      <w:r>
        <w:rPr>
          <w:rFonts w:hint="eastAsia" w:ascii="Times New Roman" w:hAnsi="Times New Roman" w:eastAsia="宋体" w:cs="Times New Roman"/>
          <w:lang w:val="en-US" w:eastAsia="zh-CN"/>
        </w:rPr>
        <w:t>大连</w:t>
      </w:r>
      <w:r>
        <w:rPr>
          <w:rFonts w:hint="eastAsia" w:cs="Times New Roman"/>
          <w:lang w:val="en-US" w:eastAsia="zh-CN"/>
        </w:rPr>
        <w:t>住化金港化工</w:t>
      </w:r>
      <w:r>
        <w:rPr>
          <w:rFonts w:hint="default" w:ascii="Times New Roman" w:hAnsi="Times New Roman" w:eastAsia="宋体" w:cs="Times New Roman"/>
          <w:lang w:val="en-US" w:eastAsia="zh-CN"/>
        </w:rPr>
        <w:t>有限公司</w:t>
      </w:r>
    </w:p>
    <w:p>
      <w:pPr>
        <w:pStyle w:val="40"/>
        <w:spacing w:line="360" w:lineRule="auto"/>
        <w:rPr>
          <w:szCs w:val="24"/>
        </w:rPr>
      </w:pPr>
      <w:r>
        <w:rPr>
          <w:rFonts w:hint="eastAsia"/>
          <w:szCs w:val="24"/>
          <w:lang w:eastAsia="zh-CN"/>
        </w:rPr>
        <w:t>承诺时间：</w:t>
      </w:r>
      <w:r>
        <w:rPr>
          <w:rFonts w:hint="eastAsia"/>
          <w:szCs w:val="24"/>
          <w:lang w:val="en-US" w:eastAsia="zh-CN"/>
        </w:rPr>
        <w:t xml:space="preserve">      </w:t>
      </w:r>
      <w:r>
        <w:rPr>
          <w:rFonts w:hint="eastAsia"/>
          <w:szCs w:val="24"/>
          <w:highlight w:val="none"/>
        </w:rPr>
        <w:t>年</w:t>
      </w:r>
      <w:r>
        <w:rPr>
          <w:rFonts w:hint="eastAsia"/>
          <w:szCs w:val="24"/>
          <w:highlight w:val="none"/>
          <w:lang w:val="en-US" w:eastAsia="zh-CN"/>
        </w:rPr>
        <w:t xml:space="preserve">    </w:t>
      </w:r>
      <w:r>
        <w:rPr>
          <w:rFonts w:hint="eastAsia"/>
          <w:szCs w:val="24"/>
          <w:highlight w:val="none"/>
        </w:rPr>
        <w:t>月</w:t>
      </w:r>
      <w:r>
        <w:rPr>
          <w:rFonts w:hint="eastAsia"/>
          <w:szCs w:val="24"/>
          <w:highlight w:val="none"/>
          <w:lang w:val="en-US" w:eastAsia="zh-CN"/>
        </w:rPr>
        <w:t xml:space="preserve">    </w:t>
      </w:r>
      <w:r>
        <w:rPr>
          <w:rFonts w:hint="eastAsia"/>
          <w:szCs w:val="24"/>
          <w:highlight w:val="none"/>
        </w:rPr>
        <w:t>日</w:t>
      </w:r>
    </w:p>
    <w:p>
      <w:pPr>
        <w:pStyle w:val="5"/>
        <w:spacing w:afterLines="50" w:line="240" w:lineRule="auto"/>
        <w:ind w:firstLine="0" w:firstLineChars="0"/>
        <w:jc w:val="center"/>
        <w:rPr>
          <w:rFonts w:ascii="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新魏">
    <w:panose1 w:val="02010800040101010101"/>
    <w:charset w:val="86"/>
    <w:family w:val="auto"/>
    <w:pitch w:val="default"/>
    <w:sig w:usb0="00000001" w:usb1="080F0000" w:usb2="00000000" w:usb3="00000000" w:csb0="00040000" w:csb1="00000000"/>
  </w:font>
  <w:font w:name="榛戜綋">
    <w:altName w:val="方正舒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809019"/>
      <w:docPartObj>
        <w:docPartGallery w:val="autotext"/>
      </w:docPartObj>
    </w:sdtPr>
    <w:sdtContent>
      <w:p>
        <w:pPr>
          <w:pStyle w:val="9"/>
          <w:ind w:firstLine="360"/>
          <w:jc w:val="center"/>
        </w:pPr>
        <w:r>
          <w:fldChar w:fldCharType="begin"/>
        </w:r>
        <w:r>
          <w:instrText xml:space="preserve"> PAGE   \* MERGEFORMAT </w:instrText>
        </w:r>
        <w:r>
          <w:fldChar w:fldCharType="separate"/>
        </w:r>
        <w:r>
          <w:rPr>
            <w:lang w:val="zh-CN"/>
          </w:rPr>
          <w:t>-</w:t>
        </w:r>
        <w:r>
          <w:t xml:space="preserve"> 17 -</w:t>
        </w:r>
        <w:r>
          <w:fldChar w:fldCharType="end"/>
        </w:r>
      </w:p>
    </w:sdtContent>
  </w:sdt>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ABDB5"/>
    <w:multiLevelType w:val="singleLevel"/>
    <w:tmpl w:val="DFBABDB5"/>
    <w:lvl w:ilvl="0" w:tentative="0">
      <w:start w:val="1"/>
      <w:numFmt w:val="decimal"/>
      <w:suff w:val="nothing"/>
      <w:lvlText w:val="（%1）"/>
      <w:lvlJc w:val="left"/>
    </w:lvl>
  </w:abstractNum>
  <w:abstractNum w:abstractNumId="1">
    <w:nsid w:val="6E8F432B"/>
    <w:multiLevelType w:val="multilevel"/>
    <w:tmpl w:val="6E8F432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hmMmU0NGY5ODhmNjIxMjc1ZjE4YmQ5ODc2ODUxMTkifQ=="/>
  </w:docVars>
  <w:rsids>
    <w:rsidRoot w:val="4B4D4B11"/>
    <w:rsid w:val="00002754"/>
    <w:rsid w:val="00006DAF"/>
    <w:rsid w:val="000103B1"/>
    <w:rsid w:val="000121AB"/>
    <w:rsid w:val="0003554F"/>
    <w:rsid w:val="0004789F"/>
    <w:rsid w:val="00047B08"/>
    <w:rsid w:val="000550CE"/>
    <w:rsid w:val="00065589"/>
    <w:rsid w:val="00083A85"/>
    <w:rsid w:val="0008668F"/>
    <w:rsid w:val="0008765D"/>
    <w:rsid w:val="00090A44"/>
    <w:rsid w:val="000920E8"/>
    <w:rsid w:val="0009385A"/>
    <w:rsid w:val="0009506B"/>
    <w:rsid w:val="000A360F"/>
    <w:rsid w:val="000A7662"/>
    <w:rsid w:val="000B0248"/>
    <w:rsid w:val="000B1FC9"/>
    <w:rsid w:val="000C2D61"/>
    <w:rsid w:val="000E7312"/>
    <w:rsid w:val="00100B84"/>
    <w:rsid w:val="00100DFC"/>
    <w:rsid w:val="00101532"/>
    <w:rsid w:val="00121B64"/>
    <w:rsid w:val="0013345A"/>
    <w:rsid w:val="001449A9"/>
    <w:rsid w:val="00145559"/>
    <w:rsid w:val="00152663"/>
    <w:rsid w:val="00154A85"/>
    <w:rsid w:val="001711F8"/>
    <w:rsid w:val="001732E8"/>
    <w:rsid w:val="00177D75"/>
    <w:rsid w:val="00186DF7"/>
    <w:rsid w:val="0018782F"/>
    <w:rsid w:val="00191043"/>
    <w:rsid w:val="001A04B6"/>
    <w:rsid w:val="001A1A3E"/>
    <w:rsid w:val="001A42CC"/>
    <w:rsid w:val="001A5F58"/>
    <w:rsid w:val="001A6EAC"/>
    <w:rsid w:val="001B1F0B"/>
    <w:rsid w:val="001C2BAF"/>
    <w:rsid w:val="001E3D2B"/>
    <w:rsid w:val="001F2BCA"/>
    <w:rsid w:val="001F617E"/>
    <w:rsid w:val="00202130"/>
    <w:rsid w:val="00203CC6"/>
    <w:rsid w:val="0022009A"/>
    <w:rsid w:val="00284CBB"/>
    <w:rsid w:val="002865BA"/>
    <w:rsid w:val="00291E3F"/>
    <w:rsid w:val="00297945"/>
    <w:rsid w:val="002B3877"/>
    <w:rsid w:val="002C6B7A"/>
    <w:rsid w:val="002D42EB"/>
    <w:rsid w:val="002D5181"/>
    <w:rsid w:val="002D7CEC"/>
    <w:rsid w:val="002E06C1"/>
    <w:rsid w:val="002E0788"/>
    <w:rsid w:val="002E4B71"/>
    <w:rsid w:val="002E5AF3"/>
    <w:rsid w:val="003033C0"/>
    <w:rsid w:val="003079C9"/>
    <w:rsid w:val="00314F70"/>
    <w:rsid w:val="003151BF"/>
    <w:rsid w:val="00316734"/>
    <w:rsid w:val="003325BA"/>
    <w:rsid w:val="003327C2"/>
    <w:rsid w:val="003371F0"/>
    <w:rsid w:val="00342DF3"/>
    <w:rsid w:val="003524CA"/>
    <w:rsid w:val="00354A1A"/>
    <w:rsid w:val="00361802"/>
    <w:rsid w:val="00361DE7"/>
    <w:rsid w:val="00364D5F"/>
    <w:rsid w:val="00385AF8"/>
    <w:rsid w:val="00386C60"/>
    <w:rsid w:val="00387A6F"/>
    <w:rsid w:val="003953AE"/>
    <w:rsid w:val="003A396E"/>
    <w:rsid w:val="003A60DA"/>
    <w:rsid w:val="003B190C"/>
    <w:rsid w:val="003C2980"/>
    <w:rsid w:val="003C50B6"/>
    <w:rsid w:val="003D2875"/>
    <w:rsid w:val="004417CF"/>
    <w:rsid w:val="004419E3"/>
    <w:rsid w:val="00443302"/>
    <w:rsid w:val="0044568F"/>
    <w:rsid w:val="004468DD"/>
    <w:rsid w:val="00446F72"/>
    <w:rsid w:val="00471436"/>
    <w:rsid w:val="00483371"/>
    <w:rsid w:val="00484958"/>
    <w:rsid w:val="00494DF7"/>
    <w:rsid w:val="004A0681"/>
    <w:rsid w:val="004B25F1"/>
    <w:rsid w:val="004C50A9"/>
    <w:rsid w:val="004C6324"/>
    <w:rsid w:val="004D03A5"/>
    <w:rsid w:val="004D5D1D"/>
    <w:rsid w:val="004E28F1"/>
    <w:rsid w:val="004E6EEA"/>
    <w:rsid w:val="005076CC"/>
    <w:rsid w:val="0053027F"/>
    <w:rsid w:val="005446FD"/>
    <w:rsid w:val="00544F70"/>
    <w:rsid w:val="00550498"/>
    <w:rsid w:val="0056195A"/>
    <w:rsid w:val="0057032F"/>
    <w:rsid w:val="005712F7"/>
    <w:rsid w:val="005915C2"/>
    <w:rsid w:val="00592EAB"/>
    <w:rsid w:val="005A17B7"/>
    <w:rsid w:val="005B1C87"/>
    <w:rsid w:val="005B6351"/>
    <w:rsid w:val="005C0224"/>
    <w:rsid w:val="005C3C42"/>
    <w:rsid w:val="005C520C"/>
    <w:rsid w:val="005C5DFD"/>
    <w:rsid w:val="005E08A2"/>
    <w:rsid w:val="005F6FC9"/>
    <w:rsid w:val="006000B3"/>
    <w:rsid w:val="006132CF"/>
    <w:rsid w:val="00614635"/>
    <w:rsid w:val="0063704E"/>
    <w:rsid w:val="006409A2"/>
    <w:rsid w:val="00643FDC"/>
    <w:rsid w:val="006446CB"/>
    <w:rsid w:val="0065504F"/>
    <w:rsid w:val="006575D3"/>
    <w:rsid w:val="00657D13"/>
    <w:rsid w:val="00661619"/>
    <w:rsid w:val="0067199A"/>
    <w:rsid w:val="00677F5F"/>
    <w:rsid w:val="0068378B"/>
    <w:rsid w:val="00683F31"/>
    <w:rsid w:val="00690036"/>
    <w:rsid w:val="0069747F"/>
    <w:rsid w:val="006A5E7D"/>
    <w:rsid w:val="006B77EA"/>
    <w:rsid w:val="006C1A3A"/>
    <w:rsid w:val="006C208D"/>
    <w:rsid w:val="006D2751"/>
    <w:rsid w:val="006D5058"/>
    <w:rsid w:val="006D5822"/>
    <w:rsid w:val="006D75A1"/>
    <w:rsid w:val="006F0D21"/>
    <w:rsid w:val="00701977"/>
    <w:rsid w:val="00705EA0"/>
    <w:rsid w:val="00737C02"/>
    <w:rsid w:val="007726D9"/>
    <w:rsid w:val="00791A5A"/>
    <w:rsid w:val="007A1E2B"/>
    <w:rsid w:val="007A1E34"/>
    <w:rsid w:val="007B26D9"/>
    <w:rsid w:val="007B2B87"/>
    <w:rsid w:val="007C14F9"/>
    <w:rsid w:val="007C334A"/>
    <w:rsid w:val="007D22FF"/>
    <w:rsid w:val="007E08E5"/>
    <w:rsid w:val="007E2C54"/>
    <w:rsid w:val="007E714B"/>
    <w:rsid w:val="007F090D"/>
    <w:rsid w:val="007F090F"/>
    <w:rsid w:val="007F1EF4"/>
    <w:rsid w:val="007F5B1F"/>
    <w:rsid w:val="00812D3C"/>
    <w:rsid w:val="0081442C"/>
    <w:rsid w:val="00823DDD"/>
    <w:rsid w:val="00827289"/>
    <w:rsid w:val="00830C40"/>
    <w:rsid w:val="0084418F"/>
    <w:rsid w:val="008445F7"/>
    <w:rsid w:val="0085424E"/>
    <w:rsid w:val="00860848"/>
    <w:rsid w:val="008736AA"/>
    <w:rsid w:val="00882C74"/>
    <w:rsid w:val="008960E2"/>
    <w:rsid w:val="008B4810"/>
    <w:rsid w:val="008C4744"/>
    <w:rsid w:val="008D01E0"/>
    <w:rsid w:val="008F1D03"/>
    <w:rsid w:val="008F7083"/>
    <w:rsid w:val="008F7E93"/>
    <w:rsid w:val="009143D4"/>
    <w:rsid w:val="009213E4"/>
    <w:rsid w:val="00941FFA"/>
    <w:rsid w:val="00950A1E"/>
    <w:rsid w:val="00957706"/>
    <w:rsid w:val="00966FA1"/>
    <w:rsid w:val="00975233"/>
    <w:rsid w:val="00977D42"/>
    <w:rsid w:val="009875D3"/>
    <w:rsid w:val="00991F65"/>
    <w:rsid w:val="00993684"/>
    <w:rsid w:val="009A0625"/>
    <w:rsid w:val="009A4338"/>
    <w:rsid w:val="009A6A1F"/>
    <w:rsid w:val="009C1BDF"/>
    <w:rsid w:val="00A10462"/>
    <w:rsid w:val="00A15EEC"/>
    <w:rsid w:val="00A3140C"/>
    <w:rsid w:val="00A35331"/>
    <w:rsid w:val="00A41FB2"/>
    <w:rsid w:val="00A42F1F"/>
    <w:rsid w:val="00A43F55"/>
    <w:rsid w:val="00A5342F"/>
    <w:rsid w:val="00A55D33"/>
    <w:rsid w:val="00A622A1"/>
    <w:rsid w:val="00A81359"/>
    <w:rsid w:val="00A81EB6"/>
    <w:rsid w:val="00A8564A"/>
    <w:rsid w:val="00AA58BC"/>
    <w:rsid w:val="00AB4E4E"/>
    <w:rsid w:val="00AC2023"/>
    <w:rsid w:val="00AC2923"/>
    <w:rsid w:val="00AD1913"/>
    <w:rsid w:val="00AE1BC5"/>
    <w:rsid w:val="00AE4661"/>
    <w:rsid w:val="00AE5AAC"/>
    <w:rsid w:val="00B03EF0"/>
    <w:rsid w:val="00B13516"/>
    <w:rsid w:val="00B55A52"/>
    <w:rsid w:val="00B70C6F"/>
    <w:rsid w:val="00B74463"/>
    <w:rsid w:val="00B74A36"/>
    <w:rsid w:val="00B7675E"/>
    <w:rsid w:val="00B770BE"/>
    <w:rsid w:val="00B80FF6"/>
    <w:rsid w:val="00B83CC5"/>
    <w:rsid w:val="00BD24EC"/>
    <w:rsid w:val="00BD5A34"/>
    <w:rsid w:val="00BE0CD5"/>
    <w:rsid w:val="00BE0D20"/>
    <w:rsid w:val="00BE4B69"/>
    <w:rsid w:val="00BF7B8D"/>
    <w:rsid w:val="00C0246E"/>
    <w:rsid w:val="00C02601"/>
    <w:rsid w:val="00C053FC"/>
    <w:rsid w:val="00C238E5"/>
    <w:rsid w:val="00C27A9B"/>
    <w:rsid w:val="00C35035"/>
    <w:rsid w:val="00C4472E"/>
    <w:rsid w:val="00C47540"/>
    <w:rsid w:val="00C51F92"/>
    <w:rsid w:val="00C6552E"/>
    <w:rsid w:val="00C65BD7"/>
    <w:rsid w:val="00C80C64"/>
    <w:rsid w:val="00C822EA"/>
    <w:rsid w:val="00C86469"/>
    <w:rsid w:val="00C9023C"/>
    <w:rsid w:val="00C922DD"/>
    <w:rsid w:val="00CA3B6C"/>
    <w:rsid w:val="00CA68B6"/>
    <w:rsid w:val="00CB0625"/>
    <w:rsid w:val="00CC05B5"/>
    <w:rsid w:val="00CC7FC6"/>
    <w:rsid w:val="00CD053C"/>
    <w:rsid w:val="00CD5EC6"/>
    <w:rsid w:val="00CE00AE"/>
    <w:rsid w:val="00D05BD5"/>
    <w:rsid w:val="00D071F9"/>
    <w:rsid w:val="00D12422"/>
    <w:rsid w:val="00D15C4D"/>
    <w:rsid w:val="00D15C7B"/>
    <w:rsid w:val="00D170CD"/>
    <w:rsid w:val="00D26A97"/>
    <w:rsid w:val="00D3315A"/>
    <w:rsid w:val="00D37CB7"/>
    <w:rsid w:val="00D42967"/>
    <w:rsid w:val="00D51D1F"/>
    <w:rsid w:val="00D56890"/>
    <w:rsid w:val="00D576E4"/>
    <w:rsid w:val="00D600E1"/>
    <w:rsid w:val="00D62726"/>
    <w:rsid w:val="00D82DE6"/>
    <w:rsid w:val="00D920AE"/>
    <w:rsid w:val="00D92230"/>
    <w:rsid w:val="00D958FC"/>
    <w:rsid w:val="00DC6594"/>
    <w:rsid w:val="00DD3F47"/>
    <w:rsid w:val="00DE0A1B"/>
    <w:rsid w:val="00DE7A0B"/>
    <w:rsid w:val="00E07ED3"/>
    <w:rsid w:val="00E241F0"/>
    <w:rsid w:val="00E26A1E"/>
    <w:rsid w:val="00E3271A"/>
    <w:rsid w:val="00E338FA"/>
    <w:rsid w:val="00E33A50"/>
    <w:rsid w:val="00E450A5"/>
    <w:rsid w:val="00E51163"/>
    <w:rsid w:val="00E5417B"/>
    <w:rsid w:val="00E56423"/>
    <w:rsid w:val="00E74BFE"/>
    <w:rsid w:val="00E7716E"/>
    <w:rsid w:val="00E96188"/>
    <w:rsid w:val="00EA00D6"/>
    <w:rsid w:val="00EA2837"/>
    <w:rsid w:val="00EA5E1D"/>
    <w:rsid w:val="00EB5FC5"/>
    <w:rsid w:val="00EC2283"/>
    <w:rsid w:val="00EE42F1"/>
    <w:rsid w:val="00EE64F1"/>
    <w:rsid w:val="00EE6AD0"/>
    <w:rsid w:val="00EF162F"/>
    <w:rsid w:val="00EF2E07"/>
    <w:rsid w:val="00EF375D"/>
    <w:rsid w:val="00EF42C6"/>
    <w:rsid w:val="00F116EC"/>
    <w:rsid w:val="00F14347"/>
    <w:rsid w:val="00F15B6A"/>
    <w:rsid w:val="00F26C96"/>
    <w:rsid w:val="00F31D40"/>
    <w:rsid w:val="00F32128"/>
    <w:rsid w:val="00F33E1C"/>
    <w:rsid w:val="00F344E1"/>
    <w:rsid w:val="00F36091"/>
    <w:rsid w:val="00F4611C"/>
    <w:rsid w:val="00F639BE"/>
    <w:rsid w:val="00F738EC"/>
    <w:rsid w:val="00F81BD2"/>
    <w:rsid w:val="00F917B1"/>
    <w:rsid w:val="00F9532B"/>
    <w:rsid w:val="00FA7962"/>
    <w:rsid w:val="00FB62F5"/>
    <w:rsid w:val="00FB68E4"/>
    <w:rsid w:val="00FC5812"/>
    <w:rsid w:val="00FC6F79"/>
    <w:rsid w:val="00FF0F3A"/>
    <w:rsid w:val="016412A2"/>
    <w:rsid w:val="016C0FA1"/>
    <w:rsid w:val="08955281"/>
    <w:rsid w:val="0ABF62B0"/>
    <w:rsid w:val="0C1647CC"/>
    <w:rsid w:val="10613C9B"/>
    <w:rsid w:val="11915844"/>
    <w:rsid w:val="130B07C7"/>
    <w:rsid w:val="18826EA4"/>
    <w:rsid w:val="1C6839CF"/>
    <w:rsid w:val="1D091390"/>
    <w:rsid w:val="265E71B7"/>
    <w:rsid w:val="279564A9"/>
    <w:rsid w:val="2AEC110A"/>
    <w:rsid w:val="398843D5"/>
    <w:rsid w:val="3CAC5220"/>
    <w:rsid w:val="3CD03B4E"/>
    <w:rsid w:val="3FA45D19"/>
    <w:rsid w:val="40716718"/>
    <w:rsid w:val="4AAD4817"/>
    <w:rsid w:val="4B4D4B11"/>
    <w:rsid w:val="4BD315AC"/>
    <w:rsid w:val="4EEA2AD2"/>
    <w:rsid w:val="51DC6EE3"/>
    <w:rsid w:val="51FE70B1"/>
    <w:rsid w:val="526606C2"/>
    <w:rsid w:val="581210BF"/>
    <w:rsid w:val="5BA70CA5"/>
    <w:rsid w:val="5C2873DF"/>
    <w:rsid w:val="5D3C0A1B"/>
    <w:rsid w:val="600B4656"/>
    <w:rsid w:val="63864DBB"/>
    <w:rsid w:val="63870ABF"/>
    <w:rsid w:val="6E780DA5"/>
    <w:rsid w:val="730613D9"/>
    <w:rsid w:val="735F6D3B"/>
    <w:rsid w:val="73ED2599"/>
    <w:rsid w:val="7C0A1AE3"/>
    <w:rsid w:val="7E5A7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7"/>
        <o:r id="V:Rule2" type="connector" idref="#_x0000_s10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autoRedefine/>
    <w:qFormat/>
    <w:uiPriority w:val="0"/>
    <w:pPr>
      <w:keepNext/>
      <w:keepLines/>
      <w:spacing w:before="340" w:after="330" w:line="578" w:lineRule="atLeast"/>
      <w:ind w:firstLine="0" w:firstLineChars="0"/>
      <w:outlineLvl w:val="0"/>
    </w:pPr>
    <w:rPr>
      <w:b/>
      <w:bCs/>
      <w:kern w:val="44"/>
      <w:sz w:val="44"/>
      <w:szCs w:val="44"/>
    </w:rPr>
  </w:style>
  <w:style w:type="paragraph" w:styleId="3">
    <w:name w:val="heading 2"/>
    <w:basedOn w:val="1"/>
    <w:next w:val="1"/>
    <w:link w:val="33"/>
    <w:autoRedefine/>
    <w:unhideWhenUsed/>
    <w:qFormat/>
    <w:uiPriority w:val="99"/>
    <w:pPr>
      <w:keepNext/>
      <w:keepLines/>
      <w:spacing w:before="260" w:after="260" w:line="416" w:lineRule="exact"/>
      <w:ind w:firstLine="0" w:firstLineChars="0"/>
      <w:outlineLvl w:val="1"/>
    </w:pPr>
    <w:rPr>
      <w:b/>
      <w:bCs/>
      <w:sz w:val="30"/>
      <w:szCs w:val="32"/>
    </w:rPr>
  </w:style>
  <w:style w:type="paragraph" w:styleId="4">
    <w:name w:val="heading 3"/>
    <w:basedOn w:val="1"/>
    <w:next w:val="1"/>
    <w:link w:val="34"/>
    <w:autoRedefine/>
    <w:unhideWhenUsed/>
    <w:qFormat/>
    <w:uiPriority w:val="99"/>
    <w:pPr>
      <w:keepNext/>
      <w:keepLines/>
      <w:spacing w:before="260" w:after="260"/>
      <w:ind w:firstLine="0" w:firstLineChars="0"/>
      <w:outlineLvl w:val="2"/>
    </w:pPr>
    <w:rPr>
      <w:b/>
      <w:bCs/>
      <w:sz w:val="28"/>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36"/>
    <w:autoRedefine/>
    <w:unhideWhenUsed/>
    <w:qFormat/>
    <w:uiPriority w:val="99"/>
    <w:rPr>
      <w:rFonts w:asciiTheme="minorHAnsi" w:hAnsiTheme="minorHAnsi" w:eastAsiaTheme="minorEastAsia" w:cstheme="minorBidi"/>
      <w:color w:val="000000"/>
      <w:szCs w:val="24"/>
    </w:rPr>
  </w:style>
  <w:style w:type="paragraph" w:styleId="6">
    <w:name w:val="Document Map"/>
    <w:basedOn w:val="1"/>
    <w:link w:val="28"/>
    <w:autoRedefine/>
    <w:qFormat/>
    <w:uiPriority w:val="0"/>
    <w:rPr>
      <w:rFonts w:ascii="宋体"/>
      <w:sz w:val="18"/>
      <w:szCs w:val="18"/>
    </w:rPr>
  </w:style>
  <w:style w:type="paragraph" w:styleId="7">
    <w:name w:val="toc 3"/>
    <w:basedOn w:val="1"/>
    <w:next w:val="1"/>
    <w:autoRedefine/>
    <w:qFormat/>
    <w:uiPriority w:val="39"/>
    <w:pPr>
      <w:ind w:left="840" w:leftChars="400"/>
    </w:pPr>
  </w:style>
  <w:style w:type="paragraph" w:styleId="8">
    <w:name w:val="Balloon Text"/>
    <w:basedOn w:val="1"/>
    <w:link w:val="29"/>
    <w:autoRedefine/>
    <w:qFormat/>
    <w:uiPriority w:val="0"/>
    <w:pPr>
      <w:spacing w:line="240" w:lineRule="auto"/>
    </w:pPr>
    <w:rPr>
      <w:sz w:val="18"/>
      <w:szCs w:val="18"/>
    </w:rPr>
  </w:style>
  <w:style w:type="paragraph" w:styleId="9">
    <w:name w:val="footer"/>
    <w:basedOn w:val="1"/>
    <w:next w:val="10"/>
    <w:link w:val="32"/>
    <w:autoRedefine/>
    <w:qFormat/>
    <w:uiPriority w:val="99"/>
    <w:pPr>
      <w:tabs>
        <w:tab w:val="center" w:pos="4153"/>
        <w:tab w:val="right" w:pos="8306"/>
      </w:tabs>
      <w:snapToGrid w:val="0"/>
      <w:spacing w:line="240" w:lineRule="atLeast"/>
      <w:jc w:val="left"/>
    </w:pPr>
    <w:rPr>
      <w:sz w:val="18"/>
      <w:szCs w:val="18"/>
    </w:rPr>
  </w:style>
  <w:style w:type="paragraph" w:styleId="10">
    <w:name w:val="List"/>
    <w:basedOn w:val="1"/>
    <w:next w:val="1"/>
    <w:autoRedefine/>
    <w:qFormat/>
    <w:uiPriority w:val="0"/>
    <w:pPr>
      <w:ind w:left="200" w:hanging="200" w:hangingChars="200"/>
    </w:pPr>
  </w:style>
  <w:style w:type="paragraph" w:styleId="11">
    <w:name w:val="header"/>
    <w:basedOn w:val="1"/>
    <w:link w:val="31"/>
    <w:autoRedefine/>
    <w:qFormat/>
    <w:uiPriority w:val="0"/>
    <w:pPr>
      <w:tabs>
        <w:tab w:val="center" w:pos="4153"/>
        <w:tab w:val="right" w:pos="8306"/>
      </w:tabs>
      <w:snapToGrid w:val="0"/>
      <w:spacing w:line="240" w:lineRule="atLeast"/>
      <w:jc w:val="center"/>
    </w:pPr>
    <w:rPr>
      <w:sz w:val="18"/>
      <w:szCs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table" w:styleId="15">
    <w:name w:val="Table Grid"/>
    <w:basedOn w:val="14"/>
    <w:autoRedefine/>
    <w:qFormat/>
    <w:uiPriority w:val="59"/>
    <w:pPr>
      <w:widowControl w:val="0"/>
      <w:spacing w:line="400" w:lineRule="exact"/>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autoRedefine/>
    <w:qFormat/>
    <w:uiPriority w:val="0"/>
  </w:style>
  <w:style w:type="character" w:styleId="18">
    <w:name w:val="Hyperlink"/>
    <w:basedOn w:val="16"/>
    <w:autoRedefine/>
    <w:unhideWhenUsed/>
    <w:qFormat/>
    <w:uiPriority w:val="99"/>
    <w:rPr>
      <w:color w:val="0563C1" w:themeColor="hyperlink"/>
      <w:u w:val="single"/>
    </w:rPr>
  </w:style>
  <w:style w:type="paragraph" w:customStyle="1" w:styleId="19">
    <w:name w:val="强调内容"/>
    <w:basedOn w:val="1"/>
    <w:next w:val="1"/>
    <w:autoRedefine/>
    <w:qFormat/>
    <w:uiPriority w:val="99"/>
    <w:pPr>
      <w:adjustRightInd w:val="0"/>
      <w:snapToGrid w:val="0"/>
      <w:spacing w:line="480" w:lineRule="exact"/>
    </w:pPr>
    <w:rPr>
      <w:b/>
    </w:rPr>
  </w:style>
  <w:style w:type="paragraph" w:customStyle="1" w:styleId="20">
    <w:name w:val="表题"/>
    <w:basedOn w:val="1"/>
    <w:autoRedefine/>
    <w:qFormat/>
    <w:uiPriority w:val="99"/>
    <w:pPr>
      <w:tabs>
        <w:tab w:val="left" w:pos="4305"/>
      </w:tabs>
      <w:adjustRightInd w:val="0"/>
      <w:snapToGrid w:val="0"/>
      <w:jc w:val="center"/>
    </w:pPr>
    <w:rPr>
      <w:rFonts w:eastAsia="黑体"/>
      <w:szCs w:val="24"/>
    </w:rPr>
  </w:style>
  <w:style w:type="paragraph" w:customStyle="1" w:styleId="21">
    <w:name w:val="样式 报告正文 + 首行缩进:  2 字符"/>
    <w:basedOn w:val="22"/>
    <w:link w:val="35"/>
    <w:autoRedefine/>
    <w:qFormat/>
    <w:uiPriority w:val="99"/>
    <w:pPr>
      <w:spacing w:line="400" w:lineRule="exact"/>
      <w:ind w:firstLine="480"/>
    </w:pPr>
    <w:rPr>
      <w:rFonts w:cs="宋体"/>
    </w:rPr>
  </w:style>
  <w:style w:type="paragraph" w:customStyle="1" w:styleId="22">
    <w:name w:val="报告正文"/>
    <w:basedOn w:val="1"/>
    <w:next w:val="1"/>
    <w:link w:val="37"/>
    <w:autoRedefine/>
    <w:qFormat/>
    <w:uiPriority w:val="0"/>
    <w:pPr>
      <w:adjustRightInd w:val="0"/>
      <w:snapToGrid w:val="0"/>
      <w:spacing w:line="480" w:lineRule="exact"/>
    </w:pPr>
    <w:rPr>
      <w:szCs w:val="24"/>
    </w:rPr>
  </w:style>
  <w:style w:type="paragraph" w:customStyle="1" w:styleId="23">
    <w:name w:val="加重"/>
    <w:basedOn w:val="22"/>
    <w:next w:val="22"/>
    <w:autoRedefine/>
    <w:qFormat/>
    <w:uiPriority w:val="99"/>
    <w:pPr>
      <w:spacing w:line="400" w:lineRule="exact"/>
    </w:pPr>
    <w:rPr>
      <w:b/>
    </w:rPr>
  </w:style>
  <w:style w:type="paragraph" w:customStyle="1" w:styleId="24">
    <w:name w:val="正文加重"/>
    <w:basedOn w:val="1"/>
    <w:autoRedefine/>
    <w:qFormat/>
    <w:uiPriority w:val="99"/>
    <w:pPr>
      <w:adjustRightInd w:val="0"/>
      <w:snapToGrid w:val="0"/>
    </w:pPr>
    <w:rPr>
      <w:b/>
      <w:bCs/>
      <w:szCs w:val="24"/>
    </w:rPr>
  </w:style>
  <w:style w:type="paragraph" w:customStyle="1" w:styleId="25">
    <w:name w:val="xl39"/>
    <w:basedOn w:val="1"/>
    <w:autoRedefine/>
    <w:qFormat/>
    <w:uiPriority w:val="0"/>
    <w:pPr>
      <w:widowControl/>
      <w:spacing w:before="100" w:after="100"/>
      <w:jc w:val="center"/>
    </w:pPr>
    <w:rPr>
      <w:rFonts w:ascii="Arial Unicode MS" w:hAnsi="Arial Unicode MS"/>
      <w:kern w:val="0"/>
    </w:rPr>
  </w:style>
  <w:style w:type="paragraph" w:customStyle="1" w:styleId="26">
    <w:name w:val="表格内容"/>
    <w:basedOn w:val="1"/>
    <w:next w:val="1"/>
    <w:autoRedefine/>
    <w:qFormat/>
    <w:uiPriority w:val="99"/>
    <w:pPr>
      <w:overflowPunct w:val="0"/>
      <w:adjustRightInd w:val="0"/>
      <w:spacing w:before="40" w:after="60" w:line="200" w:lineRule="atLeast"/>
      <w:textAlignment w:val="baseline"/>
    </w:pPr>
    <w:rPr>
      <w:rFonts w:eastAsia="仿宋_GB2312"/>
      <w:kern w:val="0"/>
    </w:rPr>
  </w:style>
  <w:style w:type="paragraph" w:customStyle="1" w:styleId="27">
    <w:name w:val="报告表格内容"/>
    <w:basedOn w:val="1"/>
    <w:next w:val="1"/>
    <w:link w:val="39"/>
    <w:autoRedefine/>
    <w:qFormat/>
    <w:uiPriority w:val="0"/>
    <w:pPr>
      <w:adjustRightInd w:val="0"/>
      <w:snapToGrid w:val="0"/>
      <w:spacing w:line="240" w:lineRule="auto"/>
      <w:ind w:firstLine="0" w:firstLineChars="0"/>
      <w:jc w:val="center"/>
    </w:pPr>
    <w:rPr>
      <w:sz w:val="21"/>
    </w:rPr>
  </w:style>
  <w:style w:type="character" w:customStyle="1" w:styleId="28">
    <w:name w:val="文档结构图 Char"/>
    <w:basedOn w:val="16"/>
    <w:link w:val="6"/>
    <w:autoRedefine/>
    <w:qFormat/>
    <w:uiPriority w:val="0"/>
    <w:rPr>
      <w:rFonts w:ascii="宋体" w:hAnsi="Times New Roman" w:eastAsia="宋体" w:cs="Times New Roman"/>
      <w:kern w:val="2"/>
      <w:sz w:val="18"/>
      <w:szCs w:val="18"/>
    </w:rPr>
  </w:style>
  <w:style w:type="character" w:customStyle="1" w:styleId="29">
    <w:name w:val="批注框文本 Char"/>
    <w:basedOn w:val="16"/>
    <w:link w:val="8"/>
    <w:autoRedefine/>
    <w:qFormat/>
    <w:uiPriority w:val="0"/>
    <w:rPr>
      <w:rFonts w:ascii="Times New Roman" w:hAnsi="Times New Roman" w:eastAsia="宋体" w:cs="Times New Roman"/>
      <w:kern w:val="2"/>
      <w:sz w:val="18"/>
      <w:szCs w:val="18"/>
    </w:rPr>
  </w:style>
  <w:style w:type="paragraph" w:customStyle="1" w:styleId="3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31">
    <w:name w:val="页眉 Char"/>
    <w:basedOn w:val="16"/>
    <w:link w:val="11"/>
    <w:autoRedefine/>
    <w:qFormat/>
    <w:uiPriority w:val="0"/>
    <w:rPr>
      <w:rFonts w:ascii="Times New Roman" w:hAnsi="Times New Roman" w:eastAsia="宋体" w:cs="Times New Roman"/>
      <w:kern w:val="2"/>
      <w:sz w:val="18"/>
      <w:szCs w:val="18"/>
    </w:rPr>
  </w:style>
  <w:style w:type="character" w:customStyle="1" w:styleId="32">
    <w:name w:val="页脚 Char"/>
    <w:basedOn w:val="16"/>
    <w:link w:val="9"/>
    <w:autoRedefine/>
    <w:qFormat/>
    <w:uiPriority w:val="99"/>
    <w:rPr>
      <w:rFonts w:ascii="Times New Roman" w:hAnsi="Times New Roman" w:eastAsia="宋体" w:cs="Times New Roman"/>
      <w:kern w:val="2"/>
      <w:sz w:val="18"/>
      <w:szCs w:val="18"/>
    </w:rPr>
  </w:style>
  <w:style w:type="character" w:customStyle="1" w:styleId="33">
    <w:name w:val="标题 2 Char"/>
    <w:basedOn w:val="16"/>
    <w:link w:val="3"/>
    <w:autoRedefine/>
    <w:qFormat/>
    <w:locked/>
    <w:uiPriority w:val="99"/>
    <w:rPr>
      <w:rFonts w:ascii="Times New Roman" w:hAnsi="Times New Roman" w:eastAsia="宋体" w:cs="Times New Roman"/>
      <w:b/>
      <w:bCs/>
      <w:kern w:val="2"/>
      <w:sz w:val="30"/>
      <w:szCs w:val="32"/>
    </w:rPr>
  </w:style>
  <w:style w:type="character" w:customStyle="1" w:styleId="34">
    <w:name w:val="标题 3 Char"/>
    <w:basedOn w:val="16"/>
    <w:link w:val="4"/>
    <w:autoRedefine/>
    <w:qFormat/>
    <w:locked/>
    <w:uiPriority w:val="99"/>
    <w:rPr>
      <w:rFonts w:ascii="Times New Roman" w:hAnsi="Times New Roman" w:eastAsia="宋体" w:cs="Times New Roman"/>
      <w:b/>
      <w:bCs/>
      <w:kern w:val="2"/>
      <w:sz w:val="28"/>
      <w:szCs w:val="32"/>
    </w:rPr>
  </w:style>
  <w:style w:type="character" w:customStyle="1" w:styleId="35">
    <w:name w:val="样式 报告正文 + 首行缩进:  2 字符 Char"/>
    <w:basedOn w:val="16"/>
    <w:link w:val="21"/>
    <w:autoRedefine/>
    <w:qFormat/>
    <w:locked/>
    <w:uiPriority w:val="99"/>
    <w:rPr>
      <w:rFonts w:ascii="Times New Roman" w:hAnsi="Times New Roman" w:eastAsia="宋体" w:cs="宋体"/>
      <w:kern w:val="2"/>
      <w:sz w:val="24"/>
      <w:szCs w:val="24"/>
    </w:rPr>
  </w:style>
  <w:style w:type="character" w:customStyle="1" w:styleId="36">
    <w:name w:val="正文缩进 Char2"/>
    <w:basedOn w:val="16"/>
    <w:link w:val="5"/>
    <w:autoRedefine/>
    <w:qFormat/>
    <w:locked/>
    <w:uiPriority w:val="99"/>
    <w:rPr>
      <w:color w:val="000000"/>
      <w:kern w:val="2"/>
      <w:sz w:val="24"/>
      <w:szCs w:val="24"/>
    </w:rPr>
  </w:style>
  <w:style w:type="character" w:customStyle="1" w:styleId="37">
    <w:name w:val="报告正文 Char"/>
    <w:link w:val="22"/>
    <w:autoRedefine/>
    <w:qFormat/>
    <w:locked/>
    <w:uiPriority w:val="0"/>
    <w:rPr>
      <w:rFonts w:ascii="Times New Roman" w:hAnsi="Times New Roman" w:eastAsia="宋体" w:cs="Times New Roman"/>
      <w:kern w:val="2"/>
      <w:sz w:val="24"/>
      <w:szCs w:val="24"/>
    </w:rPr>
  </w:style>
  <w:style w:type="paragraph" w:styleId="38">
    <w:name w:val="List Paragraph"/>
    <w:basedOn w:val="1"/>
    <w:autoRedefine/>
    <w:unhideWhenUsed/>
    <w:qFormat/>
    <w:uiPriority w:val="99"/>
    <w:pPr>
      <w:ind w:firstLine="420"/>
    </w:pPr>
  </w:style>
  <w:style w:type="character" w:customStyle="1" w:styleId="39">
    <w:name w:val="报告表格内容 Char"/>
    <w:basedOn w:val="16"/>
    <w:link w:val="27"/>
    <w:autoRedefine/>
    <w:qFormat/>
    <w:uiPriority w:val="0"/>
    <w:rPr>
      <w:rFonts w:ascii="Times New Roman" w:hAnsi="Times New Roman" w:eastAsia="宋体" w:cs="Times New Roman"/>
      <w:kern w:val="2"/>
      <w:sz w:val="21"/>
      <w:szCs w:val="22"/>
    </w:rPr>
  </w:style>
  <w:style w:type="paragraph" w:customStyle="1" w:styleId="40">
    <w:name w:val="报告正文样式"/>
    <w:basedOn w:val="1"/>
    <w:link w:val="41"/>
    <w:autoRedefine/>
    <w:qFormat/>
    <w:uiPriority w:val="0"/>
    <w:pPr>
      <w:adjustRightInd w:val="0"/>
      <w:snapToGrid w:val="0"/>
      <w:spacing w:line="440" w:lineRule="exact"/>
      <w:ind w:firstLine="480"/>
    </w:pPr>
    <w:rPr>
      <w:rFonts w:cs="宋体"/>
      <w:szCs w:val="20"/>
    </w:rPr>
  </w:style>
  <w:style w:type="character" w:customStyle="1" w:styleId="41">
    <w:name w:val="报告正文样式 Char"/>
    <w:link w:val="40"/>
    <w:autoRedefine/>
    <w:qFormat/>
    <w:uiPriority w:val="0"/>
    <w:rPr>
      <w:rFonts w:ascii="Times New Roman" w:hAnsi="Times New Roman" w:eastAsia="宋体" w:cs="宋体"/>
      <w:kern w:val="2"/>
      <w:sz w:val="24"/>
    </w:rPr>
  </w:style>
  <w:style w:type="character" w:customStyle="1" w:styleId="42">
    <w:name w:val="报告表格内容 Char Char"/>
    <w:autoRedefine/>
    <w:qFormat/>
    <w:uiPriority w:val="0"/>
    <w:rPr>
      <w:rFonts w:eastAsia="宋体"/>
      <w:kern w:val="2"/>
      <w:sz w:val="21"/>
      <w:lang w:val="en-US" w:eastAsia="zh-CN" w:bidi="ar-SA"/>
    </w:rPr>
  </w:style>
  <w:style w:type="paragraph" w:customStyle="1" w:styleId="43">
    <w:name w:val="6表内文字 居中"/>
    <w:basedOn w:val="1"/>
    <w:autoRedefine/>
    <w:qFormat/>
    <w:uiPriority w:val="0"/>
    <w:pPr>
      <w:adjustRightInd w:val="0"/>
      <w:spacing w:line="240" w:lineRule="atLeast"/>
      <w:ind w:firstLine="0" w:firstLineChars="0"/>
      <w:jc w:val="center"/>
      <w:textAlignment w:val="baseline"/>
    </w:pPr>
    <w:rPr>
      <w:snapToGrid w:val="0"/>
      <w:kern w:val="0"/>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29"/>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A1E17-A4A5-4DCB-98CC-0794EABAE35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1064</Words>
  <Characters>6066</Characters>
  <Lines>50</Lines>
  <Paragraphs>14</Paragraphs>
  <TotalTime>10</TotalTime>
  <ScaleCrop>false</ScaleCrop>
  <LinksUpToDate>false</LinksUpToDate>
  <CharactersWithSpaces>7116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2022-08-16T02:24:00Z</dcterms:created>
  <dc:creator>Administrator</dc:creator>
  <cp:lastModifiedBy>蕾蕾</cp:lastModifiedBy>
  <cp:lastPrinted>2022-09-01T13:12:00Z</cp:lastPrinted>
  <dcterms:modified xsi:type="dcterms:W3CDTF">2024-04-25T00:54:35Z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0C810FE82BA74C4B8E8820758196A4D2_12</vt:lpwstr>
  </property>
</Properties>
</file>