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0" w:after="1000" w:line="560" w:lineRule="exact"/>
        <w:jc w:val="center"/>
        <w:rPr>
          <w:rFonts w:hint="default" w:ascii="宋体" w:hAnsi="宋体" w:eastAsia="宋体" w:cs="宋体"/>
          <w:sz w:val="18"/>
          <w:szCs w:val="18"/>
          <w:lang w:val="en-US" w:eastAsia="zh-CN"/>
        </w:rPr>
      </w:pPr>
      <w:r>
        <w:rPr>
          <w:rFonts w:ascii="宋体" w:hAnsi="宋体" w:eastAsia="宋体" w:cs="宋体"/>
          <w:sz w:val="18"/>
          <w:szCs w:val="18"/>
        </w:rPr>
        <w:t xml:space="preserve">证券代码：002297              </w:t>
      </w:r>
      <w:r>
        <w:rPr>
          <w:rFonts w:hint="eastAsia" w:ascii="宋体" w:hAnsi="宋体" w:eastAsia="宋体" w:cs="宋体"/>
          <w:sz w:val="18"/>
          <w:szCs w:val="18"/>
          <w:lang w:val="en-US" w:eastAsia="zh-CN"/>
        </w:rPr>
        <w:t xml:space="preserve">  </w:t>
      </w:r>
      <w:r>
        <w:rPr>
          <w:rFonts w:ascii="宋体" w:hAnsi="宋体" w:eastAsia="宋体" w:cs="宋体"/>
          <w:sz w:val="18"/>
          <w:szCs w:val="18"/>
        </w:rPr>
        <w:t xml:space="preserve">  证券简称：博云新材             </w:t>
      </w:r>
      <w:r>
        <w:rPr>
          <w:rFonts w:hint="eastAsia" w:ascii="宋体" w:hAnsi="宋体" w:eastAsia="宋体" w:cs="宋体"/>
          <w:sz w:val="18"/>
          <w:szCs w:val="18"/>
          <w:lang w:val="en-US" w:eastAsia="zh-CN"/>
        </w:rPr>
        <w:t xml:space="preserve"> </w:t>
      </w:r>
      <w:r>
        <w:rPr>
          <w:rFonts w:ascii="宋体" w:hAnsi="宋体" w:eastAsia="宋体" w:cs="宋体"/>
          <w:sz w:val="18"/>
          <w:szCs w:val="18"/>
        </w:rPr>
        <w:t xml:space="preserve">   公告编号：</w:t>
      </w:r>
      <w:r>
        <w:rPr>
          <w:rFonts w:hint="eastAsia" w:ascii="宋体" w:hAnsi="宋体" w:eastAsia="宋体" w:cs="宋体"/>
          <w:sz w:val="18"/>
          <w:szCs w:val="18"/>
          <w:lang w:val="en-US" w:eastAsia="zh-CN"/>
        </w:rPr>
        <w:t>2022-069</w:t>
      </w:r>
    </w:p>
    <w:p>
      <w:pPr>
        <w:spacing w:before="200" w:after="200" w:line="400" w:lineRule="exact"/>
        <w:jc w:val="center"/>
        <w:rPr>
          <w:rFonts w:ascii="宋体" w:hAnsi="宋体" w:eastAsia="宋体" w:cs="宋体"/>
          <w:b/>
          <w:bCs/>
          <w:sz w:val="32"/>
          <w:szCs w:val="32"/>
        </w:rPr>
      </w:pPr>
      <w:r>
        <w:rPr>
          <w:rFonts w:ascii="宋体" w:hAnsi="宋体" w:eastAsia="宋体" w:cs="宋体"/>
          <w:b/>
          <w:bCs/>
          <w:sz w:val="32"/>
          <w:szCs w:val="32"/>
        </w:rPr>
        <w:t>湖南博云新材料股份有限公司</w:t>
      </w:r>
    </w:p>
    <w:p>
      <w:pPr>
        <w:spacing w:before="200" w:after="200" w:line="400" w:lineRule="exact"/>
        <w:jc w:val="center"/>
        <w:rPr>
          <w:rFonts w:ascii="宋体" w:hAnsi="宋体" w:eastAsia="宋体" w:cs="宋体"/>
          <w:b/>
          <w:bCs/>
          <w:sz w:val="32"/>
          <w:szCs w:val="32"/>
        </w:rPr>
      </w:pPr>
      <w:r>
        <w:rPr>
          <w:rFonts w:ascii="宋体" w:hAnsi="宋体" w:eastAsia="宋体" w:cs="宋体"/>
          <w:b/>
          <w:bCs/>
          <w:sz w:val="32"/>
          <w:szCs w:val="32"/>
        </w:rPr>
        <w:t>2022年第三季度报告</w:t>
      </w:r>
    </w:p>
    <w:p>
      <w:pPr>
        <w:pBdr>
          <w:top w:val="single" w:color="auto" w:sz="4" w:space="1"/>
          <w:left w:val="single" w:color="auto" w:sz="4" w:space="4"/>
          <w:bottom w:val="single" w:color="auto" w:sz="4" w:space="1"/>
          <w:right w:val="single" w:color="auto" w:sz="4" w:space="4"/>
        </w:pBdr>
        <w:spacing w:before="100" w:after="100" w:line="400" w:lineRule="exact"/>
        <w:ind w:firstLine="360" w:firstLineChars="200"/>
        <w:jc w:val="left"/>
        <w:rPr>
          <w:rFonts w:ascii="宋体" w:hAnsi="宋体" w:eastAsia="宋体" w:cs="宋体"/>
          <w:sz w:val="18"/>
          <w:szCs w:val="18"/>
        </w:rPr>
      </w:pPr>
      <w:r>
        <w:rPr>
          <w:rFonts w:ascii="宋体" w:hAnsi="宋体" w:eastAsia="宋体" w:cs="宋体"/>
          <w:sz w:val="18"/>
          <w:szCs w:val="18"/>
        </w:rPr>
        <w:t>本公司及董事会全体成员保证信息披露的内容真实、准确、完整，没有虚假记载、误导性陈述或重大遗漏。</w:t>
      </w:r>
    </w:p>
    <w:p>
      <w:pPr>
        <w:spacing w:before="40" w:after="40" w:line="420" w:lineRule="exact"/>
        <w:jc w:val="left"/>
        <w:rPr>
          <w:rFonts w:ascii="宋体" w:hAnsi="宋体" w:eastAsia="宋体" w:cs="宋体"/>
          <w:b/>
          <w:bCs/>
          <w:sz w:val="24"/>
          <w:szCs w:val="24"/>
        </w:rPr>
      </w:pPr>
      <w:r>
        <w:rPr>
          <w:rFonts w:ascii="宋体" w:hAnsi="宋体" w:eastAsia="宋体" w:cs="宋体"/>
          <w:b/>
          <w:bCs/>
          <w:sz w:val="24"/>
          <w:szCs w:val="24"/>
        </w:rPr>
        <w:t>重要内容提示：</w:t>
      </w:r>
    </w:p>
    <w:p>
      <w:pPr>
        <w:spacing w:before="100" w:after="100" w:line="400" w:lineRule="exact"/>
        <w:jc w:val="left"/>
        <w:rPr>
          <w:rFonts w:ascii="宋体" w:hAnsi="宋体" w:eastAsia="宋体" w:cs="宋体"/>
          <w:sz w:val="18"/>
          <w:szCs w:val="18"/>
        </w:rPr>
      </w:pPr>
      <w:r>
        <w:rPr>
          <w:rFonts w:ascii="宋体" w:hAnsi="宋体" w:eastAsia="宋体" w:cs="宋体"/>
          <w:sz w:val="18"/>
          <w:szCs w:val="18"/>
        </w:rPr>
        <w:t>1.董事会、监事会及董事、监事、高级管理人员保证季度报告的真实、准确、完整，不存在虚假记载、误导性陈述或重大遗漏，并承担个别和连带的法律责任。</w:t>
      </w:r>
    </w:p>
    <w:p>
      <w:pPr>
        <w:spacing w:before="100" w:after="100" w:line="400" w:lineRule="exact"/>
        <w:jc w:val="left"/>
        <w:rPr>
          <w:rFonts w:ascii="宋体" w:hAnsi="宋体" w:eastAsia="宋体" w:cs="宋体"/>
          <w:sz w:val="18"/>
          <w:szCs w:val="18"/>
        </w:rPr>
      </w:pPr>
      <w:r>
        <w:rPr>
          <w:rFonts w:ascii="宋体" w:hAnsi="宋体" w:eastAsia="宋体" w:cs="宋体"/>
          <w:sz w:val="18"/>
          <w:szCs w:val="18"/>
        </w:rPr>
        <w:t>2.公司负责人、主管会计工作负责人及会计机构负责人(会计主管人员)声明：保证季度报告中财务信息的真实、准确、完整。</w:t>
      </w:r>
    </w:p>
    <w:p>
      <w:pPr>
        <w:spacing w:before="100" w:after="100" w:line="400" w:lineRule="exact"/>
        <w:jc w:val="left"/>
        <w:rPr>
          <w:rFonts w:ascii="宋体" w:hAnsi="宋体" w:eastAsia="宋体" w:cs="宋体"/>
          <w:sz w:val="18"/>
          <w:szCs w:val="18"/>
        </w:rPr>
      </w:pPr>
      <w:r>
        <w:rPr>
          <w:rFonts w:ascii="宋体" w:hAnsi="宋体" w:eastAsia="宋体" w:cs="宋体"/>
          <w:sz w:val="18"/>
          <w:szCs w:val="18"/>
        </w:rPr>
        <w:t>3.第三季度报告是否经过审计</w:t>
      </w:r>
    </w:p>
    <w:p>
      <w:pPr>
        <w:spacing w:before="100" w:after="100" w:line="40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r>
        <w:br w:type="page"/>
      </w:r>
    </w:p>
    <w:p>
      <w:pPr>
        <w:keepNext/>
        <w:keepLines/>
        <w:spacing w:before="300" w:after="300" w:line="320" w:lineRule="exact"/>
        <w:jc w:val="left"/>
        <w:outlineLvl w:val="0"/>
        <w:rPr>
          <w:rFonts w:ascii="宋体" w:hAnsi="宋体" w:eastAsia="宋体" w:cs="宋体"/>
          <w:b/>
          <w:bCs/>
          <w:sz w:val="24"/>
          <w:szCs w:val="24"/>
        </w:rPr>
      </w:pPr>
      <w:bookmarkStart w:id="0" w:name="_Toc988889"/>
      <w:r>
        <w:rPr>
          <w:rFonts w:ascii="宋体" w:hAnsi="宋体" w:eastAsia="宋体" w:cs="宋体"/>
          <w:b/>
          <w:bCs/>
          <w:sz w:val="24"/>
          <w:szCs w:val="24"/>
        </w:rPr>
        <w:t>一、主要财务数据</w:t>
      </w:r>
      <w:bookmarkEnd w:id="0"/>
    </w:p>
    <w:p>
      <w:pPr>
        <w:keepNext/>
        <w:keepLines/>
        <w:spacing w:before="300" w:after="300" w:line="280" w:lineRule="exact"/>
        <w:jc w:val="left"/>
        <w:outlineLvl w:val="1"/>
        <w:rPr>
          <w:rFonts w:ascii="宋体" w:hAnsi="宋体" w:eastAsia="宋体" w:cs="宋体"/>
          <w:b/>
          <w:bCs/>
          <w:sz w:val="21"/>
          <w:szCs w:val="21"/>
        </w:rPr>
      </w:pPr>
      <w:bookmarkStart w:id="1" w:name="_Toc988890"/>
      <w:r>
        <w:rPr>
          <w:rFonts w:ascii="宋体" w:hAnsi="宋体" w:eastAsia="宋体" w:cs="宋体"/>
          <w:b/>
          <w:bCs/>
          <w:sz w:val="21"/>
          <w:szCs w:val="21"/>
        </w:rPr>
        <w:t>（一） 主要会计数据和财务指标</w:t>
      </w:r>
      <w:bookmarkEnd w:id="1"/>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公司是否需追溯调整或重述以前年度会计数据</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本报告期</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本报告期比上年同期增减</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年初至报告期末</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年初至报告期末比上年同期增减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营业收入（元）</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134,112,968.34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427,393,973.81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归属于上市公司股东的净利润（元）</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1,353,973.48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-60.57%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18,238,897.34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归属于上市公司股东的扣除非经常性损益的净利润（元）</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-3,362,682.21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-851.48%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4,971,321.80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308.79%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经营活动产生的现金流量净额（元）</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-37,894,423.99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-359.64%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基本每股收益（元/股）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0.0023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-60.34%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0.0318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稀释每股收益（元/股）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0.0023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-60.34%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0.0318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加权平均净资产收益率</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-0.11%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0.88%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本报告期末</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上年度末</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本报告期末比上年度末增减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总资产（元）</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2,680,867,292.73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2,613,791,769.84</w:t>
            </w:r>
          </w:p>
        </w:tc>
        <w:tc>
          <w:tcPr>
            <w:tcW w:w="385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归属于上市公司股东的所有者权益（元）</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2,074,883,435.54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2,055,096,815.38</w:t>
            </w:r>
          </w:p>
        </w:tc>
        <w:tc>
          <w:tcPr>
            <w:tcW w:w="385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0.96%</w:t>
            </w:r>
          </w:p>
        </w:tc>
      </w:tr>
    </w:tbl>
    <w:p>
      <w:pPr>
        <w:spacing w:before="100" w:after="100" w:line="0" w:lineRule="exact"/>
        <w:jc w:val="left"/>
      </w:pPr>
    </w:p>
    <w:p>
      <w:pPr>
        <w:keepNext/>
        <w:keepLines/>
        <w:spacing w:before="300" w:after="300" w:line="280" w:lineRule="exact"/>
        <w:jc w:val="left"/>
        <w:outlineLvl w:val="1"/>
        <w:rPr>
          <w:rFonts w:ascii="宋体" w:hAnsi="宋体" w:eastAsia="宋体" w:cs="宋体"/>
          <w:b/>
          <w:bCs/>
          <w:sz w:val="21"/>
          <w:szCs w:val="21"/>
        </w:rPr>
      </w:pPr>
      <w:bookmarkStart w:id="2" w:name="_Toc988891"/>
      <w:r>
        <w:rPr>
          <w:rFonts w:ascii="宋体" w:hAnsi="宋体" w:eastAsia="宋体" w:cs="宋体"/>
          <w:b/>
          <w:bCs/>
          <w:sz w:val="21"/>
          <w:szCs w:val="21"/>
        </w:rPr>
        <w:t>（二） 非经常性损益项目和金额</w:t>
      </w:r>
      <w:bookmarkEnd w:id="2"/>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0" w:after="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4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042"/>
        <w:gridCol w:w="1875"/>
        <w:gridCol w:w="2100"/>
        <w:gridCol w:w="16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0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项目</w:t>
            </w:r>
          </w:p>
        </w:tc>
        <w:tc>
          <w:tcPr>
            <w:tcW w:w="18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本报告期金额</w:t>
            </w:r>
          </w:p>
        </w:tc>
        <w:tc>
          <w:tcPr>
            <w:tcW w:w="21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年初至报告期期末金额</w:t>
            </w:r>
          </w:p>
        </w:tc>
        <w:tc>
          <w:tcPr>
            <w:tcW w:w="162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0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非流动资产处置损益（包括已计提资产减值准备的冲销部分）</w:t>
            </w:r>
          </w:p>
        </w:tc>
        <w:tc>
          <w:tcPr>
            <w:tcW w:w="18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1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1,186.48</w:t>
            </w:r>
          </w:p>
        </w:tc>
        <w:tc>
          <w:tcPr>
            <w:tcW w:w="162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0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计入当期损益的政府补助（与公司正常经营业务密切相关，符合国家政策规定、按照一定标准定额或定量持续享受的政府补助除外）</w:t>
            </w:r>
          </w:p>
        </w:tc>
        <w:tc>
          <w:tcPr>
            <w:tcW w:w="18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5,330,759.21</w:t>
            </w:r>
          </w:p>
        </w:tc>
        <w:tc>
          <w:tcPr>
            <w:tcW w:w="21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13,272,723.47</w:t>
            </w:r>
          </w:p>
        </w:tc>
        <w:tc>
          <w:tcPr>
            <w:tcW w:w="162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505" w:hRule="atLeast"/>
        </w:trPr>
        <w:tc>
          <w:tcPr>
            <w:tcW w:w="40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p>
            <w:pPr>
              <w:spacing w:before="0" w:after="0" w:line="240" w:lineRule="exact"/>
              <w:jc w:val="left"/>
              <w:rPr>
                <w:rFonts w:ascii="宋体" w:hAnsi="宋体" w:eastAsia="宋体" w:cs="宋体"/>
                <w:sz w:val="18"/>
                <w:szCs w:val="18"/>
              </w:rPr>
            </w:pPr>
          </w:p>
        </w:tc>
        <w:tc>
          <w:tcPr>
            <w:tcW w:w="18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1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1,537,255.57</w:t>
            </w:r>
          </w:p>
        </w:tc>
        <w:tc>
          <w:tcPr>
            <w:tcW w:w="162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0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其他符合非经常性损益定义的损益项目</w:t>
            </w:r>
          </w:p>
        </w:tc>
        <w:tc>
          <w:tcPr>
            <w:tcW w:w="18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-41,502.30</w:t>
            </w:r>
          </w:p>
        </w:tc>
        <w:tc>
          <w:tcPr>
            <w:tcW w:w="21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-99,044.84</w:t>
            </w:r>
          </w:p>
        </w:tc>
        <w:tc>
          <w:tcPr>
            <w:tcW w:w="162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0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减：所得税影响额</w:t>
            </w:r>
          </w:p>
        </w:tc>
        <w:tc>
          <w:tcPr>
            <w:tcW w:w="18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569,438.29</w:t>
            </w:r>
          </w:p>
        </w:tc>
        <w:tc>
          <w:tcPr>
            <w:tcW w:w="21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1,409,987.73</w:t>
            </w:r>
          </w:p>
        </w:tc>
        <w:tc>
          <w:tcPr>
            <w:tcW w:w="162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0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少数股东权益影响额（税后）</w:t>
            </w:r>
          </w:p>
        </w:tc>
        <w:tc>
          <w:tcPr>
            <w:tcW w:w="18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3,162.94</w:t>
            </w:r>
          </w:p>
        </w:tc>
        <w:tc>
          <w:tcPr>
            <w:tcW w:w="21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34,557.41</w:t>
            </w:r>
          </w:p>
        </w:tc>
        <w:tc>
          <w:tcPr>
            <w:tcW w:w="162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0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合计</w:t>
            </w:r>
          </w:p>
        </w:tc>
        <w:tc>
          <w:tcPr>
            <w:tcW w:w="18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4,716,655.68</w:t>
            </w:r>
          </w:p>
        </w:tc>
        <w:tc>
          <w:tcPr>
            <w:tcW w:w="21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13,267,575.54</w:t>
            </w:r>
          </w:p>
        </w:tc>
        <w:tc>
          <w:tcPr>
            <w:tcW w:w="162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r>
    </w:tbl>
    <w:p>
      <w:pPr>
        <w:spacing w:before="0" w:after="0" w:line="240" w:lineRule="exact"/>
        <w:jc w:val="left"/>
        <w:rPr>
          <w:rFonts w:ascii="宋体" w:hAnsi="宋体" w:eastAsia="宋体" w:cs="宋体"/>
          <w:sz w:val="18"/>
          <w:szCs w:val="18"/>
        </w:rPr>
      </w:pPr>
      <w:r>
        <w:rPr>
          <w:rFonts w:ascii="宋体" w:hAnsi="宋体" w:eastAsia="宋体" w:cs="宋体"/>
          <w:sz w:val="18"/>
          <w:szCs w:val="18"/>
        </w:rPr>
        <w:t>其他符合非经常性损益定义的损益项目的具体情况：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公司不存在其他符合非经常性损益定义的损益项目的具体情况。</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将《公开发行证券的公司信息披露解释性公告第1号——非经常性损益》中列举的非经常性损益项目界定为经常性损益项目的情况说明
</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公司不存在将《公开发行证券的公司信息披露解释性公告第1号——非经常性损益》中列举的非经常性损益项目界定为经常性损益的项目的情形。</w:t>
      </w:r>
    </w:p>
    <w:p>
      <w:pPr>
        <w:keepNext/>
        <w:keepLines/>
        <w:spacing w:before="300" w:after="300" w:line="280" w:lineRule="exact"/>
        <w:jc w:val="left"/>
        <w:outlineLvl w:val="1"/>
        <w:rPr>
          <w:rFonts w:ascii="宋体" w:hAnsi="宋体" w:eastAsia="宋体" w:cs="宋体"/>
          <w:b/>
          <w:bCs/>
          <w:sz w:val="21"/>
          <w:szCs w:val="21"/>
        </w:rPr>
      </w:pPr>
      <w:bookmarkStart w:id="3" w:name="_Toc988892"/>
      <w:r>
        <w:rPr>
          <w:rFonts w:ascii="宋体" w:hAnsi="宋体" w:eastAsia="宋体" w:cs="宋体"/>
          <w:b/>
          <w:bCs/>
          <w:sz w:val="21"/>
          <w:szCs w:val="21"/>
        </w:rPr>
        <w:t>（三） 主要会计数据和财务指标发生变动的情况及原因</w:t>
      </w:r>
      <w:bookmarkEnd w:id="3"/>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sz w:val="21"/>
          <w:szCs w:val="21"/>
        </w:rPr>
      </w:pPr>
      <w:r>
        <w:rPr>
          <w:rFonts w:hint="eastAsia" w:ascii="宋体" w:hAnsi="宋体" w:eastAsia="宋体" w:cs="宋体"/>
          <w:sz w:val="18"/>
          <w:szCs w:val="18"/>
        </w:rPr>
        <w:t xml:space="preserve">                                                          </w:t>
      </w:r>
      <w:r>
        <w:rPr>
          <w:rFonts w:hint="eastAsia" w:ascii="宋体" w:hAnsi="宋体" w:cs="宋体"/>
          <w:sz w:val="18"/>
          <w:szCs w:val="18"/>
          <w:lang w:val="en-US" w:eastAsia="zh-CN"/>
        </w:rPr>
        <w:t xml:space="preserve">    </w:t>
      </w:r>
      <w:r>
        <w:rPr>
          <w:rFonts w:hint="eastAsia" w:ascii="宋体" w:hAnsi="宋体" w:eastAsia="宋体" w:cs="宋体"/>
          <w:sz w:val="18"/>
          <w:szCs w:val="18"/>
        </w:rPr>
        <w:t>    单位：元</w:t>
      </w:r>
    </w:p>
    <w:tbl>
      <w:tblPr>
        <w:tblStyle w:val="3"/>
        <w:tblW w:w="9847" w:type="dxa"/>
        <w:tblInd w:w="0" w:type="dxa"/>
        <w:shd w:val="clear" w:color="auto" w:fill="auto"/>
        <w:tblLayout w:type="autofit"/>
        <w:tblCellMar>
          <w:top w:w="15" w:type="dxa"/>
          <w:left w:w="15" w:type="dxa"/>
          <w:bottom w:w="15" w:type="dxa"/>
          <w:right w:w="15" w:type="dxa"/>
        </w:tblCellMar>
      </w:tblPr>
      <w:tblGrid>
        <w:gridCol w:w="645"/>
        <w:gridCol w:w="1376"/>
        <w:gridCol w:w="1361"/>
        <w:gridCol w:w="1663"/>
        <w:gridCol w:w="1560"/>
        <w:gridCol w:w="889"/>
        <w:gridCol w:w="2353"/>
      </w:tblGrid>
      <w:tr>
        <w:tblPrEx>
          <w:shd w:val="clear" w:color="auto" w:fill="auto"/>
          <w:tblCellMar>
            <w:top w:w="15" w:type="dxa"/>
            <w:left w:w="15" w:type="dxa"/>
            <w:bottom w:w="15" w:type="dxa"/>
            <w:right w:w="15" w:type="dxa"/>
          </w:tblCellMar>
        </w:tblPrEx>
        <w:trPr>
          <w:trHeight w:val="585" w:hRule="atLeast"/>
        </w:trPr>
        <w:tc>
          <w:tcPr>
            <w:tcW w:w="645" w:type="dxa"/>
            <w:tcBorders>
              <w:top w:val="single" w:color="auto" w:sz="8" w:space="0"/>
              <w:left w:val="single" w:color="auto" w:sz="8" w:space="0"/>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序号</w:t>
            </w:r>
          </w:p>
        </w:tc>
        <w:tc>
          <w:tcPr>
            <w:tcW w:w="1376" w:type="dxa"/>
            <w:tcBorders>
              <w:top w:val="single" w:color="auto" w:sz="8" w:space="0"/>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项目</w:t>
            </w:r>
          </w:p>
        </w:tc>
        <w:tc>
          <w:tcPr>
            <w:tcW w:w="1361" w:type="dxa"/>
            <w:tcBorders>
              <w:top w:val="single" w:color="auto" w:sz="8" w:space="0"/>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本报告期末</w:t>
            </w:r>
          </w:p>
        </w:tc>
        <w:tc>
          <w:tcPr>
            <w:tcW w:w="1663" w:type="dxa"/>
            <w:tcBorders>
              <w:top w:val="single" w:color="auto" w:sz="8" w:space="0"/>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期初</w:t>
            </w:r>
            <w:r>
              <w:rPr>
                <w:rFonts w:hint="default" w:ascii="Times New Roman" w:hAnsi="Times New Roman" w:cs="Times New Roman"/>
                <w:i w:val="0"/>
                <w:color w:val="000000"/>
                <w:sz w:val="18"/>
                <w:szCs w:val="18"/>
              </w:rPr>
              <w:t>/</w:t>
            </w:r>
            <w:r>
              <w:rPr>
                <w:rFonts w:hint="eastAsia" w:ascii="宋体" w:hAnsi="宋体" w:eastAsia="宋体" w:cs="宋体"/>
                <w:i w:val="0"/>
                <w:color w:val="000000"/>
                <w:sz w:val="18"/>
                <w:szCs w:val="18"/>
              </w:rPr>
              <w:t>上年同期</w:t>
            </w:r>
          </w:p>
        </w:tc>
        <w:tc>
          <w:tcPr>
            <w:tcW w:w="1560" w:type="dxa"/>
            <w:tcBorders>
              <w:top w:val="single" w:color="auto" w:sz="8" w:space="0"/>
              <w:left w:val="nil"/>
              <w:bottom w:val="single" w:color="auto" w:sz="8" w:space="0"/>
              <w:right w:val="single" w:color="auto" w:sz="8" w:space="0"/>
            </w:tcBorders>
            <w:shd w:val="clear" w:color="auto" w:fill="auto"/>
            <w:noWrap/>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变动额</w:t>
            </w:r>
          </w:p>
        </w:tc>
        <w:tc>
          <w:tcPr>
            <w:tcW w:w="889" w:type="dxa"/>
            <w:tcBorders>
              <w:top w:val="single" w:color="auto" w:sz="8" w:space="0"/>
              <w:left w:val="nil"/>
              <w:bottom w:val="single" w:color="auto" w:sz="8" w:space="0"/>
              <w:right w:val="single" w:color="auto" w:sz="8" w:space="0"/>
            </w:tcBorders>
            <w:shd w:val="clear" w:color="auto" w:fill="auto"/>
            <w:noWrap/>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变动率</w:t>
            </w:r>
          </w:p>
        </w:tc>
        <w:tc>
          <w:tcPr>
            <w:tcW w:w="2353" w:type="dxa"/>
            <w:tcBorders>
              <w:top w:val="single" w:color="auto" w:sz="8" w:space="0"/>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变动分析</w:t>
            </w:r>
          </w:p>
        </w:tc>
      </w:tr>
      <w:tr>
        <w:tblPrEx>
          <w:tblCellMar>
            <w:top w:w="15" w:type="dxa"/>
            <w:left w:w="15" w:type="dxa"/>
            <w:bottom w:w="15" w:type="dxa"/>
            <w:right w:w="15" w:type="dxa"/>
          </w:tblCellMar>
        </w:tblPrEx>
        <w:trPr>
          <w:trHeight w:val="465" w:hRule="atLeast"/>
        </w:trPr>
        <w:tc>
          <w:tcPr>
            <w:tcW w:w="0" w:type="auto"/>
            <w:tcBorders>
              <w:top w:val="nil"/>
              <w:left w:val="single" w:color="auto" w:sz="8" w:space="0"/>
              <w:bottom w:val="single" w:color="auto" w:sz="8" w:space="0"/>
              <w:right w:val="single" w:color="auto" w:sz="8" w:space="0"/>
            </w:tcBorders>
            <w:shd w:val="clear" w:color="auto" w:fill="auto"/>
            <w:noWrap/>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1 </w:t>
            </w:r>
          </w:p>
        </w:tc>
        <w:tc>
          <w:tcPr>
            <w:tcW w:w="1376"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交易性金融资产</w:t>
            </w:r>
          </w:p>
        </w:tc>
        <w:tc>
          <w:tcPr>
            <w:tcW w:w="1361"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cs="Times New Roman"/>
                <w:i w:val="0"/>
                <w:color w:val="000000"/>
                <w:sz w:val="18"/>
                <w:szCs w:val="18"/>
              </w:rPr>
              <w:t>0.00</w:t>
            </w:r>
          </w:p>
        </w:tc>
        <w:tc>
          <w:tcPr>
            <w:tcW w:w="1663"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cs="Times New Roman"/>
                <w:i w:val="0"/>
                <w:color w:val="000000"/>
                <w:sz w:val="18"/>
                <w:szCs w:val="18"/>
              </w:rPr>
              <w:t>215,983,345.52</w:t>
            </w:r>
          </w:p>
        </w:tc>
        <w:tc>
          <w:tcPr>
            <w:tcW w:w="1560"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-215,983,345.52</w:t>
            </w:r>
          </w:p>
        </w:tc>
        <w:tc>
          <w:tcPr>
            <w:tcW w:w="889"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-100.00%</w:t>
            </w:r>
          </w:p>
        </w:tc>
        <w:tc>
          <w:tcPr>
            <w:tcW w:w="2353"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主要为本期母公司博云新材和子公司伟徽新材理财产品到期赎回所致。</w:t>
            </w:r>
          </w:p>
        </w:tc>
      </w:tr>
      <w:tr>
        <w:tblPrEx>
          <w:tblCellMar>
            <w:top w:w="15" w:type="dxa"/>
            <w:left w:w="15" w:type="dxa"/>
            <w:bottom w:w="15" w:type="dxa"/>
            <w:right w:w="15" w:type="dxa"/>
          </w:tblCellMar>
        </w:tblPrEx>
        <w:trPr>
          <w:trHeight w:val="465" w:hRule="atLeast"/>
        </w:trPr>
        <w:tc>
          <w:tcPr>
            <w:tcW w:w="0" w:type="auto"/>
            <w:tcBorders>
              <w:top w:val="nil"/>
              <w:left w:val="single" w:color="auto" w:sz="8" w:space="0"/>
              <w:bottom w:val="single" w:color="auto" w:sz="8" w:space="0"/>
              <w:right w:val="single" w:color="auto" w:sz="8" w:space="0"/>
            </w:tcBorders>
            <w:shd w:val="clear" w:color="auto" w:fill="auto"/>
            <w:noWrap/>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2 </w:t>
            </w:r>
          </w:p>
        </w:tc>
        <w:tc>
          <w:tcPr>
            <w:tcW w:w="1376"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应收账款</w:t>
            </w:r>
          </w:p>
        </w:tc>
        <w:tc>
          <w:tcPr>
            <w:tcW w:w="1361"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cs="Times New Roman"/>
                <w:i w:val="0"/>
                <w:color w:val="000000"/>
                <w:sz w:val="18"/>
                <w:szCs w:val="18"/>
              </w:rPr>
              <w:t>263,255,268.64</w:t>
            </w:r>
          </w:p>
        </w:tc>
        <w:tc>
          <w:tcPr>
            <w:tcW w:w="1663"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cs="Times New Roman"/>
                <w:i w:val="0"/>
                <w:color w:val="000000"/>
                <w:sz w:val="18"/>
                <w:szCs w:val="18"/>
              </w:rPr>
              <w:t>113,650,979.47</w:t>
            </w:r>
          </w:p>
        </w:tc>
        <w:tc>
          <w:tcPr>
            <w:tcW w:w="1560"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149,604,289.17</w:t>
            </w:r>
          </w:p>
        </w:tc>
        <w:tc>
          <w:tcPr>
            <w:tcW w:w="889"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131.63%</w:t>
            </w:r>
          </w:p>
        </w:tc>
        <w:tc>
          <w:tcPr>
            <w:tcW w:w="2353"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主要为本期营业收入增加以及行业年末集中回款特</w:t>
            </w:r>
            <w:r>
              <w:rPr>
                <w:rFonts w:hint="eastAsia" w:ascii="宋体" w:hAnsi="宋体" w:cs="宋体"/>
                <w:i w:val="0"/>
                <w:color w:val="000000"/>
                <w:sz w:val="18"/>
                <w:szCs w:val="18"/>
                <w:lang w:eastAsia="zh-CN"/>
              </w:rPr>
              <w:t>点</w:t>
            </w:r>
            <w:r>
              <w:rPr>
                <w:rFonts w:hint="eastAsia" w:ascii="宋体" w:hAnsi="宋体" w:eastAsia="宋体" w:cs="宋体"/>
                <w:i w:val="0"/>
                <w:color w:val="000000"/>
                <w:sz w:val="18"/>
                <w:szCs w:val="18"/>
              </w:rPr>
              <w:t>导致。</w:t>
            </w:r>
          </w:p>
        </w:tc>
      </w:tr>
      <w:tr>
        <w:tblPrEx>
          <w:tblCellMar>
            <w:top w:w="15" w:type="dxa"/>
            <w:left w:w="15" w:type="dxa"/>
            <w:bottom w:w="15" w:type="dxa"/>
            <w:right w:w="15" w:type="dxa"/>
          </w:tblCellMar>
        </w:tblPrEx>
        <w:trPr>
          <w:trHeight w:val="465" w:hRule="atLeast"/>
        </w:trPr>
        <w:tc>
          <w:tcPr>
            <w:tcW w:w="0" w:type="auto"/>
            <w:tcBorders>
              <w:top w:val="nil"/>
              <w:left w:val="single" w:color="auto" w:sz="8" w:space="0"/>
              <w:bottom w:val="single" w:color="auto" w:sz="8" w:space="0"/>
              <w:right w:val="single" w:color="auto" w:sz="8" w:space="0"/>
            </w:tcBorders>
            <w:shd w:val="clear" w:color="auto" w:fill="auto"/>
            <w:noWrap/>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3 </w:t>
            </w:r>
          </w:p>
        </w:tc>
        <w:tc>
          <w:tcPr>
            <w:tcW w:w="1376"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预付款项</w:t>
            </w:r>
          </w:p>
        </w:tc>
        <w:tc>
          <w:tcPr>
            <w:tcW w:w="1361"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cs="Times New Roman"/>
                <w:i w:val="0"/>
                <w:color w:val="000000"/>
                <w:sz w:val="18"/>
                <w:szCs w:val="18"/>
              </w:rPr>
              <w:t>10,400,147.22</w:t>
            </w:r>
          </w:p>
        </w:tc>
        <w:tc>
          <w:tcPr>
            <w:tcW w:w="1663"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cs="Times New Roman"/>
                <w:i w:val="0"/>
                <w:color w:val="000000"/>
                <w:sz w:val="18"/>
                <w:szCs w:val="18"/>
              </w:rPr>
              <w:t>5,587,479.33</w:t>
            </w:r>
          </w:p>
        </w:tc>
        <w:tc>
          <w:tcPr>
            <w:tcW w:w="1560"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4,812,667.89</w:t>
            </w:r>
          </w:p>
        </w:tc>
        <w:tc>
          <w:tcPr>
            <w:tcW w:w="889"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86.13%</w:t>
            </w:r>
          </w:p>
        </w:tc>
        <w:tc>
          <w:tcPr>
            <w:tcW w:w="2353"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主要为本期预付电费及原材料款增加所致。</w:t>
            </w:r>
          </w:p>
        </w:tc>
      </w:tr>
      <w:tr>
        <w:tblPrEx>
          <w:tblCellMar>
            <w:top w:w="15" w:type="dxa"/>
            <w:left w:w="15" w:type="dxa"/>
            <w:bottom w:w="15" w:type="dxa"/>
            <w:right w:w="15" w:type="dxa"/>
          </w:tblCellMar>
        </w:tblPrEx>
        <w:trPr>
          <w:trHeight w:val="285" w:hRule="atLeast"/>
        </w:trPr>
        <w:tc>
          <w:tcPr>
            <w:tcW w:w="0" w:type="auto"/>
            <w:tcBorders>
              <w:top w:val="nil"/>
              <w:left w:val="single" w:color="auto" w:sz="8" w:space="0"/>
              <w:bottom w:val="single" w:color="auto" w:sz="8" w:space="0"/>
              <w:right w:val="single" w:color="auto" w:sz="8" w:space="0"/>
            </w:tcBorders>
            <w:shd w:val="clear" w:color="auto" w:fill="auto"/>
            <w:noWrap/>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4 </w:t>
            </w:r>
          </w:p>
        </w:tc>
        <w:tc>
          <w:tcPr>
            <w:tcW w:w="1376"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其他应收款</w:t>
            </w:r>
          </w:p>
        </w:tc>
        <w:tc>
          <w:tcPr>
            <w:tcW w:w="1361"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cs="Times New Roman"/>
                <w:i w:val="0"/>
                <w:color w:val="000000"/>
                <w:sz w:val="18"/>
                <w:szCs w:val="18"/>
              </w:rPr>
              <w:t>3,347,253.37</w:t>
            </w:r>
          </w:p>
        </w:tc>
        <w:tc>
          <w:tcPr>
            <w:tcW w:w="1663"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cs="Times New Roman"/>
                <w:i w:val="0"/>
                <w:color w:val="000000"/>
                <w:sz w:val="18"/>
                <w:szCs w:val="18"/>
              </w:rPr>
              <w:t>1,474,698.95</w:t>
            </w:r>
          </w:p>
        </w:tc>
        <w:tc>
          <w:tcPr>
            <w:tcW w:w="1560"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1,872,554.42</w:t>
            </w:r>
          </w:p>
        </w:tc>
        <w:tc>
          <w:tcPr>
            <w:tcW w:w="889"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126.98%</w:t>
            </w:r>
          </w:p>
        </w:tc>
        <w:tc>
          <w:tcPr>
            <w:tcW w:w="2353"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主要为项目投标保证金增加所致。</w:t>
            </w:r>
          </w:p>
        </w:tc>
      </w:tr>
      <w:tr>
        <w:tblPrEx>
          <w:tblCellMar>
            <w:top w:w="15" w:type="dxa"/>
            <w:left w:w="15" w:type="dxa"/>
            <w:bottom w:w="15" w:type="dxa"/>
            <w:right w:w="15" w:type="dxa"/>
          </w:tblCellMar>
        </w:tblPrEx>
        <w:trPr>
          <w:trHeight w:val="495" w:hRule="atLeast"/>
        </w:trPr>
        <w:tc>
          <w:tcPr>
            <w:tcW w:w="0" w:type="auto"/>
            <w:tcBorders>
              <w:top w:val="nil"/>
              <w:left w:val="single" w:color="auto" w:sz="8" w:space="0"/>
              <w:bottom w:val="single" w:color="auto" w:sz="8" w:space="0"/>
              <w:right w:val="single" w:color="auto" w:sz="8" w:space="0"/>
            </w:tcBorders>
            <w:shd w:val="clear" w:color="auto" w:fill="auto"/>
            <w:noWrap/>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5 </w:t>
            </w:r>
          </w:p>
        </w:tc>
        <w:tc>
          <w:tcPr>
            <w:tcW w:w="1376"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其他流动资产</w:t>
            </w:r>
          </w:p>
        </w:tc>
        <w:tc>
          <w:tcPr>
            <w:tcW w:w="1361"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cs="Times New Roman"/>
                <w:i w:val="0"/>
                <w:color w:val="000000"/>
                <w:sz w:val="18"/>
                <w:szCs w:val="18"/>
              </w:rPr>
              <w:t>4,954,178.37</w:t>
            </w:r>
          </w:p>
        </w:tc>
        <w:tc>
          <w:tcPr>
            <w:tcW w:w="1663"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cs="Times New Roman"/>
                <w:i w:val="0"/>
                <w:color w:val="000000"/>
                <w:sz w:val="18"/>
                <w:szCs w:val="18"/>
              </w:rPr>
              <w:t>19,111,532.85</w:t>
            </w:r>
          </w:p>
        </w:tc>
        <w:tc>
          <w:tcPr>
            <w:tcW w:w="1560"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-14,157,354.48</w:t>
            </w:r>
          </w:p>
        </w:tc>
        <w:tc>
          <w:tcPr>
            <w:tcW w:w="889"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-74.08%</w:t>
            </w:r>
          </w:p>
        </w:tc>
        <w:tc>
          <w:tcPr>
            <w:tcW w:w="2353"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主要为本期子公司长沙鑫航和</w:t>
            </w:r>
            <w:r>
              <w:rPr>
                <w:rFonts w:hint="eastAsia" w:ascii="宋体" w:hAnsi="宋体" w:eastAsia="宋体" w:cs="宋体"/>
                <w:i w:val="0"/>
                <w:color w:val="000000"/>
                <w:sz w:val="20"/>
                <w:szCs w:val="20"/>
              </w:rPr>
              <w:t>子公司博云东方本期收到增值税留抵退税所致。</w:t>
            </w:r>
          </w:p>
        </w:tc>
      </w:tr>
      <w:tr>
        <w:tblPrEx>
          <w:tblCellMar>
            <w:top w:w="15" w:type="dxa"/>
            <w:left w:w="15" w:type="dxa"/>
            <w:bottom w:w="15" w:type="dxa"/>
            <w:right w:w="15" w:type="dxa"/>
          </w:tblCellMar>
        </w:tblPrEx>
        <w:trPr>
          <w:trHeight w:val="585" w:hRule="atLeast"/>
        </w:trPr>
        <w:tc>
          <w:tcPr>
            <w:tcW w:w="0" w:type="auto"/>
            <w:tcBorders>
              <w:top w:val="nil"/>
              <w:left w:val="single" w:color="auto" w:sz="8" w:space="0"/>
              <w:bottom w:val="single" w:color="auto" w:sz="8" w:space="0"/>
              <w:right w:val="single" w:color="auto" w:sz="8" w:space="0"/>
            </w:tcBorders>
            <w:shd w:val="clear" w:color="auto" w:fill="auto"/>
            <w:noWrap/>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6 </w:t>
            </w:r>
          </w:p>
        </w:tc>
        <w:tc>
          <w:tcPr>
            <w:tcW w:w="1376"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其他权益工具投资</w:t>
            </w:r>
          </w:p>
        </w:tc>
        <w:tc>
          <w:tcPr>
            <w:tcW w:w="1361"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cs="Times New Roman"/>
                <w:i w:val="0"/>
                <w:color w:val="000000"/>
                <w:sz w:val="18"/>
                <w:szCs w:val="18"/>
              </w:rPr>
              <w:t>78,816,177.77</w:t>
            </w:r>
          </w:p>
        </w:tc>
        <w:tc>
          <w:tcPr>
            <w:tcW w:w="1663"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cs="Times New Roman"/>
                <w:i w:val="0"/>
                <w:color w:val="000000"/>
                <w:sz w:val="18"/>
                <w:szCs w:val="18"/>
              </w:rPr>
              <w:t>47,534,875.94</w:t>
            </w:r>
          </w:p>
        </w:tc>
        <w:tc>
          <w:tcPr>
            <w:tcW w:w="1560"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31,281,301.83</w:t>
            </w:r>
          </w:p>
        </w:tc>
        <w:tc>
          <w:tcPr>
            <w:tcW w:w="889"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65.81%</w:t>
            </w:r>
          </w:p>
        </w:tc>
        <w:tc>
          <w:tcPr>
            <w:tcW w:w="2353"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主要为本期子公司长沙鑫航战略投资增加所致。</w:t>
            </w:r>
          </w:p>
        </w:tc>
      </w:tr>
      <w:tr>
        <w:tblPrEx>
          <w:tblCellMar>
            <w:top w:w="15" w:type="dxa"/>
            <w:left w:w="15" w:type="dxa"/>
            <w:bottom w:w="15" w:type="dxa"/>
            <w:right w:w="15" w:type="dxa"/>
          </w:tblCellMar>
        </w:tblPrEx>
        <w:trPr>
          <w:trHeight w:val="465" w:hRule="atLeast"/>
        </w:trPr>
        <w:tc>
          <w:tcPr>
            <w:tcW w:w="0" w:type="auto"/>
            <w:tcBorders>
              <w:top w:val="nil"/>
              <w:left w:val="single" w:color="auto" w:sz="8" w:space="0"/>
              <w:bottom w:val="single" w:color="auto" w:sz="8" w:space="0"/>
              <w:right w:val="single" w:color="auto" w:sz="8" w:space="0"/>
            </w:tcBorders>
            <w:shd w:val="clear" w:color="auto" w:fill="auto"/>
            <w:noWrap/>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7 </w:t>
            </w:r>
          </w:p>
        </w:tc>
        <w:tc>
          <w:tcPr>
            <w:tcW w:w="1376"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在建工程</w:t>
            </w:r>
          </w:p>
        </w:tc>
        <w:tc>
          <w:tcPr>
            <w:tcW w:w="1361"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cs="Times New Roman"/>
                <w:i w:val="0"/>
                <w:color w:val="000000"/>
                <w:sz w:val="18"/>
                <w:szCs w:val="18"/>
              </w:rPr>
              <w:t>178,481,860.56</w:t>
            </w:r>
          </w:p>
        </w:tc>
        <w:tc>
          <w:tcPr>
            <w:tcW w:w="1663"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cs="Times New Roman"/>
                <w:i w:val="0"/>
                <w:color w:val="000000"/>
                <w:sz w:val="18"/>
                <w:szCs w:val="18"/>
              </w:rPr>
              <w:t>115,912,178.21</w:t>
            </w:r>
          </w:p>
        </w:tc>
        <w:tc>
          <w:tcPr>
            <w:tcW w:w="1560"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62,569,682.35</w:t>
            </w:r>
          </w:p>
        </w:tc>
        <w:tc>
          <w:tcPr>
            <w:tcW w:w="889"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53.98%</w:t>
            </w:r>
          </w:p>
        </w:tc>
        <w:tc>
          <w:tcPr>
            <w:tcW w:w="2353"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主要为本期子公司博云东方麓谷基地产业化项目投入增加所致。</w:t>
            </w:r>
          </w:p>
        </w:tc>
      </w:tr>
      <w:tr>
        <w:tblPrEx>
          <w:tblCellMar>
            <w:top w:w="15" w:type="dxa"/>
            <w:left w:w="15" w:type="dxa"/>
            <w:bottom w:w="15" w:type="dxa"/>
            <w:right w:w="15" w:type="dxa"/>
          </w:tblCellMar>
        </w:tblPrEx>
        <w:trPr>
          <w:trHeight w:val="285" w:hRule="atLeast"/>
        </w:trPr>
        <w:tc>
          <w:tcPr>
            <w:tcW w:w="0" w:type="auto"/>
            <w:tcBorders>
              <w:top w:val="nil"/>
              <w:left w:val="single" w:color="auto" w:sz="8" w:space="0"/>
              <w:bottom w:val="single" w:color="auto" w:sz="8" w:space="0"/>
              <w:right w:val="single" w:color="auto" w:sz="8" w:space="0"/>
            </w:tcBorders>
            <w:shd w:val="clear" w:color="auto" w:fill="auto"/>
            <w:noWrap/>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8 </w:t>
            </w:r>
          </w:p>
        </w:tc>
        <w:tc>
          <w:tcPr>
            <w:tcW w:w="1376"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开发支出</w:t>
            </w:r>
          </w:p>
        </w:tc>
        <w:tc>
          <w:tcPr>
            <w:tcW w:w="1361"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cs="Times New Roman"/>
                <w:i w:val="0"/>
                <w:color w:val="000000"/>
                <w:sz w:val="18"/>
                <w:szCs w:val="18"/>
              </w:rPr>
              <w:t>51,536,461.20</w:t>
            </w:r>
          </w:p>
        </w:tc>
        <w:tc>
          <w:tcPr>
            <w:tcW w:w="1663"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cs="Times New Roman"/>
                <w:i w:val="0"/>
                <w:color w:val="000000"/>
                <w:sz w:val="18"/>
                <w:szCs w:val="18"/>
              </w:rPr>
              <w:t>34,556,647.14</w:t>
            </w:r>
          </w:p>
        </w:tc>
        <w:tc>
          <w:tcPr>
            <w:tcW w:w="1560"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16,979,814.06</w:t>
            </w:r>
          </w:p>
        </w:tc>
        <w:tc>
          <w:tcPr>
            <w:tcW w:w="889"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49.14%</w:t>
            </w:r>
          </w:p>
        </w:tc>
        <w:tc>
          <w:tcPr>
            <w:tcW w:w="2353"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为本期研发投入所致。</w:t>
            </w:r>
          </w:p>
        </w:tc>
      </w:tr>
      <w:tr>
        <w:tblPrEx>
          <w:tblCellMar>
            <w:top w:w="15" w:type="dxa"/>
            <w:left w:w="15" w:type="dxa"/>
            <w:bottom w:w="15" w:type="dxa"/>
            <w:right w:w="15" w:type="dxa"/>
          </w:tblCellMar>
        </w:tblPrEx>
        <w:trPr>
          <w:trHeight w:val="465" w:hRule="atLeast"/>
        </w:trPr>
        <w:tc>
          <w:tcPr>
            <w:tcW w:w="0" w:type="auto"/>
            <w:tcBorders>
              <w:top w:val="nil"/>
              <w:left w:val="single" w:color="auto" w:sz="8" w:space="0"/>
              <w:bottom w:val="single" w:color="auto" w:sz="8" w:space="0"/>
              <w:right w:val="single" w:color="auto" w:sz="8" w:space="0"/>
            </w:tcBorders>
            <w:shd w:val="clear" w:color="auto" w:fill="auto"/>
            <w:noWrap/>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9 </w:t>
            </w:r>
          </w:p>
        </w:tc>
        <w:tc>
          <w:tcPr>
            <w:tcW w:w="1376"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其他非流动资产</w:t>
            </w:r>
          </w:p>
        </w:tc>
        <w:tc>
          <w:tcPr>
            <w:tcW w:w="1361"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cs="Times New Roman"/>
                <w:i w:val="0"/>
                <w:color w:val="000000"/>
                <w:sz w:val="18"/>
                <w:szCs w:val="18"/>
              </w:rPr>
              <w:t>3,756,173.48</w:t>
            </w:r>
          </w:p>
        </w:tc>
        <w:tc>
          <w:tcPr>
            <w:tcW w:w="1663"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cs="Times New Roman"/>
                <w:i w:val="0"/>
                <w:color w:val="000000"/>
                <w:sz w:val="18"/>
                <w:szCs w:val="18"/>
              </w:rPr>
              <w:t>6,848,170.27</w:t>
            </w:r>
          </w:p>
        </w:tc>
        <w:tc>
          <w:tcPr>
            <w:tcW w:w="1560"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-3,091,996.79</w:t>
            </w:r>
          </w:p>
        </w:tc>
        <w:tc>
          <w:tcPr>
            <w:tcW w:w="889"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-45.15%</w:t>
            </w:r>
          </w:p>
        </w:tc>
        <w:tc>
          <w:tcPr>
            <w:tcW w:w="2353"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主要为本期子公司博云东方预付设备款减少所致。</w:t>
            </w:r>
          </w:p>
        </w:tc>
      </w:tr>
      <w:tr>
        <w:tblPrEx>
          <w:tblCellMar>
            <w:top w:w="15" w:type="dxa"/>
            <w:left w:w="15" w:type="dxa"/>
            <w:bottom w:w="15" w:type="dxa"/>
            <w:right w:w="15" w:type="dxa"/>
          </w:tblCellMar>
        </w:tblPrEx>
        <w:trPr>
          <w:trHeight w:val="285" w:hRule="atLeast"/>
        </w:trPr>
        <w:tc>
          <w:tcPr>
            <w:tcW w:w="0" w:type="auto"/>
            <w:tcBorders>
              <w:top w:val="nil"/>
              <w:left w:val="single" w:color="auto" w:sz="8" w:space="0"/>
              <w:bottom w:val="single" w:color="auto" w:sz="8" w:space="0"/>
              <w:right w:val="single" w:color="auto" w:sz="8" w:space="0"/>
            </w:tcBorders>
            <w:shd w:val="clear" w:color="auto" w:fill="auto"/>
            <w:noWrap/>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10 </w:t>
            </w:r>
          </w:p>
        </w:tc>
        <w:tc>
          <w:tcPr>
            <w:tcW w:w="1376"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短期借款</w:t>
            </w:r>
          </w:p>
        </w:tc>
        <w:tc>
          <w:tcPr>
            <w:tcW w:w="1361"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cs="Times New Roman"/>
                <w:i w:val="0"/>
                <w:color w:val="000000"/>
                <w:sz w:val="18"/>
                <w:szCs w:val="18"/>
              </w:rPr>
              <w:t>50,000,000.00</w:t>
            </w:r>
          </w:p>
        </w:tc>
        <w:tc>
          <w:tcPr>
            <w:tcW w:w="1663"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cs="Times New Roman"/>
                <w:i w:val="0"/>
                <w:color w:val="000000"/>
                <w:sz w:val="18"/>
                <w:szCs w:val="18"/>
              </w:rPr>
              <w:t>0.00</w:t>
            </w:r>
          </w:p>
        </w:tc>
        <w:tc>
          <w:tcPr>
            <w:tcW w:w="1560"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50,000,000.00</w:t>
            </w:r>
          </w:p>
        </w:tc>
        <w:tc>
          <w:tcPr>
            <w:tcW w:w="889"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100.00%</w:t>
            </w:r>
          </w:p>
        </w:tc>
        <w:tc>
          <w:tcPr>
            <w:tcW w:w="2353"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为本期短期流动资金贷款增加所致。</w:t>
            </w:r>
          </w:p>
        </w:tc>
      </w:tr>
      <w:tr>
        <w:tblPrEx>
          <w:tblCellMar>
            <w:top w:w="15" w:type="dxa"/>
            <w:left w:w="15" w:type="dxa"/>
            <w:bottom w:w="15" w:type="dxa"/>
            <w:right w:w="15" w:type="dxa"/>
          </w:tblCellMar>
        </w:tblPrEx>
        <w:trPr>
          <w:trHeight w:val="465" w:hRule="atLeast"/>
        </w:trPr>
        <w:tc>
          <w:tcPr>
            <w:tcW w:w="0" w:type="auto"/>
            <w:tcBorders>
              <w:top w:val="nil"/>
              <w:left w:val="single" w:color="auto" w:sz="8" w:space="0"/>
              <w:bottom w:val="single" w:color="auto" w:sz="8" w:space="0"/>
              <w:right w:val="single" w:color="auto" w:sz="8" w:space="0"/>
            </w:tcBorders>
            <w:shd w:val="clear" w:color="auto" w:fill="auto"/>
            <w:noWrap/>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11 </w:t>
            </w:r>
          </w:p>
        </w:tc>
        <w:tc>
          <w:tcPr>
            <w:tcW w:w="1376"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应交税费</w:t>
            </w:r>
          </w:p>
        </w:tc>
        <w:tc>
          <w:tcPr>
            <w:tcW w:w="1361"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cs="Times New Roman"/>
                <w:i w:val="0"/>
                <w:color w:val="000000"/>
                <w:sz w:val="18"/>
                <w:szCs w:val="18"/>
              </w:rPr>
              <w:t>10,341,196.36</w:t>
            </w:r>
          </w:p>
        </w:tc>
        <w:tc>
          <w:tcPr>
            <w:tcW w:w="1663"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cs="Times New Roman"/>
                <w:i w:val="0"/>
                <w:color w:val="000000"/>
                <w:sz w:val="18"/>
                <w:szCs w:val="18"/>
              </w:rPr>
              <w:t>4,127,348.83</w:t>
            </w:r>
          </w:p>
        </w:tc>
        <w:tc>
          <w:tcPr>
            <w:tcW w:w="1560"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6,213,847.53</w:t>
            </w:r>
          </w:p>
        </w:tc>
        <w:tc>
          <w:tcPr>
            <w:tcW w:w="889"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150.55%</w:t>
            </w:r>
          </w:p>
        </w:tc>
        <w:tc>
          <w:tcPr>
            <w:tcW w:w="2353"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主要为本期公司享受缓交税收优惠政策所致。</w:t>
            </w:r>
          </w:p>
        </w:tc>
      </w:tr>
      <w:tr>
        <w:tblPrEx>
          <w:tblCellMar>
            <w:top w:w="15" w:type="dxa"/>
            <w:left w:w="15" w:type="dxa"/>
            <w:bottom w:w="15" w:type="dxa"/>
            <w:right w:w="15" w:type="dxa"/>
          </w:tblCellMar>
        </w:tblPrEx>
        <w:trPr>
          <w:trHeight w:val="285" w:hRule="atLeast"/>
        </w:trPr>
        <w:tc>
          <w:tcPr>
            <w:tcW w:w="0" w:type="auto"/>
            <w:tcBorders>
              <w:top w:val="nil"/>
              <w:left w:val="single" w:color="auto" w:sz="8" w:space="0"/>
              <w:bottom w:val="single" w:color="auto" w:sz="8" w:space="0"/>
              <w:right w:val="single" w:color="auto" w:sz="8" w:space="0"/>
            </w:tcBorders>
            <w:shd w:val="clear" w:color="auto" w:fill="auto"/>
            <w:noWrap/>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12 </w:t>
            </w:r>
          </w:p>
        </w:tc>
        <w:tc>
          <w:tcPr>
            <w:tcW w:w="1376"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其他流动负债</w:t>
            </w:r>
          </w:p>
        </w:tc>
        <w:tc>
          <w:tcPr>
            <w:tcW w:w="1361"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cs="Times New Roman"/>
                <w:i w:val="0"/>
                <w:color w:val="000000"/>
                <w:sz w:val="18"/>
                <w:szCs w:val="18"/>
              </w:rPr>
              <w:t>104,675,414.63</w:t>
            </w:r>
          </w:p>
        </w:tc>
        <w:tc>
          <w:tcPr>
            <w:tcW w:w="1663"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cs="Times New Roman"/>
                <w:i w:val="0"/>
                <w:color w:val="000000"/>
                <w:sz w:val="18"/>
                <w:szCs w:val="18"/>
              </w:rPr>
              <w:t>62,501,875.73</w:t>
            </w:r>
          </w:p>
        </w:tc>
        <w:tc>
          <w:tcPr>
            <w:tcW w:w="1560"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42,173,538.90</w:t>
            </w:r>
          </w:p>
        </w:tc>
        <w:tc>
          <w:tcPr>
            <w:tcW w:w="889"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67.48%</w:t>
            </w:r>
          </w:p>
        </w:tc>
        <w:tc>
          <w:tcPr>
            <w:tcW w:w="2353"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主要为本期已转让未到期票据增加所致。</w:t>
            </w:r>
          </w:p>
        </w:tc>
      </w:tr>
      <w:tr>
        <w:tblPrEx>
          <w:tblCellMar>
            <w:top w:w="15" w:type="dxa"/>
            <w:left w:w="15" w:type="dxa"/>
            <w:bottom w:w="15" w:type="dxa"/>
            <w:right w:w="15" w:type="dxa"/>
          </w:tblCellMar>
        </w:tblPrEx>
        <w:trPr>
          <w:trHeight w:val="450" w:hRule="atLeast"/>
        </w:trPr>
        <w:tc>
          <w:tcPr>
            <w:tcW w:w="0" w:type="auto"/>
            <w:tcBorders>
              <w:top w:val="nil"/>
              <w:left w:val="single" w:color="auto" w:sz="8" w:space="0"/>
              <w:bottom w:val="single" w:color="auto" w:sz="8" w:space="0"/>
              <w:right w:val="single" w:color="auto" w:sz="8" w:space="0"/>
            </w:tcBorders>
            <w:shd w:val="clear" w:color="auto" w:fill="auto"/>
            <w:noWrap/>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13 </w:t>
            </w:r>
          </w:p>
        </w:tc>
        <w:tc>
          <w:tcPr>
            <w:tcW w:w="1376"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其他综合收益</w:t>
            </w:r>
          </w:p>
        </w:tc>
        <w:tc>
          <w:tcPr>
            <w:tcW w:w="1361"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cs="Times New Roman"/>
                <w:i w:val="0"/>
                <w:color w:val="000000"/>
                <w:sz w:val="18"/>
                <w:szCs w:val="18"/>
              </w:rPr>
              <w:t>2,477,566.84</w:t>
            </w:r>
          </w:p>
        </w:tc>
        <w:tc>
          <w:tcPr>
            <w:tcW w:w="1663"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cs="Times New Roman"/>
                <w:i w:val="0"/>
                <w:color w:val="000000"/>
                <w:sz w:val="18"/>
                <w:szCs w:val="18"/>
              </w:rPr>
              <w:t>929,844.02</w:t>
            </w:r>
          </w:p>
        </w:tc>
        <w:tc>
          <w:tcPr>
            <w:tcW w:w="1560"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1,547,722.82</w:t>
            </w:r>
          </w:p>
        </w:tc>
        <w:tc>
          <w:tcPr>
            <w:tcW w:w="889"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166.45%</w:t>
            </w:r>
          </w:p>
        </w:tc>
        <w:tc>
          <w:tcPr>
            <w:tcW w:w="2353"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为本期子公司博云东方其他权益工具投资公允价值变动所致。</w:t>
            </w:r>
          </w:p>
        </w:tc>
      </w:tr>
      <w:tr>
        <w:tblPrEx>
          <w:tblCellMar>
            <w:top w:w="15" w:type="dxa"/>
            <w:left w:w="15" w:type="dxa"/>
            <w:bottom w:w="15" w:type="dxa"/>
            <w:right w:w="15" w:type="dxa"/>
          </w:tblCellMar>
        </w:tblPrEx>
        <w:trPr>
          <w:trHeight w:val="450" w:hRule="atLeast"/>
        </w:trPr>
        <w:tc>
          <w:tcPr>
            <w:tcW w:w="0" w:type="auto"/>
            <w:tcBorders>
              <w:top w:val="nil"/>
              <w:left w:val="single" w:color="auto" w:sz="8" w:space="0"/>
              <w:bottom w:val="single" w:color="auto" w:sz="8" w:space="0"/>
              <w:right w:val="single" w:color="auto" w:sz="8" w:space="0"/>
            </w:tcBorders>
            <w:shd w:val="clear" w:color="auto" w:fill="auto"/>
            <w:noWrap/>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14 </w:t>
            </w:r>
          </w:p>
        </w:tc>
        <w:tc>
          <w:tcPr>
            <w:tcW w:w="1376"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财务费用</w:t>
            </w:r>
          </w:p>
        </w:tc>
        <w:tc>
          <w:tcPr>
            <w:tcW w:w="1361"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cs="Times New Roman"/>
                <w:i w:val="0"/>
                <w:color w:val="000000"/>
                <w:sz w:val="18"/>
                <w:szCs w:val="18"/>
              </w:rPr>
              <w:t>-6,035,011.84</w:t>
            </w:r>
          </w:p>
        </w:tc>
        <w:tc>
          <w:tcPr>
            <w:tcW w:w="1663"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cs="Times New Roman"/>
                <w:i w:val="0"/>
                <w:color w:val="000000"/>
                <w:sz w:val="18"/>
                <w:szCs w:val="18"/>
              </w:rPr>
              <w:t>6,086,355.67</w:t>
            </w:r>
          </w:p>
        </w:tc>
        <w:tc>
          <w:tcPr>
            <w:tcW w:w="1560"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-12,121,367.51</w:t>
            </w:r>
          </w:p>
        </w:tc>
        <w:tc>
          <w:tcPr>
            <w:tcW w:w="889"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-199.16%</w:t>
            </w:r>
          </w:p>
        </w:tc>
        <w:tc>
          <w:tcPr>
            <w:tcW w:w="2353"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主要为本期利息费用减少及利息收入增加所致。</w:t>
            </w:r>
          </w:p>
        </w:tc>
      </w:tr>
      <w:tr>
        <w:tblPrEx>
          <w:tblCellMar>
            <w:top w:w="15" w:type="dxa"/>
            <w:left w:w="15" w:type="dxa"/>
            <w:bottom w:w="15" w:type="dxa"/>
            <w:right w:w="15" w:type="dxa"/>
          </w:tblCellMar>
        </w:tblPrEx>
        <w:trPr>
          <w:trHeight w:val="285" w:hRule="atLeast"/>
        </w:trPr>
        <w:tc>
          <w:tcPr>
            <w:tcW w:w="0" w:type="auto"/>
            <w:tcBorders>
              <w:top w:val="nil"/>
              <w:left w:val="single" w:color="auto" w:sz="8" w:space="0"/>
              <w:bottom w:val="single" w:color="auto" w:sz="8" w:space="0"/>
              <w:right w:val="single" w:color="auto" w:sz="8" w:space="0"/>
            </w:tcBorders>
            <w:shd w:val="clear" w:color="auto" w:fill="auto"/>
            <w:noWrap/>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15 </w:t>
            </w:r>
          </w:p>
        </w:tc>
        <w:tc>
          <w:tcPr>
            <w:tcW w:w="1376"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投资收益</w:t>
            </w:r>
          </w:p>
        </w:tc>
        <w:tc>
          <w:tcPr>
            <w:tcW w:w="1361"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cs="Times New Roman"/>
                <w:i w:val="0"/>
                <w:color w:val="000000"/>
                <w:sz w:val="18"/>
                <w:szCs w:val="18"/>
              </w:rPr>
              <w:t>-19,180,315.43</w:t>
            </w:r>
          </w:p>
        </w:tc>
        <w:tc>
          <w:tcPr>
            <w:tcW w:w="1663"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cs="Times New Roman"/>
                <w:i w:val="0"/>
                <w:color w:val="000000"/>
                <w:sz w:val="18"/>
                <w:szCs w:val="18"/>
              </w:rPr>
              <w:t>-11,105,095.76</w:t>
            </w:r>
          </w:p>
        </w:tc>
        <w:tc>
          <w:tcPr>
            <w:tcW w:w="1560"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-8,075,219.67</w:t>
            </w:r>
          </w:p>
        </w:tc>
        <w:tc>
          <w:tcPr>
            <w:tcW w:w="889"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-72.72%</w:t>
            </w:r>
          </w:p>
        </w:tc>
        <w:tc>
          <w:tcPr>
            <w:tcW w:w="2353"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主要为本期合资公司</w:t>
            </w:r>
            <w:r>
              <w:rPr>
                <w:rFonts w:hint="eastAsia" w:ascii="宋体" w:hAnsi="宋体" w:cs="宋体"/>
                <w:i w:val="0"/>
                <w:color w:val="000000"/>
                <w:sz w:val="18"/>
                <w:szCs w:val="18"/>
                <w:lang w:eastAsia="zh-CN"/>
              </w:rPr>
              <w:t>因汇率波动引起</w:t>
            </w:r>
            <w:r>
              <w:rPr>
                <w:rFonts w:hint="eastAsia" w:ascii="宋体" w:hAnsi="宋体" w:eastAsia="宋体" w:cs="宋体"/>
                <w:i w:val="0"/>
                <w:color w:val="000000"/>
                <w:sz w:val="18"/>
                <w:szCs w:val="18"/>
              </w:rPr>
              <w:t>亏损增加所致。</w:t>
            </w:r>
          </w:p>
        </w:tc>
      </w:tr>
      <w:tr>
        <w:tblPrEx>
          <w:tblCellMar>
            <w:top w:w="15" w:type="dxa"/>
            <w:left w:w="15" w:type="dxa"/>
            <w:bottom w:w="15" w:type="dxa"/>
            <w:right w:w="15" w:type="dxa"/>
          </w:tblCellMar>
        </w:tblPrEx>
        <w:trPr>
          <w:trHeight w:val="465" w:hRule="atLeast"/>
        </w:trPr>
        <w:tc>
          <w:tcPr>
            <w:tcW w:w="0" w:type="auto"/>
            <w:tcBorders>
              <w:top w:val="nil"/>
              <w:left w:val="single" w:color="auto" w:sz="8" w:space="0"/>
              <w:bottom w:val="single" w:color="auto" w:sz="8" w:space="0"/>
              <w:right w:val="single" w:color="auto" w:sz="8" w:space="0"/>
            </w:tcBorders>
            <w:shd w:val="clear" w:color="auto" w:fill="auto"/>
            <w:noWrap/>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16 </w:t>
            </w:r>
          </w:p>
        </w:tc>
        <w:tc>
          <w:tcPr>
            <w:tcW w:w="1376"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信用减值损失（损失以“-”号填列）</w:t>
            </w:r>
          </w:p>
        </w:tc>
        <w:tc>
          <w:tcPr>
            <w:tcW w:w="1361"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cs="Times New Roman"/>
                <w:i w:val="0"/>
                <w:color w:val="000000"/>
                <w:sz w:val="18"/>
                <w:szCs w:val="18"/>
              </w:rPr>
              <w:t>-4,260,484.06</w:t>
            </w:r>
          </w:p>
        </w:tc>
        <w:tc>
          <w:tcPr>
            <w:tcW w:w="1663"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cs="Times New Roman"/>
                <w:i w:val="0"/>
                <w:color w:val="000000"/>
                <w:sz w:val="18"/>
                <w:szCs w:val="18"/>
              </w:rPr>
              <w:t>-6,505,701.53</w:t>
            </w:r>
          </w:p>
        </w:tc>
        <w:tc>
          <w:tcPr>
            <w:tcW w:w="1560"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2,245,217.47</w:t>
            </w:r>
          </w:p>
        </w:tc>
        <w:tc>
          <w:tcPr>
            <w:tcW w:w="889"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-34.51%</w:t>
            </w:r>
          </w:p>
        </w:tc>
        <w:tc>
          <w:tcPr>
            <w:tcW w:w="2353"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主要为本期应收款项账龄结构变化导致坏账计提减少所致。</w:t>
            </w:r>
          </w:p>
        </w:tc>
      </w:tr>
      <w:tr>
        <w:tblPrEx>
          <w:tblCellMar>
            <w:top w:w="15" w:type="dxa"/>
            <w:left w:w="15" w:type="dxa"/>
            <w:bottom w:w="15" w:type="dxa"/>
            <w:right w:w="15" w:type="dxa"/>
          </w:tblCellMar>
        </w:tblPrEx>
        <w:trPr>
          <w:trHeight w:val="285" w:hRule="atLeast"/>
        </w:trPr>
        <w:tc>
          <w:tcPr>
            <w:tcW w:w="0" w:type="auto"/>
            <w:tcBorders>
              <w:top w:val="nil"/>
              <w:left w:val="single" w:color="auto" w:sz="8" w:space="0"/>
              <w:bottom w:val="single" w:color="auto" w:sz="8" w:space="0"/>
              <w:right w:val="single" w:color="auto" w:sz="8" w:space="0"/>
            </w:tcBorders>
            <w:shd w:val="clear" w:color="auto" w:fill="auto"/>
            <w:noWrap/>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17 </w:t>
            </w:r>
          </w:p>
        </w:tc>
        <w:tc>
          <w:tcPr>
            <w:tcW w:w="1376"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资产减值损失（损失以“-”号填列）</w:t>
            </w:r>
          </w:p>
        </w:tc>
        <w:tc>
          <w:tcPr>
            <w:tcW w:w="1361"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cs="Times New Roman"/>
                <w:i w:val="0"/>
                <w:color w:val="000000"/>
                <w:sz w:val="18"/>
                <w:szCs w:val="18"/>
              </w:rPr>
              <w:t>-1,972,040.84</w:t>
            </w:r>
          </w:p>
        </w:tc>
        <w:tc>
          <w:tcPr>
            <w:tcW w:w="1663"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cs="Times New Roman"/>
                <w:i w:val="0"/>
                <w:color w:val="000000"/>
                <w:sz w:val="18"/>
                <w:szCs w:val="18"/>
              </w:rPr>
              <w:t>0.00</w:t>
            </w:r>
          </w:p>
        </w:tc>
        <w:tc>
          <w:tcPr>
            <w:tcW w:w="1560"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-1,972,040.84</w:t>
            </w:r>
          </w:p>
        </w:tc>
        <w:tc>
          <w:tcPr>
            <w:tcW w:w="889"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100.00%</w:t>
            </w:r>
          </w:p>
        </w:tc>
        <w:tc>
          <w:tcPr>
            <w:tcW w:w="2353"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为本期计提存货跌价准备所致。</w:t>
            </w:r>
          </w:p>
        </w:tc>
      </w:tr>
      <w:tr>
        <w:tblPrEx>
          <w:tblCellMar>
            <w:top w:w="15" w:type="dxa"/>
            <w:left w:w="15" w:type="dxa"/>
            <w:bottom w:w="15" w:type="dxa"/>
            <w:right w:w="15" w:type="dxa"/>
          </w:tblCellMar>
        </w:tblPrEx>
        <w:trPr>
          <w:trHeight w:val="450" w:hRule="atLeast"/>
        </w:trPr>
        <w:tc>
          <w:tcPr>
            <w:tcW w:w="0" w:type="auto"/>
            <w:tcBorders>
              <w:top w:val="nil"/>
              <w:left w:val="single" w:color="auto" w:sz="8" w:space="0"/>
              <w:bottom w:val="single" w:color="auto" w:sz="8" w:space="0"/>
              <w:right w:val="single" w:color="auto" w:sz="8" w:space="0"/>
            </w:tcBorders>
            <w:shd w:val="clear" w:color="auto" w:fill="auto"/>
            <w:noWrap/>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18 </w:t>
            </w:r>
          </w:p>
        </w:tc>
        <w:tc>
          <w:tcPr>
            <w:tcW w:w="1376"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经营活动产生的现金流量净额</w:t>
            </w:r>
          </w:p>
        </w:tc>
        <w:tc>
          <w:tcPr>
            <w:tcW w:w="1361"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cs="Times New Roman"/>
                <w:i w:val="0"/>
                <w:color w:val="000000"/>
                <w:sz w:val="18"/>
                <w:szCs w:val="18"/>
              </w:rPr>
              <w:t>-37,894,423.99</w:t>
            </w:r>
          </w:p>
        </w:tc>
        <w:tc>
          <w:tcPr>
            <w:tcW w:w="1663"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cs="Times New Roman"/>
                <w:i w:val="0"/>
                <w:color w:val="000000"/>
                <w:sz w:val="18"/>
                <w:szCs w:val="18"/>
              </w:rPr>
              <w:t>14,594,736.34</w:t>
            </w:r>
          </w:p>
        </w:tc>
        <w:tc>
          <w:tcPr>
            <w:tcW w:w="1560"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-52,489,160.33</w:t>
            </w:r>
          </w:p>
        </w:tc>
        <w:tc>
          <w:tcPr>
            <w:tcW w:w="889"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-359.64%</w:t>
            </w:r>
          </w:p>
        </w:tc>
        <w:tc>
          <w:tcPr>
            <w:tcW w:w="2353"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主要为本期购买商品、接受劳务支付的现金及销售商品、提供劳务收到的现金增加所致。</w:t>
            </w:r>
          </w:p>
        </w:tc>
      </w:tr>
      <w:tr>
        <w:tblPrEx>
          <w:tblCellMar>
            <w:top w:w="15" w:type="dxa"/>
            <w:left w:w="15" w:type="dxa"/>
            <w:bottom w:w="15" w:type="dxa"/>
            <w:right w:w="15" w:type="dxa"/>
          </w:tblCellMar>
        </w:tblPrEx>
        <w:trPr>
          <w:trHeight w:val="450" w:hRule="atLeast"/>
        </w:trPr>
        <w:tc>
          <w:tcPr>
            <w:tcW w:w="0" w:type="auto"/>
            <w:tcBorders>
              <w:top w:val="nil"/>
              <w:left w:val="single" w:color="auto" w:sz="8" w:space="0"/>
              <w:bottom w:val="single" w:color="auto" w:sz="8" w:space="0"/>
              <w:right w:val="single" w:color="auto" w:sz="8" w:space="0"/>
            </w:tcBorders>
            <w:shd w:val="clear" w:color="auto" w:fill="auto"/>
            <w:noWrap/>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19 </w:t>
            </w:r>
          </w:p>
        </w:tc>
        <w:tc>
          <w:tcPr>
            <w:tcW w:w="1376"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投资活动产生的现金流量净额</w:t>
            </w:r>
          </w:p>
        </w:tc>
        <w:tc>
          <w:tcPr>
            <w:tcW w:w="1361"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cs="Times New Roman"/>
                <w:i w:val="0"/>
                <w:color w:val="000000"/>
                <w:sz w:val="18"/>
                <w:szCs w:val="18"/>
              </w:rPr>
              <w:t>18,987,946.13</w:t>
            </w:r>
          </w:p>
        </w:tc>
        <w:tc>
          <w:tcPr>
            <w:tcW w:w="1663"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cs="Times New Roman"/>
                <w:i w:val="0"/>
                <w:color w:val="000000"/>
                <w:sz w:val="18"/>
                <w:szCs w:val="18"/>
              </w:rPr>
              <w:t>-460,954,873.53</w:t>
            </w:r>
          </w:p>
        </w:tc>
        <w:tc>
          <w:tcPr>
            <w:tcW w:w="1560"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479,942,819.66</w:t>
            </w:r>
          </w:p>
        </w:tc>
        <w:tc>
          <w:tcPr>
            <w:tcW w:w="889"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104.12%</w:t>
            </w:r>
          </w:p>
        </w:tc>
        <w:tc>
          <w:tcPr>
            <w:tcW w:w="2353"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主要为本期投资支付的现金（理财产品购买）减少所致。</w:t>
            </w:r>
          </w:p>
        </w:tc>
      </w:tr>
      <w:tr>
        <w:tblPrEx>
          <w:tblCellMar>
            <w:top w:w="15" w:type="dxa"/>
            <w:left w:w="15" w:type="dxa"/>
            <w:bottom w:w="15" w:type="dxa"/>
            <w:right w:w="15" w:type="dxa"/>
          </w:tblCellMar>
        </w:tblPrEx>
        <w:trPr>
          <w:trHeight w:val="450" w:hRule="atLeast"/>
        </w:trPr>
        <w:tc>
          <w:tcPr>
            <w:tcW w:w="0" w:type="auto"/>
            <w:tcBorders>
              <w:top w:val="nil"/>
              <w:left w:val="single" w:color="auto" w:sz="8" w:space="0"/>
              <w:bottom w:val="single" w:color="auto" w:sz="8" w:space="0"/>
              <w:right w:val="single" w:color="auto" w:sz="8" w:space="0"/>
            </w:tcBorders>
            <w:shd w:val="clear" w:color="auto" w:fill="auto"/>
            <w:noWrap/>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20 </w:t>
            </w:r>
          </w:p>
        </w:tc>
        <w:tc>
          <w:tcPr>
            <w:tcW w:w="1376"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筹资活动产生的现金流量净额</w:t>
            </w:r>
          </w:p>
        </w:tc>
        <w:tc>
          <w:tcPr>
            <w:tcW w:w="1361"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cs="Times New Roman"/>
                <w:i w:val="0"/>
                <w:color w:val="000000"/>
                <w:sz w:val="18"/>
                <w:szCs w:val="18"/>
              </w:rPr>
              <w:t>6,734,226.60</w:t>
            </w:r>
          </w:p>
        </w:tc>
        <w:tc>
          <w:tcPr>
            <w:tcW w:w="1663"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cs="Times New Roman"/>
                <w:i w:val="0"/>
                <w:color w:val="000000"/>
                <w:sz w:val="18"/>
                <w:szCs w:val="18"/>
              </w:rPr>
              <w:t>411,570,830.34</w:t>
            </w:r>
          </w:p>
        </w:tc>
        <w:tc>
          <w:tcPr>
            <w:tcW w:w="1560"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-404,836,603.74</w:t>
            </w:r>
          </w:p>
        </w:tc>
        <w:tc>
          <w:tcPr>
            <w:tcW w:w="889"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-98.36%</w:t>
            </w:r>
          </w:p>
        </w:tc>
        <w:tc>
          <w:tcPr>
            <w:tcW w:w="2353"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主要为上期吸收投资收到的现金（非公开发行资金到位）增加，本期取得借款收到的现金及偿还债务支付的现金减少所致。</w:t>
            </w:r>
          </w:p>
        </w:tc>
      </w:tr>
      <w:tr>
        <w:tblPrEx>
          <w:tblCellMar>
            <w:top w:w="15" w:type="dxa"/>
            <w:left w:w="15" w:type="dxa"/>
            <w:bottom w:w="15" w:type="dxa"/>
            <w:right w:w="15" w:type="dxa"/>
          </w:tblCellMar>
        </w:tblPrEx>
        <w:trPr>
          <w:trHeight w:val="450" w:hRule="atLeast"/>
        </w:trPr>
        <w:tc>
          <w:tcPr>
            <w:tcW w:w="0" w:type="auto"/>
            <w:tcBorders>
              <w:top w:val="nil"/>
              <w:left w:val="single" w:color="auto" w:sz="8" w:space="0"/>
              <w:bottom w:val="single" w:color="auto" w:sz="8" w:space="0"/>
              <w:right w:val="single" w:color="auto" w:sz="8" w:space="0"/>
            </w:tcBorders>
            <w:shd w:val="clear" w:color="auto" w:fill="auto"/>
            <w:noWrap/>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21 </w:t>
            </w:r>
          </w:p>
        </w:tc>
        <w:tc>
          <w:tcPr>
            <w:tcW w:w="1376"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现金及现金等价物净增加额</w:t>
            </w:r>
          </w:p>
        </w:tc>
        <w:tc>
          <w:tcPr>
            <w:tcW w:w="1361"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cs="Times New Roman"/>
                <w:i w:val="0"/>
                <w:color w:val="000000"/>
                <w:sz w:val="18"/>
                <w:szCs w:val="18"/>
              </w:rPr>
              <w:t>-11,232,002.98</w:t>
            </w:r>
          </w:p>
        </w:tc>
        <w:tc>
          <w:tcPr>
            <w:tcW w:w="1663"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cs="Times New Roman"/>
                <w:i w:val="0"/>
                <w:color w:val="000000"/>
                <w:sz w:val="18"/>
                <w:szCs w:val="18"/>
              </w:rPr>
              <w:t>-35,346,200.97</w:t>
            </w:r>
          </w:p>
        </w:tc>
        <w:tc>
          <w:tcPr>
            <w:tcW w:w="1560"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24,114,197.99</w:t>
            </w:r>
          </w:p>
        </w:tc>
        <w:tc>
          <w:tcPr>
            <w:tcW w:w="889"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68.22%</w:t>
            </w:r>
          </w:p>
        </w:tc>
        <w:tc>
          <w:tcPr>
            <w:tcW w:w="2353" w:type="dxa"/>
            <w:tcBorders>
              <w:top w:val="nil"/>
              <w:left w:val="nil"/>
              <w:bottom w:val="single" w:color="auto" w:sz="8" w:space="0"/>
              <w:right w:val="single" w:color="auto" w:sz="8" w:space="0"/>
            </w:tcBorders>
            <w:shd w:val="clear" w:color="auto" w:fill="auto"/>
            <w:tcMar>
              <w:bottom w:w="0" w:type="dxa"/>
            </w:tcMar>
            <w:vAlign w:val="center"/>
          </w:tcPr>
          <w:p>
            <w:pPr>
              <w:pStyle w:val="2"/>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主要为本期投资活动产生的现金净流入额及筹资活动产生的现金净流入额减少所致。</w:t>
            </w:r>
          </w:p>
        </w:tc>
      </w:tr>
    </w:tbl>
    <w:p>
      <w:pPr>
        <w:pStyle w:val="2"/>
        <w:keepNext w:val="0"/>
        <w:keepLines w:val="0"/>
        <w:widowControl/>
        <w:suppressLineNumbers w:val="0"/>
      </w:pPr>
      <w:r>
        <w:rPr>
          <w:rFonts w:hint="eastAsia" w:ascii="宋体" w:hAnsi="宋体" w:eastAsia="宋体" w:cs="宋体"/>
          <w:sz w:val="18"/>
          <w:szCs w:val="18"/>
        </w:rPr>
        <w:t xml:space="preserve">                                      </w:t>
      </w:r>
    </w:p>
    <w:p>
      <w:pPr>
        <w:keepNext/>
        <w:keepLines/>
        <w:spacing w:before="300" w:after="300" w:line="320" w:lineRule="exact"/>
        <w:jc w:val="left"/>
        <w:outlineLvl w:val="0"/>
        <w:rPr>
          <w:rFonts w:ascii="宋体" w:hAnsi="宋体" w:eastAsia="宋体" w:cs="宋体"/>
          <w:b/>
          <w:bCs/>
          <w:sz w:val="24"/>
          <w:szCs w:val="24"/>
        </w:rPr>
      </w:pPr>
      <w:bookmarkStart w:id="4" w:name="_Toc988893"/>
      <w:r>
        <w:rPr>
          <w:rFonts w:ascii="宋体" w:hAnsi="宋体" w:eastAsia="宋体" w:cs="宋体"/>
          <w:b/>
          <w:bCs/>
          <w:sz w:val="24"/>
          <w:szCs w:val="24"/>
        </w:rPr>
        <w:t xml:space="preserve">二、股东信息 </w:t>
      </w:r>
      <w:bookmarkEnd w:id="4"/>
    </w:p>
    <w:p>
      <w:pPr>
        <w:keepNext/>
        <w:keepLines/>
        <w:spacing w:before="300" w:after="300" w:line="280" w:lineRule="exact"/>
        <w:jc w:val="left"/>
        <w:outlineLvl w:val="1"/>
        <w:rPr>
          <w:rFonts w:ascii="宋体" w:hAnsi="宋体" w:eastAsia="宋体" w:cs="宋体"/>
          <w:b/>
          <w:bCs/>
          <w:sz w:val="21"/>
          <w:szCs w:val="21"/>
        </w:rPr>
      </w:pPr>
      <w:bookmarkStart w:id="5" w:name="_Toc988894"/>
      <w:r>
        <w:rPr>
          <w:rFonts w:ascii="宋体" w:hAnsi="宋体" w:eastAsia="宋体" w:cs="宋体"/>
          <w:b/>
          <w:bCs/>
          <w:sz w:val="21"/>
          <w:szCs w:val="21"/>
        </w:rPr>
        <w:t>（一） 普通股股东总数和表决权恢复的优先股股东数量及前十名股东持股情况表</w:t>
      </w:r>
      <w:bookmarkEnd w:id="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单位：股</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812"/>
        <w:gridCol w:w="1350"/>
        <w:gridCol w:w="1215"/>
        <w:gridCol w:w="1350"/>
        <w:gridCol w:w="1305"/>
        <w:gridCol w:w="885"/>
        <w:gridCol w:w="7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81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 xml:space="preserve">报告期末普通股股东总数 </w:t>
            </w:r>
          </w:p>
        </w:tc>
        <w:tc>
          <w:tcPr>
            <w:tcW w:w="256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65,698</w:t>
            </w:r>
          </w:p>
        </w:tc>
        <w:tc>
          <w:tcPr>
            <w:tcW w:w="2655"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报告期末表决权恢复的优先股股东总数（如有）</w:t>
            </w:r>
          </w:p>
        </w:tc>
        <w:tc>
          <w:tcPr>
            <w:tcW w:w="160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7"/>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前10名股东持股情况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81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股东名称</w:t>
            </w:r>
          </w:p>
        </w:tc>
        <w:tc>
          <w:tcPr>
            <w:tcW w:w="135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股东性质</w:t>
            </w:r>
          </w:p>
        </w:tc>
        <w:tc>
          <w:tcPr>
            <w:tcW w:w="121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持股比例</w:t>
            </w:r>
          </w:p>
        </w:tc>
        <w:tc>
          <w:tcPr>
            <w:tcW w:w="135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持股数量</w:t>
            </w:r>
          </w:p>
        </w:tc>
        <w:tc>
          <w:tcPr>
            <w:tcW w:w="130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持有有限售条件的股份数量</w:t>
            </w:r>
          </w:p>
        </w:tc>
        <w:tc>
          <w:tcPr>
            <w:tcW w:w="1607"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质押、标记 或冻结情况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05" w:hRule="atLeast"/>
        </w:trPr>
        <w:tc>
          <w:tcPr>
            <w:tcW w:w="281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5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21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5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0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8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股份状态</w:t>
            </w:r>
          </w:p>
        </w:tc>
        <w:tc>
          <w:tcPr>
            <w:tcW w:w="72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数量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8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中南大学粉末冶金工程研究中心有限公司</w:t>
            </w:r>
          </w:p>
        </w:tc>
        <w:tc>
          <w:tcPr>
            <w:tcW w:w="13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国有法人</w:t>
            </w:r>
          </w:p>
        </w:tc>
        <w:tc>
          <w:tcPr>
            <w:tcW w:w="12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12.65%</w:t>
            </w:r>
          </w:p>
        </w:tc>
        <w:tc>
          <w:tcPr>
            <w:tcW w:w="13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72,472,129</w:t>
            </w:r>
          </w:p>
        </w:tc>
        <w:tc>
          <w:tcPr>
            <w:tcW w:w="13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72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8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湖南湘投高科技创业投资有限公司</w:t>
            </w:r>
          </w:p>
        </w:tc>
        <w:tc>
          <w:tcPr>
            <w:tcW w:w="13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国有法人</w:t>
            </w:r>
          </w:p>
        </w:tc>
        <w:tc>
          <w:tcPr>
            <w:tcW w:w="12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7.81%</w:t>
            </w:r>
          </w:p>
        </w:tc>
        <w:tc>
          <w:tcPr>
            <w:tcW w:w="13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44,780,202</w:t>
            </w:r>
          </w:p>
        </w:tc>
        <w:tc>
          <w:tcPr>
            <w:tcW w:w="13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72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8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国家军民融合产业投资基金有限责任公司</w:t>
            </w:r>
          </w:p>
        </w:tc>
        <w:tc>
          <w:tcPr>
            <w:tcW w:w="13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国有法人</w:t>
            </w:r>
          </w:p>
        </w:tc>
        <w:tc>
          <w:tcPr>
            <w:tcW w:w="12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6.53%</w:t>
            </w:r>
          </w:p>
        </w:tc>
        <w:tc>
          <w:tcPr>
            <w:tcW w:w="13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37,402,680</w:t>
            </w:r>
          </w:p>
        </w:tc>
        <w:tc>
          <w:tcPr>
            <w:tcW w:w="13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72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8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湖南兴湘投资控股集团有限公司</w:t>
            </w:r>
          </w:p>
        </w:tc>
        <w:tc>
          <w:tcPr>
            <w:tcW w:w="13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国有法人</w:t>
            </w:r>
          </w:p>
        </w:tc>
        <w:tc>
          <w:tcPr>
            <w:tcW w:w="12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4.22%</w:t>
            </w:r>
          </w:p>
        </w:tc>
        <w:tc>
          <w:tcPr>
            <w:tcW w:w="13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24,193,548</w:t>
            </w:r>
          </w:p>
        </w:tc>
        <w:tc>
          <w:tcPr>
            <w:tcW w:w="13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24,193,548</w:t>
            </w:r>
          </w:p>
        </w:tc>
        <w:tc>
          <w:tcPr>
            <w:tcW w:w="8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72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8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应光亮</w:t>
            </w:r>
          </w:p>
        </w:tc>
        <w:tc>
          <w:tcPr>
            <w:tcW w:w="13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境内自然人</w:t>
            </w:r>
          </w:p>
        </w:tc>
        <w:tc>
          <w:tcPr>
            <w:tcW w:w="12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0.76%</w:t>
            </w:r>
          </w:p>
        </w:tc>
        <w:tc>
          <w:tcPr>
            <w:tcW w:w="13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4,350,000</w:t>
            </w:r>
          </w:p>
        </w:tc>
        <w:tc>
          <w:tcPr>
            <w:tcW w:w="13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72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8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郭伟</w:t>
            </w:r>
          </w:p>
        </w:tc>
        <w:tc>
          <w:tcPr>
            <w:tcW w:w="13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境内自然人</w:t>
            </w:r>
          </w:p>
        </w:tc>
        <w:tc>
          <w:tcPr>
            <w:tcW w:w="12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0.70%</w:t>
            </w:r>
          </w:p>
        </w:tc>
        <w:tc>
          <w:tcPr>
            <w:tcW w:w="13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4,026,657</w:t>
            </w:r>
          </w:p>
        </w:tc>
        <w:tc>
          <w:tcPr>
            <w:tcW w:w="13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72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8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北京誉华基金管理有限公司－航空产业融合发展（青岛）股权投资基金合伙企业（有限合伙）</w:t>
            </w:r>
          </w:p>
        </w:tc>
        <w:tc>
          <w:tcPr>
            <w:tcW w:w="13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12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0.66%</w:t>
            </w:r>
          </w:p>
        </w:tc>
        <w:tc>
          <w:tcPr>
            <w:tcW w:w="13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3,791,216</w:t>
            </w:r>
          </w:p>
        </w:tc>
        <w:tc>
          <w:tcPr>
            <w:tcW w:w="13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72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8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孙泽斌</w:t>
            </w:r>
          </w:p>
        </w:tc>
        <w:tc>
          <w:tcPr>
            <w:tcW w:w="13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境内自然人</w:t>
            </w:r>
          </w:p>
        </w:tc>
        <w:tc>
          <w:tcPr>
            <w:tcW w:w="12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0.41%</w:t>
            </w:r>
          </w:p>
        </w:tc>
        <w:tc>
          <w:tcPr>
            <w:tcW w:w="13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2,323,500</w:t>
            </w:r>
          </w:p>
        </w:tc>
        <w:tc>
          <w:tcPr>
            <w:tcW w:w="13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72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8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王爽</w:t>
            </w:r>
          </w:p>
        </w:tc>
        <w:tc>
          <w:tcPr>
            <w:tcW w:w="13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境内自然人</w:t>
            </w:r>
          </w:p>
        </w:tc>
        <w:tc>
          <w:tcPr>
            <w:tcW w:w="12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0.35%</w:t>
            </w:r>
          </w:p>
        </w:tc>
        <w:tc>
          <w:tcPr>
            <w:tcW w:w="13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2,029,500</w:t>
            </w:r>
          </w:p>
        </w:tc>
        <w:tc>
          <w:tcPr>
            <w:tcW w:w="13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72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8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熊翔</w:t>
            </w:r>
          </w:p>
        </w:tc>
        <w:tc>
          <w:tcPr>
            <w:tcW w:w="13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境内自然人</w:t>
            </w:r>
          </w:p>
        </w:tc>
        <w:tc>
          <w:tcPr>
            <w:tcW w:w="12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0.32%</w:t>
            </w:r>
          </w:p>
        </w:tc>
        <w:tc>
          <w:tcPr>
            <w:tcW w:w="13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1,836,000</w:t>
            </w:r>
          </w:p>
        </w:tc>
        <w:tc>
          <w:tcPr>
            <w:tcW w:w="13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72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7"/>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前10名无限售条件股东持股情况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81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股东名称</w:t>
            </w:r>
          </w:p>
        </w:tc>
        <w:tc>
          <w:tcPr>
            <w:tcW w:w="2565" w:type="dxa"/>
            <w:gridSpan w:val="2"/>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持有无限售条件股份数量</w:t>
            </w:r>
          </w:p>
        </w:tc>
        <w:tc>
          <w:tcPr>
            <w:tcW w:w="4262"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股份种类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81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2565" w:type="dxa"/>
            <w:gridSpan w:val="2"/>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2655"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股份种类</w:t>
            </w:r>
          </w:p>
        </w:tc>
        <w:tc>
          <w:tcPr>
            <w:tcW w:w="1607"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数量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8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中南大学粉末冶金工程研究中心有限公司</w:t>
            </w:r>
          </w:p>
        </w:tc>
        <w:tc>
          <w:tcPr>
            <w:tcW w:w="256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72,472,129</w:t>
            </w:r>
          </w:p>
        </w:tc>
        <w:tc>
          <w:tcPr>
            <w:tcW w:w="265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人民币普通股</w:t>
            </w:r>
          </w:p>
        </w:tc>
        <w:tc>
          <w:tcPr>
            <w:tcW w:w="160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72,472,129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8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湖南湘投高科技创业投资有限公司</w:t>
            </w:r>
          </w:p>
        </w:tc>
        <w:tc>
          <w:tcPr>
            <w:tcW w:w="256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44,780,202</w:t>
            </w:r>
          </w:p>
        </w:tc>
        <w:tc>
          <w:tcPr>
            <w:tcW w:w="265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bookmarkStart w:id="14" w:name="_GoBack"/>
            <w:bookmarkEnd w:id="14"/>
            <w:r>
              <w:rPr>
                <w:rFonts w:ascii="宋体" w:hAnsi="宋体" w:eastAsia="宋体" w:cs="宋体"/>
                <w:sz w:val="18"/>
                <w:szCs w:val="18"/>
              </w:rPr>
              <w:t>人民币普通股</w:t>
            </w:r>
          </w:p>
        </w:tc>
        <w:tc>
          <w:tcPr>
            <w:tcW w:w="160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44,780,202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8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国家军民融合产业投资基金有限责任公司</w:t>
            </w:r>
          </w:p>
        </w:tc>
        <w:tc>
          <w:tcPr>
            <w:tcW w:w="256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37,402,680</w:t>
            </w:r>
          </w:p>
        </w:tc>
        <w:tc>
          <w:tcPr>
            <w:tcW w:w="265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人民币普通股</w:t>
            </w:r>
          </w:p>
        </w:tc>
        <w:tc>
          <w:tcPr>
            <w:tcW w:w="160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37,402,680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8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应光亮</w:t>
            </w:r>
          </w:p>
        </w:tc>
        <w:tc>
          <w:tcPr>
            <w:tcW w:w="256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4,350,000</w:t>
            </w:r>
          </w:p>
        </w:tc>
        <w:tc>
          <w:tcPr>
            <w:tcW w:w="265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人民币普通股</w:t>
            </w:r>
          </w:p>
        </w:tc>
        <w:tc>
          <w:tcPr>
            <w:tcW w:w="160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4,350,000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8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郭伟</w:t>
            </w:r>
          </w:p>
        </w:tc>
        <w:tc>
          <w:tcPr>
            <w:tcW w:w="256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4,026,657</w:t>
            </w:r>
          </w:p>
        </w:tc>
        <w:tc>
          <w:tcPr>
            <w:tcW w:w="265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人民币普通股</w:t>
            </w:r>
          </w:p>
        </w:tc>
        <w:tc>
          <w:tcPr>
            <w:tcW w:w="160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4,026,657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8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北京誉华基金管理有限公司－航空产业融合发展（青岛）股权投资基金合伙企业（有限合伙）</w:t>
            </w:r>
          </w:p>
        </w:tc>
        <w:tc>
          <w:tcPr>
            <w:tcW w:w="256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3,791,216</w:t>
            </w:r>
          </w:p>
        </w:tc>
        <w:tc>
          <w:tcPr>
            <w:tcW w:w="265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人民币普通股</w:t>
            </w:r>
          </w:p>
        </w:tc>
        <w:tc>
          <w:tcPr>
            <w:tcW w:w="160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3,791,216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8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孙泽斌</w:t>
            </w:r>
          </w:p>
        </w:tc>
        <w:tc>
          <w:tcPr>
            <w:tcW w:w="256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2,323,500</w:t>
            </w:r>
          </w:p>
        </w:tc>
        <w:tc>
          <w:tcPr>
            <w:tcW w:w="265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人民币普通股</w:t>
            </w:r>
          </w:p>
        </w:tc>
        <w:tc>
          <w:tcPr>
            <w:tcW w:w="160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2,323,500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8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王爽</w:t>
            </w:r>
          </w:p>
        </w:tc>
        <w:tc>
          <w:tcPr>
            <w:tcW w:w="256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2,029,500</w:t>
            </w:r>
          </w:p>
        </w:tc>
        <w:tc>
          <w:tcPr>
            <w:tcW w:w="265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人民币普通股</w:t>
            </w:r>
          </w:p>
        </w:tc>
        <w:tc>
          <w:tcPr>
            <w:tcW w:w="160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2,029,500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8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熊翔</w:t>
            </w:r>
          </w:p>
        </w:tc>
        <w:tc>
          <w:tcPr>
            <w:tcW w:w="256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1,836,000</w:t>
            </w:r>
          </w:p>
        </w:tc>
        <w:tc>
          <w:tcPr>
            <w:tcW w:w="265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人民币普通股</w:t>
            </w:r>
          </w:p>
        </w:tc>
        <w:tc>
          <w:tcPr>
            <w:tcW w:w="160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1,836,000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8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王贵春</w:t>
            </w:r>
          </w:p>
        </w:tc>
        <w:tc>
          <w:tcPr>
            <w:tcW w:w="256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1,820,700</w:t>
            </w:r>
          </w:p>
        </w:tc>
        <w:tc>
          <w:tcPr>
            <w:tcW w:w="265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人民币普通股</w:t>
            </w:r>
          </w:p>
        </w:tc>
        <w:tc>
          <w:tcPr>
            <w:tcW w:w="160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1,820,700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81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上述股东关联关系或一致行动的说明</w:t>
            </w:r>
          </w:p>
        </w:tc>
        <w:tc>
          <w:tcPr>
            <w:tcW w:w="6827" w:type="dxa"/>
            <w:gridSpan w:val="6"/>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湖南兴湘投资控股集团有限公司持有中南大学粉末冶金工程研究中心有限公司51%股权，为中南大学粉末冶金工程研究中心有限公司控股股东。除此以外未知上述其他股东之间是否存在关联关系，也未知以上其他股东是否属于一致行动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81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前10名股东参与融资融券业务情况说明（如有）</w:t>
            </w:r>
          </w:p>
        </w:tc>
        <w:tc>
          <w:tcPr>
            <w:tcW w:w="6827" w:type="dxa"/>
            <w:gridSpan w:val="6"/>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1、股东应光亮通过投资者信用账户持有公司股票1,000,000股，通过普通证券账户持有3,350,000股，合计持有4,350,000股；</w:t>
            </w:r>
          </w:p>
          <w:p>
            <w:pPr>
              <w:spacing w:before="0" w:after="0" w:line="240" w:lineRule="exact"/>
              <w:jc w:val="left"/>
              <w:rPr>
                <w:rFonts w:ascii="宋体" w:hAnsi="宋体" w:eastAsia="宋体" w:cs="宋体"/>
                <w:sz w:val="18"/>
                <w:szCs w:val="18"/>
              </w:rPr>
            </w:pPr>
            <w:r>
              <w:rPr>
                <w:rFonts w:ascii="宋体" w:hAnsi="宋体" w:eastAsia="宋体" w:cs="宋体"/>
                <w:sz w:val="18"/>
                <w:szCs w:val="18"/>
              </w:rPr>
              <w:t>2、股东孙泽斌通过投资者信用账户持有公司股票1,808,500股，通过普通证券账户持有515,000股，合计持有2,323,500股。</w:t>
            </w:r>
          </w:p>
        </w:tc>
      </w:tr>
    </w:tbl>
    <w:p>
      <w:pPr>
        <w:keepNext/>
        <w:keepLines/>
        <w:spacing w:before="300" w:after="300" w:line="280" w:lineRule="exact"/>
        <w:jc w:val="left"/>
        <w:outlineLvl w:val="1"/>
        <w:rPr>
          <w:rFonts w:ascii="宋体" w:hAnsi="宋体" w:eastAsia="宋体" w:cs="宋体"/>
          <w:b/>
          <w:bCs/>
          <w:sz w:val="21"/>
          <w:szCs w:val="21"/>
        </w:rPr>
      </w:pPr>
      <w:bookmarkStart w:id="6" w:name="_Toc988895"/>
      <w:r>
        <w:rPr>
          <w:rFonts w:ascii="宋体" w:hAnsi="宋体" w:eastAsia="宋体" w:cs="宋体"/>
          <w:b/>
          <w:bCs/>
          <w:sz w:val="21"/>
          <w:szCs w:val="21"/>
        </w:rPr>
        <w:t>（二） 公司优先股股东总数及前10名优先股股东持股情况表</w:t>
      </w:r>
      <w:bookmarkEnd w:id="6"/>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0"/>
        <w:rPr>
          <w:rFonts w:ascii="宋体" w:hAnsi="宋体" w:eastAsia="宋体" w:cs="宋体"/>
          <w:b/>
          <w:bCs/>
          <w:sz w:val="24"/>
          <w:szCs w:val="24"/>
        </w:rPr>
      </w:pPr>
      <w:bookmarkStart w:id="7" w:name="_Toc988896"/>
      <w:r>
        <w:rPr>
          <w:rFonts w:ascii="宋体" w:hAnsi="宋体" w:eastAsia="宋体" w:cs="宋体"/>
          <w:b/>
          <w:bCs/>
          <w:sz w:val="24"/>
          <w:szCs w:val="24"/>
        </w:rPr>
        <w:t>三、其他重要事项</w:t>
      </w:r>
      <w:bookmarkEnd w:id="7"/>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0"/>
        <w:rPr>
          <w:rFonts w:ascii="宋体" w:hAnsi="宋体" w:eastAsia="宋体" w:cs="宋体"/>
          <w:b/>
          <w:bCs/>
          <w:sz w:val="24"/>
          <w:szCs w:val="24"/>
        </w:rPr>
      </w:pPr>
      <w:bookmarkStart w:id="8" w:name="_Toc988897"/>
      <w:r>
        <w:rPr>
          <w:rFonts w:ascii="宋体" w:hAnsi="宋体" w:eastAsia="宋体" w:cs="宋体"/>
          <w:b/>
          <w:bCs/>
          <w:sz w:val="24"/>
          <w:szCs w:val="24"/>
        </w:rPr>
        <w:t>四、季度财务报表</w:t>
      </w:r>
      <w:bookmarkEnd w:id="8"/>
    </w:p>
    <w:p>
      <w:pPr>
        <w:keepNext/>
        <w:keepLines/>
        <w:spacing w:before="300" w:after="300" w:line="280" w:lineRule="exact"/>
        <w:jc w:val="left"/>
        <w:outlineLvl w:val="1"/>
        <w:rPr>
          <w:rFonts w:ascii="宋体" w:hAnsi="宋体" w:eastAsia="宋体" w:cs="宋体"/>
          <w:b/>
          <w:bCs/>
          <w:sz w:val="21"/>
          <w:szCs w:val="21"/>
        </w:rPr>
      </w:pPr>
      <w:bookmarkStart w:id="9" w:name="_Toc988898"/>
      <w:r>
        <w:rPr>
          <w:rFonts w:ascii="宋体" w:hAnsi="宋体" w:eastAsia="宋体" w:cs="宋体"/>
          <w:b/>
          <w:bCs/>
          <w:sz w:val="21"/>
          <w:szCs w:val="21"/>
        </w:rPr>
        <w:t>（一） 财务报表</w:t>
      </w:r>
      <w:bookmarkEnd w:id="9"/>
    </w:p>
    <w:p>
      <w:pPr>
        <w:keepNext/>
        <w:keepLines/>
        <w:spacing w:before="300" w:after="300" w:line="280" w:lineRule="exact"/>
        <w:jc w:val="left"/>
        <w:outlineLvl w:val="2"/>
        <w:rPr>
          <w:rFonts w:ascii="宋体" w:hAnsi="宋体" w:eastAsia="宋体" w:cs="宋体"/>
          <w:b/>
          <w:bCs/>
          <w:sz w:val="21"/>
          <w:szCs w:val="21"/>
        </w:rPr>
      </w:pPr>
      <w:bookmarkStart w:id="10" w:name="_Toc988899"/>
      <w:r>
        <w:rPr>
          <w:rFonts w:ascii="宋体" w:hAnsi="宋体" w:eastAsia="宋体" w:cs="宋体"/>
          <w:b/>
          <w:bCs/>
          <w:sz w:val="21"/>
          <w:szCs w:val="21"/>
        </w:rPr>
        <w:t>1、合并资产负债表</w:t>
      </w:r>
      <w:bookmarkEnd w:id="10"/>
    </w:p>
    <w:p>
      <w:pPr>
        <w:spacing w:before="0" w:after="0" w:line="240" w:lineRule="exact"/>
        <w:jc w:val="left"/>
        <w:rPr>
          <w:rFonts w:ascii="宋体" w:hAnsi="宋体" w:eastAsia="宋体" w:cs="宋体"/>
          <w:sz w:val="18"/>
          <w:szCs w:val="18"/>
        </w:rPr>
      </w:pPr>
      <w:r>
        <w:rPr>
          <w:rFonts w:ascii="宋体" w:hAnsi="宋体" w:eastAsia="宋体" w:cs="宋体"/>
          <w:sz w:val="18"/>
          <w:szCs w:val="18"/>
        </w:rPr>
        <w:t>编制单位：湖南博云新材料股份有限公司</w:t>
      </w:r>
    </w:p>
    <w:p>
      <w:pPr>
        <w:spacing w:before="0" w:after="0" w:line="240" w:lineRule="exact"/>
        <w:jc w:val="center"/>
        <w:rPr>
          <w:rFonts w:ascii="宋体" w:hAnsi="宋体" w:eastAsia="宋体" w:cs="宋体"/>
          <w:sz w:val="18"/>
          <w:szCs w:val="18"/>
        </w:rPr>
      </w:pPr>
      <w:r>
        <w:rPr>
          <w:rFonts w:ascii="宋体" w:hAnsi="宋体" w:eastAsia="宋体" w:cs="宋体"/>
          <w:sz w:val="18"/>
          <w:szCs w:val="18"/>
        </w:rPr>
        <w:t>2022年09月30日</w:t>
      </w:r>
    </w:p>
    <w:p>
      <w:pPr>
        <w:spacing w:before="0" w:after="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2022年9月30日</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2022年1月1日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流动资产：</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货币资金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565,591,730.73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550,165,529.46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结算备付金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拆出资金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交易性金融资产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215,983,345.52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衍生金融资产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应收票据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132,068,638.21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159,147,937.24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263,255,268.64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113,650,979.47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应收款项融资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22,595,152.38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22,075,670.99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预付款项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10,400,147.22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5,587,479.33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应收保费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应收分保账款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应收分保合同准备金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3,347,253.37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1,474,698.95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其中：应收利息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900" w:firstLineChars="500"/>
              <w:jc w:val="left"/>
              <w:rPr>
                <w:rFonts w:ascii="宋体" w:hAnsi="宋体" w:eastAsia="宋体" w:cs="宋体"/>
                <w:sz w:val="18"/>
                <w:szCs w:val="18"/>
              </w:rPr>
            </w:pPr>
            <w:r>
              <w:rPr>
                <w:rFonts w:ascii="宋体" w:hAnsi="宋体" w:eastAsia="宋体" w:cs="宋体"/>
                <w:sz w:val="18"/>
                <w:szCs w:val="18"/>
              </w:rPr>
              <w:t>应收股利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买入返售金融资产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存货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455,787,305.86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400,809,609.43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合同资产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254,403.06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920,332.82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持有待售资产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一年内到期的非流动资产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4,954,178.37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19,111,532.85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流动资产合计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1,458,254,077.84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1,488,927,116.06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非流动资产：</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发放贷款和垫款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债权投资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其他债权投资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长期股权投资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35,118,300.80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27,717,711.80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其他权益工具投资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78,816,177.77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47,534,875.94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其他非流动金融资产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投资性房地产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固定资产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601,795,898.30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609,827,964.40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在建工程</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178,481,860.56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115,912,178.21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生产性生物资产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油气资产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使用权资产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无形资产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242,069,270.27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251,440,847.91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开发支出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51,536,461.20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34,556,647.14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商誉</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长期待摊费用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3,344,917.56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4,041,340.98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递延所得税资产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27,694,154.95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26,984,917.13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其他非流动资产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3,756,173.48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6,848,170.27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非流动资产合计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1,222,613,214.89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1,124,864,653.78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资产总计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2,680,867,292.73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2,613,791,769.84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流动负债：</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短期借款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向中央银行借款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拆入资金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交易性金融负债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衍生金融负债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应付票据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70,686,484.41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77,606,432.06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118,474,696.29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113,179,928.89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预收款项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1,173,023.50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592,600.01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合同负债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8,410,314.05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9,924,497.97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卖出回购金融资产款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吸收存款及同业存放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代理买卖证券款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代理承销证券款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应付职工薪酬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17,814,580.64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31,501,048.85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应交税费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10,341,196.36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4,127,348.83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其他应付款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39,117,114.81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37,905,173.59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其中：应付利息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900" w:firstLineChars="500"/>
              <w:jc w:val="left"/>
              <w:rPr>
                <w:rFonts w:ascii="宋体" w:hAnsi="宋体" w:eastAsia="宋体" w:cs="宋体"/>
                <w:sz w:val="18"/>
                <w:szCs w:val="18"/>
              </w:rPr>
            </w:pPr>
            <w:r>
              <w:rPr>
                <w:rFonts w:ascii="宋体" w:hAnsi="宋体" w:eastAsia="宋体" w:cs="宋体"/>
                <w:sz w:val="18"/>
                <w:szCs w:val="18"/>
              </w:rPr>
              <w:t>应付股利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应付手续费及佣金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应付分保账款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持有待售负债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一年内到期的非流动负债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2,001,700.00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41,841,863.89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104,675,414.63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62,501,875.73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流动负债合计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422,694,524.69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379,180,769.82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非流动负债：</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保险合同准备金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77,065,450.00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78,058,933.33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应付债券</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其中：优先股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900" w:firstLineChars="500"/>
              <w:jc w:val="left"/>
              <w:rPr>
                <w:rFonts w:ascii="宋体" w:hAnsi="宋体" w:eastAsia="宋体" w:cs="宋体"/>
                <w:sz w:val="18"/>
                <w:szCs w:val="18"/>
              </w:rPr>
            </w:pPr>
            <w:r>
              <w:rPr>
                <w:rFonts w:ascii="宋体" w:hAnsi="宋体" w:eastAsia="宋体" w:cs="宋体"/>
                <w:sz w:val="18"/>
                <w:szCs w:val="18"/>
              </w:rPr>
              <w:t>永续债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租赁负债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长期应付款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长期应付职工薪酬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预计负债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递延收益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78,024,261.42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73,288,329.86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递延所得税负债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5,247,581.00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5,576,762.03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其他非流动负债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非流动负债合计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160,337,292.42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156,924,025.22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583,031,817.11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536,104,795.04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所有者权益：</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股本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573,104,819.00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573,104,819.00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其他权益工具</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其中：优先股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900" w:firstLineChars="500"/>
              <w:jc w:val="left"/>
              <w:rPr>
                <w:rFonts w:ascii="宋体" w:hAnsi="宋体" w:eastAsia="宋体" w:cs="宋体"/>
                <w:sz w:val="18"/>
                <w:szCs w:val="18"/>
              </w:rPr>
            </w:pPr>
            <w:r>
              <w:rPr>
                <w:rFonts w:ascii="宋体" w:hAnsi="宋体" w:eastAsia="宋体" w:cs="宋体"/>
                <w:sz w:val="18"/>
                <w:szCs w:val="18"/>
              </w:rPr>
              <w:t>永续债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资本公积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1,678,361,693.07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1,678,361,693.07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减：库存股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2,477,566.84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929,844.02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专项储备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盈余公积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19,940,955.96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19,940,955.96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一般风险准备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未分配利润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-199,001,599.33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-217,240,496.67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归属于母公司所有者权益合计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2,074,883,435.54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2,055,096,815.38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少数股东权益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22,952,040.08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22,590,159.42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所有者权益合计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2,097,835,475.62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2,077,686,974.80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负债和所有者权益总计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2,680,867,292.73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2,613,791,769.84</w:t>
            </w:r>
          </w:p>
        </w:tc>
      </w:tr>
    </w:tbl>
    <w:p>
      <w:pPr>
        <w:spacing w:before="0" w:after="0" w:line="240" w:lineRule="exact"/>
        <w:jc w:val="left"/>
        <w:rPr>
          <w:rFonts w:ascii="宋体" w:hAnsi="宋体" w:eastAsia="宋体" w:cs="宋体"/>
          <w:sz w:val="18"/>
          <w:szCs w:val="18"/>
        </w:rPr>
      </w:pPr>
      <w:r>
        <w:rPr>
          <w:rFonts w:ascii="宋体" w:hAnsi="宋体" w:eastAsia="宋体" w:cs="宋体"/>
          <w:sz w:val="18"/>
          <w:szCs w:val="18"/>
        </w:rPr>
        <w:t>法定代表人：贺柳    主管会计工作负责人：严琦      会计机构负责人：许斌</w:t>
      </w:r>
    </w:p>
    <w:p>
      <w:pPr>
        <w:keepNext/>
        <w:keepLines/>
        <w:spacing w:before="300" w:after="300" w:line="280" w:lineRule="exact"/>
        <w:jc w:val="left"/>
        <w:outlineLvl w:val="2"/>
        <w:rPr>
          <w:rFonts w:ascii="宋体" w:hAnsi="宋体" w:eastAsia="宋体" w:cs="宋体"/>
          <w:b/>
          <w:bCs/>
          <w:sz w:val="21"/>
          <w:szCs w:val="21"/>
        </w:rPr>
      </w:pPr>
      <w:bookmarkStart w:id="11" w:name="_Toc988900"/>
      <w:r>
        <w:rPr>
          <w:rFonts w:ascii="宋体" w:hAnsi="宋体" w:eastAsia="宋体" w:cs="宋体"/>
          <w:b/>
          <w:bCs/>
          <w:sz w:val="21"/>
          <w:szCs w:val="21"/>
        </w:rPr>
        <w:t>2、合并年初到报告期末利润表</w:t>
      </w:r>
      <w:bookmarkEnd w:id="1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一、营业总收入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427,393,973.81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362,852,883.89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其中：营业收入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427,393,973.81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362,852,883.89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720" w:firstLineChars="400"/>
              <w:jc w:val="left"/>
              <w:rPr>
                <w:rFonts w:ascii="宋体" w:hAnsi="宋体" w:eastAsia="宋体" w:cs="宋体"/>
                <w:sz w:val="18"/>
                <w:szCs w:val="18"/>
              </w:rPr>
            </w:pPr>
            <w:r>
              <w:rPr>
                <w:rFonts w:ascii="宋体" w:hAnsi="宋体" w:eastAsia="宋体" w:cs="宋体"/>
                <w:sz w:val="18"/>
                <w:szCs w:val="18"/>
              </w:rPr>
              <w:t>利息收入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720" w:firstLineChars="400"/>
              <w:jc w:val="left"/>
              <w:rPr>
                <w:rFonts w:ascii="宋体" w:hAnsi="宋体" w:eastAsia="宋体" w:cs="宋体"/>
                <w:sz w:val="18"/>
                <w:szCs w:val="18"/>
              </w:rPr>
            </w:pPr>
            <w:r>
              <w:rPr>
                <w:rFonts w:ascii="宋体" w:hAnsi="宋体" w:eastAsia="宋体" w:cs="宋体"/>
                <w:sz w:val="18"/>
                <w:szCs w:val="18"/>
              </w:rPr>
              <w:t>已赚保费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720" w:firstLineChars="400"/>
              <w:jc w:val="left"/>
              <w:rPr>
                <w:rFonts w:ascii="宋体" w:hAnsi="宋体" w:eastAsia="宋体" w:cs="宋体"/>
                <w:sz w:val="18"/>
                <w:szCs w:val="18"/>
              </w:rPr>
            </w:pPr>
            <w:r>
              <w:rPr>
                <w:rFonts w:ascii="宋体" w:hAnsi="宋体" w:eastAsia="宋体" w:cs="宋体"/>
                <w:sz w:val="18"/>
                <w:szCs w:val="18"/>
              </w:rPr>
              <w:t>手续费及佣金收入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二、营业总成本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391,956,746.71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338,661,845.31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其中：营业成本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318,682,142.44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255,130,791.37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利息支出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手续费及佣金支出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退保金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赔付支出净额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提取保险责任准备金净额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保单红利支出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分保费用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720" w:firstLineChars="400"/>
              <w:jc w:val="left"/>
              <w:rPr>
                <w:rFonts w:ascii="宋体" w:hAnsi="宋体" w:eastAsia="宋体" w:cs="宋体"/>
                <w:sz w:val="18"/>
                <w:szCs w:val="18"/>
              </w:rPr>
            </w:pPr>
            <w:r>
              <w:rPr>
                <w:rFonts w:ascii="宋体" w:hAnsi="宋体" w:eastAsia="宋体" w:cs="宋体"/>
                <w:sz w:val="18"/>
                <w:szCs w:val="18"/>
              </w:rPr>
              <w:t>税金及附加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6,944,326.17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5,482,988.61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销售费用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13,050,668.22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15,415,530.55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管理费用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35,299,589.63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33,338,620.14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研发费用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24,015,032.09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23,207,558.97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财务费用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-6,035,011.84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6,086,355.67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sz w:val="18"/>
                <w:szCs w:val="18"/>
              </w:rPr>
            </w:pPr>
            <w:r>
              <w:rPr>
                <w:rFonts w:ascii="宋体" w:hAnsi="宋体" w:eastAsia="宋体" w:cs="宋体"/>
                <w:sz w:val="18"/>
                <w:szCs w:val="18"/>
              </w:rPr>
              <w:t>其中：利息费用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2,231,092.52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14,830,370.30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440" w:firstLineChars="800"/>
              <w:jc w:val="left"/>
              <w:rPr>
                <w:rFonts w:ascii="宋体" w:hAnsi="宋体" w:eastAsia="宋体" w:cs="宋体"/>
                <w:sz w:val="18"/>
                <w:szCs w:val="18"/>
              </w:rPr>
            </w:pPr>
            <w:r>
              <w:rPr>
                <w:rFonts w:ascii="宋体" w:hAnsi="宋体" w:eastAsia="宋体" w:cs="宋体"/>
                <w:sz w:val="18"/>
                <w:szCs w:val="18"/>
              </w:rPr>
              <w:t>利息收入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7,183,573.66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4,813,927.80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加：其他收益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13,272,723.47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12,762,400.33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投资收益（损失以“－”号填列）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-19,180,315.43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-11,105,095.76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sz w:val="18"/>
                <w:szCs w:val="18"/>
              </w:rPr>
            </w:pPr>
            <w:r>
              <w:rPr>
                <w:rFonts w:ascii="宋体" w:hAnsi="宋体" w:eastAsia="宋体" w:cs="宋体"/>
                <w:sz w:val="18"/>
                <w:szCs w:val="18"/>
              </w:rPr>
              <w:t>其中：对联营企业和合营企业的投资收益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-20,717,571.00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-11,745,853.34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440" w:firstLineChars="800"/>
              <w:jc w:val="left"/>
              <w:rPr>
                <w:rFonts w:ascii="宋体" w:hAnsi="宋体" w:eastAsia="宋体" w:cs="宋体"/>
                <w:sz w:val="18"/>
                <w:szCs w:val="18"/>
              </w:rPr>
            </w:pPr>
            <w:r>
              <w:rPr>
                <w:rFonts w:ascii="宋体" w:hAnsi="宋体" w:eastAsia="宋体" w:cs="宋体"/>
                <w:sz w:val="18"/>
                <w:szCs w:val="18"/>
              </w:rPr>
              <w:t>以摊余成本计量的金融资产终止确认收益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汇兑收益（损失以“-”号填列）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净敞口套期收益（损失以“－”号填列）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公允价值变动收益（损失以“－”号填列）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176,395.62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信用减值损失（损失以“-”号填列）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-4,260,484.06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-6,505,701.53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资产减值损失（损失以“-”号填列）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-1,972,040.84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资产处置收益（损失以“-”号填列）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1,186.48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858,508.28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三、营业利润（亏损以“－”号填列）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23,298,296.72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20,377,545.52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加：营业外收入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53,162.79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减：营业外支出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104,244.84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97,678.88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四、利润总额（亏损总额以“－”号填列）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23,199,251.88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20,333,029.43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减：所得税费用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4,598,473.88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4,720,701.34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五、净利润（净亏损以“－”号填列）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18,600,778.00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15,612,328.09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（一）按经营持续性分类</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1.持续经营净利润（净亏损以“－”号填列）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18,600,778.00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15,612,328.09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2.终止经营净利润（净亏损以“－”号填列）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（二）按所有权归属分类</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1.归属于母公司股东的净利润（净亏损以“-”号填列）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18,238,897.34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15,153,115.25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2.少数股东损益（净亏损以“-”号填列）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361,880.66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459,212.84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六、其他综合收益的税后净额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1,547,722.82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归属母公司所有者的其他综合收益的税后净额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1,547,722.82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（一）不能重分类进损益的其他综合收益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1,547,722.82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1.重新计量设定受益计划变动额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2.权益法下不能转损益的其他综合收益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3.其他权益工具投资公允价值变动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1,547,722.82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4.企业自身信用风险公允价值变动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5.其他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（二）将重分类进损益的其他综合收益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1.权益法下可转损益的其他综合收益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2.其他债权投资公允价值变动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3.金融资产重分类计入其他综合收益的金额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4.其他债权投资信用减值准备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5.现金流量套期储备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6.外币财务报表折算差额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7.其他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归属于少数股东的其他综合收益的税后净额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七、综合收益总额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20,148,500.82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15,612,328.09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（一）归属于母公司所有者的综合收益总额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19,786,620.16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15,153,115.25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（二）归属于少数股东的综合收益总额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361,880.66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459,212.84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八、每股收益：</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（一）基本每股收益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0.0318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0.0307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（二）稀释每股收益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0.0318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0.0307</w:t>
            </w:r>
          </w:p>
        </w:tc>
      </w:tr>
    </w:tbl>
    <w:p>
      <w:pPr>
        <w:spacing w:before="0" w:after="0" w:line="240" w:lineRule="exact"/>
        <w:jc w:val="left"/>
        <w:rPr>
          <w:rFonts w:ascii="宋体" w:hAnsi="宋体" w:eastAsia="宋体" w:cs="宋体"/>
          <w:sz w:val="18"/>
          <w:szCs w:val="18"/>
        </w:rPr>
      </w:pPr>
      <w:r>
        <w:rPr>
          <w:rFonts w:ascii="宋体" w:hAnsi="宋体" w:eastAsia="宋体" w:cs="宋体"/>
          <w:sz w:val="18"/>
          <w:szCs w:val="18"/>
        </w:rPr>
        <w:t>本期发生同一控制下企业合并的，被合并方在合并前实现的净利润为：元，上期被合并方实现的净利润为：元。</w:t>
      </w:r>
    </w:p>
    <w:p>
      <w:pPr>
        <w:spacing w:before="0" w:after="0" w:line="240" w:lineRule="exact"/>
        <w:jc w:val="left"/>
        <w:rPr>
          <w:rFonts w:ascii="宋体" w:hAnsi="宋体" w:eastAsia="宋体" w:cs="宋体"/>
          <w:sz w:val="18"/>
          <w:szCs w:val="18"/>
        </w:rPr>
      </w:pPr>
      <w:r>
        <w:rPr>
          <w:rFonts w:ascii="宋体" w:hAnsi="宋体" w:eastAsia="宋体" w:cs="宋体"/>
          <w:sz w:val="18"/>
          <w:szCs w:val="18"/>
        </w:rPr>
        <w:t>法定代表人：贺柳    主管会计工作负责人：严琦    会计机构负责人：许斌</w:t>
      </w:r>
    </w:p>
    <w:p>
      <w:pPr>
        <w:keepNext/>
        <w:keepLines/>
        <w:spacing w:before="300" w:after="300" w:line="280" w:lineRule="exact"/>
        <w:jc w:val="left"/>
        <w:outlineLvl w:val="2"/>
        <w:rPr>
          <w:rFonts w:ascii="宋体" w:hAnsi="宋体" w:eastAsia="宋体" w:cs="宋体"/>
          <w:b/>
          <w:bCs/>
          <w:sz w:val="21"/>
          <w:szCs w:val="21"/>
        </w:rPr>
      </w:pPr>
      <w:bookmarkStart w:id="12" w:name="_Toc988901"/>
      <w:r>
        <w:rPr>
          <w:rFonts w:ascii="宋体" w:hAnsi="宋体" w:eastAsia="宋体" w:cs="宋体"/>
          <w:b/>
          <w:bCs/>
          <w:sz w:val="21"/>
          <w:szCs w:val="21"/>
        </w:rPr>
        <w:t>3、合并年初到报告期末现金流量表</w:t>
      </w:r>
      <w:bookmarkEnd w:id="12"/>
    </w:p>
    <w:p>
      <w:pPr>
        <w:spacing w:before="0" w:after="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一、经营活动产生的现金流量：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销售商品、提供劳务收到的现金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324,943,511.09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276,385,039.26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客户存款和同业存放款项净增加额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向中央银行借款净增加额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向其他金融机构拆入资金净增加额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收到原保险合同保费取得的现金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收到再保业务现金净额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保户储金及投资款净增加额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收取利息、手续费及佣金的现金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拆入资金净增加额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回购业务资金净增加额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代理买卖证券收到的现金净额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收到的税费返还</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21,057,255.53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8,535,874.74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收到其他与经营活动有关的现金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34,911,790.75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14,066,312.89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经营活动现金流入小计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380,912,557.37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298,987,226.89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购买商品、接受劳务支付的现金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260,445,623.31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142,382,792.46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客户贷款及垫款净增加额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存放中央银行和同业款项净增加额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支付原保险合同赔付款项的现金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拆出资金净增加额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支付利息、手续费及佣金的现金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支付保单红利的现金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支付给职工及为职工支付的现金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103,442,922.50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82,548,297.67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支付的各项税费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21,381,523.12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32,201,695.79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支付其他与经营活动有关的现金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33,536,912.43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27,259,704.63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经营活动现金流出小计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418,806,981.36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284,392,490.55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经营活动产生的现金流量净额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-37,894,423.99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14,594,736.34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二、投资活动产生的现金流量：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收回投资收到的现金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215,222,971.00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147,134,534.94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取得投资收益收到的现金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2,087,625.75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处置固定资产、无形资产和其他长期资产收回的现金净额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9,507.56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4,191,180.85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处置子公司及其他营业单位收到的现金净额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收到其他与投资活动有关的现金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372,979.80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3,907,886.87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217,693,084.11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155,233,602.66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购建固定资产、无形资产和其他长期资产支付的现金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140,510,584.98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123,474,625.35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投资支付的现金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58,187,031.00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492,713,850.84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质押贷款净增加额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取得子公司及其他营业单位支付的现金净额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支付其他与投资活动有关的现金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7,522.00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198,705,137.98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616,188,476.19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18,987,946.13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-460,954,873.53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三、筹资活动产生的现金流量：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吸收投资收到的现金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628,096,598.80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其中：子公司吸收少数股东投资收到的现金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取得借款收到的现金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155,000,000.00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收到其他与筹资活动有关的现金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筹资活动现金流入小计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785,096,598.80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偿还债务支付的现金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40,800,000.00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356,900,000.00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分配股利、利润或偿付利息支付的现金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2,465,773.40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8,902,451.46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其中：子公司支付给少数股东的股利、利润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支付其他与筹资活动有关的现金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7,723,317.00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筹资活动现金流出小计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43,265,773.40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373,525,768.46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筹资活动产生的现金流量净额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6,734,226.60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411,570,830.34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四、汇率变动对现金及现金等价物的影响</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940,248.28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-556,894.12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五、现金及现金等价物净增加额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-11,232,002.98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-35,346,200.97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加：期初现金及现金等价物余额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530,492,915.98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368,118,485.78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六、期末现金及现金等价物余额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519,260,913.00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332,772,284.81</w:t>
            </w:r>
          </w:p>
        </w:tc>
      </w:tr>
    </w:tbl>
    <w:p>
      <w:pPr>
        <w:keepNext/>
        <w:keepLines/>
        <w:spacing w:before="300" w:after="300" w:line="280" w:lineRule="exact"/>
        <w:jc w:val="left"/>
        <w:outlineLvl w:val="1"/>
        <w:rPr>
          <w:rFonts w:ascii="宋体" w:hAnsi="宋体" w:eastAsia="宋体" w:cs="宋体"/>
          <w:b/>
          <w:bCs/>
          <w:sz w:val="25"/>
          <w:szCs w:val="25"/>
        </w:rPr>
      </w:pPr>
      <w:bookmarkStart w:id="13" w:name="_Toc988902"/>
      <w:r>
        <w:rPr>
          <w:rFonts w:ascii="宋体" w:hAnsi="宋体" w:eastAsia="宋体" w:cs="宋体"/>
          <w:b/>
          <w:bCs/>
          <w:sz w:val="25"/>
          <w:szCs w:val="25"/>
        </w:rPr>
        <w:t>（二） 审计报告</w:t>
      </w:r>
      <w:bookmarkEnd w:id="13"/>
    </w:p>
    <w:p>
      <w:pPr>
        <w:spacing w:before="40" w:after="40" w:line="240" w:lineRule="exact"/>
        <w:jc w:val="left"/>
        <w:rPr>
          <w:rFonts w:ascii="宋体" w:hAnsi="宋体" w:eastAsia="宋体" w:cs="宋体"/>
          <w:sz w:val="18"/>
          <w:szCs w:val="18"/>
        </w:rPr>
      </w:pPr>
      <w:r>
        <w:rPr>
          <w:rFonts w:ascii="宋体" w:hAnsi="宋体" w:eastAsia="宋体" w:cs="宋体"/>
          <w:sz w:val="18"/>
          <w:szCs w:val="18"/>
        </w:rPr>
        <w:t>第三季度报告是否经过审计</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公司第三季度报告未经审计。</w:t>
      </w:r>
    </w:p>
    <w:p>
      <w:pPr>
        <w:spacing w:before="40" w:after="40" w:line="240" w:lineRule="exact"/>
        <w:jc w:val="left"/>
        <w:rPr>
          <w:rFonts w:ascii="宋体" w:hAnsi="宋体" w:eastAsia="宋体" w:cs="宋体"/>
          <w:sz w:val="18"/>
          <w:szCs w:val="18"/>
        </w:rPr>
      </w:pPr>
    </w:p>
    <w:p>
      <w:pPr>
        <w:spacing w:before="40" w:after="40" w:line="240" w:lineRule="exact"/>
        <w:jc w:val="left"/>
        <w:rPr>
          <w:rFonts w:ascii="宋体" w:hAnsi="宋体" w:eastAsia="宋体" w:cs="宋体"/>
          <w:sz w:val="18"/>
          <w:szCs w:val="18"/>
        </w:rPr>
      </w:pPr>
    </w:p>
    <w:p>
      <w:pPr>
        <w:spacing w:before="40" w:after="40" w:line="240" w:lineRule="exact"/>
        <w:jc w:val="left"/>
        <w:rPr>
          <w:rFonts w:ascii="宋体" w:hAnsi="宋体" w:eastAsia="宋体" w:cs="宋体"/>
          <w:sz w:val="18"/>
          <w:szCs w:val="18"/>
        </w:rPr>
      </w:pPr>
    </w:p>
    <w:p>
      <w:pPr>
        <w:spacing w:before="40" w:after="40" w:line="240" w:lineRule="exact"/>
        <w:jc w:val="right"/>
        <w:rPr>
          <w:rFonts w:ascii="宋体" w:hAnsi="宋体" w:eastAsia="宋体" w:cs="宋体"/>
          <w:sz w:val="18"/>
          <w:szCs w:val="18"/>
        </w:rPr>
      </w:pPr>
      <w:r>
        <w:rPr>
          <w:rFonts w:ascii="宋体" w:hAnsi="宋体" w:eastAsia="宋体" w:cs="宋体"/>
          <w:sz w:val="18"/>
          <w:szCs w:val="18"/>
        </w:rPr>
        <w:t>湖南博云新材料股份有限公司董事会</w:t>
      </w:r>
    </w:p>
    <w:p>
      <w:pPr>
        <w:spacing w:before="0" w:after="0" w:line="240" w:lineRule="exact"/>
        <w:jc w:val="right"/>
        <w:rPr>
          <w:rFonts w:ascii="宋体" w:hAnsi="宋体" w:eastAsia="宋体" w:cs="宋体"/>
          <w:sz w:val="18"/>
          <w:szCs w:val="18"/>
        </w:rPr>
      </w:pPr>
      <w:r>
        <w:rPr>
          <w:rFonts w:ascii="宋体" w:hAnsi="宋体" w:eastAsia="宋体" w:cs="宋体"/>
          <w:sz w:val="18"/>
          <w:szCs w:val="18"/>
        </w:rPr>
        <w:t>2022年10月27日</w:t>
      </w:r>
    </w:p>
    <w:sectPr>
      <w:headerReference r:id="rId3" w:type="default"/>
      <w:footerReference r:id="rId4" w:type="default"/>
      <w:pgSz w:w="11905" w:h="16840"/>
      <w:pgMar w:top="1440" w:right="1134" w:bottom="1440" w:left="1134" w:header="850"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宋体" w:eastAsia="宋体"/>
        <w:sz w:val="18"/>
        <w:szCs w:val="18"/>
      </w:rPr>
      <w:fldChar w:fldCharType="begin"/>
    </w:r>
    <w:r>
      <w:rPr>
        <w:rFonts w:ascii="宋体" w:eastAsia="宋体"/>
        <w:sz w:val="18"/>
        <w:szCs w:val="18"/>
      </w:rPr>
      <w:instrText xml:space="preserve">PAGE   \* MERGEFORMAT</w:instrText>
    </w:r>
    <w:r>
      <w:rPr>
        <w:rFonts w:ascii="宋体" w:eastAsia="宋体"/>
        <w:sz w:val="18"/>
        <w:szCs w:val="18"/>
      </w:rPr>
      <w:fldChar w:fldCharType="separate"/>
    </w:r>
    <w:r>
      <w:rPr>
        <w:rFonts w:ascii="宋体" w:eastAsia="宋体"/>
        <w:sz w:val="18"/>
        <w:szCs w:val="18"/>
      </w:rPr>
      <w:t>1</w:t>
    </w:r>
    <w:r>
      <w:rPr>
        <w:rFonts w:ascii="宋体" w:eastAsia="宋体"/>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right"/>
    </w:pPr>
    <w:r>
      <w:rPr>
        <w:rFonts w:ascii="宋体" w:eastAsia="宋体"/>
        <w:sz w:val="18"/>
        <w:szCs w:val="18"/>
      </w:rPr>
      <w:t>湖南博云新材料股份有限公司2022年第三季度报告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compat>
    <w:doNotExpandShiftReturn/>
    <w:useFELayout/>
    <w:compatSetting w:name="compatibilityMode" w:uri="http://schemas.microsoft.com/office/word" w:val="14"/>
  </w:compat>
  <w:rsids>
    <w:rsidRoot w:val="00000000"/>
    <w:rsid w:val="11E24A7D"/>
    <w:rsid w:val="141C64AE"/>
    <w:rsid w:val="2E127B2A"/>
    <w:rsid w:val="59DA3379"/>
    <w:rsid w:val="5FF74D70"/>
    <w:rsid w:val="673F7305"/>
    <w:rsid w:val="69AC7402"/>
    <w:rsid w:val="7C1E1B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10</TotalTime>
  <ScaleCrop>false</ScaleCrop>
  <LinksUpToDate>false</LinksUpToDate>
  <Application>WPS Office_11.1.0.9828_F1E327BC-269C-435d-A152-05C5408002CA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2022-10-26T06:21:00Z</dcterms:created>
  <dc:creator>Administrator</dc:creator>
  <cp:lastModifiedBy>张爱丽</cp:lastModifiedBy>
  <dcterms:modified xsi:type="dcterms:W3CDTF">2022-10-27T06:14:43Z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