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b/>
          <w:bCs/>
          <w:sz w:val="44"/>
          <w:szCs w:val="36"/>
        </w:rPr>
      </w:pPr>
    </w:p>
    <w:p>
      <w:pPr>
        <w:jc w:val="center"/>
        <w:rPr>
          <w:rFonts w:ascii="黑体" w:hAnsi="黑体" w:eastAsia="黑体"/>
          <w:b/>
          <w:bCs/>
          <w:sz w:val="44"/>
          <w:szCs w:val="36"/>
        </w:rPr>
      </w:pPr>
    </w:p>
    <w:p>
      <w:pPr>
        <w:jc w:val="center"/>
        <w:rPr>
          <w:rFonts w:hint="eastAsia" w:ascii="黑体" w:hAnsi="黑体" w:eastAsia="黑体"/>
          <w:b/>
          <w:bCs/>
          <w:sz w:val="72"/>
          <w:szCs w:val="52"/>
          <w:lang w:eastAsia="zh-CN"/>
        </w:rPr>
      </w:pPr>
    </w:p>
    <w:p>
      <w:pPr>
        <w:jc w:val="center"/>
        <w:rPr>
          <w:rFonts w:hint="default" w:ascii="黑体" w:hAnsi="黑体" w:eastAsia="黑体"/>
          <w:b/>
          <w:bCs/>
          <w:sz w:val="72"/>
          <w:szCs w:val="52"/>
          <w:lang w:val="en-US" w:eastAsia="zh-CN"/>
        </w:rPr>
      </w:pPr>
      <w:r>
        <w:rPr>
          <w:rFonts w:hint="eastAsia" w:ascii="黑体" w:hAnsi="黑体" w:eastAsia="黑体"/>
          <w:b/>
          <w:bCs/>
          <w:sz w:val="72"/>
          <w:szCs w:val="52"/>
          <w:lang w:val="en-US" w:eastAsia="zh-CN"/>
        </w:rPr>
        <w:t>2022年“浙江制造”认证</w:t>
      </w:r>
    </w:p>
    <w:p>
      <w:pPr>
        <w:jc w:val="center"/>
        <w:rPr>
          <w:rFonts w:ascii="黑体" w:hAnsi="黑体" w:eastAsia="黑体"/>
          <w:b/>
          <w:bCs/>
          <w:sz w:val="72"/>
          <w:szCs w:val="52"/>
        </w:rPr>
      </w:pPr>
    </w:p>
    <w:p>
      <w:pPr>
        <w:jc w:val="center"/>
        <w:rPr>
          <w:rFonts w:ascii="黑体" w:hAnsi="黑体" w:eastAsia="黑体"/>
          <w:b/>
          <w:bCs/>
          <w:sz w:val="72"/>
          <w:szCs w:val="52"/>
        </w:rPr>
      </w:pPr>
      <w:r>
        <w:rPr>
          <w:rFonts w:hint="eastAsia" w:ascii="黑体" w:hAnsi="黑体" w:eastAsia="黑体"/>
          <w:b/>
          <w:bCs/>
          <w:sz w:val="72"/>
          <w:szCs w:val="52"/>
        </w:rPr>
        <w:t>质量诚信报告</w:t>
      </w:r>
    </w:p>
    <w:p>
      <w:pPr>
        <w:rPr>
          <w:rFonts w:ascii="黑体" w:hAnsi="黑体" w:eastAsia="黑体"/>
          <w:b/>
          <w:bCs/>
          <w:sz w:val="72"/>
          <w:szCs w:val="52"/>
        </w:rPr>
      </w:pPr>
    </w:p>
    <w:p>
      <w:pPr>
        <w:ind w:firstLine="630" w:firstLineChars="300"/>
        <w:rPr>
          <w:rFonts w:ascii="Times New Roman" w:hAnsi="Times New Roman" w:eastAsia="宋体"/>
        </w:rPr>
      </w:pPr>
      <w:r>
        <w:rPr>
          <w:rFonts w:ascii="Times New Roman" w:hAnsi="Times New Roman" w:eastAsia="宋体"/>
        </w:rPr>
        <w:drawing>
          <wp:inline distT="0" distB="0" distL="114300" distR="114300">
            <wp:extent cx="4943475" cy="3037840"/>
            <wp:effectExtent l="0" t="0" r="952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4943475" cy="3037840"/>
                    </a:xfrm>
                    <a:prstGeom prst="rect">
                      <a:avLst/>
                    </a:prstGeom>
                    <a:noFill/>
                    <a:ln>
                      <a:noFill/>
                    </a:ln>
                  </pic:spPr>
                </pic:pic>
              </a:graphicData>
            </a:graphic>
          </wp:inline>
        </w:drawing>
      </w:r>
    </w:p>
    <w:p>
      <w:pPr>
        <w:ind w:firstLine="1566" w:firstLineChars="300"/>
        <w:rPr>
          <w:rFonts w:hint="eastAsia" w:ascii="黑体" w:hAnsi="黑体" w:eastAsia="黑体" w:cs="黑体"/>
          <w:b/>
          <w:bCs/>
          <w:sz w:val="72"/>
          <w:szCs w:val="52"/>
        </w:rPr>
      </w:pPr>
      <w:r>
        <w:rPr>
          <w:rFonts w:hint="eastAsia" w:ascii="黑体" w:hAnsi="黑体" w:eastAsia="黑体" w:cs="黑体"/>
          <w:b/>
          <w:bCs/>
          <w:sz w:val="52"/>
          <w:szCs w:val="52"/>
          <w:lang w:eastAsia="zh-CN"/>
        </w:rPr>
        <w:t>浙江久盛交联电缆有限公司</w:t>
      </w:r>
    </w:p>
    <w:p>
      <w:pPr>
        <w:jc w:val="center"/>
        <w:rPr>
          <w:rFonts w:hint="eastAsia" w:ascii="宋体" w:hAnsi="宋体" w:eastAsia="宋体" w:cs="宋体"/>
          <w:b w:val="0"/>
          <w:bCs w:val="0"/>
          <w:sz w:val="52"/>
          <w:szCs w:val="44"/>
          <w:lang w:val="en-US" w:eastAsia="zh-CN"/>
        </w:rPr>
      </w:pPr>
      <w:r>
        <w:rPr>
          <w:rFonts w:hint="eastAsia" w:ascii="宋体" w:hAnsi="宋体" w:eastAsia="宋体" w:cs="宋体"/>
          <w:b w:val="0"/>
          <w:bCs w:val="0"/>
          <w:sz w:val="52"/>
          <w:szCs w:val="44"/>
          <w:lang w:val="en-US" w:eastAsia="zh-CN"/>
        </w:rPr>
        <w:t xml:space="preserve">  二零二三</w:t>
      </w:r>
      <w:r>
        <w:rPr>
          <w:rFonts w:hint="eastAsia" w:ascii="宋体" w:hAnsi="宋体" w:eastAsia="宋体" w:cs="宋体"/>
          <w:b w:val="0"/>
          <w:bCs w:val="0"/>
          <w:sz w:val="52"/>
          <w:szCs w:val="44"/>
        </w:rPr>
        <w:t>年</w:t>
      </w:r>
      <w:r>
        <w:rPr>
          <w:rFonts w:hint="eastAsia" w:ascii="宋体" w:hAnsi="宋体" w:eastAsia="宋体" w:cs="宋体"/>
          <w:b w:val="0"/>
          <w:bCs w:val="0"/>
          <w:sz w:val="52"/>
          <w:szCs w:val="44"/>
          <w:lang w:val="en-US" w:eastAsia="zh-CN"/>
        </w:rPr>
        <w:t>五</w:t>
      </w:r>
      <w:r>
        <w:rPr>
          <w:rFonts w:hint="eastAsia" w:ascii="宋体" w:hAnsi="宋体" w:eastAsia="宋体" w:cs="宋体"/>
          <w:b w:val="0"/>
          <w:bCs w:val="0"/>
          <w:sz w:val="52"/>
          <w:szCs w:val="44"/>
        </w:rPr>
        <w:t>月</w:t>
      </w:r>
      <w:r>
        <w:rPr>
          <w:rFonts w:hint="eastAsia" w:ascii="宋体" w:hAnsi="宋体" w:eastAsia="宋体" w:cs="宋体"/>
          <w:b w:val="0"/>
          <w:bCs w:val="0"/>
          <w:sz w:val="52"/>
          <w:szCs w:val="44"/>
          <w:lang w:val="en-US" w:eastAsia="zh-CN"/>
        </w:rPr>
        <w:t>八日</w:t>
      </w:r>
    </w:p>
    <w:p>
      <w:pPr>
        <w:widowControl/>
        <w:rPr>
          <w:rFonts w:ascii="黑体" w:hAnsi="黑体" w:eastAsia="黑体"/>
          <w:sz w:val="52"/>
        </w:rPr>
        <w:sectPr>
          <w:headerReference r:id="rId3" w:type="default"/>
          <w:pgSz w:w="11906" w:h="16838"/>
          <w:pgMar w:top="1531" w:right="1361" w:bottom="1418" w:left="1531" w:header="851" w:footer="992" w:gutter="0"/>
          <w:cols w:space="425" w:num="1"/>
          <w:docGrid w:type="lines" w:linePitch="312" w:charSpace="0"/>
        </w:sectPr>
      </w:pPr>
      <w:r>
        <w:rPr>
          <w:rFonts w:hint="eastAsia" w:ascii="黑体" w:hAnsi="黑体" w:eastAsia="黑体"/>
          <w:b/>
          <w:bCs/>
          <w:kern w:val="0"/>
          <w:sz w:val="52"/>
          <w:szCs w:val="44"/>
        </w:rPr>
        <w:br w:type="page"/>
      </w:r>
    </w:p>
    <w:p>
      <w:pPr>
        <w:pStyle w:val="4"/>
        <w:jc w:val="center"/>
        <w:rPr>
          <w:rFonts w:ascii="黑体" w:hAnsi="黑体" w:eastAsia="黑体" w:cs="宋体"/>
          <w:b w:val="0"/>
          <w:sz w:val="52"/>
        </w:rPr>
      </w:pPr>
      <w:bookmarkStart w:id="0" w:name="_Toc13908"/>
      <w:r>
        <w:rPr>
          <w:rFonts w:hint="eastAsia" w:ascii="黑体" w:hAnsi="黑体" w:eastAsia="黑体"/>
          <w:b w:val="0"/>
          <w:sz w:val="52"/>
        </w:rPr>
        <w:t>郑重声明</w:t>
      </w:r>
      <w:bookmarkEnd w:id="0"/>
    </w:p>
    <w:p>
      <w:pPr>
        <w:autoSpaceDE w:val="0"/>
        <w:autoSpaceDN w:val="0"/>
        <w:adjustRightInd w:val="0"/>
        <w:spacing w:before="1248" w:beforeLines="400" w:line="520" w:lineRule="exact"/>
        <w:ind w:firstLine="560" w:firstLineChars="200"/>
        <w:jc w:val="left"/>
        <w:rPr>
          <w:rFonts w:ascii="宋体" w:cs="宋体"/>
          <w:kern w:val="0"/>
          <w:sz w:val="28"/>
          <w:szCs w:val="28"/>
        </w:rPr>
      </w:pPr>
      <w:r>
        <w:rPr>
          <w:rFonts w:hint="eastAsia" w:ascii="宋体" w:cs="宋体"/>
          <w:kern w:val="0"/>
          <w:sz w:val="28"/>
          <w:szCs w:val="28"/>
        </w:rPr>
        <w:t>本公司出具的质量诚信报告，是依据国家有关质量法律法规、规章及相关行业质量标准、规范等进行编制。报告中关于公司质量诚信和质量管理情况是公司现状的真实反映，本公司对报告内容的客观性负责，对相关论述和结论真实性和科学性负责。</w:t>
      </w:r>
    </w:p>
    <w:p>
      <w:pPr>
        <w:widowControl/>
        <w:ind w:firstLine="6160" w:firstLineChars="2200"/>
        <w:jc w:val="left"/>
        <w:rPr>
          <w:rFonts w:ascii="EHKHQN+ËÎÌå" w:hAnsi="EHKHQN+ËÎÌå" w:cs="EHKHQN+ËÎÌå"/>
          <w:color w:val="000000"/>
          <w:sz w:val="28"/>
          <w:szCs w:val="28"/>
        </w:rPr>
      </w:pPr>
    </w:p>
    <w:p>
      <w:pPr>
        <w:widowControl/>
        <w:ind w:firstLine="6160" w:firstLineChars="2200"/>
        <w:jc w:val="left"/>
        <w:rPr>
          <w:rFonts w:hint="eastAsia" w:ascii="EHKHQN+ËÎÌå" w:hAnsi="EHKHQN+ËÎÌå" w:cs="EHKHQN+ËÎÌå"/>
          <w:color w:val="000000"/>
          <w:sz w:val="28"/>
          <w:szCs w:val="28"/>
          <w:lang w:eastAsia="zh-CN"/>
        </w:rPr>
      </w:pPr>
    </w:p>
    <w:p>
      <w:pPr>
        <w:widowControl/>
        <w:ind w:firstLine="6160" w:firstLineChars="2200"/>
        <w:jc w:val="left"/>
        <w:rPr>
          <w:rFonts w:hint="eastAsia" w:ascii="EHKHQN+ËÎÌå" w:hAnsi="EHKHQN+ËÎÌå" w:cs="EHKHQN+ËÎÌå"/>
          <w:color w:val="000000"/>
          <w:sz w:val="28"/>
          <w:szCs w:val="28"/>
          <w:lang w:eastAsia="zh-CN"/>
        </w:rPr>
      </w:pPr>
    </w:p>
    <w:p>
      <w:pPr>
        <w:widowControl/>
        <w:ind w:firstLine="6160" w:firstLineChars="2200"/>
        <w:jc w:val="left"/>
        <w:rPr>
          <w:rFonts w:hint="eastAsia" w:ascii="EHKHQN+ËÎÌå" w:hAnsi="EHKHQN+ËÎÌå" w:cs="EHKHQN+ËÎÌå"/>
          <w:color w:val="000000"/>
          <w:sz w:val="28"/>
          <w:szCs w:val="28"/>
          <w:lang w:eastAsia="zh-CN"/>
        </w:rPr>
      </w:pPr>
    </w:p>
    <w:p>
      <w:pPr>
        <w:widowControl/>
        <w:ind w:firstLine="6160" w:firstLineChars="2200"/>
        <w:jc w:val="left"/>
        <w:rPr>
          <w:rFonts w:hint="eastAsia" w:ascii="EHKHQN+ËÎÌå" w:hAnsi="EHKHQN+ËÎÌå" w:cs="EHKHQN+ËÎÌå"/>
          <w:color w:val="000000"/>
          <w:sz w:val="28"/>
          <w:szCs w:val="28"/>
          <w:lang w:eastAsia="zh-CN"/>
        </w:rPr>
      </w:pPr>
    </w:p>
    <w:p>
      <w:pPr>
        <w:widowControl/>
        <w:ind w:firstLine="6160" w:firstLineChars="2200"/>
        <w:jc w:val="left"/>
        <w:rPr>
          <w:rFonts w:hint="eastAsia" w:ascii="EHKHQN+ËÎÌå" w:hAnsi="EHKHQN+ËÎÌå" w:cs="EHKHQN+ËÎÌå"/>
          <w:color w:val="000000"/>
          <w:sz w:val="28"/>
          <w:szCs w:val="28"/>
          <w:lang w:eastAsia="zh-CN"/>
        </w:rPr>
      </w:pPr>
    </w:p>
    <w:p>
      <w:pPr>
        <w:widowControl/>
        <w:ind w:firstLine="6160" w:firstLineChars="2200"/>
        <w:jc w:val="left"/>
        <w:rPr>
          <w:rFonts w:hint="eastAsia" w:ascii="EHKHQN+ËÎÌå" w:hAnsi="EHKHQN+ËÎÌå" w:cs="EHKHQN+ËÎÌå"/>
          <w:color w:val="000000"/>
          <w:sz w:val="28"/>
          <w:szCs w:val="28"/>
          <w:lang w:eastAsia="zh-CN"/>
        </w:rPr>
      </w:pPr>
      <w:r>
        <w:rPr>
          <w:rFonts w:hint="eastAsia" w:ascii="EHKHQN+ËÎÌå" w:hAnsi="EHKHQN+ËÎÌå" w:cs="EHKHQN+ËÎÌå"/>
          <w:color w:val="000000"/>
          <w:sz w:val="28"/>
          <w:szCs w:val="28"/>
          <w:lang w:eastAsia="zh-CN"/>
        </w:rPr>
        <w:t>浙江久盛交联电缆有限公司</w:t>
      </w:r>
    </w:p>
    <w:p>
      <w:pPr>
        <w:widowControl/>
        <w:ind w:firstLine="6160" w:firstLineChars="2200"/>
        <w:jc w:val="left"/>
        <w:rPr>
          <w:rFonts w:ascii="EHKHQN+ËÎÌå" w:hAnsi="EHKHQN+ËÎÌå" w:cs="EHKHQN+ËÎÌå"/>
          <w:color w:val="000000"/>
          <w:sz w:val="28"/>
          <w:szCs w:val="28"/>
        </w:rPr>
      </w:pPr>
      <w:r>
        <w:rPr>
          <w:rFonts w:hint="eastAsia" w:ascii="EHKHQN+ËÎÌå" w:hAnsi="EHKHQN+ËÎÌå" w:cs="EHKHQN+ËÎÌå"/>
          <w:color w:val="000000"/>
          <w:sz w:val="28"/>
          <w:szCs w:val="28"/>
          <w:lang w:val="en-US" w:eastAsia="zh-CN"/>
        </w:rPr>
        <w:t xml:space="preserve">   2023年5月8日</w:t>
      </w:r>
      <w:r>
        <w:rPr>
          <w:rFonts w:ascii="EHKHQN+ËÎÌå" w:hAnsi="EHKHQN+ËÎÌå" w:cs="EHKHQN+ËÎÌå"/>
          <w:color w:val="000000"/>
          <w:sz w:val="28"/>
          <w:szCs w:val="28"/>
        </w:rPr>
        <w:br w:type="page"/>
      </w:r>
    </w:p>
    <w:p>
      <w:pPr>
        <w:spacing w:before="1560" w:beforeLines="500" w:line="400" w:lineRule="exact"/>
        <w:jc w:val="right"/>
        <w:rPr>
          <w:rFonts w:ascii="宋体" w:cs="宋体"/>
          <w:kern w:val="0"/>
          <w:sz w:val="26"/>
          <w:szCs w:val="26"/>
        </w:rPr>
      </w:pPr>
    </w:p>
    <w:p>
      <w:pPr>
        <w:spacing w:line="480" w:lineRule="auto"/>
        <w:rPr>
          <w:rFonts w:hint="eastAsia" w:ascii="黑体" w:eastAsia="黑体" w:cs="黑体"/>
          <w:color w:val="000000"/>
          <w:kern w:val="0"/>
          <w:sz w:val="28"/>
          <w:szCs w:val="28"/>
        </w:rPr>
      </w:pPr>
      <w:r>
        <w:rPr>
          <w:rFonts w:hint="eastAsia" w:ascii="黑体" w:eastAsia="黑体" w:cs="黑体"/>
          <w:color w:val="000000"/>
          <w:kern w:val="0"/>
          <w:sz w:val="28"/>
          <w:szCs w:val="28"/>
        </w:rPr>
        <w:t>组织范围：</w:t>
      </w:r>
    </w:p>
    <w:p>
      <w:pPr>
        <w:spacing w:line="520" w:lineRule="exact"/>
        <w:ind w:firstLine="560" w:firstLineChars="200"/>
        <w:rPr>
          <w:rFonts w:hint="eastAsia" w:ascii="Times New Roman" w:cs="Times New Roman"/>
          <w:color w:val="000000"/>
          <w:sz w:val="28"/>
          <w:szCs w:val="28"/>
          <w:lang w:val="en-US" w:eastAsia="zh-CN"/>
        </w:rPr>
      </w:pPr>
      <w:r>
        <w:rPr>
          <w:rFonts w:hint="eastAsia" w:ascii="Times New Roman" w:cs="Times New Roman"/>
          <w:color w:val="000000"/>
          <w:sz w:val="28"/>
          <w:szCs w:val="28"/>
          <w:lang w:val="en-US" w:eastAsia="zh-CN"/>
        </w:rPr>
        <w:t>浙江久盛交联电缆有限公司</w:t>
      </w:r>
    </w:p>
    <w:p>
      <w:pPr>
        <w:spacing w:line="480" w:lineRule="auto"/>
        <w:rPr>
          <w:rFonts w:hint="eastAsia" w:ascii="黑体" w:eastAsia="黑体" w:cs="黑体"/>
          <w:color w:val="000000"/>
          <w:kern w:val="0"/>
          <w:sz w:val="28"/>
          <w:szCs w:val="28"/>
        </w:rPr>
      </w:pPr>
      <w:r>
        <w:rPr>
          <w:rFonts w:hint="eastAsia" w:ascii="黑体" w:eastAsia="黑体" w:cs="黑体"/>
          <w:color w:val="000000"/>
          <w:kern w:val="0"/>
          <w:sz w:val="28"/>
          <w:szCs w:val="28"/>
        </w:rPr>
        <w:t>报告时间：</w:t>
      </w:r>
    </w:p>
    <w:p>
      <w:pPr>
        <w:spacing w:line="480" w:lineRule="auto"/>
        <w:ind w:firstLine="560" w:firstLineChars="200"/>
        <w:rPr>
          <w:rFonts w:ascii="EHKHQN+ËÎÌå" w:hAnsi="EHKHQN+ËÎÌå" w:cs="EHKHQN+ËÎÌå"/>
          <w:color w:val="000000"/>
          <w:sz w:val="28"/>
          <w:szCs w:val="28"/>
        </w:rPr>
      </w:pPr>
      <w:r>
        <w:rPr>
          <w:rFonts w:ascii="EHKHQN+ËÎÌå" w:hAnsi="EHKHQN+ËÎÌå" w:cs="EHKHQN+ËÎÌå"/>
          <w:color w:val="000000"/>
          <w:sz w:val="28"/>
          <w:szCs w:val="28"/>
        </w:rPr>
        <w:t xml:space="preserve">本报告涵盖的时间范围为 </w:t>
      </w:r>
      <w:r>
        <w:rPr>
          <w:rFonts w:ascii="Times New Roman"/>
          <w:color w:val="000000"/>
          <w:sz w:val="28"/>
          <w:szCs w:val="28"/>
        </w:rPr>
        <w:t>20</w:t>
      </w:r>
      <w:r>
        <w:rPr>
          <w:rFonts w:hint="eastAsia" w:ascii="Times New Roman"/>
          <w:color w:val="000000"/>
          <w:sz w:val="28"/>
          <w:szCs w:val="28"/>
          <w:lang w:val="en-US" w:eastAsia="zh-CN"/>
        </w:rPr>
        <w:t>22</w:t>
      </w:r>
      <w:r>
        <w:rPr>
          <w:rFonts w:ascii="EHKHQN+ËÎÌå" w:hAnsi="EHKHQN+ËÎÌå" w:cs="EHKHQN+ËÎÌå"/>
          <w:color w:val="000000"/>
          <w:sz w:val="28"/>
          <w:szCs w:val="28"/>
        </w:rPr>
        <w:t>年</w:t>
      </w:r>
      <w:r>
        <w:rPr>
          <w:rFonts w:ascii="Times New Roman"/>
          <w:color w:val="000000"/>
          <w:sz w:val="28"/>
          <w:szCs w:val="28"/>
        </w:rPr>
        <w:t>1</w:t>
      </w:r>
      <w:r>
        <w:rPr>
          <w:rFonts w:ascii="EHKHQN+ËÎÌå" w:hAnsi="EHKHQN+ËÎÌå" w:cs="EHKHQN+ËÎÌå"/>
          <w:color w:val="000000"/>
          <w:sz w:val="28"/>
          <w:szCs w:val="28"/>
        </w:rPr>
        <w:t>月</w:t>
      </w:r>
      <w:r>
        <w:rPr>
          <w:rFonts w:ascii="Times New Roman"/>
          <w:color w:val="000000"/>
          <w:sz w:val="28"/>
          <w:szCs w:val="28"/>
        </w:rPr>
        <w:t>1</w:t>
      </w:r>
      <w:r>
        <w:rPr>
          <w:rFonts w:ascii="EHKHQN+ËÎÌå" w:hAnsi="EHKHQN+ËÎÌå" w:cs="EHKHQN+ËÎÌå"/>
          <w:color w:val="000000"/>
          <w:sz w:val="28"/>
          <w:szCs w:val="28"/>
        </w:rPr>
        <w:t xml:space="preserve">日至 </w:t>
      </w:r>
      <w:r>
        <w:rPr>
          <w:rFonts w:ascii="Times New Roman"/>
          <w:color w:val="000000"/>
          <w:sz w:val="28"/>
          <w:szCs w:val="28"/>
        </w:rPr>
        <w:t>12</w:t>
      </w:r>
      <w:r>
        <w:rPr>
          <w:rFonts w:ascii="EHKHQN+ËÎÌå" w:hAnsi="EHKHQN+ËÎÌå" w:cs="EHKHQN+ËÎÌå"/>
          <w:color w:val="000000"/>
          <w:sz w:val="28"/>
          <w:szCs w:val="28"/>
        </w:rPr>
        <w:t>月</w:t>
      </w:r>
      <w:r>
        <w:rPr>
          <w:rFonts w:ascii="Times New Roman"/>
          <w:color w:val="000000"/>
          <w:sz w:val="28"/>
          <w:szCs w:val="28"/>
        </w:rPr>
        <w:t>31</w:t>
      </w:r>
      <w:r>
        <w:rPr>
          <w:rFonts w:ascii="EHKHQN+ËÎÌå" w:hAnsi="EHKHQN+ËÎÌå" w:cs="EHKHQN+ËÎÌå"/>
          <w:color w:val="000000"/>
          <w:sz w:val="28"/>
          <w:szCs w:val="28"/>
        </w:rPr>
        <w:t>日，本报告为</w:t>
      </w:r>
      <w:r>
        <w:rPr>
          <w:rFonts w:hint="eastAsia" w:ascii="EHKHQN+ËÎÌå" w:hAnsi="EHKHQN+ËÎÌå" w:cs="EHKHQN+ËÎÌå"/>
          <w:color w:val="000000"/>
          <w:sz w:val="28"/>
          <w:szCs w:val="28"/>
          <w:lang w:eastAsia="zh-CN"/>
        </w:rPr>
        <w:t>浙江久盛交联电缆有限公司</w:t>
      </w:r>
      <w:r>
        <w:rPr>
          <w:rFonts w:ascii="EHKHQN+ËÎÌå" w:hAnsi="EHKHQN+ËÎÌå" w:cs="EHKHQN+ËÎÌå"/>
          <w:color w:val="000000"/>
          <w:sz w:val="28"/>
          <w:szCs w:val="28"/>
        </w:rPr>
        <w:t>第</w:t>
      </w:r>
      <w:r>
        <w:rPr>
          <w:rFonts w:hint="eastAsia" w:ascii="EHKHQN+ËÎÌå" w:hAnsi="EHKHQN+ËÎÌå" w:cs="EHKHQN+ËÎÌå"/>
          <w:color w:val="000000"/>
          <w:sz w:val="28"/>
          <w:szCs w:val="28"/>
          <w:lang w:val="en-US" w:eastAsia="zh-CN"/>
        </w:rPr>
        <w:t>1</w:t>
      </w:r>
      <w:r>
        <w:rPr>
          <w:rFonts w:ascii="EHKHQN+ËÎÌå" w:hAnsi="EHKHQN+ËÎÌå" w:cs="EHKHQN+ËÎÌå"/>
          <w:color w:val="000000"/>
          <w:sz w:val="28"/>
          <w:szCs w:val="28"/>
        </w:rPr>
        <w:t>份质量诚信报告。</w:t>
      </w:r>
    </w:p>
    <w:p>
      <w:pPr>
        <w:autoSpaceDE w:val="0"/>
        <w:autoSpaceDN w:val="0"/>
        <w:adjustRightInd w:val="0"/>
        <w:spacing w:line="600" w:lineRule="exact"/>
        <w:jc w:val="left"/>
        <w:rPr>
          <w:rFonts w:ascii="ºÚÌå" w:hAnsi="ºÚÌå" w:eastAsia="黑体" w:cs="ºÚÌå"/>
          <w:color w:val="000000"/>
          <w:kern w:val="0"/>
          <w:sz w:val="28"/>
          <w:szCs w:val="28"/>
        </w:rPr>
      </w:pPr>
      <w:r>
        <w:rPr>
          <w:rFonts w:hint="eastAsia" w:ascii="黑体" w:eastAsia="黑体" w:cs="黑体"/>
          <w:color w:val="000000"/>
          <w:kern w:val="0"/>
          <w:sz w:val="28"/>
          <w:szCs w:val="28"/>
        </w:rPr>
        <w:t>发布周期</w:t>
      </w:r>
      <w:r>
        <w:rPr>
          <w:rFonts w:ascii="ºÚÌå" w:hAnsi="ºÚÌå" w:eastAsia="黑体" w:cs="ºÚÌå"/>
          <w:color w:val="000000"/>
          <w:kern w:val="0"/>
          <w:sz w:val="28"/>
          <w:szCs w:val="28"/>
        </w:rPr>
        <w:t>:</w:t>
      </w:r>
    </w:p>
    <w:p>
      <w:pPr>
        <w:autoSpaceDE w:val="0"/>
        <w:autoSpaceDN w:val="0"/>
        <w:adjustRightInd w:val="0"/>
        <w:spacing w:line="600" w:lineRule="exact"/>
        <w:ind w:firstLine="560" w:firstLineChars="200"/>
        <w:jc w:val="left"/>
        <w:rPr>
          <w:rFonts w:ascii="宋体" w:cs="宋体"/>
          <w:color w:val="000000"/>
          <w:kern w:val="0"/>
          <w:sz w:val="28"/>
          <w:szCs w:val="28"/>
        </w:rPr>
      </w:pPr>
      <w:r>
        <w:rPr>
          <w:rFonts w:hint="eastAsia" w:ascii="宋体" w:cs="宋体"/>
          <w:color w:val="000000"/>
          <w:kern w:val="0"/>
          <w:sz w:val="28"/>
          <w:szCs w:val="28"/>
        </w:rPr>
        <w:t>一年</w:t>
      </w:r>
    </w:p>
    <w:p>
      <w:pPr>
        <w:autoSpaceDE w:val="0"/>
        <w:autoSpaceDN w:val="0"/>
        <w:adjustRightInd w:val="0"/>
        <w:spacing w:line="600" w:lineRule="exact"/>
        <w:jc w:val="left"/>
        <w:rPr>
          <w:rFonts w:ascii="ºÚÌå" w:hAnsi="ºÚÌå" w:eastAsia="黑体" w:cs="ºÚÌå"/>
          <w:color w:val="000000"/>
          <w:kern w:val="0"/>
          <w:sz w:val="28"/>
          <w:szCs w:val="28"/>
        </w:rPr>
      </w:pPr>
      <w:r>
        <w:rPr>
          <w:rFonts w:hint="eastAsia" w:ascii="黑体" w:eastAsia="黑体" w:cs="黑体"/>
          <w:color w:val="000000"/>
          <w:kern w:val="0"/>
          <w:sz w:val="28"/>
          <w:szCs w:val="28"/>
        </w:rPr>
        <w:t>报告获取方式</w:t>
      </w:r>
      <w:r>
        <w:rPr>
          <w:rFonts w:ascii="ºÚÌå" w:hAnsi="ºÚÌå" w:eastAsia="黑体" w:cs="ºÚÌå"/>
          <w:color w:val="000000"/>
          <w:kern w:val="0"/>
          <w:sz w:val="28"/>
          <w:szCs w:val="28"/>
        </w:rPr>
        <w:t>:</w:t>
      </w:r>
    </w:p>
    <w:p>
      <w:pPr>
        <w:autoSpaceDE w:val="0"/>
        <w:autoSpaceDN w:val="0"/>
        <w:adjustRightInd w:val="0"/>
        <w:spacing w:line="600" w:lineRule="exact"/>
        <w:ind w:firstLine="560" w:firstLineChars="200"/>
        <w:jc w:val="left"/>
        <w:rPr>
          <w:rFonts w:hint="default" w:ascii="Times New Roman" w:eastAsia="宋体"/>
          <w:color w:val="000000"/>
          <w:sz w:val="28"/>
          <w:szCs w:val="28"/>
          <w:lang w:val="en-US" w:eastAsia="zh-CN"/>
        </w:rPr>
      </w:pPr>
      <w:r>
        <w:rPr>
          <w:rFonts w:hint="eastAsia" w:ascii="EHKHQN+ËÎÌå" w:hAnsi="EHKHQN+ËÎÌå" w:cs="EHKHQN+ËÎÌå"/>
          <w:color w:val="000000"/>
          <w:sz w:val="28"/>
          <w:szCs w:val="28"/>
        </w:rPr>
        <w:t>通过公司</w:t>
      </w:r>
      <w:r>
        <w:rPr>
          <w:rFonts w:hint="eastAsia" w:ascii="EHKHQN+ËÎÌå" w:hAnsi="EHKHQN+ËÎÌå" w:cs="EHKHQN+ËÎÌå"/>
          <w:color w:val="000000"/>
          <w:sz w:val="28"/>
          <w:szCs w:val="28"/>
          <w:lang w:val="en-US" w:eastAsia="zh-CN"/>
        </w:rPr>
        <w:t>公众号公示</w:t>
      </w:r>
    </w:p>
    <w:p>
      <w:pPr>
        <w:rPr>
          <w:rFonts w:ascii="Times New Roman"/>
          <w:color w:val="000000"/>
          <w:sz w:val="28"/>
          <w:szCs w:val="28"/>
        </w:rPr>
      </w:pPr>
      <w:r>
        <w:rPr>
          <w:rFonts w:hint="eastAsia" w:ascii="Times New Roman"/>
          <w:color w:val="000000"/>
          <w:sz w:val="28"/>
          <w:szCs w:val="28"/>
        </w:rPr>
        <w:br w:type="page"/>
      </w:r>
    </w:p>
    <w:p>
      <w:pPr>
        <w:widowControl/>
        <w:jc w:val="center"/>
        <w:rPr>
          <w:rFonts w:ascii="黑体" w:hAnsi="黑体" w:eastAsia="黑体" w:cstheme="minorBidi"/>
          <w:b/>
          <w:bCs/>
          <w:sz w:val="36"/>
          <w:szCs w:val="28"/>
        </w:rPr>
      </w:pPr>
      <w:r>
        <w:rPr>
          <w:rFonts w:hint="eastAsia" w:ascii="黑体" w:hAnsi="黑体" w:eastAsia="黑体" w:cstheme="minorBidi"/>
          <w:b/>
          <w:bCs/>
          <w:sz w:val="36"/>
          <w:szCs w:val="28"/>
        </w:rPr>
        <w:t>目录</w:t>
      </w:r>
    </w:p>
    <w:p>
      <w:pPr>
        <w:pStyle w:val="13"/>
        <w:tabs>
          <w:tab w:val="right" w:leader="dot" w:pos="9746"/>
        </w:tabs>
      </w:pPr>
      <w:r>
        <w:rPr>
          <w:rFonts w:hint="eastAsia" w:cstheme="minorBidi"/>
          <w:sz w:val="24"/>
          <w:szCs w:val="44"/>
        </w:rPr>
        <w:fldChar w:fldCharType="begin"/>
      </w:r>
      <w:r>
        <w:rPr>
          <w:rFonts w:hint="eastAsia" w:cstheme="minorBidi"/>
          <w:sz w:val="24"/>
          <w:szCs w:val="44"/>
        </w:rPr>
        <w:instrText xml:space="preserve">TOC \o "1-1" \h \u </w:instrText>
      </w:r>
      <w:r>
        <w:rPr>
          <w:rFonts w:hint="eastAsia" w:cstheme="minorBidi"/>
          <w:sz w:val="24"/>
          <w:szCs w:val="44"/>
        </w:rPr>
        <w:fldChar w:fldCharType="separate"/>
      </w:r>
      <w:r>
        <w:rPr>
          <w:rFonts w:hint="eastAsia" w:cstheme="minorBidi"/>
          <w:szCs w:val="44"/>
        </w:rPr>
        <w:fldChar w:fldCharType="begin"/>
      </w:r>
      <w:r>
        <w:rPr>
          <w:rFonts w:hint="eastAsia" w:cstheme="minorBidi"/>
          <w:szCs w:val="44"/>
        </w:rPr>
        <w:instrText xml:space="preserve"> HYPERLINK \l _Toc13908 </w:instrText>
      </w:r>
      <w:r>
        <w:rPr>
          <w:rFonts w:hint="eastAsia" w:cstheme="minorBidi"/>
          <w:szCs w:val="44"/>
        </w:rPr>
        <w:fldChar w:fldCharType="separate"/>
      </w:r>
      <w:r>
        <w:rPr>
          <w:rFonts w:hint="eastAsia" w:ascii="黑体" w:hAnsi="黑体" w:eastAsia="黑体"/>
        </w:rPr>
        <w:t>郑重声明</w:t>
      </w:r>
      <w:r>
        <w:tab/>
      </w:r>
      <w:r>
        <w:fldChar w:fldCharType="begin"/>
      </w:r>
      <w:r>
        <w:instrText xml:space="preserve"> PAGEREF _Toc13908 \h </w:instrText>
      </w:r>
      <w:r>
        <w:fldChar w:fldCharType="separate"/>
      </w:r>
      <w:r>
        <w:t>1</w:t>
      </w:r>
      <w:r>
        <w:fldChar w:fldCharType="end"/>
      </w:r>
      <w:r>
        <w:rPr>
          <w:rFonts w:hint="eastAsia" w:cstheme="minorBidi"/>
          <w:szCs w:val="44"/>
        </w:rPr>
        <w:fldChar w:fldCharType="end"/>
      </w:r>
    </w:p>
    <w:p>
      <w:pPr>
        <w:pStyle w:val="13"/>
        <w:tabs>
          <w:tab w:val="right" w:leader="dot" w:pos="9746"/>
        </w:tabs>
      </w:pPr>
      <w:r>
        <w:rPr>
          <w:rFonts w:hint="eastAsia" w:cstheme="minorBidi"/>
          <w:szCs w:val="44"/>
        </w:rPr>
        <w:fldChar w:fldCharType="begin"/>
      </w:r>
      <w:r>
        <w:rPr>
          <w:rFonts w:hint="eastAsia" w:cstheme="minorBidi"/>
          <w:szCs w:val="44"/>
        </w:rPr>
        <w:instrText xml:space="preserve"> HYPERLINK \l _Toc15883 </w:instrText>
      </w:r>
      <w:r>
        <w:rPr>
          <w:rFonts w:hint="eastAsia" w:cstheme="minorBidi"/>
          <w:szCs w:val="44"/>
        </w:rPr>
        <w:fldChar w:fldCharType="separate"/>
      </w:r>
      <w:r>
        <w:rPr>
          <w:rFonts w:hint="eastAsia" w:ascii="华文新魏" w:eastAsia="华文新魏" w:cs="黑体"/>
          <w:kern w:val="0"/>
          <w:szCs w:val="44"/>
        </w:rPr>
        <w:t>企业简介</w:t>
      </w:r>
      <w:r>
        <w:tab/>
      </w:r>
      <w:r>
        <w:fldChar w:fldCharType="begin"/>
      </w:r>
      <w:r>
        <w:instrText xml:space="preserve"> PAGEREF _Toc15883 \h </w:instrText>
      </w:r>
      <w:r>
        <w:fldChar w:fldCharType="separate"/>
      </w:r>
      <w:r>
        <w:t>4</w:t>
      </w:r>
      <w:r>
        <w:fldChar w:fldCharType="end"/>
      </w:r>
      <w:r>
        <w:rPr>
          <w:rFonts w:hint="eastAsia" w:cstheme="minorBidi"/>
          <w:szCs w:val="44"/>
        </w:rPr>
        <w:fldChar w:fldCharType="end"/>
      </w:r>
    </w:p>
    <w:p>
      <w:pPr>
        <w:pStyle w:val="13"/>
        <w:tabs>
          <w:tab w:val="right" w:leader="dot" w:pos="9746"/>
        </w:tabs>
      </w:pPr>
      <w:r>
        <w:rPr>
          <w:rFonts w:hint="eastAsia" w:cstheme="minorBidi"/>
          <w:szCs w:val="44"/>
        </w:rPr>
        <w:fldChar w:fldCharType="begin"/>
      </w:r>
      <w:r>
        <w:rPr>
          <w:rFonts w:hint="eastAsia" w:cstheme="minorBidi"/>
          <w:szCs w:val="44"/>
        </w:rPr>
        <w:instrText xml:space="preserve"> HYPERLINK \l _Toc14910 </w:instrText>
      </w:r>
      <w:r>
        <w:rPr>
          <w:rFonts w:hint="eastAsia" w:cstheme="minorBidi"/>
          <w:szCs w:val="44"/>
        </w:rPr>
        <w:fldChar w:fldCharType="separate"/>
      </w:r>
      <w:r>
        <w:rPr>
          <w:rFonts w:hint="eastAsia"/>
        </w:rPr>
        <w:t>第一章 质量理念</w:t>
      </w:r>
      <w:r>
        <w:tab/>
      </w:r>
      <w:r>
        <w:fldChar w:fldCharType="begin"/>
      </w:r>
      <w:r>
        <w:instrText xml:space="preserve"> PAGEREF _Toc14910 \h </w:instrText>
      </w:r>
      <w:r>
        <w:fldChar w:fldCharType="separate"/>
      </w:r>
      <w:r>
        <w:t>4</w:t>
      </w:r>
      <w:r>
        <w:fldChar w:fldCharType="end"/>
      </w:r>
      <w:r>
        <w:rPr>
          <w:rFonts w:hint="eastAsia" w:cstheme="minorBidi"/>
          <w:szCs w:val="44"/>
        </w:rPr>
        <w:fldChar w:fldCharType="end"/>
      </w:r>
    </w:p>
    <w:p>
      <w:pPr>
        <w:pStyle w:val="13"/>
        <w:tabs>
          <w:tab w:val="right" w:leader="dot" w:pos="9746"/>
        </w:tabs>
      </w:pPr>
      <w:r>
        <w:rPr>
          <w:rFonts w:hint="eastAsia" w:cstheme="minorBidi"/>
          <w:szCs w:val="44"/>
        </w:rPr>
        <w:fldChar w:fldCharType="begin"/>
      </w:r>
      <w:r>
        <w:rPr>
          <w:rFonts w:hint="eastAsia" w:cstheme="minorBidi"/>
          <w:szCs w:val="44"/>
        </w:rPr>
        <w:instrText xml:space="preserve"> HYPERLINK \l _Toc21519 </w:instrText>
      </w:r>
      <w:r>
        <w:rPr>
          <w:rFonts w:hint="eastAsia" w:cstheme="minorBidi"/>
          <w:szCs w:val="44"/>
        </w:rPr>
        <w:fldChar w:fldCharType="separate"/>
      </w:r>
      <w:r>
        <w:rPr>
          <w:rFonts w:hint="eastAsia"/>
        </w:rPr>
        <w:t>第二章 质量内部管理</w:t>
      </w:r>
      <w:r>
        <w:tab/>
      </w:r>
      <w:r>
        <w:fldChar w:fldCharType="begin"/>
      </w:r>
      <w:r>
        <w:instrText xml:space="preserve"> PAGEREF _Toc21519 \h </w:instrText>
      </w:r>
      <w:r>
        <w:fldChar w:fldCharType="separate"/>
      </w:r>
      <w:r>
        <w:t>6</w:t>
      </w:r>
      <w:r>
        <w:fldChar w:fldCharType="end"/>
      </w:r>
      <w:r>
        <w:rPr>
          <w:rFonts w:hint="eastAsia" w:cstheme="minorBidi"/>
          <w:szCs w:val="44"/>
        </w:rPr>
        <w:fldChar w:fldCharType="end"/>
      </w:r>
    </w:p>
    <w:p>
      <w:pPr>
        <w:pStyle w:val="13"/>
        <w:tabs>
          <w:tab w:val="right" w:leader="dot" w:pos="9746"/>
        </w:tabs>
      </w:pPr>
      <w:r>
        <w:rPr>
          <w:rFonts w:hint="eastAsia" w:cstheme="minorBidi"/>
          <w:szCs w:val="44"/>
        </w:rPr>
        <w:fldChar w:fldCharType="begin"/>
      </w:r>
      <w:r>
        <w:rPr>
          <w:rFonts w:hint="eastAsia" w:cstheme="minorBidi"/>
          <w:szCs w:val="44"/>
        </w:rPr>
        <w:instrText xml:space="preserve"> HYPERLINK \l _Toc16909 </w:instrText>
      </w:r>
      <w:r>
        <w:rPr>
          <w:rFonts w:hint="eastAsia" w:cstheme="minorBidi"/>
          <w:szCs w:val="44"/>
        </w:rPr>
        <w:fldChar w:fldCharType="separate"/>
      </w:r>
      <w:r>
        <w:rPr>
          <w:rFonts w:hint="eastAsia"/>
        </w:rPr>
        <w:t>第三章 质量诚信</w:t>
      </w:r>
      <w:r>
        <w:tab/>
      </w:r>
      <w:r>
        <w:fldChar w:fldCharType="begin"/>
      </w:r>
      <w:r>
        <w:instrText xml:space="preserve"> PAGEREF _Toc16909 \h </w:instrText>
      </w:r>
      <w:r>
        <w:fldChar w:fldCharType="separate"/>
      </w:r>
      <w:r>
        <w:t>5</w:t>
      </w:r>
      <w:r>
        <w:fldChar w:fldCharType="end"/>
      </w:r>
      <w:r>
        <w:rPr>
          <w:rFonts w:hint="eastAsia" w:cstheme="minorBidi"/>
          <w:szCs w:val="44"/>
        </w:rPr>
        <w:fldChar w:fldCharType="end"/>
      </w:r>
    </w:p>
    <w:p>
      <w:pPr>
        <w:pStyle w:val="13"/>
        <w:tabs>
          <w:tab w:val="right" w:leader="dot" w:pos="9746"/>
        </w:tabs>
      </w:pPr>
      <w:r>
        <w:rPr>
          <w:rFonts w:hint="eastAsia" w:cstheme="minorBidi"/>
          <w:szCs w:val="44"/>
        </w:rPr>
        <w:fldChar w:fldCharType="begin"/>
      </w:r>
      <w:r>
        <w:rPr>
          <w:rFonts w:hint="eastAsia" w:cstheme="minorBidi"/>
          <w:szCs w:val="44"/>
        </w:rPr>
        <w:instrText xml:space="preserve"> HYPERLINK \l _Toc20908 </w:instrText>
      </w:r>
      <w:r>
        <w:rPr>
          <w:rFonts w:hint="eastAsia" w:cstheme="minorBidi"/>
          <w:szCs w:val="44"/>
        </w:rPr>
        <w:fldChar w:fldCharType="separate"/>
      </w:r>
      <w:r>
        <w:rPr>
          <w:rFonts w:hint="eastAsia"/>
        </w:rPr>
        <w:t>第四章 质量管理基础</w:t>
      </w:r>
      <w:r>
        <w:tab/>
      </w:r>
      <w:r>
        <w:fldChar w:fldCharType="begin"/>
      </w:r>
      <w:r>
        <w:instrText xml:space="preserve"> PAGEREF _Toc20908 \h </w:instrText>
      </w:r>
      <w:r>
        <w:fldChar w:fldCharType="separate"/>
      </w:r>
      <w:r>
        <w:t>9</w:t>
      </w:r>
      <w:r>
        <w:fldChar w:fldCharType="end"/>
      </w:r>
      <w:r>
        <w:rPr>
          <w:rFonts w:hint="eastAsia" w:cstheme="minorBidi"/>
          <w:szCs w:val="44"/>
        </w:rPr>
        <w:fldChar w:fldCharType="end"/>
      </w:r>
    </w:p>
    <w:p>
      <w:pPr>
        <w:pStyle w:val="13"/>
        <w:tabs>
          <w:tab w:val="right" w:leader="dot" w:pos="9746"/>
        </w:tabs>
      </w:pPr>
      <w:r>
        <w:rPr>
          <w:rFonts w:hint="eastAsia" w:cstheme="minorBidi"/>
          <w:szCs w:val="44"/>
        </w:rPr>
        <w:fldChar w:fldCharType="begin"/>
      </w:r>
      <w:r>
        <w:rPr>
          <w:rFonts w:hint="eastAsia" w:cstheme="minorBidi"/>
          <w:szCs w:val="44"/>
        </w:rPr>
        <w:instrText xml:space="preserve"> HYPERLINK \l _Toc12852 </w:instrText>
      </w:r>
      <w:r>
        <w:rPr>
          <w:rFonts w:hint="eastAsia" w:cstheme="minorBidi"/>
          <w:szCs w:val="44"/>
        </w:rPr>
        <w:fldChar w:fldCharType="separate"/>
      </w:r>
      <w:r>
        <w:rPr>
          <w:rFonts w:hint="eastAsia"/>
        </w:rPr>
        <w:t>第五章 产品质量责任</w:t>
      </w:r>
      <w:r>
        <w:tab/>
      </w:r>
      <w:r>
        <w:fldChar w:fldCharType="begin"/>
      </w:r>
      <w:r>
        <w:instrText xml:space="preserve"> PAGEREF _Toc12852 \h </w:instrText>
      </w:r>
      <w:r>
        <w:fldChar w:fldCharType="separate"/>
      </w:r>
      <w:r>
        <w:t>11</w:t>
      </w:r>
      <w:r>
        <w:fldChar w:fldCharType="end"/>
      </w:r>
      <w:r>
        <w:rPr>
          <w:rFonts w:hint="eastAsia" w:cstheme="minorBidi"/>
          <w:szCs w:val="44"/>
        </w:rPr>
        <w:fldChar w:fldCharType="end"/>
      </w:r>
    </w:p>
    <w:p>
      <w:pPr>
        <w:pStyle w:val="13"/>
        <w:tabs>
          <w:tab w:val="right" w:leader="dot" w:pos="9746"/>
        </w:tabs>
      </w:pPr>
      <w:r>
        <w:rPr>
          <w:rFonts w:hint="eastAsia" w:cstheme="minorBidi"/>
          <w:szCs w:val="44"/>
        </w:rPr>
        <w:fldChar w:fldCharType="begin"/>
      </w:r>
      <w:r>
        <w:rPr>
          <w:rFonts w:hint="eastAsia" w:cstheme="minorBidi"/>
          <w:szCs w:val="44"/>
        </w:rPr>
        <w:instrText xml:space="preserve"> HYPERLINK \l _Toc19938 </w:instrText>
      </w:r>
      <w:r>
        <w:rPr>
          <w:rFonts w:hint="eastAsia" w:cstheme="minorBidi"/>
          <w:szCs w:val="44"/>
        </w:rPr>
        <w:fldChar w:fldCharType="separate"/>
      </w:r>
      <w:r>
        <w:rPr>
          <w:rFonts w:hint="eastAsia"/>
        </w:rPr>
        <w:t>第六章 质量风险管理</w:t>
      </w:r>
      <w:r>
        <w:tab/>
      </w:r>
      <w:r>
        <w:fldChar w:fldCharType="begin"/>
      </w:r>
      <w:r>
        <w:instrText xml:space="preserve"> PAGEREF _Toc19938 \h </w:instrText>
      </w:r>
      <w:r>
        <w:fldChar w:fldCharType="separate"/>
      </w:r>
      <w:r>
        <w:t>12</w:t>
      </w:r>
      <w:r>
        <w:fldChar w:fldCharType="end"/>
      </w:r>
      <w:r>
        <w:rPr>
          <w:rFonts w:hint="eastAsia" w:cstheme="minorBidi"/>
          <w:szCs w:val="44"/>
        </w:rPr>
        <w:fldChar w:fldCharType="end"/>
      </w:r>
    </w:p>
    <w:p>
      <w:pPr>
        <w:pStyle w:val="13"/>
        <w:tabs>
          <w:tab w:val="right" w:leader="dot" w:pos="9746"/>
        </w:tabs>
      </w:pPr>
      <w:r>
        <w:rPr>
          <w:rFonts w:hint="eastAsia" w:cstheme="minorBidi"/>
          <w:szCs w:val="44"/>
        </w:rPr>
        <w:fldChar w:fldCharType="begin"/>
      </w:r>
      <w:r>
        <w:rPr>
          <w:rFonts w:hint="eastAsia" w:cstheme="minorBidi"/>
          <w:szCs w:val="44"/>
        </w:rPr>
        <w:instrText xml:space="preserve"> HYPERLINK \l _Toc16573 </w:instrText>
      </w:r>
      <w:r>
        <w:rPr>
          <w:rFonts w:hint="eastAsia" w:cstheme="minorBidi"/>
          <w:szCs w:val="44"/>
        </w:rPr>
        <w:fldChar w:fldCharType="separate"/>
      </w:r>
      <w:r>
        <w:rPr>
          <w:rFonts w:hint="eastAsia" w:ascii="华文新魏" w:eastAsia="华文新魏" w:cs="黑体"/>
          <w:bCs w:val="0"/>
          <w:kern w:val="0"/>
          <w:lang w:val="en-US"/>
        </w:rPr>
        <w:t>结 束 语</w:t>
      </w:r>
      <w:r>
        <w:tab/>
      </w:r>
      <w:r>
        <w:fldChar w:fldCharType="begin"/>
      </w:r>
      <w:r>
        <w:instrText xml:space="preserve"> PAGEREF _Toc16573 \h </w:instrText>
      </w:r>
      <w:r>
        <w:fldChar w:fldCharType="separate"/>
      </w:r>
      <w:r>
        <w:t>15</w:t>
      </w:r>
      <w:r>
        <w:fldChar w:fldCharType="end"/>
      </w:r>
      <w:r>
        <w:rPr>
          <w:rFonts w:hint="eastAsia" w:cstheme="minorBidi"/>
          <w:szCs w:val="44"/>
        </w:rPr>
        <w:fldChar w:fldCharType="end"/>
      </w:r>
    </w:p>
    <w:p>
      <w:pPr>
        <w:pStyle w:val="13"/>
        <w:tabs>
          <w:tab w:val="right" w:leader="dot" w:pos="8306"/>
        </w:tabs>
        <w:spacing w:line="360" w:lineRule="auto"/>
        <w:ind w:firstLine="420" w:firstLineChars="200"/>
        <w:jc w:val="left"/>
        <w:rPr>
          <w:rFonts w:cstheme="minorBidi"/>
          <w:sz w:val="24"/>
          <w:szCs w:val="44"/>
        </w:rPr>
      </w:pPr>
      <w:r>
        <w:rPr>
          <w:rFonts w:hint="eastAsia" w:cstheme="minorBidi"/>
          <w:szCs w:val="44"/>
        </w:rPr>
        <w:fldChar w:fldCharType="end"/>
      </w:r>
    </w:p>
    <w:p>
      <w:pPr>
        <w:pageBreakBefore/>
        <w:autoSpaceDE w:val="0"/>
        <w:autoSpaceDN w:val="0"/>
        <w:adjustRightInd w:val="0"/>
        <w:spacing w:line="820" w:lineRule="exact"/>
        <w:ind w:firstLine="3740" w:firstLineChars="850"/>
        <w:outlineLvl w:val="0"/>
        <w:rPr>
          <w:rFonts w:ascii="华文新魏" w:eastAsia="华文新魏" w:cs="黑体"/>
          <w:kern w:val="0"/>
          <w:sz w:val="44"/>
          <w:szCs w:val="44"/>
        </w:rPr>
      </w:pPr>
      <w:bookmarkStart w:id="1" w:name="_Toc532973885"/>
      <w:bookmarkStart w:id="2" w:name="_Toc15883"/>
      <w:r>
        <w:rPr>
          <w:rFonts w:hint="eastAsia" w:ascii="华文新魏" w:eastAsia="华文新魏" w:cs="黑体"/>
          <w:kern w:val="0"/>
          <w:sz w:val="44"/>
          <w:szCs w:val="44"/>
        </w:rPr>
        <w:t>企业简介</w:t>
      </w:r>
      <w:bookmarkEnd w:id="1"/>
      <w:bookmarkEnd w:id="2"/>
    </w:p>
    <w:p>
      <w:pPr>
        <w:ind w:firstLine="560" w:firstLineChars="200"/>
        <w:rPr>
          <w:rFonts w:hint="eastAsia"/>
          <w:sz w:val="28"/>
          <w:szCs w:val="28"/>
          <w:lang w:val="en-US" w:eastAsia="zh-CN"/>
        </w:rPr>
      </w:pPr>
      <w:bookmarkStart w:id="3" w:name="_Toc488941481"/>
      <w:bookmarkStart w:id="4" w:name="_Toc14910"/>
      <w:bookmarkStart w:id="5" w:name="_Toc532973886"/>
      <w:bookmarkStart w:id="6" w:name="_Toc18108_WPSOffice_Level1"/>
      <w:r>
        <w:rPr>
          <w:rFonts w:hint="eastAsia"/>
          <w:sz w:val="28"/>
          <w:szCs w:val="28"/>
          <w:lang w:val="en-US" w:eastAsia="zh-CN"/>
        </w:rPr>
        <w:t>浙江久盛交联电缆有限公司（原浙江交联电缆有限公司)（以下简称久盛电缆或公司），前身为浙江兰溪电缆厂，始建于1969年，2000年改制为民营有限责任公司。是原机械部、铁道和石化系统定点生产电线电缆的专业型企业。公司是国家经贸委首批推荐的全国城乡电网建设与改造所需主要设备产品生产企业；是国家二级企业，大二型电线电缆专业生产企业。</w:t>
      </w:r>
    </w:p>
    <w:p>
      <w:pPr>
        <w:ind w:firstLine="560" w:firstLineChars="200"/>
        <w:rPr>
          <w:rFonts w:hint="eastAsia"/>
          <w:sz w:val="28"/>
          <w:szCs w:val="28"/>
          <w:lang w:val="en-US" w:eastAsia="zh-CN"/>
        </w:rPr>
      </w:pPr>
      <w:r>
        <w:rPr>
          <w:rFonts w:hint="eastAsia"/>
          <w:sz w:val="28"/>
          <w:szCs w:val="28"/>
          <w:lang w:val="en-US" w:eastAsia="zh-CN"/>
        </w:rPr>
        <w:t>2007年，公司与国内最大矿物绝缘电缆生产企业——久盛电气股份有限公司合资合作，更名为浙江久盛交联电缆有限公司，实现了优势互补，进一步提升企业市场竞争力和抗风险能力。2021年，公司与久盛电气并表上市，登陆创业板，再一次将公司推向新的高点。</w:t>
      </w:r>
    </w:p>
    <w:p>
      <w:pPr>
        <w:ind w:firstLine="560" w:firstLineChars="200"/>
        <w:rPr>
          <w:rFonts w:hint="eastAsia"/>
          <w:sz w:val="28"/>
          <w:szCs w:val="28"/>
          <w:lang w:val="en-US" w:eastAsia="zh-CN"/>
        </w:rPr>
      </w:pPr>
      <w:r>
        <w:rPr>
          <w:rFonts w:hint="eastAsia"/>
          <w:sz w:val="28"/>
          <w:szCs w:val="28"/>
          <w:lang w:val="en-US" w:eastAsia="zh-CN"/>
        </w:rPr>
        <w:t>公司拥有各类生产设备60多台套，年生产能力折合铜导体3万吨，年产值能力达到16亿元。公司主要产品均按IEC标准、GB标准生产；生产的35KV及以下交联电力电缆、架空绝缘电缆、钢芯铝绞线、稀土铝导线、铝包钢芯铝绞线、全塑电力电缆、控制电缆、阻燃耐火系列电缆、电梯电缆、民用布电线等主导产品先后被国家机械电子工业部评为优质产品。同时，公司产品通过了3C认证、电能（北京）产品认证中心(PCCC)认证等多项资质认证，使公司产品有了强有力的质量保证。此外，公司以“精心设计、精良选材、精工制造、精准服务”的浙江制造内涵要求自己，积极开展浙江制造申报认证工作。</w:t>
      </w:r>
    </w:p>
    <w:p>
      <w:pPr>
        <w:ind w:firstLine="560" w:firstLineChars="200"/>
        <w:rPr>
          <w:rFonts w:hint="eastAsia"/>
          <w:sz w:val="28"/>
          <w:szCs w:val="28"/>
          <w:lang w:val="en-US" w:eastAsia="zh-CN"/>
        </w:rPr>
      </w:pPr>
      <w:r>
        <w:rPr>
          <w:rFonts w:hint="eastAsia"/>
          <w:sz w:val="28"/>
          <w:szCs w:val="28"/>
          <w:lang w:val="en-US" w:eastAsia="zh-CN"/>
        </w:rPr>
        <w:t>公司坚持做国标产品，坚持以质量创品牌、以品牌力量占领市场，在顾客心中树立了良好的品牌形象。公司以“多、快、好、省”的服务理念，为客户提供一站式服务，增强客户粘性，实现了市场份额的快速提升。公司顾客主要包括各地电力公司、发电厂、石化企业等，公司与其均建立了长期的合作关系，在浙江省的市场占有率位居前列。公司产品先后荣获“浙江省名牌产品”“浙江省著名商标”等荣誉。</w:t>
      </w:r>
    </w:p>
    <w:p>
      <w:pPr>
        <w:ind w:firstLine="840" w:firstLineChars="300"/>
        <w:rPr>
          <w:rFonts w:hint="eastAsia"/>
          <w:sz w:val="28"/>
          <w:szCs w:val="28"/>
          <w:lang w:val="en-US" w:eastAsia="zh-CN"/>
        </w:rPr>
      </w:pPr>
      <w:r>
        <w:rPr>
          <w:rFonts w:hint="eastAsia"/>
          <w:sz w:val="28"/>
          <w:szCs w:val="28"/>
          <w:lang w:val="en-US" w:eastAsia="zh-CN"/>
        </w:rPr>
        <w:t>久盛电缆牢记“专注为客户提供卓越品质的电线电缆”的使命，持续优化内部管理，规范各个业务流程，继1997年通过1SO9001质量管理体系标准认证以后，先后通过了1SO14001环境管理体系认证、1SO45001职业健康安全管理体系认证，形成了更加规范统一的“三合一”企业质、安、环管理体系。此外，公司全面推行ERP现代化管理模式，生产现场推行“6S”管理，为企业管理架设一个规范、高效、智能的管理平台，持续提升公司经营质量，为实现“成为国内一流的电线电缆制造企业”的愿景而不懈努力。</w:t>
      </w:r>
    </w:p>
    <w:p>
      <w:pPr>
        <w:rPr>
          <w:rFonts w:hint="eastAsia"/>
          <w:sz w:val="28"/>
          <w:szCs w:val="28"/>
          <w:lang w:val="en-US" w:eastAsia="zh-CN"/>
        </w:rPr>
      </w:pPr>
      <w:r>
        <w:rPr>
          <w:rFonts w:hint="eastAsia"/>
          <w:sz w:val="28"/>
          <w:szCs w:val="28"/>
          <w:lang w:val="en-US" w:eastAsia="zh-CN"/>
        </w:rPr>
        <w:t>公司的努力得到了社会各界的认可，久盛电缆先后获得了“浙江省2020年度‘隐形冠军’培育企业”“浙江省2021年度‘专精特新’企业”“浙江省最大工业企业”“浙江省重合同守信用企业”“浙江省科技型企业”“浙江省诚信示范企业”“浙江省三星级企业”“浙江省文明单位”“全国模范职工之家”等诸多殊荣。</w:t>
      </w:r>
    </w:p>
    <w:p>
      <w:pPr>
        <w:pStyle w:val="4"/>
        <w:jc w:val="center"/>
        <w:rPr>
          <w:rFonts w:hint="eastAsia"/>
        </w:rPr>
      </w:pP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4"/>
        <w:jc w:val="center"/>
      </w:pPr>
      <w:r>
        <w:rPr>
          <w:rFonts w:hint="eastAsia"/>
        </w:rPr>
        <w:t>第一章 质量理念</w:t>
      </w:r>
      <w:bookmarkEnd w:id="3"/>
      <w:bookmarkEnd w:id="4"/>
      <w:bookmarkEnd w:id="5"/>
      <w:bookmarkEnd w:id="6"/>
    </w:p>
    <w:p>
      <w:pPr>
        <w:rPr>
          <w:rFonts w:hint="eastAsia" w:cs="Times New Roman"/>
          <w:sz w:val="28"/>
          <w:szCs w:val="28"/>
          <w:lang w:val="en-US" w:eastAsia="zh-CN"/>
        </w:rPr>
      </w:pPr>
      <w:r>
        <w:rPr>
          <w:rFonts w:hint="eastAsia" w:cs="Times New Roman"/>
          <w:sz w:val="28"/>
          <w:szCs w:val="28"/>
          <w:lang w:val="en-US" w:eastAsia="zh-CN"/>
        </w:rPr>
        <w:t xml:space="preserve">1.1 企业使命 </w:t>
      </w:r>
    </w:p>
    <w:p>
      <w:pPr>
        <w:rPr>
          <w:rFonts w:hint="eastAsia" w:cs="Times New Roman"/>
          <w:sz w:val="28"/>
          <w:szCs w:val="28"/>
          <w:lang w:val="en-US" w:eastAsia="zh-CN"/>
        </w:rPr>
      </w:pPr>
      <w:r>
        <w:rPr>
          <w:rFonts w:hint="eastAsia" w:cs="Times New Roman"/>
          <w:sz w:val="28"/>
          <w:szCs w:val="28"/>
          <w:lang w:val="en-US" w:eastAsia="zh-CN"/>
        </w:rPr>
        <w:t xml:space="preserve">专注为客户提供卓越品质的电线电缆 </w:t>
      </w:r>
    </w:p>
    <w:p>
      <w:pPr>
        <w:rPr>
          <w:rFonts w:hint="eastAsia" w:cs="Times New Roman"/>
          <w:sz w:val="28"/>
          <w:szCs w:val="28"/>
          <w:lang w:val="en-US" w:eastAsia="zh-CN"/>
        </w:rPr>
      </w:pPr>
      <w:r>
        <w:rPr>
          <w:rFonts w:hint="default" w:cs="Times New Roman"/>
          <w:sz w:val="28"/>
          <w:szCs w:val="28"/>
          <w:lang w:val="en-US" w:eastAsia="zh-CN"/>
        </w:rPr>
        <w:t xml:space="preserve">1.2 </w:t>
      </w:r>
      <w:r>
        <w:rPr>
          <w:rFonts w:hint="eastAsia" w:cs="Times New Roman"/>
          <w:sz w:val="28"/>
          <w:szCs w:val="28"/>
          <w:lang w:val="en-US" w:eastAsia="zh-CN"/>
        </w:rPr>
        <w:t xml:space="preserve">公司愿景 </w:t>
      </w:r>
    </w:p>
    <w:p>
      <w:pPr>
        <w:rPr>
          <w:rFonts w:hint="eastAsia" w:cs="Times New Roman"/>
          <w:sz w:val="28"/>
          <w:szCs w:val="28"/>
          <w:lang w:val="en-US" w:eastAsia="zh-CN"/>
        </w:rPr>
      </w:pPr>
      <w:r>
        <w:rPr>
          <w:rFonts w:hint="eastAsia" w:cs="Times New Roman"/>
          <w:sz w:val="28"/>
          <w:szCs w:val="28"/>
          <w:lang w:val="en-US" w:eastAsia="zh-CN"/>
        </w:rPr>
        <w:t xml:space="preserve">成为国内一流的电线电缆制造企业 </w:t>
      </w:r>
    </w:p>
    <w:p>
      <w:pPr>
        <w:rPr>
          <w:rFonts w:hint="eastAsia" w:cs="Times New Roman"/>
          <w:sz w:val="28"/>
          <w:szCs w:val="28"/>
          <w:lang w:val="en-US" w:eastAsia="zh-CN"/>
        </w:rPr>
      </w:pPr>
      <w:r>
        <w:rPr>
          <w:rFonts w:hint="default" w:cs="Times New Roman"/>
          <w:sz w:val="28"/>
          <w:szCs w:val="28"/>
          <w:lang w:val="en-US" w:eastAsia="zh-CN"/>
        </w:rPr>
        <w:t xml:space="preserve">1.3 </w:t>
      </w:r>
      <w:r>
        <w:rPr>
          <w:rFonts w:hint="eastAsia" w:cs="Times New Roman"/>
          <w:sz w:val="28"/>
          <w:szCs w:val="28"/>
          <w:lang w:val="en-US" w:eastAsia="zh-CN"/>
        </w:rPr>
        <w:t xml:space="preserve">核心价值观 </w:t>
      </w:r>
    </w:p>
    <w:p>
      <w:pPr>
        <w:rPr>
          <w:rFonts w:hint="eastAsia" w:cs="Times New Roman"/>
          <w:sz w:val="28"/>
          <w:szCs w:val="28"/>
          <w:lang w:val="en-US" w:eastAsia="zh-CN"/>
        </w:rPr>
      </w:pPr>
      <w:r>
        <w:rPr>
          <w:rFonts w:hint="eastAsia" w:cs="Times New Roman"/>
          <w:sz w:val="28"/>
          <w:szCs w:val="28"/>
          <w:lang w:val="en-US" w:eastAsia="zh-CN"/>
        </w:rPr>
        <w:t xml:space="preserve">客户至上、诚信品质、精细管理、推陈出新 </w:t>
      </w:r>
    </w:p>
    <w:p>
      <w:pPr>
        <w:rPr>
          <w:rFonts w:hint="eastAsia" w:cs="Times New Roman"/>
          <w:sz w:val="28"/>
          <w:szCs w:val="28"/>
          <w:lang w:val="en-US" w:eastAsia="zh-CN"/>
        </w:rPr>
      </w:pPr>
      <w:r>
        <w:rPr>
          <w:rFonts w:hint="default" w:cs="Times New Roman"/>
          <w:sz w:val="28"/>
          <w:szCs w:val="28"/>
          <w:lang w:val="en-US" w:eastAsia="zh-CN"/>
        </w:rPr>
        <w:t xml:space="preserve">1.4 </w:t>
      </w:r>
      <w:r>
        <w:rPr>
          <w:rFonts w:hint="eastAsia" w:cs="Times New Roman"/>
          <w:sz w:val="28"/>
          <w:szCs w:val="28"/>
          <w:lang w:val="en-US" w:eastAsia="zh-CN"/>
        </w:rPr>
        <w:t xml:space="preserve">公司经营理念： </w:t>
      </w:r>
    </w:p>
    <w:p>
      <w:pPr>
        <w:rPr>
          <w:rFonts w:hint="eastAsia" w:cs="Times New Roman"/>
          <w:sz w:val="28"/>
          <w:szCs w:val="28"/>
          <w:lang w:val="en-US" w:eastAsia="zh-CN"/>
        </w:rPr>
      </w:pPr>
      <w:r>
        <w:rPr>
          <w:rFonts w:hint="eastAsia" w:cs="Times New Roman"/>
          <w:sz w:val="28"/>
          <w:szCs w:val="28"/>
          <w:lang w:val="en-US" w:eastAsia="zh-CN"/>
        </w:rPr>
        <w:t xml:space="preserve">诚信双赢，人本和谐。 </w:t>
      </w:r>
    </w:p>
    <w:p>
      <w:pPr>
        <w:rPr>
          <w:rFonts w:hint="eastAsia" w:cs="Times New Roman"/>
          <w:sz w:val="28"/>
          <w:szCs w:val="28"/>
          <w:lang w:val="en-US" w:eastAsia="zh-CN"/>
        </w:rPr>
      </w:pPr>
      <w:r>
        <w:rPr>
          <w:rFonts w:hint="default" w:cs="Times New Roman"/>
          <w:sz w:val="28"/>
          <w:szCs w:val="28"/>
          <w:lang w:val="en-US" w:eastAsia="zh-CN"/>
        </w:rPr>
        <w:t xml:space="preserve">1.5 </w:t>
      </w:r>
      <w:r>
        <w:rPr>
          <w:rFonts w:hint="eastAsia" w:cs="Times New Roman"/>
          <w:sz w:val="28"/>
          <w:szCs w:val="28"/>
          <w:lang w:val="en-US" w:eastAsia="zh-CN"/>
        </w:rPr>
        <w:t xml:space="preserve">质量方针 </w:t>
      </w:r>
    </w:p>
    <w:p>
      <w:pPr>
        <w:rPr>
          <w:rFonts w:hint="eastAsia" w:cs="Times New Roman"/>
          <w:sz w:val="28"/>
          <w:szCs w:val="28"/>
          <w:lang w:val="en-US" w:eastAsia="zh-CN"/>
        </w:rPr>
      </w:pPr>
      <w:r>
        <w:rPr>
          <w:rFonts w:hint="eastAsia" w:cs="Times New Roman"/>
          <w:sz w:val="28"/>
          <w:szCs w:val="28"/>
          <w:lang w:val="en-US" w:eastAsia="zh-CN"/>
        </w:rPr>
        <w:t>诚信守法    质量第一</w:t>
      </w:r>
    </w:p>
    <w:p>
      <w:pPr>
        <w:rPr>
          <w:rFonts w:hint="eastAsia" w:cs="Times New Roman"/>
          <w:sz w:val="28"/>
          <w:szCs w:val="28"/>
          <w:lang w:val="en-US" w:eastAsia="zh-CN"/>
        </w:rPr>
      </w:pPr>
      <w:r>
        <w:rPr>
          <w:rFonts w:hint="eastAsia" w:cs="Times New Roman"/>
          <w:sz w:val="28"/>
          <w:szCs w:val="28"/>
          <w:lang w:val="en-US" w:eastAsia="zh-CN"/>
        </w:rPr>
        <w:t>优化环境    预防污染</w:t>
      </w:r>
    </w:p>
    <w:p>
      <w:pPr>
        <w:rPr>
          <w:rFonts w:hint="eastAsia" w:cs="Times New Roman"/>
          <w:sz w:val="28"/>
          <w:szCs w:val="28"/>
          <w:lang w:val="en-US" w:eastAsia="zh-CN"/>
        </w:rPr>
      </w:pPr>
      <w:r>
        <w:rPr>
          <w:rFonts w:hint="eastAsia" w:cs="Times New Roman"/>
          <w:sz w:val="28"/>
          <w:szCs w:val="28"/>
          <w:lang w:val="en-US" w:eastAsia="zh-CN"/>
        </w:rPr>
        <w:t>以为人本    安全生产</w:t>
      </w:r>
    </w:p>
    <w:p>
      <w:pPr>
        <w:rPr>
          <w:rFonts w:hint="eastAsia" w:cs="Times New Roman"/>
          <w:sz w:val="28"/>
          <w:szCs w:val="28"/>
          <w:lang w:val="en-US" w:eastAsia="zh-CN"/>
        </w:rPr>
      </w:pPr>
      <w:r>
        <w:rPr>
          <w:rFonts w:hint="eastAsia" w:cs="Times New Roman"/>
          <w:sz w:val="28"/>
          <w:szCs w:val="28"/>
          <w:lang w:val="en-US" w:eastAsia="zh-CN"/>
        </w:rPr>
        <w:t xml:space="preserve">持续改进    追求卓越 </w:t>
      </w:r>
    </w:p>
    <w:p>
      <w:pPr>
        <w:rPr>
          <w:rFonts w:hint="eastAsia" w:cs="Times New Roman"/>
          <w:sz w:val="28"/>
          <w:szCs w:val="28"/>
          <w:lang w:val="en-US" w:eastAsia="zh-CN"/>
        </w:rPr>
      </w:pPr>
      <w:r>
        <w:rPr>
          <w:rFonts w:hint="default" w:cs="Times New Roman"/>
          <w:sz w:val="28"/>
          <w:szCs w:val="28"/>
          <w:lang w:val="en-US" w:eastAsia="zh-CN"/>
        </w:rPr>
        <w:t xml:space="preserve">1.6 </w:t>
      </w:r>
      <w:r>
        <w:rPr>
          <w:rFonts w:hint="eastAsia" w:cs="Times New Roman"/>
          <w:sz w:val="28"/>
          <w:szCs w:val="28"/>
          <w:lang w:val="en-US" w:eastAsia="zh-CN"/>
        </w:rPr>
        <w:t xml:space="preserve">品质承诺 </w:t>
      </w:r>
    </w:p>
    <w:p>
      <w:pPr>
        <w:rPr>
          <w:rFonts w:hint="eastAsia" w:cs="Times New Roman"/>
          <w:sz w:val="28"/>
          <w:szCs w:val="28"/>
          <w:lang w:val="en-US" w:eastAsia="zh-CN"/>
        </w:rPr>
      </w:pPr>
      <w:r>
        <w:rPr>
          <w:rFonts w:hint="eastAsia" w:cs="Times New Roman"/>
          <w:sz w:val="28"/>
          <w:szCs w:val="28"/>
          <w:lang w:val="en-US" w:eastAsia="zh-CN"/>
        </w:rPr>
        <w:t>产品设计、生产以市场需求为导向，顾客满意为目标，注重环保、科技；</w:t>
      </w:r>
    </w:p>
    <w:p>
      <w:pPr>
        <w:rPr>
          <w:rFonts w:hint="eastAsia" w:cs="Times New Roman"/>
          <w:sz w:val="28"/>
          <w:szCs w:val="28"/>
          <w:lang w:val="en-US" w:eastAsia="zh-CN"/>
        </w:rPr>
      </w:pPr>
      <w:r>
        <w:rPr>
          <w:rFonts w:hint="eastAsia" w:cs="Times New Roman"/>
          <w:sz w:val="28"/>
          <w:szCs w:val="28"/>
          <w:lang w:val="en-US" w:eastAsia="zh-CN"/>
        </w:rPr>
        <w:t>有效实施ISO9001质量管理体系标准；质量管理全过程控制、全员参与、全方位抓质量。</w:t>
      </w:r>
    </w:p>
    <w:p>
      <w:pPr>
        <w:rPr>
          <w:rFonts w:hint="eastAsia" w:cs="Times New Roman"/>
          <w:sz w:val="28"/>
          <w:szCs w:val="28"/>
          <w:lang w:val="en-US" w:eastAsia="zh-CN"/>
        </w:rPr>
      </w:pPr>
      <w:r>
        <w:rPr>
          <w:rFonts w:hint="default" w:cs="Times New Roman"/>
          <w:sz w:val="28"/>
          <w:szCs w:val="28"/>
          <w:lang w:val="en-US" w:eastAsia="zh-CN"/>
        </w:rPr>
        <w:t>1.</w:t>
      </w:r>
      <w:r>
        <w:rPr>
          <w:rFonts w:hint="eastAsia" w:cs="Times New Roman"/>
          <w:sz w:val="28"/>
          <w:szCs w:val="28"/>
          <w:lang w:val="en-US" w:eastAsia="zh-CN"/>
        </w:rPr>
        <w:t>7</w:t>
      </w:r>
      <w:r>
        <w:rPr>
          <w:rFonts w:hint="default" w:cs="Times New Roman"/>
          <w:sz w:val="28"/>
          <w:szCs w:val="28"/>
          <w:lang w:val="en-US" w:eastAsia="zh-CN"/>
        </w:rPr>
        <w:t xml:space="preserve"> </w:t>
      </w:r>
      <w:r>
        <w:rPr>
          <w:rFonts w:hint="eastAsia" w:cs="Times New Roman"/>
          <w:sz w:val="28"/>
          <w:szCs w:val="28"/>
          <w:lang w:val="en-US" w:eastAsia="zh-CN"/>
        </w:rPr>
        <w:t>服务承诺</w:t>
      </w:r>
    </w:p>
    <w:p>
      <w:pPr>
        <w:rPr>
          <w:rFonts w:hint="eastAsia" w:cs="Times New Roman"/>
          <w:sz w:val="28"/>
          <w:szCs w:val="28"/>
          <w:lang w:val="en-US" w:eastAsia="zh-CN"/>
        </w:rPr>
      </w:pPr>
      <w:r>
        <w:rPr>
          <w:rFonts w:hint="eastAsia" w:cs="Times New Roman"/>
          <w:sz w:val="28"/>
          <w:szCs w:val="28"/>
          <w:lang w:val="en-US" w:eastAsia="zh-CN"/>
        </w:rPr>
        <w:t>不论何时何地，销售服务人员以用户满意为宗旨，竭诚、优质、高效地为用户提供服务：</w:t>
      </w:r>
    </w:p>
    <w:p>
      <w:pPr>
        <w:rPr>
          <w:rFonts w:hint="eastAsia" w:cs="Times New Roman"/>
          <w:sz w:val="28"/>
          <w:szCs w:val="28"/>
          <w:lang w:val="en-US" w:eastAsia="zh-CN"/>
        </w:rPr>
      </w:pPr>
      <w:r>
        <w:rPr>
          <w:rFonts w:hint="eastAsia" w:cs="Times New Roman"/>
          <w:sz w:val="28"/>
          <w:szCs w:val="28"/>
          <w:lang w:val="en-US" w:eastAsia="zh-CN"/>
        </w:rPr>
        <w:t>售前：贴近用户，掌握用户需求和期望；上门设计，提供个性化服务；</w:t>
      </w:r>
    </w:p>
    <w:p>
      <w:pPr>
        <w:rPr>
          <w:rFonts w:hint="eastAsia" w:cs="Times New Roman"/>
          <w:sz w:val="28"/>
          <w:szCs w:val="28"/>
          <w:lang w:val="en-US" w:eastAsia="zh-CN"/>
        </w:rPr>
      </w:pPr>
      <w:r>
        <w:rPr>
          <w:rFonts w:hint="eastAsia" w:cs="Times New Roman"/>
          <w:sz w:val="28"/>
          <w:szCs w:val="28"/>
          <w:lang w:val="en-US" w:eastAsia="zh-CN"/>
        </w:rPr>
        <w:t>售中：建档跟踪、掌握用户信息、反馈产品信息、送货到位；</w:t>
      </w:r>
    </w:p>
    <w:p>
      <w:pPr>
        <w:rPr>
          <w:rFonts w:hint="eastAsia" w:cs="Times New Roman"/>
          <w:sz w:val="28"/>
          <w:szCs w:val="28"/>
          <w:lang w:val="en-US" w:eastAsia="zh-CN"/>
        </w:rPr>
      </w:pPr>
      <w:r>
        <w:rPr>
          <w:rFonts w:hint="eastAsia" w:cs="Times New Roman"/>
          <w:sz w:val="28"/>
          <w:szCs w:val="28"/>
          <w:lang w:val="en-US" w:eastAsia="zh-CN"/>
        </w:rPr>
        <w:t>售后：安装调试、培训指导、调查回访、征询意见、统计分析、持续改进。用户服务要求受理率100%，确保省内4小时、省外12小时内到达现场处理。产品“额定电压 35 kV（Um=40.5 kV）交联聚乙烯绝缘轨道交通电力电缆”自出厂之日起 2 年内，在用户正常使用条件下，因产品的制造质量问题而不能正常使用时，提供免费的维修或更换服务。</w:t>
      </w:r>
      <w:bookmarkStart w:id="56" w:name="_GoBack"/>
      <w:bookmarkEnd w:id="56"/>
    </w:p>
    <w:p>
      <w:pPr>
        <w:rPr>
          <w:rFonts w:ascii="宋体" w:hAnsi="宋体" w:cs="宋体"/>
          <w:color w:val="000000"/>
          <w:kern w:val="0"/>
          <w:sz w:val="24"/>
        </w:rPr>
      </w:pPr>
      <w:r>
        <w:rPr>
          <w:rFonts w:hint="eastAsia" w:cs="Times New Roman"/>
          <w:sz w:val="28"/>
          <w:szCs w:val="28"/>
          <w:lang w:val="en-US" w:eastAsia="zh-CN"/>
        </w:rPr>
        <w:t>顾客满意率不小于95%，确属产品质量问题，尊重用户意愿，负责给予更换，承担相应责任。</w:t>
      </w:r>
      <w:r>
        <w:rPr>
          <w:rFonts w:ascii="宋体" w:hAnsi="宋体" w:cs="宋体"/>
          <w:color w:val="000000"/>
          <w:kern w:val="0"/>
          <w:sz w:val="24"/>
        </w:rPr>
        <w:br w:type="page"/>
      </w:r>
    </w:p>
    <w:p>
      <w:pPr>
        <w:pStyle w:val="4"/>
        <w:jc w:val="center"/>
      </w:pPr>
      <w:bookmarkStart w:id="7" w:name="_Toc19520_WPSOffice_Level1"/>
      <w:bookmarkStart w:id="8" w:name="_Toc488941488"/>
      <w:bookmarkStart w:id="9" w:name="_Toc21519"/>
      <w:bookmarkStart w:id="10" w:name="_Toc532973891"/>
      <w:r>
        <w:rPr>
          <w:rFonts w:hint="eastAsia"/>
        </w:rPr>
        <w:t>第二章 质量内部管理</w:t>
      </w:r>
      <w:bookmarkEnd w:id="7"/>
      <w:bookmarkEnd w:id="8"/>
      <w:bookmarkEnd w:id="9"/>
      <w:bookmarkEnd w:id="10"/>
    </w:p>
    <w:p>
      <w:pPr>
        <w:pStyle w:val="31"/>
        <w:ind w:firstLine="560"/>
        <w:rPr>
          <w:rFonts w:ascii="Cambria" w:hAnsi="Cambria" w:cs="Cambria"/>
          <w:kern w:val="0"/>
          <w:sz w:val="28"/>
          <w:szCs w:val="28"/>
        </w:rPr>
      </w:pPr>
      <w:r>
        <w:rPr>
          <w:rFonts w:hint="eastAsia" w:ascii="Cambria" w:hAnsi="Cambria" w:cs="Cambria"/>
          <w:kern w:val="0"/>
          <w:sz w:val="28"/>
          <w:szCs w:val="28"/>
        </w:rPr>
        <w:t>为进一步提升质量管理水平，公司坚持开展质量管理体系、标准体系、计量体系和检验检测能力建设，完善了质量管理机构，积极办理相关行政许可，申报专业认证，为公司的质量诚信管理工作奠定了坚实的基础。</w:t>
      </w:r>
    </w:p>
    <w:p>
      <w:pPr>
        <w:pStyle w:val="31"/>
        <w:ind w:firstLine="0" w:firstLineChars="0"/>
        <w:rPr>
          <w:rFonts w:ascii="Cambria" w:hAnsi="Cambria" w:cs="Cambria"/>
          <w:kern w:val="0"/>
          <w:sz w:val="28"/>
          <w:szCs w:val="28"/>
          <w:lang w:val="zh-CN"/>
        </w:rPr>
      </w:pPr>
      <w:r>
        <w:rPr>
          <w:rFonts w:hint="eastAsia" w:ascii="Cambria" w:hAnsi="Cambria" w:cs="Cambria"/>
          <w:kern w:val="0"/>
          <w:sz w:val="28"/>
          <w:szCs w:val="28"/>
          <w:lang w:val="zh-CN"/>
        </w:rPr>
        <w:t>2.1.1 质量管理机构图</w:t>
      </w:r>
    </w:p>
    <w:p>
      <w:pPr>
        <w:pStyle w:val="31"/>
        <w:ind w:firstLine="560"/>
        <w:rPr>
          <w:rFonts w:ascii="Cambria" w:hAnsi="Cambria" w:cs="Cambria"/>
          <w:kern w:val="0"/>
          <w:sz w:val="28"/>
          <w:szCs w:val="28"/>
        </w:rPr>
      </w:pPr>
      <w:r>
        <w:rPr>
          <w:rFonts w:hint="eastAsia" w:ascii="Cambria" w:hAnsi="Cambria" w:cs="Cambria"/>
          <w:kern w:val="0"/>
          <w:sz w:val="28"/>
          <w:szCs w:val="28"/>
        </w:rPr>
        <w:t>依据《中华人民共和国公司法》和其他有关法律、法规和规定，制定了股东大会、董事会、监事会议事规则以及独立董事管理制度，并根据《公司章程》对董事、管理层的法律和道德责任做了明确规定。公司组织机构图见图2.1。</w:t>
      </w:r>
    </w:p>
    <w:p>
      <w:pPr>
        <w:ind w:firstLine="420"/>
        <w:jc w:val="center"/>
        <w:rPr>
          <w:rFonts w:ascii="宋体" w:hAnsi="宋体"/>
          <w:color w:val="000000"/>
          <w:sz w:val="24"/>
        </w:rPr>
      </w:pPr>
      <w:r>
        <w:rPr>
          <w:rFonts w:hint="eastAsia" w:ascii="黑体" w:hAnsi="黑体" w:eastAsia="黑体" w:cs="黑体"/>
          <w:b/>
          <w:bCs/>
          <w:color w:val="000000"/>
          <w:szCs w:val="21"/>
        </w:rPr>
        <w:t>图2.1 公司组织架构图</w:t>
      </w:r>
    </w:p>
    <w:p>
      <w:pPr>
        <w:jc w:val="center"/>
      </w:pPr>
      <w:r>
        <w:rPr>
          <w:rFonts w:eastAsia="宋体" w:cs="Times New Roman"/>
        </w:rPr>
        <w:drawing>
          <wp:inline distT="0" distB="0" distL="114300" distR="114300">
            <wp:extent cx="4787900" cy="3763010"/>
            <wp:effectExtent l="0" t="0" r="1270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4787900" cy="3763010"/>
                    </a:xfrm>
                    <a:prstGeom prst="rect">
                      <a:avLst/>
                    </a:prstGeom>
                    <a:noFill/>
                    <a:ln>
                      <a:noFill/>
                    </a:ln>
                  </pic:spPr>
                </pic:pic>
              </a:graphicData>
            </a:graphic>
          </wp:inline>
        </w:drawing>
      </w:r>
    </w:p>
    <w:p>
      <w:pPr>
        <w:jc w:val="center"/>
        <w:sectPr>
          <w:footerReference r:id="rId4" w:type="default"/>
          <w:pgSz w:w="11906" w:h="16838"/>
          <w:pgMar w:top="1440" w:right="1080" w:bottom="1440" w:left="1080" w:header="851" w:footer="992" w:gutter="0"/>
          <w:pgNumType w:start="1"/>
          <w:cols w:space="425" w:num="1"/>
          <w:docGrid w:type="lines" w:linePitch="312" w:charSpace="0"/>
        </w:sectPr>
      </w:pPr>
    </w:p>
    <w:p>
      <w:pPr>
        <w:pStyle w:val="31"/>
        <w:ind w:firstLine="560"/>
        <w:rPr>
          <w:rFonts w:ascii="Cambria" w:hAnsi="Cambria" w:cs="Cambria"/>
          <w:kern w:val="0"/>
          <w:sz w:val="28"/>
          <w:szCs w:val="28"/>
        </w:rPr>
      </w:pPr>
    </w:p>
    <w:p>
      <w:pPr>
        <w:pStyle w:val="31"/>
        <w:ind w:firstLine="0" w:firstLineChars="0"/>
        <w:rPr>
          <w:rFonts w:hint="default" w:ascii="Cambria" w:hAnsi="Cambria" w:eastAsia="宋体" w:cs="Cambria"/>
          <w:kern w:val="0"/>
          <w:sz w:val="28"/>
          <w:szCs w:val="28"/>
          <w:lang w:val="en-US" w:eastAsia="zh-CN"/>
        </w:rPr>
      </w:pPr>
      <w:r>
        <w:rPr>
          <w:rFonts w:hint="eastAsia" w:ascii="Cambria" w:hAnsi="Cambria" w:cs="Cambria"/>
          <w:kern w:val="0"/>
          <w:sz w:val="28"/>
          <w:szCs w:val="28"/>
        </w:rPr>
        <w:t xml:space="preserve">2.1.2 </w:t>
      </w:r>
      <w:r>
        <w:rPr>
          <w:rFonts w:hint="eastAsia" w:ascii="Cambria" w:hAnsi="Cambria" w:cs="Cambria"/>
          <w:kern w:val="0"/>
          <w:sz w:val="28"/>
          <w:szCs w:val="28"/>
          <w:lang w:val="en-US" w:eastAsia="zh-CN"/>
        </w:rPr>
        <w:t>管理者代表</w:t>
      </w:r>
    </w:p>
    <w:p>
      <w:pPr>
        <w:pStyle w:val="31"/>
        <w:ind w:firstLine="560"/>
        <w:rPr>
          <w:rFonts w:ascii="Cambria" w:hAnsi="Cambria" w:cs="Cambria"/>
          <w:kern w:val="0"/>
          <w:sz w:val="28"/>
          <w:szCs w:val="28"/>
        </w:rPr>
      </w:pPr>
      <w:r>
        <w:rPr>
          <w:rFonts w:hint="eastAsia" w:ascii="Cambria" w:hAnsi="Cambria" w:cs="Cambria"/>
          <w:kern w:val="0"/>
          <w:sz w:val="28"/>
          <w:szCs w:val="28"/>
          <w:lang w:eastAsia="zh-CN"/>
        </w:rPr>
        <w:t>管理者代表</w:t>
      </w:r>
      <w:r>
        <w:rPr>
          <w:rFonts w:hint="eastAsia" w:ascii="Cambria" w:hAnsi="Cambria" w:cs="Cambria"/>
          <w:kern w:val="0"/>
          <w:sz w:val="28"/>
          <w:szCs w:val="28"/>
        </w:rPr>
        <w:t>经公司</w:t>
      </w:r>
      <w:r>
        <w:rPr>
          <w:rFonts w:hint="eastAsia" w:ascii="Cambria" w:hAnsi="Cambria" w:cs="Cambria"/>
          <w:kern w:val="0"/>
          <w:sz w:val="28"/>
          <w:szCs w:val="28"/>
          <w:lang w:eastAsia="zh-CN"/>
        </w:rPr>
        <w:t>总经理</w:t>
      </w:r>
      <w:r>
        <w:rPr>
          <w:rFonts w:hint="eastAsia" w:ascii="Cambria" w:hAnsi="Cambria" w:cs="Cambria"/>
          <w:kern w:val="0"/>
          <w:sz w:val="28"/>
          <w:szCs w:val="28"/>
        </w:rPr>
        <w:t>任命、并授权其在质量管理体系方面指挥和控制系统。负责推动公司质量方针、目标、战略的具体实施、评价和改进。具体职责包括：</w:t>
      </w:r>
    </w:p>
    <w:p>
      <w:pPr>
        <w:pStyle w:val="31"/>
        <w:ind w:firstLine="560"/>
        <w:rPr>
          <w:rFonts w:hint="eastAsia" w:ascii="Cambria" w:hAnsi="Cambria" w:cs="Cambria"/>
          <w:kern w:val="0"/>
          <w:sz w:val="28"/>
          <w:szCs w:val="28"/>
        </w:rPr>
      </w:pPr>
      <w:r>
        <w:rPr>
          <w:rFonts w:hint="eastAsia" w:ascii="Cambria" w:hAnsi="Cambria" w:cs="Cambria"/>
          <w:kern w:val="0"/>
          <w:sz w:val="28"/>
          <w:szCs w:val="28"/>
        </w:rPr>
        <w:t>--建立、实施并保持整合型管理体系，促进企业内部对顾客要求，质量、环境和职业健康安全意识和遵守国家法律、法规要求的形成；</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--负责企业的内审工作；</w:t>
      </w:r>
    </w:p>
    <w:p>
      <w:pPr>
        <w:pStyle w:val="31"/>
        <w:ind w:firstLine="560"/>
        <w:rPr>
          <w:rFonts w:hint="eastAsia" w:ascii="Cambria" w:hAnsi="Cambria" w:cs="Cambria"/>
          <w:kern w:val="0"/>
          <w:sz w:val="28"/>
          <w:szCs w:val="28"/>
        </w:rPr>
      </w:pPr>
      <w:r>
        <w:rPr>
          <w:rFonts w:hint="eastAsia" w:ascii="Cambria" w:hAnsi="Cambria" w:cs="Cambria"/>
          <w:kern w:val="0"/>
          <w:sz w:val="28"/>
          <w:szCs w:val="28"/>
        </w:rPr>
        <w:t>--向总经报告体系运行情况，为持续改进提供依据；</w:t>
      </w:r>
    </w:p>
    <w:p>
      <w:pPr>
        <w:pStyle w:val="31"/>
        <w:ind w:firstLine="560"/>
        <w:rPr>
          <w:rFonts w:hint="eastAsia" w:ascii="Cambria" w:hAnsi="Cambria" w:cs="Cambria"/>
          <w:kern w:val="0"/>
          <w:sz w:val="28"/>
          <w:szCs w:val="28"/>
        </w:rPr>
      </w:pPr>
      <w:r>
        <w:rPr>
          <w:rFonts w:hint="eastAsia" w:ascii="Cambria" w:hAnsi="Cambria" w:cs="Cambria"/>
          <w:kern w:val="0"/>
          <w:sz w:val="28"/>
          <w:szCs w:val="28"/>
        </w:rPr>
        <w:t>--协助总经理做好管理评审工作；</w:t>
      </w:r>
    </w:p>
    <w:p>
      <w:pPr>
        <w:pStyle w:val="31"/>
        <w:ind w:firstLine="560"/>
        <w:rPr>
          <w:rFonts w:hint="eastAsia" w:ascii="Cambria" w:hAnsi="Cambria" w:cs="Cambria"/>
          <w:kern w:val="0"/>
          <w:sz w:val="28"/>
          <w:szCs w:val="28"/>
        </w:rPr>
      </w:pPr>
      <w:bookmarkStart w:id="11" w:name="_Hlk535932998"/>
      <w:r>
        <w:rPr>
          <w:rFonts w:hint="eastAsia" w:ascii="Cambria" w:hAnsi="Cambria" w:cs="Cambria"/>
          <w:kern w:val="0"/>
          <w:sz w:val="28"/>
          <w:szCs w:val="28"/>
        </w:rPr>
        <w:t>--</w:t>
      </w:r>
      <w:bookmarkEnd w:id="11"/>
      <w:r>
        <w:rPr>
          <w:rFonts w:hint="eastAsia" w:ascii="Cambria" w:hAnsi="Cambria" w:cs="Cambria"/>
          <w:kern w:val="0"/>
          <w:sz w:val="28"/>
          <w:szCs w:val="28"/>
        </w:rPr>
        <w:t>组织制定并审核部门目标、指标及管理方案；</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--负责与外部相关事宜的联系和沟通；</w:t>
      </w:r>
    </w:p>
    <w:p>
      <w:pPr>
        <w:pStyle w:val="31"/>
        <w:ind w:firstLine="0" w:firstLineChars="0"/>
        <w:rPr>
          <w:rFonts w:hint="eastAsia" w:ascii="Cambria" w:hAnsi="Cambria" w:eastAsia="宋体" w:cs="Cambria"/>
          <w:kern w:val="0"/>
          <w:sz w:val="28"/>
          <w:szCs w:val="28"/>
          <w:lang w:eastAsia="zh-CN"/>
        </w:rPr>
      </w:pPr>
      <w:r>
        <w:rPr>
          <w:rFonts w:hint="eastAsia" w:ascii="Cambria" w:hAnsi="Cambria" w:cs="Cambria"/>
          <w:kern w:val="0"/>
          <w:sz w:val="28"/>
          <w:szCs w:val="28"/>
        </w:rPr>
        <w:t xml:space="preserve">2.1.3 </w:t>
      </w:r>
      <w:r>
        <w:rPr>
          <w:rFonts w:hint="eastAsia" w:ascii="Cambria" w:hAnsi="Cambria" w:cs="Cambria"/>
          <w:kern w:val="0"/>
          <w:sz w:val="28"/>
          <w:szCs w:val="28"/>
          <w:lang w:val="en-US" w:eastAsia="zh-CN"/>
        </w:rPr>
        <w:t>技术</w:t>
      </w:r>
      <w:r>
        <w:rPr>
          <w:rFonts w:hint="eastAsia" w:ascii="Cambria" w:hAnsi="Cambria" w:cs="Cambria"/>
          <w:kern w:val="0"/>
          <w:sz w:val="28"/>
          <w:szCs w:val="28"/>
          <w:lang w:eastAsia="zh-CN"/>
        </w:rPr>
        <w:t>部</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--负责体系文件及记录的控制和管理；</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--负责实施纠正预防措施；</w:t>
      </w:r>
    </w:p>
    <w:p>
      <w:pPr>
        <w:pStyle w:val="31"/>
        <w:ind w:firstLine="560"/>
        <w:rPr>
          <w:rFonts w:hint="eastAsia" w:ascii="Cambria" w:hAnsi="Cambria" w:cs="Cambria"/>
          <w:kern w:val="0"/>
          <w:sz w:val="28"/>
          <w:szCs w:val="28"/>
        </w:rPr>
      </w:pPr>
      <w:r>
        <w:rPr>
          <w:rFonts w:hint="eastAsia" w:ascii="Cambria" w:hAnsi="Cambria" w:cs="Cambria"/>
          <w:kern w:val="0"/>
          <w:sz w:val="28"/>
          <w:szCs w:val="28"/>
        </w:rPr>
        <w:t>--参加体系建立和运行的策划,协助管代做好内部审核；</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--负责管理体系过程的监视和测量；</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--负责数据的分析；</w:t>
      </w:r>
    </w:p>
    <w:p>
      <w:pPr>
        <w:pStyle w:val="31"/>
        <w:ind w:firstLine="560"/>
        <w:rPr>
          <w:rFonts w:hint="eastAsia" w:ascii="Cambria" w:hAnsi="Cambria" w:cs="Cambria"/>
          <w:kern w:val="0"/>
          <w:sz w:val="28"/>
          <w:szCs w:val="28"/>
        </w:rPr>
      </w:pPr>
      <w:r>
        <w:rPr>
          <w:rFonts w:hint="eastAsia" w:ascii="Cambria" w:hAnsi="Cambria" w:cs="Cambria"/>
          <w:kern w:val="0"/>
          <w:sz w:val="28"/>
          <w:szCs w:val="28"/>
        </w:rPr>
        <w:t>--协助管理者代表制订部门目标、指标及管理方案；</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--负责产品实现过程的策划和实施；</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--负责产品实现过程中产品的标识和防护的管理；</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--负责产品实现过程中产品的标识和防护的管理。</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--负责产品生产的作业指导书的编制并组织实施；</w:t>
      </w:r>
    </w:p>
    <w:p>
      <w:pPr>
        <w:pStyle w:val="31"/>
        <w:ind w:firstLine="560"/>
        <w:rPr>
          <w:rFonts w:hint="eastAsia" w:ascii="Cambria" w:hAnsi="Cambria" w:cs="Cambria"/>
          <w:kern w:val="0"/>
          <w:sz w:val="28"/>
          <w:szCs w:val="28"/>
        </w:rPr>
      </w:pPr>
      <w:r>
        <w:rPr>
          <w:rFonts w:hint="eastAsia" w:ascii="Cambria" w:hAnsi="Cambria" w:cs="Cambria"/>
          <w:kern w:val="0"/>
          <w:sz w:val="28"/>
          <w:szCs w:val="28"/>
        </w:rPr>
        <w:t>--负责生产和服务提供的控制；</w:t>
      </w:r>
    </w:p>
    <w:p>
      <w:pPr>
        <w:pStyle w:val="31"/>
        <w:ind w:firstLine="560"/>
        <w:rPr>
          <w:rFonts w:hint="eastAsia" w:ascii="Cambria" w:hAnsi="Cambria" w:cs="Cambria"/>
          <w:kern w:val="0"/>
          <w:sz w:val="28"/>
          <w:szCs w:val="28"/>
        </w:rPr>
      </w:pPr>
      <w:r>
        <w:rPr>
          <w:rFonts w:hint="eastAsia" w:ascii="Cambria" w:hAnsi="Cambria" w:cs="Cambria"/>
          <w:kern w:val="0"/>
          <w:sz w:val="28"/>
          <w:szCs w:val="28"/>
        </w:rPr>
        <w:t>--</w:t>
      </w:r>
      <w:bookmarkStart w:id="12" w:name="_Toc488941490"/>
      <w:bookmarkStart w:id="13" w:name="_Toc532973893"/>
      <w:r>
        <w:rPr>
          <w:rFonts w:hint="eastAsia" w:ascii="Cambria" w:hAnsi="Cambria" w:cs="Cambria"/>
          <w:kern w:val="0"/>
          <w:sz w:val="28"/>
          <w:szCs w:val="28"/>
        </w:rPr>
        <w:t>负责法律法规的收集、传达和开展合规性评价。</w:t>
      </w:r>
    </w:p>
    <w:p>
      <w:pPr>
        <w:pStyle w:val="31"/>
        <w:ind w:left="0" w:leftChars="0" w:firstLine="0" w:firstLineChars="0"/>
        <w:rPr>
          <w:rFonts w:hint="eastAsia" w:ascii="Cambria" w:hAnsi="Cambria" w:cs="Cambria"/>
          <w:kern w:val="0"/>
          <w:sz w:val="28"/>
          <w:szCs w:val="28"/>
          <w:lang w:val="en-US" w:eastAsia="zh-CN"/>
        </w:rPr>
      </w:pPr>
      <w:r>
        <w:rPr>
          <w:rFonts w:hint="eastAsia" w:ascii="Cambria" w:hAnsi="Cambria" w:cs="Cambria"/>
          <w:kern w:val="0"/>
          <w:sz w:val="28"/>
          <w:szCs w:val="28"/>
          <w:lang w:val="en-US" w:eastAsia="zh-CN"/>
        </w:rPr>
        <w:t>2.1.4品质部</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w:t>
      </w:r>
      <w:r>
        <w:rPr>
          <w:rFonts w:hint="eastAsia" w:ascii="Cambria" w:hAnsi="Cambria" w:cs="Cambria"/>
          <w:kern w:val="0"/>
          <w:sz w:val="28"/>
          <w:szCs w:val="28"/>
        </w:rPr>
        <w:t>负责产品的标识和可追溯性的控制和管理；</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w:t>
      </w:r>
      <w:r>
        <w:rPr>
          <w:rFonts w:hint="eastAsia" w:ascii="Cambria" w:hAnsi="Cambria" w:cs="Cambria"/>
          <w:kern w:val="0"/>
          <w:sz w:val="28"/>
          <w:szCs w:val="28"/>
        </w:rPr>
        <w:t>负责监视和测量设备的控制和管理；</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w:t>
      </w:r>
      <w:r>
        <w:rPr>
          <w:rFonts w:hint="eastAsia" w:ascii="Cambria" w:hAnsi="Cambria" w:cs="Cambria"/>
          <w:kern w:val="0"/>
          <w:sz w:val="28"/>
          <w:szCs w:val="28"/>
        </w:rPr>
        <w:t>负责过程的监视和测量；</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w:t>
      </w:r>
      <w:r>
        <w:rPr>
          <w:rFonts w:hint="eastAsia" w:ascii="Cambria" w:hAnsi="Cambria" w:cs="Cambria"/>
          <w:kern w:val="0"/>
          <w:sz w:val="28"/>
          <w:szCs w:val="28"/>
        </w:rPr>
        <w:t>负责产品的监视和测量；</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w:t>
      </w:r>
      <w:r>
        <w:rPr>
          <w:rFonts w:hint="eastAsia" w:ascii="Cambria" w:hAnsi="Cambria" w:cs="Cambria"/>
          <w:kern w:val="0"/>
          <w:sz w:val="28"/>
          <w:szCs w:val="28"/>
        </w:rPr>
        <w:t>负责质量不合格、纠正措施的控制和管理；</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w:t>
      </w:r>
      <w:r>
        <w:rPr>
          <w:rFonts w:hint="eastAsia" w:ascii="Cambria" w:hAnsi="Cambria" w:cs="Cambria"/>
          <w:kern w:val="0"/>
          <w:sz w:val="28"/>
          <w:szCs w:val="28"/>
        </w:rPr>
        <w:t>负责产品符合性及体系有关的数据分析；</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w:t>
      </w:r>
      <w:r>
        <w:rPr>
          <w:rFonts w:hint="eastAsia" w:ascii="Cambria" w:hAnsi="Cambria" w:cs="Cambria"/>
          <w:kern w:val="0"/>
          <w:sz w:val="28"/>
          <w:szCs w:val="28"/>
        </w:rPr>
        <w:t>负责本部门环境因素、危害和风险的识别和控制。</w:t>
      </w:r>
    </w:p>
    <w:p>
      <w:pPr>
        <w:pStyle w:val="5"/>
        <w:spacing w:before="0" w:after="0" w:line="480" w:lineRule="auto"/>
        <w:rPr>
          <w:rFonts w:ascii="宋体" w:hAnsi="宋体"/>
          <w:sz w:val="28"/>
          <w:szCs w:val="28"/>
        </w:rPr>
      </w:pPr>
      <w:r>
        <w:rPr>
          <w:rFonts w:hint="eastAsia" w:ascii="宋体" w:hAnsi="宋体"/>
          <w:sz w:val="28"/>
          <w:szCs w:val="28"/>
        </w:rPr>
        <w:t>2.2 质量管理体系</w:t>
      </w:r>
      <w:bookmarkEnd w:id="12"/>
      <w:bookmarkEnd w:id="13"/>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2.2.1公司按照 ISO9001：2015 标准要求建立质量管理体系，将其形成文件，加以保持和实施，并持续改进其有效性。为此应做到下述要求：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a)确定质量管理体系所需要的过程及其在整个组织中的应用，并根据这些过程对产品品质的影响大小及复杂程度进行相应的控制；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b) 确定过程之间的内在联系、顺序和相互作用；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c) 确定所需的准则和方法，以确保这些过程的运行和控制有效；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d) 确保可以获得必要的资源和信息，以支持对这些过程的运行和监视；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e) 监视、测量（适用时）和分析这些过程，以了解过程运行的趋势及实现策划结果的程度，并根据分析对过程采取必要的措施，以实现持续的改进；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f) 本公司确保对任何影响产品符合要求的外包过程加以识别，并实施控制。经过识别，公司无外包过程。今后有外包过程，则对外包过程的控制，按 ISO9001：2015 标准的 8.4 条款要求进行控制。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最高管理者必须确定在组织的相关职能和各层次上的质量目标和衡量方法，公司的质量目标和衡量方法必须包含在经营计划中。质量目标必须是可达成、可测量的，且与质量方针保持一致。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质量目标必须包括满足产品要求所需的内容，并且落实顾客期望；目前公司总的质量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目标项目为： </w:t>
      </w:r>
    </w:p>
    <w:p>
      <w:pPr>
        <w:numPr>
          <w:ilvl w:val="1"/>
          <w:numId w:val="1"/>
        </w:numPr>
        <w:tabs>
          <w:tab w:val="left" w:pos="1440"/>
        </w:tabs>
        <w:spacing w:beforeLines="0" w:afterLines="0"/>
        <w:rPr>
          <w:rFonts w:hint="default"/>
          <w:sz w:val="28"/>
          <w:szCs w:val="24"/>
        </w:rPr>
      </w:pPr>
      <w:r>
        <w:rPr>
          <w:rFonts w:hint="eastAsia" w:ascii="宋体" w:hAnsi="宋体" w:eastAsia="宋体"/>
          <w:sz w:val="28"/>
          <w:szCs w:val="24"/>
        </w:rPr>
        <w:t>保持整合型管理体系持续有效运行。</w:t>
      </w:r>
    </w:p>
    <w:p>
      <w:pPr>
        <w:numPr>
          <w:ilvl w:val="1"/>
          <w:numId w:val="1"/>
        </w:numPr>
        <w:tabs>
          <w:tab w:val="left" w:pos="1440"/>
        </w:tabs>
        <w:spacing w:beforeLines="0" w:afterLines="0"/>
        <w:rPr>
          <w:rFonts w:hint="default"/>
          <w:sz w:val="28"/>
          <w:szCs w:val="24"/>
        </w:rPr>
      </w:pPr>
      <w:r>
        <w:rPr>
          <w:rFonts w:hint="eastAsia" w:ascii="宋体" w:hAnsi="宋体" w:eastAsia="宋体"/>
          <w:sz w:val="28"/>
          <w:szCs w:val="24"/>
        </w:rPr>
        <w:t>杜绝质量事故；产品一次交验合格率98%。</w:t>
      </w:r>
    </w:p>
    <w:p>
      <w:pPr>
        <w:numPr>
          <w:ilvl w:val="1"/>
          <w:numId w:val="1"/>
        </w:numPr>
        <w:tabs>
          <w:tab w:val="left" w:pos="1440"/>
        </w:tabs>
        <w:spacing w:beforeLines="0" w:afterLines="0"/>
        <w:rPr>
          <w:rFonts w:hint="default"/>
          <w:sz w:val="28"/>
          <w:szCs w:val="24"/>
        </w:rPr>
      </w:pPr>
      <w:r>
        <w:rPr>
          <w:rFonts w:hint="eastAsia" w:ascii="宋体" w:hAnsi="宋体" w:eastAsia="宋体"/>
          <w:sz w:val="28"/>
          <w:szCs w:val="24"/>
        </w:rPr>
        <w:t>公司合同守约率为100%，顾客和相关方满意率达94%以上。</w:t>
      </w:r>
    </w:p>
    <w:p>
      <w:pPr>
        <w:numPr>
          <w:ilvl w:val="1"/>
          <w:numId w:val="1"/>
        </w:numPr>
        <w:tabs>
          <w:tab w:val="left" w:pos="1440"/>
        </w:tabs>
        <w:spacing w:beforeLines="0" w:afterLines="0"/>
        <w:rPr>
          <w:rFonts w:hint="default"/>
          <w:sz w:val="28"/>
          <w:szCs w:val="24"/>
        </w:rPr>
      </w:pPr>
      <w:r>
        <w:rPr>
          <w:rFonts w:hint="eastAsia" w:ascii="宋体" w:hAnsi="宋体" w:eastAsia="宋体"/>
          <w:sz w:val="28"/>
          <w:szCs w:val="24"/>
        </w:rPr>
        <w:t>厂界噪声、废水、烟气达标排放</w:t>
      </w:r>
    </w:p>
    <w:p>
      <w:pPr>
        <w:numPr>
          <w:ilvl w:val="1"/>
          <w:numId w:val="1"/>
        </w:numPr>
        <w:tabs>
          <w:tab w:val="left" w:pos="1440"/>
        </w:tabs>
        <w:spacing w:beforeLines="0" w:afterLines="0"/>
        <w:rPr>
          <w:rFonts w:hint="default"/>
          <w:sz w:val="28"/>
          <w:szCs w:val="24"/>
        </w:rPr>
      </w:pPr>
      <w:r>
        <w:rPr>
          <w:rFonts w:hint="eastAsia" w:ascii="宋体" w:hAnsi="宋体" w:eastAsia="宋体"/>
          <w:sz w:val="28"/>
          <w:szCs w:val="24"/>
        </w:rPr>
        <w:t>火灾、死亡、发生率为零，负伤频率年小于2‰。</w:t>
      </w:r>
    </w:p>
    <w:p>
      <w:pPr>
        <w:pStyle w:val="31"/>
        <w:ind w:firstLine="560"/>
        <w:rPr>
          <w:rFonts w:hint="eastAsia" w:ascii="Cambria" w:hAnsi="Cambria" w:cs="Cambria"/>
          <w:kern w:val="0"/>
          <w:sz w:val="28"/>
          <w:szCs w:val="28"/>
        </w:rPr>
      </w:pPr>
      <w:r>
        <w:rPr>
          <w:rFonts w:hint="default" w:ascii="Cambria" w:hAnsi="Cambria" w:cs="Cambria"/>
          <w:kern w:val="0"/>
          <w:sz w:val="28"/>
          <w:szCs w:val="28"/>
          <w:lang w:val="en-US" w:eastAsia="zh-CN"/>
        </w:rPr>
        <w:t>202</w:t>
      </w:r>
      <w:r>
        <w:rPr>
          <w:rFonts w:hint="eastAsia" w:ascii="Cambria" w:hAnsi="Cambria" w:cs="Cambria"/>
          <w:kern w:val="0"/>
          <w:sz w:val="28"/>
          <w:szCs w:val="28"/>
          <w:lang w:val="en-US" w:eastAsia="zh-CN"/>
        </w:rPr>
        <w:t xml:space="preserve">2年年 质 量 诚 信 报 告 </w:t>
      </w:r>
    </w:p>
    <w:p>
      <w:pPr>
        <w:pStyle w:val="31"/>
        <w:ind w:firstLine="560"/>
        <w:rPr>
          <w:rFonts w:hint="eastAsia" w:ascii="Cambria" w:hAnsi="Cambria" w:cs="Cambria"/>
          <w:kern w:val="0"/>
          <w:sz w:val="28"/>
          <w:szCs w:val="28"/>
        </w:rPr>
      </w:pPr>
      <w:r>
        <w:rPr>
          <w:rFonts w:hint="default" w:ascii="Cambria" w:hAnsi="Cambria" w:cs="Cambria"/>
          <w:kern w:val="0"/>
          <w:sz w:val="28"/>
          <w:szCs w:val="28"/>
          <w:lang w:val="en-US" w:eastAsia="zh-CN"/>
        </w:rPr>
        <w:t xml:space="preserve"> </w:t>
      </w:r>
      <w:r>
        <w:rPr>
          <w:rFonts w:hint="eastAsia" w:ascii="Cambria" w:hAnsi="Cambria" w:cs="Cambria"/>
          <w:kern w:val="0"/>
          <w:sz w:val="28"/>
          <w:szCs w:val="28"/>
          <w:lang w:val="en-US" w:eastAsia="zh-CN"/>
        </w:rPr>
        <w:t xml:space="preserve">客户满意率达到 94%以上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 xml:space="preserve">以上项目在每年年度计划时定出实际目标值。 </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2.2.2公司先后通过了 ISO 9001：2015 质量管理体系、ISO 14001：2015 环境管理体系认证、GB/T 45001-2020 职业健康和安全管理体系认证，并有效导入到各岗位，提升各单位的管理水平。</w:t>
      </w:r>
    </w:p>
    <w:p>
      <w:pPr>
        <w:pStyle w:val="31"/>
        <w:ind w:firstLine="560"/>
        <w:rPr>
          <w:rFonts w:hint="eastAsia" w:ascii="Cambria" w:hAnsi="Cambria" w:cs="Cambria"/>
          <w:kern w:val="0"/>
          <w:sz w:val="28"/>
          <w:szCs w:val="28"/>
        </w:rPr>
        <w:sectPr>
          <w:pgSz w:w="11906" w:h="16838"/>
          <w:pgMar w:top="1440" w:right="1080" w:bottom="1440" w:left="1080" w:header="851" w:footer="992" w:gutter="0"/>
          <w:pgNumType w:start="1"/>
          <w:cols w:space="425" w:num="1"/>
          <w:docGrid w:type="lines" w:linePitch="312" w:charSpace="0"/>
        </w:sectPr>
      </w:pPr>
      <w:r>
        <w:rPr>
          <w:rFonts w:hint="eastAsia" w:ascii="Cambria" w:hAnsi="Cambria" w:cs="Cambria"/>
          <w:kern w:val="0"/>
          <w:sz w:val="28"/>
          <w:szCs w:val="28"/>
        </w:rPr>
        <w:cr/>
      </w:r>
    </w:p>
    <w:p>
      <w:pPr>
        <w:pStyle w:val="4"/>
        <w:jc w:val="center"/>
      </w:pPr>
      <w:bookmarkStart w:id="14" w:name="_Toc6639_WPSOffice_Level1"/>
      <w:bookmarkStart w:id="15" w:name="_Toc532973894"/>
      <w:bookmarkStart w:id="16" w:name="_Toc488941491"/>
      <w:bookmarkStart w:id="17" w:name="_Toc16909"/>
      <w:r>
        <w:rPr>
          <w:rFonts w:hint="eastAsia"/>
        </w:rPr>
        <w:t>第三章 质量诚信</w:t>
      </w:r>
      <w:bookmarkEnd w:id="14"/>
      <w:bookmarkEnd w:id="15"/>
      <w:bookmarkEnd w:id="16"/>
      <w:bookmarkEnd w:id="17"/>
    </w:p>
    <w:p>
      <w:pPr>
        <w:pStyle w:val="5"/>
        <w:spacing w:before="0" w:after="0" w:line="480" w:lineRule="auto"/>
        <w:rPr>
          <w:rFonts w:ascii="宋体" w:hAnsi="宋体"/>
          <w:sz w:val="28"/>
          <w:szCs w:val="28"/>
        </w:rPr>
      </w:pPr>
      <w:bookmarkStart w:id="18" w:name="_Toc488941492"/>
      <w:bookmarkStart w:id="19" w:name="_Toc532973895"/>
      <w:r>
        <w:rPr>
          <w:rFonts w:hint="eastAsia" w:ascii="宋体" w:hAnsi="宋体"/>
          <w:sz w:val="28"/>
          <w:szCs w:val="28"/>
          <w:lang w:val="en-US"/>
        </w:rPr>
        <w:t>3.1</w:t>
      </w:r>
      <w:bookmarkEnd w:id="18"/>
      <w:bookmarkEnd w:id="19"/>
      <w:r>
        <w:rPr>
          <w:rFonts w:hint="eastAsia" w:ascii="宋体" w:hAnsi="宋体"/>
          <w:sz w:val="28"/>
          <w:szCs w:val="28"/>
        </w:rPr>
        <w:t>产品设计、原材料或零部件采购、生产和售后过程中的质量诚信管理</w:t>
      </w:r>
    </w:p>
    <w:p>
      <w:pPr>
        <w:pStyle w:val="31"/>
        <w:ind w:firstLine="0" w:firstLineChars="0"/>
        <w:rPr>
          <w:rFonts w:hint="default" w:ascii="Cambria" w:hAnsi="Cambria" w:eastAsia="宋体" w:cs="Cambria"/>
          <w:kern w:val="0"/>
          <w:sz w:val="28"/>
          <w:szCs w:val="28"/>
          <w:lang w:val="en-US" w:eastAsia="zh-CN"/>
        </w:rPr>
      </w:pPr>
      <w:r>
        <w:rPr>
          <w:rFonts w:hint="eastAsia" w:ascii="Cambria" w:hAnsi="Cambria" w:cs="Cambria"/>
          <w:kern w:val="0"/>
          <w:sz w:val="28"/>
          <w:szCs w:val="28"/>
        </w:rPr>
        <w:t xml:space="preserve">3.1.1 </w:t>
      </w:r>
      <w:r>
        <w:rPr>
          <w:rFonts w:hint="eastAsia" w:ascii="Cambria" w:hAnsi="Cambria" w:cs="Cambria"/>
          <w:kern w:val="0"/>
          <w:sz w:val="28"/>
          <w:szCs w:val="28"/>
          <w:lang w:val="en-US" w:eastAsia="zh-CN"/>
        </w:rPr>
        <w:t>产品设计诚信管理</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公司</w:t>
      </w:r>
      <w:r>
        <w:rPr>
          <w:rFonts w:hint="eastAsia" w:ascii="Cambria" w:hAnsi="Cambria" w:cs="Cambria"/>
          <w:kern w:val="0"/>
          <w:sz w:val="28"/>
          <w:szCs w:val="28"/>
        </w:rPr>
        <w:t>高度重视技术创新和成果转化，公司是浙江省机械工业重点骨干企业、浙江省电缆行业协会副会长单位；先后荣获“浙江省2020年度‘隐形冠军’培育企业”“浙江省2021年度‘专精特新’企业”等荣誉。公司积极与科研、高效院所进行合作，例如与浙江工业大学兰溪研究院合作，开展陶瓷硅橡胶耐火材料的研究（具有更低成本，更好的加工工艺，直接可以在挤塑机上挤出）。目前，公司5项专利申请已受理，其中3项为发明专利；参与编制标准4项。</w:t>
      </w:r>
    </w:p>
    <w:p>
      <w:pPr>
        <w:pStyle w:val="31"/>
        <w:ind w:firstLine="560"/>
        <w:rPr>
          <w:rFonts w:hint="eastAsia" w:ascii="Cambria" w:hAnsi="Cambria" w:cs="Cambria"/>
          <w:kern w:val="0"/>
          <w:sz w:val="28"/>
          <w:szCs w:val="28"/>
          <w:lang w:eastAsia="zh-CN"/>
        </w:rPr>
      </w:pPr>
      <w:r>
        <w:rPr>
          <w:rFonts w:hint="eastAsia" w:ascii="Cambria" w:hAnsi="Cambria" w:cs="Cambria"/>
          <w:kern w:val="0"/>
          <w:sz w:val="28"/>
          <w:szCs w:val="28"/>
        </w:rPr>
        <w:t>根据战略规划、顾客及市场、法律法规的相关要求，结合行业特点，设计了研发管理过程，制定了《设计和开发控制程序》等管理标准，对研发过程各阶段的输入、输出及管控要求进行了明确规定</w:t>
      </w:r>
      <w:r>
        <w:rPr>
          <w:rFonts w:hint="eastAsia" w:ascii="Cambria" w:hAnsi="Cambria" w:cs="Cambria"/>
          <w:kern w:val="0"/>
          <w:sz w:val="28"/>
          <w:szCs w:val="28"/>
          <w:lang w:eastAsia="zh-CN"/>
        </w:rPr>
        <w:t>。</w:t>
      </w:r>
    </w:p>
    <w:p>
      <w:pPr>
        <w:pStyle w:val="31"/>
        <w:ind w:firstLine="560"/>
        <w:rPr>
          <w:rFonts w:hint="eastAsia" w:ascii="Cambria" w:hAnsi="Cambria" w:cs="Cambria"/>
          <w:kern w:val="0"/>
          <w:sz w:val="28"/>
          <w:szCs w:val="28"/>
          <w:lang w:eastAsia="zh-CN"/>
        </w:rPr>
      </w:pPr>
      <w:r>
        <w:rPr>
          <w:rFonts w:hint="eastAsia" w:ascii="Cambria" w:hAnsi="Cambria" w:cs="Cambria"/>
          <w:kern w:val="0"/>
          <w:sz w:val="28"/>
          <w:szCs w:val="28"/>
          <w:lang w:eastAsia="zh-CN"/>
        </w:rPr>
        <w:t>公司主要产品均按IEC标准、GB标准生产；生产的35KV及以下交联电力电缆、架空绝缘电缆、钢芯铝绞线、稀土铝导线、铝包钢芯铝绞线、全塑电力电缆、控制电缆、阻燃耐火系列电缆、电梯电缆、民用布电线等主导产品先后被国家机械电子工业部评为优质产品。同时，公司产品通过了3C认证、电能（北京）产品认证中心(PCCC)认证等多项资质认证，使公司产品有了强有力的质量保证。公司产品先后荣获“浙江省名牌产品”“浙江省著名商标”等荣誉。</w:t>
      </w:r>
    </w:p>
    <w:p>
      <w:pPr>
        <w:pStyle w:val="31"/>
        <w:ind w:firstLine="0" w:firstLineChars="0"/>
        <w:rPr>
          <w:rFonts w:ascii="Cambria" w:hAnsi="Cambria" w:cs="Cambria"/>
          <w:kern w:val="0"/>
          <w:sz w:val="28"/>
          <w:szCs w:val="28"/>
        </w:rPr>
      </w:pPr>
      <w:r>
        <w:rPr>
          <w:rFonts w:hint="eastAsia" w:ascii="Cambria" w:hAnsi="Cambria" w:cs="Cambria"/>
          <w:kern w:val="0"/>
          <w:sz w:val="28"/>
          <w:szCs w:val="28"/>
        </w:rPr>
        <w:t>3.1.2 原材料或零部件采购诚信管理</w:t>
      </w:r>
    </w:p>
    <w:p>
      <w:pPr>
        <w:pStyle w:val="31"/>
        <w:ind w:firstLine="560" w:firstLineChars="200"/>
        <w:rPr>
          <w:rFonts w:hint="eastAsia" w:ascii="Cambria" w:hAnsi="Cambria" w:cs="Cambria"/>
          <w:kern w:val="0"/>
          <w:sz w:val="28"/>
          <w:szCs w:val="28"/>
        </w:rPr>
      </w:pPr>
      <w:r>
        <w:rPr>
          <w:rFonts w:hint="eastAsia" w:ascii="Cambria" w:hAnsi="Cambria" w:cs="Cambria"/>
          <w:kern w:val="0"/>
          <w:sz w:val="28"/>
          <w:szCs w:val="28"/>
        </w:rPr>
        <w:t>公司根据“长期合作、互利双赢”的经营理念和“比质比价，货比三家”的原则，以三合一管理体系、供应链管理系统等信息平台为依托，从供应商管理、采购业务过程和进货检验等三方面对采购管理过程进行设计，满足采购过程的主要要求，实现公司的经营目标。公司制订采购控制程序、采购检验标准等供方管理、原料采购、供方评估及成本控制文件，确保采购过程的有效性。</w:t>
      </w:r>
    </w:p>
    <w:p>
      <w:pPr>
        <w:pStyle w:val="31"/>
        <w:ind w:firstLine="560" w:firstLineChars="200"/>
        <w:rPr>
          <w:rFonts w:hint="eastAsia" w:ascii="Cambria" w:hAnsi="Cambria" w:cs="Cambria"/>
          <w:kern w:val="0"/>
          <w:sz w:val="28"/>
          <w:szCs w:val="28"/>
        </w:rPr>
      </w:pPr>
      <w:r>
        <w:rPr>
          <w:rFonts w:hint="eastAsia" w:ascii="Cambria" w:hAnsi="Cambria" w:cs="Cambria"/>
          <w:kern w:val="0"/>
          <w:sz w:val="28"/>
          <w:szCs w:val="28"/>
        </w:rPr>
        <w:t>公司制定了严格的供应商管理和筛选制度，在建立合格供应商档案前需要进行实地考察、确认样品、现场审核等一系列评审，以确保公司供应商提供产品的品质及其交货能力。并且，公司定期对供应商进行评估、筛选和淘汰。公司供应部及时组织采购，并随时监控供货进度。采购物料送达后，由品质部对进厂物料进行检验与试验，检验合格后入库并保存采购记录。</w:t>
      </w:r>
    </w:p>
    <w:p>
      <w:pPr>
        <w:pStyle w:val="31"/>
        <w:ind w:left="0" w:leftChars="0" w:firstLine="0" w:firstLineChars="0"/>
        <w:rPr>
          <w:rFonts w:ascii="Cambria" w:hAnsi="Cambria" w:cs="Cambria"/>
          <w:kern w:val="0"/>
          <w:sz w:val="28"/>
          <w:szCs w:val="28"/>
        </w:rPr>
      </w:pPr>
      <w:r>
        <w:rPr>
          <w:rFonts w:hint="eastAsia" w:ascii="Cambria" w:hAnsi="Cambria" w:cs="Cambria"/>
          <w:kern w:val="0"/>
          <w:sz w:val="28"/>
          <w:szCs w:val="28"/>
        </w:rPr>
        <w:t>3.1.3 生产过程诚信管理</w:t>
      </w:r>
    </w:p>
    <w:p>
      <w:pPr>
        <w:pStyle w:val="31"/>
        <w:ind w:firstLine="560"/>
        <w:rPr>
          <w:rFonts w:hint="eastAsia" w:ascii="Cambria" w:hAnsi="Cambria" w:cs="Cambria"/>
          <w:kern w:val="0"/>
          <w:sz w:val="28"/>
          <w:szCs w:val="28"/>
        </w:rPr>
      </w:pPr>
      <w:r>
        <w:rPr>
          <w:rFonts w:hint="eastAsia" w:ascii="Cambria" w:hAnsi="Cambria" w:cs="Cambria"/>
          <w:kern w:val="0"/>
          <w:sz w:val="28"/>
          <w:szCs w:val="28"/>
        </w:rPr>
        <w:t>公司产品生产以备货生产为主，订单生产为辅，结合库存信息、订单信息制定各层级生产计划，并将计划合理分配到生产车间，各车间按计划组织生产。公司制定了《生产和服务提供控制程序》、《产品标识与可追溯性控制程序》等生产管控制度，并按制度要求开展生产过程监控、检查、协调等工作，同时，借助ERP管理平台，对生产计划分解、执行跟踪、对生产过程信息进行跟踪，实现生产过程的高效管控，提供满足要求的产品。</w:t>
      </w:r>
    </w:p>
    <w:p>
      <w:pPr>
        <w:pStyle w:val="31"/>
        <w:ind w:firstLine="560"/>
        <w:rPr>
          <w:rFonts w:hint="eastAsia" w:ascii="Cambria" w:hAnsi="Cambria" w:cs="Cambria"/>
          <w:kern w:val="0"/>
          <w:sz w:val="28"/>
          <w:szCs w:val="28"/>
          <w:lang w:val="en-US" w:eastAsia="zh-CN"/>
        </w:rPr>
      </w:pPr>
      <w:r>
        <w:rPr>
          <w:rFonts w:hint="eastAsia" w:ascii="Cambria" w:hAnsi="Cambria" w:cs="Cambria"/>
          <w:kern w:val="0"/>
          <w:sz w:val="28"/>
          <w:szCs w:val="28"/>
          <w:lang w:val="en-US" w:eastAsia="zh-CN"/>
        </w:rPr>
        <w:t>公司建立6S管理制度，开展现场管理评比，通过日常6S点检、6S作业指导书、典型不规范案例、6S打分评比等手段，促进全员开展6S管理，提升现场管理水平。</w:t>
      </w:r>
    </w:p>
    <w:p>
      <w:pPr>
        <w:pStyle w:val="31"/>
        <w:ind w:firstLine="560"/>
        <w:rPr>
          <w:rFonts w:hint="eastAsia" w:ascii="Cambria" w:hAnsi="Cambria" w:cs="Cambria"/>
          <w:kern w:val="0"/>
          <w:sz w:val="28"/>
          <w:szCs w:val="28"/>
        </w:rPr>
      </w:pPr>
      <w:r>
        <w:rPr>
          <w:rFonts w:hint="eastAsia" w:ascii="Cambria" w:hAnsi="Cambria" w:cs="Cambria"/>
          <w:kern w:val="0"/>
          <w:sz w:val="28"/>
          <w:szCs w:val="28"/>
        </w:rPr>
        <w:t>公司始终将安全生产放在首位，对安全工作细致部署、责任到人，切实保障员工人身和企业财产安全，主要举措如下：</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a)</w:t>
      </w:r>
      <w:r>
        <w:rPr>
          <w:rFonts w:hint="eastAsia" w:ascii="Cambria" w:hAnsi="Cambria" w:cs="Cambria"/>
          <w:kern w:val="0"/>
          <w:sz w:val="28"/>
          <w:szCs w:val="28"/>
        </w:rPr>
        <w:t>岗前安全教育：新进员工上岗前必须进行公司、车间、班组安全知识教育，同时对于从事特殊工种的人员，上岗前进行专业安全技术培训，经有关部门考核并取得合格操作证（执照）后，才能独立操作。</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b)</w:t>
      </w:r>
      <w:r>
        <w:rPr>
          <w:rFonts w:hint="eastAsia" w:ascii="Cambria" w:hAnsi="Cambria" w:cs="Cambria"/>
          <w:kern w:val="0"/>
          <w:sz w:val="28"/>
          <w:szCs w:val="28"/>
        </w:rPr>
        <w:t>过程安全检查：员工每天操作前对自己操作的设备或将要进行的工作进行自检，确认安全后方可操作；同时生产主管、安全管理员不定期进行生产现场巡视和检查安全生产状况，发现违反安全操作的员工进行立即整改及相应处罚。同时公司办保卫科将不定期组织相关部门进行安全监查。</w:t>
      </w:r>
    </w:p>
    <w:p>
      <w:pPr>
        <w:pStyle w:val="31"/>
        <w:ind w:firstLine="560"/>
        <w:rPr>
          <w:rFonts w:hint="eastAsia" w:ascii="Cambria" w:hAnsi="Cambria" w:cs="Cambria"/>
          <w:kern w:val="0"/>
          <w:sz w:val="28"/>
          <w:szCs w:val="28"/>
        </w:rPr>
      </w:pPr>
      <w:r>
        <w:rPr>
          <w:rFonts w:hint="eastAsia" w:ascii="Cambria" w:hAnsi="Cambria" w:cs="Cambria"/>
          <w:kern w:val="0"/>
          <w:sz w:val="28"/>
          <w:szCs w:val="28"/>
          <w:lang w:val="en-US" w:eastAsia="zh-CN"/>
        </w:rPr>
        <w:t>c)</w:t>
      </w:r>
      <w:r>
        <w:rPr>
          <w:rFonts w:hint="eastAsia" w:ascii="Cambria" w:hAnsi="Cambria" w:cs="Cambria"/>
          <w:kern w:val="0"/>
          <w:sz w:val="28"/>
          <w:szCs w:val="28"/>
        </w:rPr>
        <w:t>其它：公司每年举办一期安全生产月活动，进行全员安全教育、消防演练等活动；安全事故发生后，按照《应急响应预案》要求快速处理。同时危险化学品按照《危险品管理制度》进行管理。</w:t>
      </w:r>
    </w:p>
    <w:p>
      <w:pPr>
        <w:pStyle w:val="31"/>
        <w:ind w:firstLine="0" w:firstLineChars="0"/>
        <w:rPr>
          <w:rFonts w:ascii="Cambria" w:hAnsi="Cambria" w:cs="Cambria"/>
          <w:kern w:val="0"/>
          <w:sz w:val="28"/>
          <w:szCs w:val="28"/>
        </w:rPr>
      </w:pPr>
      <w:r>
        <w:rPr>
          <w:rFonts w:hint="eastAsia" w:ascii="Cambria" w:hAnsi="Cambria" w:cs="Cambria"/>
          <w:kern w:val="0"/>
          <w:sz w:val="28"/>
          <w:szCs w:val="28"/>
        </w:rPr>
        <w:t>3.1.4 产品售后质量诚信管理</w:t>
      </w:r>
    </w:p>
    <w:p>
      <w:pPr>
        <w:pStyle w:val="31"/>
        <w:ind w:firstLine="560"/>
        <w:rPr>
          <w:rFonts w:hint="eastAsia" w:ascii="Cambria" w:hAnsi="Cambria" w:cs="Cambria"/>
          <w:kern w:val="0"/>
          <w:sz w:val="28"/>
          <w:szCs w:val="28"/>
        </w:rPr>
      </w:pPr>
      <w:bookmarkStart w:id="20" w:name="_Toc532973896"/>
      <w:bookmarkStart w:id="21" w:name="_Toc488941493"/>
      <w:r>
        <w:rPr>
          <w:rFonts w:hint="eastAsia" w:ascii="Cambria" w:hAnsi="Cambria" w:cs="Cambria"/>
          <w:kern w:val="0"/>
          <w:sz w:val="28"/>
          <w:szCs w:val="28"/>
          <w:lang w:val="en-US" w:eastAsia="zh-CN"/>
        </w:rPr>
        <w:t>公司</w:t>
      </w:r>
      <w:r>
        <w:rPr>
          <w:rFonts w:hint="eastAsia" w:ascii="Cambria" w:hAnsi="Cambria" w:cs="Cambria"/>
          <w:kern w:val="0"/>
          <w:sz w:val="28"/>
          <w:szCs w:val="28"/>
        </w:rPr>
        <w:t>设立售后质量服务人员岗位</w:t>
      </w:r>
      <w:r>
        <w:rPr>
          <w:rFonts w:hint="eastAsia" w:ascii="Cambria" w:hAnsi="Cambria" w:cs="Cambria"/>
          <w:kern w:val="0"/>
          <w:sz w:val="28"/>
          <w:szCs w:val="28"/>
          <w:lang w:eastAsia="zh-CN"/>
        </w:rPr>
        <w:t>，</w:t>
      </w:r>
      <w:r>
        <w:rPr>
          <w:rFonts w:hint="eastAsia" w:ascii="Cambria" w:hAnsi="Cambria" w:cs="Cambria"/>
          <w:kern w:val="0"/>
          <w:sz w:val="28"/>
          <w:szCs w:val="28"/>
        </w:rPr>
        <w:t>配置专职人员开展负责客户现场质量反馈问题的处置，快速响应顾客。</w:t>
      </w:r>
    </w:p>
    <w:p>
      <w:pPr>
        <w:pStyle w:val="31"/>
        <w:ind w:firstLine="560"/>
        <w:rPr>
          <w:rFonts w:hint="eastAsia" w:ascii="Cambria" w:hAnsi="Cambria" w:cs="Cambria"/>
          <w:kern w:val="0"/>
          <w:sz w:val="28"/>
          <w:szCs w:val="28"/>
        </w:rPr>
      </w:pPr>
      <w:r>
        <w:rPr>
          <w:rFonts w:hint="eastAsia" w:ascii="Cambria" w:hAnsi="Cambria" w:cs="Cambria"/>
          <w:kern w:val="0"/>
          <w:sz w:val="28"/>
          <w:szCs w:val="28"/>
        </w:rPr>
        <w:t>质量记录的持续完善</w:t>
      </w:r>
      <w:r>
        <w:rPr>
          <w:rFonts w:hint="eastAsia" w:ascii="Cambria" w:hAnsi="Cambria" w:cs="Cambria"/>
          <w:kern w:val="0"/>
          <w:sz w:val="28"/>
          <w:szCs w:val="28"/>
          <w:lang w:eastAsia="zh-CN"/>
        </w:rPr>
        <w:t>，</w:t>
      </w:r>
      <w:r>
        <w:rPr>
          <w:rFonts w:hint="eastAsia" w:ascii="Cambria" w:hAnsi="Cambria" w:cs="Cambria"/>
          <w:kern w:val="0"/>
          <w:sz w:val="28"/>
          <w:szCs w:val="28"/>
        </w:rPr>
        <w:t>通过电子手段，对各项质量数据、信息进行记录，开展分析的同时，便于开展质量追溯。</w:t>
      </w:r>
    </w:p>
    <w:p>
      <w:pPr>
        <w:pStyle w:val="31"/>
        <w:ind w:firstLine="560"/>
        <w:rPr>
          <w:rFonts w:ascii="Cambria" w:hAnsi="Cambria" w:cs="Cambria"/>
          <w:kern w:val="0"/>
          <w:sz w:val="28"/>
          <w:szCs w:val="28"/>
        </w:rPr>
      </w:pPr>
      <w:r>
        <w:rPr>
          <w:rFonts w:hint="eastAsia" w:ascii="Cambria" w:hAnsi="Cambria" w:cs="Cambria"/>
          <w:kern w:val="0"/>
          <w:sz w:val="28"/>
          <w:szCs w:val="28"/>
        </w:rPr>
        <w:t>优化客诉流程</w:t>
      </w:r>
      <w:r>
        <w:rPr>
          <w:rFonts w:hint="eastAsia" w:ascii="Cambria" w:hAnsi="Cambria" w:cs="Cambria"/>
          <w:kern w:val="0"/>
          <w:sz w:val="28"/>
          <w:szCs w:val="28"/>
          <w:lang w:eastAsia="zh-CN"/>
        </w:rPr>
        <w:t>，</w:t>
      </w:r>
      <w:r>
        <w:rPr>
          <w:rFonts w:hint="eastAsia" w:ascii="Cambria" w:hAnsi="Cambria" w:cs="Cambria"/>
          <w:kern w:val="0"/>
          <w:sz w:val="28"/>
          <w:szCs w:val="28"/>
        </w:rPr>
        <w:t>加强客诉问题的时效管理，明确不同客诉的回复时限，必要时到客户现场进行产品质量跟踪，提升客诉处理的及时性。</w:t>
      </w:r>
    </w:p>
    <w:bookmarkEnd w:id="20"/>
    <w:bookmarkEnd w:id="21"/>
    <w:p>
      <w:pPr>
        <w:pStyle w:val="5"/>
        <w:spacing w:before="0" w:after="0" w:line="480" w:lineRule="auto"/>
        <w:rPr>
          <w:rFonts w:ascii="宋体" w:hAnsi="宋体"/>
          <w:sz w:val="28"/>
          <w:szCs w:val="28"/>
          <w:lang w:val="en-US"/>
        </w:rPr>
      </w:pPr>
      <w:r>
        <w:rPr>
          <w:rFonts w:hint="eastAsia" w:ascii="宋体" w:hAnsi="宋体"/>
          <w:sz w:val="28"/>
          <w:szCs w:val="28"/>
          <w:lang w:val="en-US"/>
        </w:rPr>
        <w:t>3.2质量诚信教育</w:t>
      </w:r>
    </w:p>
    <w:p>
      <w:pPr>
        <w:pStyle w:val="31"/>
        <w:ind w:firstLine="0" w:firstLineChars="0"/>
        <w:rPr>
          <w:rFonts w:ascii="Cambria" w:hAnsi="Cambria" w:cs="Cambria"/>
          <w:kern w:val="0"/>
          <w:sz w:val="28"/>
          <w:szCs w:val="28"/>
        </w:rPr>
      </w:pPr>
      <w:r>
        <w:rPr>
          <w:rFonts w:hint="eastAsia" w:ascii="Cambria" w:hAnsi="Cambria" w:cs="Cambria"/>
          <w:kern w:val="0"/>
          <w:sz w:val="28"/>
          <w:szCs w:val="28"/>
        </w:rPr>
        <w:t>3.2.1 诚信教育</w:t>
      </w:r>
    </w:p>
    <w:p>
      <w:pPr>
        <w:pStyle w:val="31"/>
        <w:ind w:firstLine="560"/>
        <w:rPr>
          <w:rFonts w:ascii="Cambria" w:hAnsi="Cambria" w:cs="Cambria"/>
          <w:kern w:val="0"/>
          <w:sz w:val="28"/>
          <w:szCs w:val="28"/>
        </w:rPr>
      </w:pPr>
      <w:r>
        <w:rPr>
          <w:rFonts w:hint="eastAsia" w:ascii="Cambria" w:hAnsi="Cambria" w:cs="Cambria"/>
          <w:kern w:val="0"/>
          <w:sz w:val="28"/>
          <w:szCs w:val="28"/>
        </w:rPr>
        <w:t>公司通过《</w:t>
      </w:r>
      <w:r>
        <w:rPr>
          <w:rFonts w:hint="eastAsia" w:ascii="Cambria" w:hAnsi="Cambria" w:cs="Cambria"/>
          <w:kern w:val="0"/>
          <w:sz w:val="28"/>
          <w:szCs w:val="28"/>
          <w:lang w:eastAsia="zh-CN"/>
        </w:rPr>
        <w:t>培训控制程序</w:t>
      </w:r>
      <w:r>
        <w:rPr>
          <w:rFonts w:hint="eastAsia" w:ascii="Cambria" w:hAnsi="Cambria" w:cs="Cambria"/>
          <w:kern w:val="0"/>
          <w:sz w:val="28"/>
          <w:szCs w:val="28"/>
        </w:rPr>
        <w:t>》，对质量诚信教育制定培训方案，通过培训评价对培训效果进行验证，在全公司范围内推广和宣传质量诚信的精神。</w:t>
      </w:r>
    </w:p>
    <w:p>
      <w:pPr>
        <w:pStyle w:val="31"/>
        <w:ind w:firstLine="560"/>
        <w:rPr>
          <w:rFonts w:ascii="Cambria" w:hAnsi="Cambria" w:cs="Cambria"/>
          <w:kern w:val="0"/>
          <w:sz w:val="28"/>
          <w:szCs w:val="28"/>
        </w:rPr>
      </w:pPr>
      <w:r>
        <w:rPr>
          <w:rFonts w:hint="eastAsia" w:ascii="Cambria" w:hAnsi="Cambria" w:cs="Cambria"/>
          <w:kern w:val="0"/>
          <w:sz w:val="28"/>
          <w:szCs w:val="28"/>
        </w:rPr>
        <w:t>为加强生产过程质量控制和提高员工质量意识，公司不定期组织相关质量意识、诚信意识、工艺要求、设备知识等技能培训以及学历培训，由公司内训师或外聘讲师负责技能培训。形式、方法多样，以提高培训效果。根据培训情况后续持续关注培训效果并作效果评估。</w:t>
      </w:r>
    </w:p>
    <w:p>
      <w:pPr>
        <w:pStyle w:val="31"/>
        <w:ind w:firstLine="0" w:firstLineChars="0"/>
        <w:rPr>
          <w:rFonts w:ascii="Cambria" w:hAnsi="Cambria" w:cs="Cambria"/>
          <w:kern w:val="0"/>
          <w:sz w:val="28"/>
          <w:szCs w:val="28"/>
        </w:rPr>
      </w:pPr>
      <w:r>
        <w:rPr>
          <w:rFonts w:hint="eastAsia" w:ascii="Cambria" w:hAnsi="Cambria" w:cs="Cambria"/>
          <w:kern w:val="0"/>
          <w:sz w:val="28"/>
          <w:szCs w:val="28"/>
        </w:rPr>
        <w:t>3.2.2 诚信自律</w:t>
      </w:r>
    </w:p>
    <w:p>
      <w:pPr>
        <w:pStyle w:val="31"/>
        <w:ind w:firstLine="560"/>
        <w:rPr>
          <w:rFonts w:ascii="Cambria" w:hAnsi="Cambria" w:cs="Cambria"/>
          <w:kern w:val="0"/>
          <w:sz w:val="28"/>
          <w:szCs w:val="28"/>
        </w:rPr>
      </w:pPr>
      <w:r>
        <w:rPr>
          <w:rFonts w:hint="eastAsia" w:ascii="Cambria" w:hAnsi="Cambria" w:cs="Cambria"/>
          <w:kern w:val="0"/>
          <w:sz w:val="28"/>
          <w:szCs w:val="28"/>
        </w:rPr>
        <w:t>公司诚信经营，重视产品质量。公司有明确的标准，严格的奖惩制度，组织结构灵活，内部竞争激烈，公司全体员工都充满了赶紧，锐意创新，拼搏进取，使得整个公司蓬勃发展，富有活力。</w:t>
      </w:r>
    </w:p>
    <w:p>
      <w:pPr>
        <w:pStyle w:val="31"/>
        <w:ind w:firstLine="0" w:firstLineChars="0"/>
        <w:rPr>
          <w:rFonts w:ascii="Cambria" w:hAnsi="Cambria" w:cs="Cambria"/>
          <w:kern w:val="0"/>
          <w:sz w:val="28"/>
          <w:szCs w:val="28"/>
        </w:rPr>
      </w:pPr>
      <w:r>
        <w:rPr>
          <w:rFonts w:hint="eastAsia" w:ascii="Cambria" w:hAnsi="Cambria" w:cs="Cambria"/>
          <w:kern w:val="0"/>
          <w:sz w:val="28"/>
          <w:szCs w:val="28"/>
        </w:rPr>
        <w:t>3.2.3 企业文化</w:t>
      </w:r>
    </w:p>
    <w:p>
      <w:pPr>
        <w:keepNext w:val="0"/>
        <w:keepLines w:val="0"/>
        <w:widowControl/>
        <w:suppressLineNumbers w:val="0"/>
        <w:ind w:firstLine="560" w:firstLineChars="200"/>
        <w:jc w:val="left"/>
        <w:rPr>
          <w:rFonts w:hint="eastAsia" w:ascii="Cambria" w:hAnsi="Cambria" w:eastAsia="宋体" w:cs="Cambria"/>
          <w:color w:val="000000"/>
          <w:kern w:val="0"/>
          <w:sz w:val="28"/>
          <w:szCs w:val="28"/>
          <w:lang w:val="en-US" w:eastAsia="zh-CN" w:bidi="ar-SA"/>
        </w:rPr>
      </w:pPr>
      <w:r>
        <w:rPr>
          <w:rFonts w:hint="eastAsia" w:ascii="Cambria" w:hAnsi="Cambria" w:eastAsia="宋体" w:cs="Cambria"/>
          <w:color w:val="000000"/>
          <w:kern w:val="0"/>
          <w:sz w:val="28"/>
          <w:szCs w:val="28"/>
          <w:lang w:val="en-US" w:eastAsia="zh-CN" w:bidi="ar-SA"/>
        </w:rPr>
        <w:t>高层领导为使员工和相关方了解组织价值观等企业文化，通过</w:t>
      </w:r>
      <w:r>
        <w:rPr>
          <w:rFonts w:hint="eastAsia" w:ascii="Cambria" w:hAnsi="Cambria" w:cs="Cambria"/>
          <w:color w:val="000000"/>
          <w:kern w:val="0"/>
          <w:sz w:val="28"/>
          <w:szCs w:val="28"/>
          <w:lang w:val="en-US" w:eastAsia="zh-CN" w:bidi="ar-SA"/>
        </w:rPr>
        <w:t>内外部宣贯</w:t>
      </w:r>
      <w:r>
        <w:rPr>
          <w:rFonts w:hint="eastAsia" w:ascii="Cambria" w:hAnsi="Cambria" w:eastAsia="宋体" w:cs="Cambria"/>
          <w:color w:val="000000"/>
          <w:kern w:val="0"/>
          <w:sz w:val="28"/>
          <w:szCs w:val="28"/>
          <w:lang w:val="en-US" w:eastAsia="zh-CN" w:bidi="ar-SA"/>
        </w:rPr>
        <w:t>方式（表3.2.3-1），全方位、多角度的向员工、顾客、供应商、政府及社会组织进行沟通，实现评价，达到推介企业，促进企业文化不断繁荣、发展。并围绕“客户至上、诚信品质、精细管理、推陈出新”的核心价值观，建设富有特色，开放创新，公平正直的企业文化。”</w:t>
      </w:r>
    </w:p>
    <w:p>
      <w:pPr>
        <w:keepNext w:val="0"/>
        <w:keepLines w:val="0"/>
        <w:widowControl/>
        <w:suppressLineNumbers w:val="0"/>
        <w:jc w:val="left"/>
        <w:rPr>
          <w:rFonts w:hint="eastAsia" w:ascii="Cambria" w:hAnsi="Cambria" w:eastAsia="宋体" w:cs="Cambria"/>
          <w:color w:val="000000"/>
          <w:kern w:val="0"/>
          <w:sz w:val="28"/>
          <w:szCs w:val="28"/>
          <w:lang w:val="en-US" w:eastAsia="zh-CN" w:bidi="ar-SA"/>
        </w:rPr>
      </w:pPr>
      <w:r>
        <w:rPr>
          <w:rFonts w:hint="eastAsia" w:ascii="Cambria" w:hAnsi="Cambria" w:eastAsia="宋体" w:cs="Cambria"/>
          <w:color w:val="000000"/>
          <w:kern w:val="0"/>
          <w:sz w:val="28"/>
          <w:szCs w:val="28"/>
          <w:lang w:val="en-US" w:eastAsia="zh-CN" w:bidi="ar-SA"/>
        </w:rPr>
        <w:t>a)对内宣贯</w:t>
      </w:r>
    </w:p>
    <w:p>
      <w:pPr>
        <w:keepNext w:val="0"/>
        <w:keepLines w:val="0"/>
        <w:widowControl/>
        <w:suppressLineNumbers w:val="0"/>
        <w:jc w:val="left"/>
        <w:rPr>
          <w:rFonts w:hint="eastAsia" w:ascii="Cambria" w:hAnsi="Cambria" w:eastAsia="宋体" w:cs="Cambria"/>
          <w:color w:val="000000"/>
          <w:kern w:val="0"/>
          <w:sz w:val="28"/>
          <w:szCs w:val="28"/>
          <w:lang w:val="en-US" w:eastAsia="zh-CN" w:bidi="ar-SA"/>
        </w:rPr>
      </w:pPr>
      <w:r>
        <w:rPr>
          <w:rFonts w:hint="eastAsia" w:ascii="Cambria" w:hAnsi="Cambria" w:eastAsia="宋体" w:cs="Cambria"/>
          <w:color w:val="000000"/>
          <w:kern w:val="0"/>
          <w:sz w:val="28"/>
          <w:szCs w:val="28"/>
          <w:lang w:val="en-US" w:eastAsia="zh-CN" w:bidi="ar-SA"/>
        </w:rPr>
        <w:t>公司建立企业文化宣贯的载体和平台，开展企业文化内部的贯彻和落实。</w:t>
      </w:r>
    </w:p>
    <w:p>
      <w:pPr>
        <w:pStyle w:val="7"/>
        <w:rPr>
          <w:rFonts w:ascii="Times New Roman" w:hAnsi="Times New Roman" w:cs="Times New Roman" w:eastAsiaTheme="minorEastAsia"/>
        </w:rPr>
      </w:pPr>
      <w:r>
        <w:rPr>
          <w:rFonts w:ascii="Times New Roman" w:hAnsi="Times New Roman" w:cs="Times New Roman" w:eastAsiaTheme="minorEastAsia"/>
        </w:rPr>
        <w:t>表</w:t>
      </w:r>
      <w:r>
        <w:rPr>
          <w:rFonts w:hint="eastAsia" w:ascii="Times New Roman" w:hAnsi="Times New Roman" w:cs="Times New Roman" w:eastAsiaTheme="minorEastAsia"/>
          <w:lang w:val="en-US" w:eastAsia="zh-CN"/>
        </w:rPr>
        <w:t>3</w:t>
      </w:r>
      <w:r>
        <w:rPr>
          <w:rFonts w:ascii="Times New Roman" w:hAnsi="Times New Roman" w:cs="Times New Roman" w:eastAsiaTheme="minorEastAsia"/>
        </w:rPr>
        <w:t>.</w:t>
      </w:r>
      <w:r>
        <w:rPr>
          <w:rFonts w:hint="eastAsia" w:ascii="Times New Roman" w:hAnsi="Times New Roman" w:cs="Times New Roman" w:eastAsiaTheme="minorEastAsia"/>
          <w:lang w:val="en-US" w:eastAsia="zh-CN"/>
        </w:rPr>
        <w:t>2.3-1</w:t>
      </w:r>
      <w:r>
        <w:rPr>
          <w:rFonts w:ascii="Times New Roman" w:hAnsi="Times New Roman" w:cs="Times New Roman" w:eastAsiaTheme="minorEastAsia"/>
        </w:rPr>
        <w:fldChar w:fldCharType="begin"/>
      </w:r>
      <w:r>
        <w:rPr>
          <w:rFonts w:ascii="Times New Roman" w:hAnsi="Times New Roman" w:cs="Times New Roman" w:eastAsiaTheme="minorEastAsia"/>
        </w:rPr>
        <w:instrText xml:space="preserve"> SEQ 表4.1- \* ARABIC </w:instrText>
      </w:r>
      <w:r>
        <w:rPr>
          <w:rFonts w:ascii="Times New Roman" w:hAnsi="Times New Roman" w:cs="Times New Roman" w:eastAsiaTheme="minorEastAsia"/>
        </w:rPr>
        <w:fldChar w:fldCharType="separate"/>
      </w:r>
      <w:r>
        <w:rPr>
          <w:rFonts w:ascii="Times New Roman" w:hAnsi="Times New Roman" w:cs="Times New Roman" w:eastAsiaTheme="minorEastAsia"/>
        </w:rPr>
        <w:t>3</w:t>
      </w:r>
      <w:r>
        <w:rPr>
          <w:rFonts w:ascii="Times New Roman" w:hAnsi="Times New Roman" w:cs="Times New Roman" w:eastAsiaTheme="minorEastAsia"/>
        </w:rPr>
        <w:fldChar w:fldCharType="end"/>
      </w:r>
      <w:r>
        <w:rPr>
          <w:rFonts w:ascii="Times New Roman" w:hAnsi="Times New Roman" w:cs="Times New Roman" w:eastAsiaTheme="minorEastAsia"/>
        </w:rPr>
        <w:t xml:space="preserve"> 企业文化内部宣贯方式</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63"/>
        <w:gridCol w:w="2038"/>
        <w:gridCol w:w="3483"/>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75" w:type="pct"/>
            <w:shd w:val="clear" w:color="auto" w:fill="008080"/>
            <w:vAlign w:val="center"/>
          </w:tcPr>
          <w:p>
            <w:pPr>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序号</w:t>
            </w:r>
          </w:p>
        </w:tc>
        <w:tc>
          <w:tcPr>
            <w:tcW w:w="630" w:type="pct"/>
            <w:shd w:val="clear" w:color="auto" w:fill="008080"/>
            <w:vAlign w:val="center"/>
          </w:tcPr>
          <w:p>
            <w:pPr>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层次</w:t>
            </w:r>
          </w:p>
        </w:tc>
        <w:tc>
          <w:tcPr>
            <w:tcW w:w="1104" w:type="pct"/>
            <w:shd w:val="clear" w:color="auto" w:fill="008080"/>
            <w:vAlign w:val="center"/>
          </w:tcPr>
          <w:p>
            <w:pPr>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方式</w:t>
            </w:r>
          </w:p>
        </w:tc>
        <w:tc>
          <w:tcPr>
            <w:tcW w:w="1887" w:type="pct"/>
            <w:shd w:val="clear" w:color="auto" w:fill="008080"/>
            <w:vAlign w:val="center"/>
          </w:tcPr>
          <w:p>
            <w:pPr>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渠道</w:t>
            </w:r>
          </w:p>
        </w:tc>
        <w:tc>
          <w:tcPr>
            <w:tcW w:w="1004" w:type="pct"/>
            <w:shd w:val="clear" w:color="auto" w:fill="008080"/>
            <w:vAlign w:val="center"/>
          </w:tcPr>
          <w:p>
            <w:pPr>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jc w:val="center"/>
              <w:rPr>
                <w:rFonts w:cs="Times New Roman" w:eastAsiaTheme="minorEastAsia"/>
                <w:sz w:val="21"/>
                <w:szCs w:val="21"/>
              </w:rPr>
            </w:pPr>
            <w:r>
              <w:rPr>
                <w:rFonts w:cs="Times New Roman" w:eastAsiaTheme="minorEastAsia"/>
                <w:sz w:val="21"/>
                <w:szCs w:val="21"/>
              </w:rPr>
              <w:t>1</w:t>
            </w:r>
          </w:p>
        </w:tc>
        <w:tc>
          <w:tcPr>
            <w:tcW w:w="630" w:type="pct"/>
            <w:vMerge w:val="restart"/>
            <w:vAlign w:val="center"/>
          </w:tcPr>
          <w:p>
            <w:pPr>
              <w:jc w:val="center"/>
              <w:rPr>
                <w:rFonts w:cs="Times New Roman" w:eastAsiaTheme="minorEastAsia"/>
                <w:sz w:val="21"/>
                <w:szCs w:val="21"/>
              </w:rPr>
            </w:pPr>
            <w:r>
              <w:rPr>
                <w:rFonts w:cs="Times New Roman" w:eastAsiaTheme="minorEastAsia"/>
                <w:sz w:val="21"/>
                <w:szCs w:val="21"/>
              </w:rPr>
              <w:t>制度层</w:t>
            </w:r>
          </w:p>
        </w:tc>
        <w:tc>
          <w:tcPr>
            <w:tcW w:w="1104" w:type="pct"/>
            <w:vMerge w:val="restart"/>
            <w:vAlign w:val="center"/>
          </w:tcPr>
          <w:p>
            <w:pPr>
              <w:rPr>
                <w:rFonts w:cs="Times New Roman" w:eastAsiaTheme="minorEastAsia"/>
                <w:sz w:val="21"/>
                <w:szCs w:val="21"/>
              </w:rPr>
            </w:pPr>
            <w:r>
              <w:rPr>
                <w:rFonts w:cs="Times New Roman" w:eastAsiaTheme="minorEastAsia"/>
                <w:sz w:val="21"/>
                <w:szCs w:val="21"/>
              </w:rPr>
              <w:t>建制度，为文化落地提供机制保障</w:t>
            </w:r>
          </w:p>
        </w:tc>
        <w:tc>
          <w:tcPr>
            <w:tcW w:w="1887" w:type="pct"/>
            <w:vAlign w:val="center"/>
          </w:tcPr>
          <w:p>
            <w:pPr>
              <w:rPr>
                <w:rFonts w:cs="Times New Roman" w:eastAsiaTheme="minorEastAsia"/>
                <w:sz w:val="21"/>
                <w:szCs w:val="21"/>
              </w:rPr>
            </w:pPr>
            <w:r>
              <w:rPr>
                <w:rFonts w:cs="Times New Roman" w:eastAsiaTheme="minorEastAsia"/>
                <w:sz w:val="21"/>
                <w:szCs w:val="21"/>
              </w:rPr>
              <w:t>构建企业内部控制制度体系、标准体系和规范体系。</w:t>
            </w:r>
          </w:p>
        </w:tc>
        <w:tc>
          <w:tcPr>
            <w:tcW w:w="1004" w:type="pct"/>
            <w:vMerge w:val="restart"/>
            <w:vAlign w:val="center"/>
          </w:tcPr>
          <w:p>
            <w:pPr>
              <w:jc w:val="center"/>
              <w:rPr>
                <w:rFonts w:cs="Times New Roman" w:eastAsiaTheme="minorEastAsia"/>
                <w:sz w:val="21"/>
                <w:szCs w:val="21"/>
              </w:rPr>
            </w:pPr>
            <w:r>
              <w:rPr>
                <w:rFonts w:cs="Times New Roman" w:eastAsiaTheme="minorEastAsia"/>
                <w:sz w:val="21"/>
                <w:szCs w:val="21"/>
              </w:rPr>
              <w:t>制、修订制度时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jc w:val="center"/>
              <w:rPr>
                <w:rFonts w:cs="Times New Roman" w:eastAsiaTheme="minorEastAsia"/>
                <w:sz w:val="21"/>
                <w:szCs w:val="21"/>
              </w:rPr>
            </w:pPr>
            <w:r>
              <w:rPr>
                <w:rFonts w:cs="Times New Roman" w:eastAsiaTheme="minorEastAsia"/>
                <w:sz w:val="21"/>
                <w:szCs w:val="21"/>
              </w:rPr>
              <w:t>2</w:t>
            </w:r>
          </w:p>
        </w:tc>
        <w:tc>
          <w:tcPr>
            <w:tcW w:w="630" w:type="pct"/>
            <w:vMerge w:val="continue"/>
            <w:vAlign w:val="center"/>
          </w:tcPr>
          <w:p>
            <w:pPr>
              <w:jc w:val="center"/>
              <w:rPr>
                <w:rFonts w:cs="Times New Roman" w:eastAsiaTheme="minorEastAsia"/>
                <w:sz w:val="21"/>
                <w:szCs w:val="21"/>
              </w:rPr>
            </w:pPr>
          </w:p>
        </w:tc>
        <w:tc>
          <w:tcPr>
            <w:tcW w:w="1104" w:type="pct"/>
            <w:vMerge w:val="continue"/>
            <w:vAlign w:val="center"/>
          </w:tcPr>
          <w:p>
            <w:pPr>
              <w:rPr>
                <w:rFonts w:cs="Times New Roman" w:eastAsiaTheme="minorEastAsia"/>
                <w:sz w:val="21"/>
                <w:szCs w:val="21"/>
              </w:rPr>
            </w:pPr>
          </w:p>
        </w:tc>
        <w:tc>
          <w:tcPr>
            <w:tcW w:w="1887" w:type="pct"/>
            <w:vAlign w:val="center"/>
          </w:tcPr>
          <w:p>
            <w:pPr>
              <w:rPr>
                <w:rFonts w:cs="Times New Roman" w:eastAsiaTheme="minorEastAsia"/>
                <w:sz w:val="21"/>
                <w:szCs w:val="21"/>
              </w:rPr>
            </w:pPr>
            <w:r>
              <w:rPr>
                <w:rFonts w:cs="Times New Roman" w:eastAsiaTheme="minorEastAsia"/>
                <w:sz w:val="21"/>
                <w:szCs w:val="21"/>
              </w:rPr>
              <w:t>将核心价值观转化为员工的行为准则，组织员工对行为开展承诺。</w:t>
            </w:r>
          </w:p>
        </w:tc>
        <w:tc>
          <w:tcPr>
            <w:tcW w:w="1004" w:type="pct"/>
            <w:vMerge w:val="continue"/>
            <w:vAlign w:val="center"/>
          </w:tcPr>
          <w:p>
            <w:pPr>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jc w:val="center"/>
              <w:rPr>
                <w:rFonts w:cs="Times New Roman" w:eastAsiaTheme="minorEastAsia"/>
                <w:sz w:val="21"/>
                <w:szCs w:val="21"/>
              </w:rPr>
            </w:pPr>
            <w:r>
              <w:rPr>
                <w:rFonts w:cs="Times New Roman" w:eastAsiaTheme="minorEastAsia"/>
                <w:sz w:val="21"/>
                <w:szCs w:val="21"/>
              </w:rPr>
              <w:t>3</w:t>
            </w:r>
          </w:p>
        </w:tc>
        <w:tc>
          <w:tcPr>
            <w:tcW w:w="630" w:type="pct"/>
            <w:vMerge w:val="continue"/>
            <w:vAlign w:val="center"/>
          </w:tcPr>
          <w:p>
            <w:pPr>
              <w:jc w:val="center"/>
              <w:rPr>
                <w:rFonts w:cs="Times New Roman" w:eastAsiaTheme="minorEastAsia"/>
                <w:sz w:val="21"/>
                <w:szCs w:val="21"/>
              </w:rPr>
            </w:pPr>
          </w:p>
        </w:tc>
        <w:tc>
          <w:tcPr>
            <w:tcW w:w="1104" w:type="pct"/>
            <w:vMerge w:val="continue"/>
            <w:vAlign w:val="center"/>
          </w:tcPr>
          <w:p>
            <w:pPr>
              <w:rPr>
                <w:rFonts w:cs="Times New Roman" w:eastAsiaTheme="minorEastAsia"/>
                <w:sz w:val="21"/>
                <w:szCs w:val="21"/>
              </w:rPr>
            </w:pPr>
          </w:p>
        </w:tc>
        <w:tc>
          <w:tcPr>
            <w:tcW w:w="1887" w:type="pct"/>
            <w:vAlign w:val="center"/>
          </w:tcPr>
          <w:p>
            <w:pPr>
              <w:rPr>
                <w:rFonts w:cs="Times New Roman" w:eastAsiaTheme="minorEastAsia"/>
                <w:sz w:val="21"/>
                <w:szCs w:val="21"/>
              </w:rPr>
            </w:pPr>
            <w:r>
              <w:rPr>
                <w:rFonts w:cs="Times New Roman" w:eastAsiaTheme="minorEastAsia"/>
                <w:sz w:val="21"/>
                <w:szCs w:val="21"/>
              </w:rPr>
              <w:t>将价值观的要求转化为可操作的文件，形成相应的管理制度和流程。</w:t>
            </w:r>
          </w:p>
        </w:tc>
        <w:tc>
          <w:tcPr>
            <w:tcW w:w="1004" w:type="pct"/>
            <w:vMerge w:val="continue"/>
            <w:vAlign w:val="center"/>
          </w:tcPr>
          <w:p>
            <w:pPr>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jc w:val="center"/>
              <w:rPr>
                <w:rFonts w:cs="Times New Roman" w:eastAsiaTheme="minorEastAsia"/>
                <w:sz w:val="21"/>
                <w:szCs w:val="21"/>
              </w:rPr>
            </w:pPr>
            <w:r>
              <w:rPr>
                <w:rFonts w:cs="Times New Roman" w:eastAsiaTheme="minorEastAsia"/>
                <w:sz w:val="21"/>
                <w:szCs w:val="21"/>
              </w:rPr>
              <w:t>4</w:t>
            </w:r>
          </w:p>
        </w:tc>
        <w:tc>
          <w:tcPr>
            <w:tcW w:w="630" w:type="pct"/>
            <w:vMerge w:val="restart"/>
            <w:vAlign w:val="center"/>
          </w:tcPr>
          <w:p>
            <w:pPr>
              <w:jc w:val="center"/>
              <w:rPr>
                <w:rFonts w:cs="Times New Roman" w:eastAsiaTheme="minorEastAsia"/>
                <w:sz w:val="21"/>
                <w:szCs w:val="21"/>
              </w:rPr>
            </w:pPr>
            <w:r>
              <w:rPr>
                <w:rFonts w:cs="Times New Roman" w:eastAsiaTheme="minorEastAsia"/>
                <w:sz w:val="21"/>
                <w:szCs w:val="21"/>
              </w:rPr>
              <w:t>文化层</w:t>
            </w:r>
          </w:p>
        </w:tc>
        <w:tc>
          <w:tcPr>
            <w:tcW w:w="1104" w:type="pct"/>
            <w:vAlign w:val="center"/>
          </w:tcPr>
          <w:p>
            <w:pPr>
              <w:rPr>
                <w:rFonts w:cs="Times New Roman" w:eastAsiaTheme="minorEastAsia"/>
                <w:sz w:val="21"/>
                <w:szCs w:val="21"/>
              </w:rPr>
            </w:pPr>
            <w:r>
              <w:rPr>
                <w:rFonts w:cs="Times New Roman" w:eastAsiaTheme="minorEastAsia"/>
                <w:sz w:val="21"/>
                <w:szCs w:val="21"/>
              </w:rPr>
              <w:t>领导干部以身作则</w:t>
            </w:r>
          </w:p>
        </w:tc>
        <w:tc>
          <w:tcPr>
            <w:tcW w:w="1887" w:type="pct"/>
            <w:vAlign w:val="center"/>
          </w:tcPr>
          <w:p>
            <w:pPr>
              <w:rPr>
                <w:rFonts w:cs="Times New Roman" w:eastAsiaTheme="minorEastAsia"/>
                <w:sz w:val="21"/>
                <w:szCs w:val="21"/>
              </w:rPr>
            </w:pPr>
            <w:r>
              <w:rPr>
                <w:rFonts w:cs="Times New Roman" w:eastAsiaTheme="minorEastAsia"/>
                <w:sz w:val="21"/>
                <w:szCs w:val="21"/>
              </w:rPr>
              <w:t>成为企业文化的领导者、传播者和实践者。</w:t>
            </w:r>
          </w:p>
        </w:tc>
        <w:tc>
          <w:tcPr>
            <w:tcW w:w="1004" w:type="pct"/>
            <w:vAlign w:val="center"/>
          </w:tcPr>
          <w:p>
            <w:pPr>
              <w:jc w:val="center"/>
              <w:rPr>
                <w:rFonts w:cs="Times New Roman" w:eastAsiaTheme="minorEastAsia"/>
                <w:sz w:val="21"/>
                <w:szCs w:val="21"/>
              </w:rPr>
            </w:pPr>
            <w:r>
              <w:rPr>
                <w:rFonts w:cs="Times New Roman" w:eastAsiaTheme="minorEastAsia"/>
                <w:sz w:val="21"/>
                <w:szCs w:val="21"/>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jc w:val="center"/>
              <w:rPr>
                <w:rFonts w:cs="Times New Roman" w:eastAsiaTheme="minorEastAsia"/>
                <w:sz w:val="21"/>
                <w:szCs w:val="21"/>
              </w:rPr>
            </w:pPr>
            <w:r>
              <w:rPr>
                <w:rFonts w:cs="Times New Roman" w:eastAsiaTheme="minorEastAsia"/>
                <w:sz w:val="21"/>
                <w:szCs w:val="21"/>
              </w:rPr>
              <w:t>5</w:t>
            </w:r>
          </w:p>
        </w:tc>
        <w:tc>
          <w:tcPr>
            <w:tcW w:w="630" w:type="pct"/>
            <w:vMerge w:val="continue"/>
            <w:vAlign w:val="center"/>
          </w:tcPr>
          <w:p>
            <w:pPr>
              <w:jc w:val="center"/>
              <w:rPr>
                <w:rFonts w:cs="Times New Roman" w:eastAsiaTheme="minorEastAsia"/>
                <w:sz w:val="21"/>
                <w:szCs w:val="21"/>
              </w:rPr>
            </w:pPr>
          </w:p>
        </w:tc>
        <w:tc>
          <w:tcPr>
            <w:tcW w:w="1104" w:type="pct"/>
            <w:vAlign w:val="center"/>
          </w:tcPr>
          <w:p>
            <w:pPr>
              <w:rPr>
                <w:rFonts w:cs="Times New Roman" w:eastAsiaTheme="minorEastAsia"/>
                <w:sz w:val="21"/>
                <w:szCs w:val="21"/>
              </w:rPr>
            </w:pPr>
            <w:r>
              <w:rPr>
                <w:rFonts w:cs="Times New Roman" w:eastAsiaTheme="minorEastAsia"/>
                <w:sz w:val="21"/>
                <w:szCs w:val="21"/>
              </w:rPr>
              <w:t>文化活动</w:t>
            </w:r>
          </w:p>
        </w:tc>
        <w:tc>
          <w:tcPr>
            <w:tcW w:w="1887" w:type="pct"/>
            <w:vAlign w:val="center"/>
          </w:tcPr>
          <w:p>
            <w:pPr>
              <w:rPr>
                <w:rFonts w:cs="Times New Roman" w:eastAsiaTheme="minorEastAsia"/>
                <w:sz w:val="21"/>
                <w:szCs w:val="21"/>
              </w:rPr>
            </w:pPr>
            <w:r>
              <w:rPr>
                <w:rFonts w:cs="Times New Roman" w:eastAsiaTheme="minorEastAsia"/>
                <w:sz w:val="21"/>
                <w:szCs w:val="21"/>
              </w:rPr>
              <w:t>体育、文体活动、旅游活动、技能比武活动等。</w:t>
            </w:r>
          </w:p>
        </w:tc>
        <w:tc>
          <w:tcPr>
            <w:tcW w:w="1004" w:type="pct"/>
            <w:vAlign w:val="center"/>
          </w:tcPr>
          <w:p>
            <w:pPr>
              <w:jc w:val="center"/>
              <w:rPr>
                <w:rFonts w:cs="Times New Roman" w:eastAsiaTheme="minorEastAsia"/>
                <w:sz w:val="21"/>
                <w:szCs w:val="21"/>
              </w:rPr>
            </w:pPr>
            <w:r>
              <w:rPr>
                <w:rFonts w:cs="Times New Roman" w:eastAsiaTheme="minorEastAsia"/>
                <w:sz w:val="21"/>
                <w:szCs w:val="21"/>
              </w:rPr>
              <w:t>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jc w:val="center"/>
              <w:rPr>
                <w:rFonts w:cs="Times New Roman" w:eastAsiaTheme="minorEastAsia"/>
                <w:sz w:val="21"/>
                <w:szCs w:val="21"/>
              </w:rPr>
            </w:pPr>
            <w:r>
              <w:rPr>
                <w:rFonts w:cs="Times New Roman" w:eastAsiaTheme="minorEastAsia"/>
                <w:sz w:val="21"/>
                <w:szCs w:val="21"/>
              </w:rPr>
              <w:t>6</w:t>
            </w:r>
          </w:p>
        </w:tc>
        <w:tc>
          <w:tcPr>
            <w:tcW w:w="630" w:type="pct"/>
            <w:vMerge w:val="continue"/>
            <w:vAlign w:val="center"/>
          </w:tcPr>
          <w:p>
            <w:pPr>
              <w:jc w:val="center"/>
              <w:rPr>
                <w:rFonts w:cs="Times New Roman" w:eastAsiaTheme="minorEastAsia"/>
                <w:sz w:val="21"/>
                <w:szCs w:val="21"/>
              </w:rPr>
            </w:pPr>
          </w:p>
        </w:tc>
        <w:tc>
          <w:tcPr>
            <w:tcW w:w="1104" w:type="pct"/>
            <w:vAlign w:val="center"/>
          </w:tcPr>
          <w:p>
            <w:pPr>
              <w:rPr>
                <w:rFonts w:cs="Times New Roman" w:eastAsiaTheme="minorEastAsia"/>
                <w:sz w:val="21"/>
                <w:szCs w:val="21"/>
              </w:rPr>
            </w:pPr>
            <w:r>
              <w:rPr>
                <w:rFonts w:cs="Times New Roman" w:eastAsiaTheme="minorEastAsia"/>
                <w:sz w:val="21"/>
                <w:szCs w:val="21"/>
              </w:rPr>
              <w:t>树立榜样</w:t>
            </w:r>
          </w:p>
        </w:tc>
        <w:tc>
          <w:tcPr>
            <w:tcW w:w="1887" w:type="pct"/>
            <w:vAlign w:val="center"/>
          </w:tcPr>
          <w:p>
            <w:pPr>
              <w:rPr>
                <w:rFonts w:cs="Times New Roman" w:eastAsiaTheme="minorEastAsia"/>
                <w:sz w:val="21"/>
                <w:szCs w:val="21"/>
              </w:rPr>
            </w:pPr>
            <w:r>
              <w:rPr>
                <w:rFonts w:cs="Times New Roman" w:eastAsiaTheme="minorEastAsia"/>
                <w:sz w:val="21"/>
                <w:szCs w:val="21"/>
              </w:rPr>
              <w:t>通过评比、表彰大会、评先树优等活动树立员工学习榜样。</w:t>
            </w:r>
          </w:p>
        </w:tc>
        <w:tc>
          <w:tcPr>
            <w:tcW w:w="1004" w:type="pct"/>
            <w:vAlign w:val="center"/>
          </w:tcPr>
          <w:p>
            <w:pPr>
              <w:jc w:val="center"/>
              <w:rPr>
                <w:rFonts w:cs="Times New Roman" w:eastAsiaTheme="minorEastAsia"/>
                <w:sz w:val="21"/>
                <w:szCs w:val="21"/>
              </w:rPr>
            </w:pPr>
            <w:r>
              <w:rPr>
                <w:rFonts w:cs="Times New Roman" w:eastAsiaTheme="minorEastAsia"/>
                <w:sz w:val="21"/>
                <w:szCs w:val="21"/>
              </w:rPr>
              <w:t>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jc w:val="center"/>
              <w:rPr>
                <w:rFonts w:cs="Times New Roman" w:eastAsiaTheme="minorEastAsia"/>
                <w:sz w:val="21"/>
                <w:szCs w:val="21"/>
              </w:rPr>
            </w:pPr>
            <w:r>
              <w:rPr>
                <w:rFonts w:cs="Times New Roman" w:eastAsiaTheme="minorEastAsia"/>
                <w:sz w:val="21"/>
                <w:szCs w:val="21"/>
              </w:rPr>
              <w:t>7</w:t>
            </w:r>
          </w:p>
        </w:tc>
        <w:tc>
          <w:tcPr>
            <w:tcW w:w="630" w:type="pct"/>
            <w:vMerge w:val="continue"/>
            <w:vAlign w:val="center"/>
          </w:tcPr>
          <w:p>
            <w:pPr>
              <w:jc w:val="center"/>
              <w:rPr>
                <w:rFonts w:cs="Times New Roman" w:eastAsiaTheme="minorEastAsia"/>
                <w:sz w:val="21"/>
                <w:szCs w:val="21"/>
              </w:rPr>
            </w:pPr>
          </w:p>
        </w:tc>
        <w:tc>
          <w:tcPr>
            <w:tcW w:w="1104" w:type="pct"/>
            <w:vAlign w:val="center"/>
          </w:tcPr>
          <w:p>
            <w:pPr>
              <w:rPr>
                <w:rFonts w:cs="Times New Roman" w:eastAsiaTheme="minorEastAsia"/>
                <w:sz w:val="21"/>
                <w:szCs w:val="21"/>
              </w:rPr>
            </w:pPr>
            <w:r>
              <w:rPr>
                <w:rFonts w:cs="Times New Roman" w:eastAsiaTheme="minorEastAsia"/>
                <w:sz w:val="21"/>
                <w:szCs w:val="21"/>
              </w:rPr>
              <w:t>文化传播载体</w:t>
            </w:r>
          </w:p>
        </w:tc>
        <w:tc>
          <w:tcPr>
            <w:tcW w:w="1887" w:type="pct"/>
            <w:vAlign w:val="center"/>
          </w:tcPr>
          <w:p>
            <w:pPr>
              <w:rPr>
                <w:rFonts w:cs="Times New Roman" w:eastAsiaTheme="minorEastAsia"/>
                <w:sz w:val="21"/>
                <w:szCs w:val="21"/>
              </w:rPr>
            </w:pPr>
            <w:r>
              <w:rPr>
                <w:rFonts w:cs="Times New Roman" w:eastAsiaTheme="minorEastAsia"/>
                <w:sz w:val="21"/>
                <w:szCs w:val="21"/>
              </w:rPr>
              <w:t>以文化培训教育、文化研讨、文化座谈、舆论引导等方式，同时借助互联网平台加强宣贯。</w:t>
            </w:r>
          </w:p>
        </w:tc>
        <w:tc>
          <w:tcPr>
            <w:tcW w:w="1004" w:type="pct"/>
            <w:vAlign w:val="center"/>
          </w:tcPr>
          <w:p>
            <w:pPr>
              <w:jc w:val="center"/>
              <w:rPr>
                <w:rFonts w:cs="Times New Roman" w:eastAsiaTheme="minorEastAsia"/>
                <w:sz w:val="21"/>
                <w:szCs w:val="21"/>
              </w:rPr>
            </w:pPr>
            <w:r>
              <w:rPr>
                <w:rFonts w:cs="Times New Roman" w:eastAsiaTheme="minorEastAsia"/>
                <w:sz w:val="21"/>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jc w:val="center"/>
              <w:rPr>
                <w:rFonts w:cs="Times New Roman" w:eastAsiaTheme="minorEastAsia"/>
                <w:sz w:val="21"/>
                <w:szCs w:val="21"/>
              </w:rPr>
            </w:pPr>
            <w:r>
              <w:rPr>
                <w:rFonts w:cs="Times New Roman" w:eastAsiaTheme="minorEastAsia"/>
                <w:sz w:val="21"/>
                <w:szCs w:val="21"/>
              </w:rPr>
              <w:t>8</w:t>
            </w:r>
          </w:p>
        </w:tc>
        <w:tc>
          <w:tcPr>
            <w:tcW w:w="630" w:type="pct"/>
            <w:vMerge w:val="restart"/>
            <w:vAlign w:val="center"/>
          </w:tcPr>
          <w:p>
            <w:pPr>
              <w:jc w:val="center"/>
              <w:rPr>
                <w:rFonts w:cs="Times New Roman" w:eastAsiaTheme="minorEastAsia"/>
                <w:sz w:val="21"/>
                <w:szCs w:val="21"/>
              </w:rPr>
            </w:pPr>
            <w:r>
              <w:rPr>
                <w:rFonts w:cs="Times New Roman" w:eastAsiaTheme="minorEastAsia"/>
                <w:sz w:val="21"/>
                <w:szCs w:val="21"/>
              </w:rPr>
              <w:t>物质层</w:t>
            </w:r>
          </w:p>
        </w:tc>
        <w:tc>
          <w:tcPr>
            <w:tcW w:w="1104" w:type="pct"/>
            <w:vAlign w:val="center"/>
          </w:tcPr>
          <w:p>
            <w:pPr>
              <w:rPr>
                <w:rFonts w:cs="Times New Roman" w:eastAsiaTheme="minorEastAsia"/>
                <w:sz w:val="21"/>
                <w:szCs w:val="21"/>
              </w:rPr>
            </w:pPr>
            <w:r>
              <w:rPr>
                <w:rFonts w:cs="Times New Roman" w:eastAsiaTheme="minorEastAsia"/>
                <w:sz w:val="21"/>
                <w:szCs w:val="21"/>
              </w:rPr>
              <w:t>VI标识系统</w:t>
            </w:r>
          </w:p>
        </w:tc>
        <w:tc>
          <w:tcPr>
            <w:tcW w:w="1887" w:type="pct"/>
            <w:vAlign w:val="center"/>
          </w:tcPr>
          <w:p>
            <w:pPr>
              <w:rPr>
                <w:rFonts w:cs="Times New Roman" w:eastAsiaTheme="minorEastAsia"/>
                <w:sz w:val="21"/>
                <w:szCs w:val="21"/>
              </w:rPr>
            </w:pPr>
            <w:r>
              <w:rPr>
                <w:rFonts w:cs="Times New Roman" w:eastAsiaTheme="minorEastAsia"/>
                <w:sz w:val="21"/>
                <w:szCs w:val="21"/>
              </w:rPr>
              <w:t>对外宣传窗口与资料、产品包装等。</w:t>
            </w:r>
          </w:p>
        </w:tc>
        <w:tc>
          <w:tcPr>
            <w:tcW w:w="1004" w:type="pct"/>
            <w:vAlign w:val="center"/>
          </w:tcPr>
          <w:p>
            <w:pPr>
              <w:jc w:val="center"/>
              <w:rPr>
                <w:rFonts w:cs="Times New Roman" w:eastAsiaTheme="minorEastAsia"/>
                <w:sz w:val="21"/>
                <w:szCs w:val="21"/>
              </w:rPr>
            </w:pPr>
            <w:r>
              <w:rPr>
                <w:rFonts w:cs="Times New Roman" w:eastAsiaTheme="minorEastAsia"/>
                <w:sz w:val="21"/>
                <w:szCs w:val="21"/>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pPr>
              <w:jc w:val="center"/>
              <w:rPr>
                <w:rFonts w:cs="Times New Roman" w:eastAsiaTheme="minorEastAsia"/>
                <w:sz w:val="21"/>
                <w:szCs w:val="21"/>
              </w:rPr>
            </w:pPr>
            <w:r>
              <w:rPr>
                <w:rFonts w:cs="Times New Roman" w:eastAsiaTheme="minorEastAsia"/>
                <w:sz w:val="21"/>
                <w:szCs w:val="21"/>
              </w:rPr>
              <w:t>9</w:t>
            </w:r>
          </w:p>
        </w:tc>
        <w:tc>
          <w:tcPr>
            <w:tcW w:w="630" w:type="pct"/>
            <w:vMerge w:val="continue"/>
            <w:vAlign w:val="center"/>
          </w:tcPr>
          <w:p>
            <w:pPr>
              <w:jc w:val="center"/>
              <w:rPr>
                <w:rFonts w:cs="Times New Roman" w:eastAsiaTheme="minorEastAsia"/>
                <w:sz w:val="21"/>
                <w:szCs w:val="21"/>
              </w:rPr>
            </w:pPr>
          </w:p>
        </w:tc>
        <w:tc>
          <w:tcPr>
            <w:tcW w:w="1104" w:type="pct"/>
            <w:vAlign w:val="center"/>
          </w:tcPr>
          <w:p>
            <w:pPr>
              <w:rPr>
                <w:rFonts w:cs="Times New Roman" w:eastAsiaTheme="minorEastAsia"/>
                <w:sz w:val="21"/>
                <w:szCs w:val="21"/>
              </w:rPr>
            </w:pPr>
            <w:r>
              <w:rPr>
                <w:rFonts w:cs="Times New Roman" w:eastAsiaTheme="minorEastAsia"/>
                <w:sz w:val="21"/>
                <w:szCs w:val="21"/>
              </w:rPr>
              <w:t>目视化</w:t>
            </w:r>
          </w:p>
        </w:tc>
        <w:tc>
          <w:tcPr>
            <w:tcW w:w="1887" w:type="pct"/>
            <w:vAlign w:val="center"/>
          </w:tcPr>
          <w:p>
            <w:pPr>
              <w:rPr>
                <w:rFonts w:cs="Times New Roman" w:eastAsiaTheme="minorEastAsia"/>
                <w:sz w:val="21"/>
                <w:szCs w:val="21"/>
              </w:rPr>
            </w:pPr>
            <w:r>
              <w:rPr>
                <w:rFonts w:cs="Times New Roman" w:eastAsiaTheme="minorEastAsia"/>
                <w:sz w:val="21"/>
                <w:szCs w:val="21"/>
              </w:rPr>
              <w:t>展厅、厂容厂貌、电子屏、宣传片、宣传栏、宣传标语等。</w:t>
            </w:r>
          </w:p>
        </w:tc>
        <w:tc>
          <w:tcPr>
            <w:tcW w:w="1004" w:type="pct"/>
            <w:vAlign w:val="center"/>
          </w:tcPr>
          <w:p>
            <w:pPr>
              <w:jc w:val="center"/>
              <w:rPr>
                <w:rFonts w:cs="Times New Roman" w:eastAsiaTheme="minorEastAsia"/>
                <w:sz w:val="21"/>
                <w:szCs w:val="21"/>
              </w:rPr>
            </w:pPr>
            <w:r>
              <w:rPr>
                <w:rFonts w:cs="Times New Roman" w:eastAsiaTheme="minorEastAsia"/>
                <w:sz w:val="21"/>
                <w:szCs w:val="21"/>
              </w:rPr>
              <w:t>不定期更新</w:t>
            </w:r>
          </w:p>
        </w:tc>
      </w:tr>
    </w:tbl>
    <w:p>
      <w:pPr>
        <w:keepNext w:val="0"/>
        <w:keepLines w:val="0"/>
        <w:widowControl/>
        <w:suppressLineNumbers w:val="0"/>
        <w:jc w:val="left"/>
        <w:rPr>
          <w:rFonts w:hint="eastAsia" w:ascii="Cambria" w:hAnsi="Cambria" w:eastAsia="宋体" w:cs="Cambria"/>
          <w:color w:val="000000"/>
          <w:kern w:val="0"/>
          <w:sz w:val="28"/>
          <w:szCs w:val="28"/>
          <w:lang w:val="en-US" w:eastAsia="zh-CN" w:bidi="ar-SA"/>
        </w:rPr>
      </w:pPr>
      <w:r>
        <w:rPr>
          <w:rFonts w:hint="eastAsia" w:ascii="Cambria" w:hAnsi="Cambria" w:eastAsia="宋体" w:cs="Cambria"/>
          <w:color w:val="000000"/>
          <w:kern w:val="0"/>
          <w:sz w:val="28"/>
          <w:szCs w:val="28"/>
          <w:lang w:val="en-US" w:eastAsia="zh-CN" w:bidi="ar-SA"/>
        </w:rPr>
        <w:t>b)对外宣贯</w:t>
      </w:r>
    </w:p>
    <w:p>
      <w:pPr>
        <w:keepNext w:val="0"/>
        <w:keepLines w:val="0"/>
        <w:widowControl/>
        <w:suppressLineNumbers w:val="0"/>
        <w:ind w:firstLine="560" w:firstLineChars="200"/>
        <w:jc w:val="left"/>
        <w:rPr>
          <w:rFonts w:hint="eastAsia" w:ascii="Cambria" w:hAnsi="Cambria" w:eastAsia="宋体" w:cs="Cambria"/>
          <w:color w:val="000000"/>
          <w:kern w:val="0"/>
          <w:sz w:val="28"/>
          <w:szCs w:val="28"/>
          <w:lang w:val="en-US" w:eastAsia="zh-CN" w:bidi="ar-SA"/>
        </w:rPr>
      </w:pPr>
      <w:r>
        <w:rPr>
          <w:rFonts w:hint="eastAsia" w:ascii="Cambria" w:hAnsi="Cambria" w:eastAsia="宋体" w:cs="Cambria"/>
          <w:color w:val="000000"/>
          <w:kern w:val="0"/>
          <w:sz w:val="28"/>
          <w:szCs w:val="28"/>
          <w:lang w:val="en-US" w:eastAsia="zh-CN" w:bidi="ar-SA"/>
        </w:rPr>
        <w:t>公司通过官方网站、微信公众号、宣传片、宣传册、宣传标语及驻外业务员、客户拜访、供应商来访等形式及时向经销商、大客户、供应商、社会公众传播公司的企业文化理念。同时，高层领导利用自身在协会中担任的角色，在行业会议上、政府会议上，向客户、政府、媒体等宣传公司的企业文化。</w:t>
      </w:r>
    </w:p>
    <w:p>
      <w:pPr>
        <w:keepNext w:val="0"/>
        <w:keepLines w:val="0"/>
        <w:widowControl/>
        <w:suppressLineNumbers w:val="0"/>
        <w:jc w:val="left"/>
        <w:rPr>
          <w:rFonts w:hint="eastAsia" w:ascii="Cambria" w:hAnsi="Cambria" w:eastAsia="宋体" w:cs="Cambria"/>
          <w:color w:val="000000"/>
          <w:kern w:val="0"/>
          <w:sz w:val="28"/>
          <w:szCs w:val="28"/>
          <w:lang w:val="en-US" w:eastAsia="zh-CN" w:bidi="ar-SA"/>
        </w:rPr>
        <w:sectPr>
          <w:pgSz w:w="11906" w:h="16838"/>
          <w:pgMar w:top="1531" w:right="1361" w:bottom="1418" w:left="1531" w:header="851" w:footer="992" w:gutter="0"/>
          <w:cols w:space="425" w:num="1"/>
          <w:docGrid w:type="lines" w:linePitch="312" w:charSpace="0"/>
        </w:sectPr>
      </w:pPr>
    </w:p>
    <w:p>
      <w:pPr>
        <w:pStyle w:val="4"/>
        <w:jc w:val="center"/>
      </w:pPr>
      <w:bookmarkStart w:id="22" w:name="_Toc26700_WPSOffice_Level1"/>
      <w:bookmarkStart w:id="23" w:name="_Toc20908"/>
      <w:bookmarkStart w:id="24" w:name="_Toc532973897"/>
      <w:r>
        <w:rPr>
          <w:rFonts w:hint="eastAsia"/>
        </w:rPr>
        <w:t>第四章 质量管理基础</w:t>
      </w:r>
      <w:bookmarkEnd w:id="22"/>
      <w:bookmarkEnd w:id="23"/>
      <w:bookmarkEnd w:id="24"/>
    </w:p>
    <w:p>
      <w:pPr>
        <w:pStyle w:val="5"/>
        <w:spacing w:before="0" w:after="0" w:line="480" w:lineRule="auto"/>
        <w:rPr>
          <w:rFonts w:ascii="宋体" w:hAnsi="宋体"/>
          <w:sz w:val="28"/>
          <w:szCs w:val="28"/>
        </w:rPr>
      </w:pPr>
      <w:bookmarkStart w:id="25" w:name="_Toc488941495"/>
      <w:bookmarkStart w:id="26" w:name="_Toc532973898"/>
      <w:r>
        <w:rPr>
          <w:rFonts w:hint="eastAsia" w:ascii="宋体" w:hAnsi="宋体"/>
          <w:sz w:val="28"/>
          <w:szCs w:val="28"/>
        </w:rPr>
        <w:t>4.1 专利</w:t>
      </w:r>
      <w:bookmarkEnd w:id="25"/>
      <w:r>
        <w:rPr>
          <w:rFonts w:hint="eastAsia" w:ascii="宋体" w:hAnsi="宋体"/>
          <w:sz w:val="28"/>
          <w:szCs w:val="28"/>
        </w:rPr>
        <w:t>、创新项目</w:t>
      </w:r>
      <w:bookmarkEnd w:id="26"/>
    </w:p>
    <w:p>
      <w:pPr>
        <w:pStyle w:val="31"/>
        <w:ind w:firstLine="560"/>
        <w:rPr>
          <w:rFonts w:ascii="Cambria" w:hAnsi="Cambria" w:cs="Cambria"/>
          <w:kern w:val="0"/>
          <w:sz w:val="28"/>
          <w:szCs w:val="28"/>
        </w:rPr>
      </w:pPr>
      <w:bookmarkStart w:id="27" w:name="_Toc488941496"/>
      <w:r>
        <w:rPr>
          <w:rFonts w:hint="eastAsia" w:ascii="Cambria" w:hAnsi="Cambria" w:cs="Cambria"/>
          <w:kern w:val="0"/>
          <w:sz w:val="28"/>
          <w:szCs w:val="28"/>
        </w:rPr>
        <w:t>公司在发展过程中，重视知识积累，形成设计、操作和服务等方面的技术诀窍以及各类专利，并推广应用，逐步形成组织在技术方面的核心竞争力。建立多元投入机制，确保科技创新经费的投入，同时提高科技经费使用效率。</w:t>
      </w:r>
    </w:p>
    <w:p>
      <w:pPr>
        <w:pStyle w:val="5"/>
        <w:spacing w:before="0" w:after="0" w:line="480" w:lineRule="auto"/>
        <w:ind w:firstLine="560" w:firstLineChars="200"/>
        <w:rPr>
          <w:rFonts w:hint="eastAsia" w:ascii="Cambria" w:hAnsi="Cambria" w:eastAsia="宋体" w:cs="Cambria"/>
          <w:b w:val="0"/>
          <w:bCs w:val="0"/>
          <w:color w:val="000000"/>
          <w:kern w:val="0"/>
          <w:sz w:val="28"/>
          <w:szCs w:val="28"/>
          <w:lang w:val="en-US" w:eastAsia="zh-CN" w:bidi="ar-SA"/>
        </w:rPr>
      </w:pPr>
      <w:bookmarkStart w:id="28" w:name="_Toc532973899"/>
      <w:r>
        <w:rPr>
          <w:rFonts w:hint="eastAsia" w:ascii="Cambria" w:hAnsi="Cambria" w:eastAsia="宋体" w:cs="Cambria"/>
          <w:b w:val="0"/>
          <w:bCs w:val="0"/>
          <w:color w:val="000000"/>
          <w:kern w:val="0"/>
          <w:sz w:val="28"/>
          <w:szCs w:val="28"/>
          <w:lang w:val="en-US" w:eastAsia="zh-CN" w:bidi="ar-SA"/>
        </w:rPr>
        <w:t>公司</w:t>
      </w:r>
      <w:r>
        <w:rPr>
          <w:rFonts w:hint="eastAsia" w:ascii="Cambria" w:hAnsi="Cambria" w:cs="Cambria"/>
          <w:b w:val="0"/>
          <w:bCs w:val="0"/>
          <w:color w:val="000000"/>
          <w:kern w:val="0"/>
          <w:sz w:val="28"/>
          <w:szCs w:val="28"/>
          <w:lang w:val="en-US" w:eastAsia="zh-CN" w:bidi="ar-SA"/>
        </w:rPr>
        <w:t>目前</w:t>
      </w:r>
      <w:r>
        <w:rPr>
          <w:rFonts w:hint="eastAsia" w:ascii="Cambria" w:hAnsi="Cambria" w:eastAsia="宋体" w:cs="Cambria"/>
          <w:b w:val="0"/>
          <w:bCs w:val="0"/>
          <w:color w:val="000000"/>
          <w:kern w:val="0"/>
          <w:sz w:val="28"/>
          <w:szCs w:val="28"/>
          <w:lang w:val="en-US" w:eastAsia="zh-CN" w:bidi="ar-SA"/>
        </w:rPr>
        <w:t>5项专利申请已受理，其中3项为发明专利；参与编制标准4项。</w:t>
      </w:r>
    </w:p>
    <w:p>
      <w:pPr>
        <w:jc w:val="center"/>
        <w:rPr>
          <w:rFonts w:cs="Times New Roman" w:eastAsiaTheme="minorEastAsia"/>
          <w:b/>
          <w:szCs w:val="20"/>
        </w:rPr>
      </w:pPr>
      <w:r>
        <w:rPr>
          <w:rFonts w:cs="Times New Roman" w:eastAsiaTheme="minorEastAsia"/>
          <w:b/>
          <w:szCs w:val="20"/>
        </w:rPr>
        <w:t>表4.</w:t>
      </w:r>
      <w:r>
        <w:rPr>
          <w:rFonts w:hint="eastAsia" w:cs="Times New Roman" w:eastAsiaTheme="minorEastAsia"/>
          <w:b/>
          <w:szCs w:val="20"/>
          <w:lang w:val="en-US" w:eastAsia="zh-CN"/>
        </w:rPr>
        <w:t>1</w:t>
      </w:r>
      <w:r>
        <w:rPr>
          <w:rFonts w:cs="Times New Roman" w:eastAsiaTheme="minorEastAsia"/>
          <w:b/>
          <w:szCs w:val="20"/>
        </w:rPr>
        <w:t xml:space="preserve">- </w:t>
      </w:r>
      <w:r>
        <w:rPr>
          <w:rFonts w:hint="eastAsia" w:cs="Times New Roman" w:eastAsiaTheme="minorEastAsia"/>
          <w:b/>
          <w:szCs w:val="20"/>
          <w:lang w:val="en-US" w:eastAsia="zh-CN"/>
        </w:rPr>
        <w:t>1</w:t>
      </w:r>
      <w:r>
        <w:rPr>
          <w:rFonts w:cs="Times New Roman" w:eastAsiaTheme="minorEastAsia"/>
          <w:b/>
          <w:szCs w:val="20"/>
        </w:rPr>
        <w:t xml:space="preserve"> 公司参与编制的标准示例</w:t>
      </w:r>
    </w:p>
    <w:tbl>
      <w:tblPr>
        <w:tblStyle w:val="15"/>
        <w:tblW w:w="5000" w:type="pct"/>
        <w:jc w:val="center"/>
        <w:tblLayout w:type="fixed"/>
        <w:tblCellMar>
          <w:top w:w="0" w:type="dxa"/>
          <w:left w:w="108" w:type="dxa"/>
          <w:bottom w:w="0" w:type="dxa"/>
          <w:right w:w="108" w:type="dxa"/>
        </w:tblCellMar>
      </w:tblPr>
      <w:tblGrid>
        <w:gridCol w:w="909"/>
        <w:gridCol w:w="7613"/>
      </w:tblGrid>
      <w:tr>
        <w:tblPrEx>
          <w:tblCellMar>
            <w:top w:w="0" w:type="dxa"/>
            <w:left w:w="108" w:type="dxa"/>
            <w:bottom w:w="0" w:type="dxa"/>
            <w:right w:w="108" w:type="dxa"/>
          </w:tblCellMar>
        </w:tblPrEx>
        <w:trPr>
          <w:trHeight w:val="280" w:hRule="atLeast"/>
          <w:tblHeader/>
          <w:jc w:val="center"/>
        </w:trPr>
        <w:tc>
          <w:tcPr>
            <w:tcW w:w="533" w:type="pct"/>
            <w:tcBorders>
              <w:top w:val="single" w:color="auto" w:sz="4" w:space="0"/>
              <w:left w:val="single" w:color="auto" w:sz="4" w:space="0"/>
              <w:bottom w:val="single" w:color="auto" w:sz="4" w:space="0"/>
              <w:right w:val="single" w:color="auto" w:sz="4" w:space="0"/>
            </w:tcBorders>
            <w:shd w:val="clear" w:color="auto" w:fill="008080"/>
            <w:noWrap/>
            <w:vAlign w:val="bottom"/>
          </w:tcPr>
          <w:p>
            <w:pPr>
              <w:widowControl/>
              <w:jc w:val="center"/>
              <w:rPr>
                <w:rFonts w:cs="Times New Roman" w:eastAsiaTheme="minorEastAsia"/>
                <w:b/>
                <w:color w:val="FFFFFF" w:themeColor="background1"/>
                <w:kern w:val="0"/>
                <w:sz w:val="21"/>
                <w:szCs w:val="21"/>
                <w14:textFill>
                  <w14:solidFill>
                    <w14:schemeClr w14:val="bg1"/>
                  </w14:solidFill>
                </w14:textFill>
              </w:rPr>
            </w:pPr>
            <w:r>
              <w:rPr>
                <w:rFonts w:cs="Times New Roman" w:eastAsiaTheme="minorEastAsia"/>
                <w:b/>
                <w:color w:val="FFFFFF" w:themeColor="background1"/>
                <w:kern w:val="0"/>
                <w:sz w:val="21"/>
                <w:szCs w:val="21"/>
                <w14:textFill>
                  <w14:solidFill>
                    <w14:schemeClr w14:val="bg1"/>
                  </w14:solidFill>
                </w14:textFill>
              </w:rPr>
              <w:t>序号</w:t>
            </w:r>
          </w:p>
        </w:tc>
        <w:tc>
          <w:tcPr>
            <w:tcW w:w="4467" w:type="pct"/>
            <w:tcBorders>
              <w:top w:val="single" w:color="auto" w:sz="4" w:space="0"/>
              <w:left w:val="single" w:color="auto" w:sz="4" w:space="0"/>
              <w:bottom w:val="single" w:color="auto" w:sz="4" w:space="0"/>
              <w:right w:val="single" w:color="auto" w:sz="4" w:space="0"/>
            </w:tcBorders>
            <w:shd w:val="clear" w:color="auto" w:fill="008080"/>
            <w:noWrap/>
            <w:vAlign w:val="bottom"/>
          </w:tcPr>
          <w:p>
            <w:pPr>
              <w:widowControl/>
              <w:jc w:val="center"/>
              <w:rPr>
                <w:rFonts w:cs="Times New Roman" w:eastAsiaTheme="minorEastAsia"/>
                <w:b/>
                <w:color w:val="FFFFFF" w:themeColor="background1"/>
                <w:kern w:val="0"/>
                <w:sz w:val="21"/>
                <w:szCs w:val="21"/>
                <w14:textFill>
                  <w14:solidFill>
                    <w14:schemeClr w14:val="bg1"/>
                  </w14:solidFill>
                </w14:textFill>
              </w:rPr>
            </w:pPr>
            <w:r>
              <w:rPr>
                <w:rFonts w:cs="Times New Roman" w:eastAsiaTheme="minorEastAsia"/>
                <w:b/>
                <w:color w:val="FFFFFF" w:themeColor="background1"/>
                <w:kern w:val="0"/>
                <w:sz w:val="21"/>
                <w:szCs w:val="21"/>
                <w14:textFill>
                  <w14:solidFill>
                    <w14:schemeClr w14:val="bg1"/>
                  </w14:solidFill>
                </w14:textFill>
              </w:rPr>
              <w:t>制定的标准号及名称</w:t>
            </w:r>
          </w:p>
        </w:tc>
      </w:tr>
      <w:tr>
        <w:tblPrEx>
          <w:tblCellMar>
            <w:top w:w="0" w:type="dxa"/>
            <w:left w:w="108" w:type="dxa"/>
            <w:bottom w:w="0" w:type="dxa"/>
            <w:right w:w="108" w:type="dxa"/>
          </w:tblCellMar>
        </w:tblPrEx>
        <w:trPr>
          <w:trHeight w:val="280" w:hRule="atLeast"/>
          <w:jc w:val="center"/>
        </w:trPr>
        <w:tc>
          <w:tcPr>
            <w:tcW w:w="53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Times New Roman" w:eastAsiaTheme="minorEastAsia"/>
                <w:color w:val="000000" w:themeColor="text1"/>
                <w:kern w:val="0"/>
                <w:sz w:val="21"/>
                <w:szCs w:val="21"/>
                <w14:textFill>
                  <w14:solidFill>
                    <w14:schemeClr w14:val="tx1"/>
                  </w14:solidFill>
                </w14:textFill>
              </w:rPr>
            </w:pPr>
            <w:r>
              <w:rPr>
                <w:rFonts w:cs="Times New Roman" w:eastAsiaTheme="minorEastAsia"/>
                <w:color w:val="000000" w:themeColor="text1"/>
                <w:kern w:val="0"/>
                <w:sz w:val="21"/>
                <w:szCs w:val="21"/>
                <w14:textFill>
                  <w14:solidFill>
                    <w14:schemeClr w14:val="tx1"/>
                  </w14:solidFill>
                </w14:textFill>
              </w:rPr>
              <w:t>1</w:t>
            </w:r>
          </w:p>
        </w:tc>
        <w:tc>
          <w:tcPr>
            <w:tcW w:w="446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cs="Times New Roman" w:eastAsiaTheme="minorEastAsia"/>
                <w:color w:val="000000" w:themeColor="text1"/>
                <w:kern w:val="0"/>
                <w:sz w:val="21"/>
                <w:szCs w:val="21"/>
                <w14:textFill>
                  <w14:solidFill>
                    <w14:schemeClr w14:val="tx1"/>
                  </w14:solidFill>
                </w14:textFill>
              </w:rPr>
            </w:pPr>
            <w:r>
              <w:rPr>
                <w:rFonts w:cs="Times New Roman" w:eastAsiaTheme="minorEastAsia"/>
                <w:color w:val="000000" w:themeColor="text1"/>
                <w:kern w:val="0"/>
                <w:sz w:val="21"/>
                <w:szCs w:val="21"/>
                <w14:textFill>
                  <w14:solidFill>
                    <w14:schemeClr w14:val="tx1"/>
                  </w14:solidFill>
                </w14:textFill>
              </w:rPr>
              <w:t>JB/T10491.1-2004《额定电压450/750及以下交联聚烯烃绝缘电线和电缆  第1部分：一般规定》</w:t>
            </w:r>
          </w:p>
        </w:tc>
      </w:tr>
      <w:tr>
        <w:tblPrEx>
          <w:tblCellMar>
            <w:top w:w="0" w:type="dxa"/>
            <w:left w:w="108" w:type="dxa"/>
            <w:bottom w:w="0" w:type="dxa"/>
            <w:right w:w="108" w:type="dxa"/>
          </w:tblCellMar>
        </w:tblPrEx>
        <w:trPr>
          <w:trHeight w:val="280" w:hRule="atLeast"/>
          <w:jc w:val="center"/>
        </w:trPr>
        <w:tc>
          <w:tcPr>
            <w:tcW w:w="53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Times New Roman" w:eastAsiaTheme="minorEastAsia"/>
                <w:color w:val="000000" w:themeColor="text1"/>
                <w:kern w:val="0"/>
                <w:sz w:val="21"/>
                <w:szCs w:val="21"/>
                <w14:textFill>
                  <w14:solidFill>
                    <w14:schemeClr w14:val="tx1"/>
                  </w14:solidFill>
                </w14:textFill>
              </w:rPr>
            </w:pPr>
            <w:r>
              <w:rPr>
                <w:rFonts w:cs="Times New Roman" w:eastAsiaTheme="minorEastAsia"/>
                <w:color w:val="000000" w:themeColor="text1"/>
                <w:kern w:val="0"/>
                <w:sz w:val="21"/>
                <w:szCs w:val="21"/>
                <w14:textFill>
                  <w14:solidFill>
                    <w14:schemeClr w14:val="tx1"/>
                  </w14:solidFill>
                </w14:textFill>
              </w:rPr>
              <w:t>2</w:t>
            </w:r>
          </w:p>
        </w:tc>
        <w:tc>
          <w:tcPr>
            <w:tcW w:w="446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cs="Times New Roman" w:eastAsiaTheme="minorEastAsia"/>
                <w:color w:val="000000" w:themeColor="text1"/>
                <w:kern w:val="0"/>
                <w:sz w:val="21"/>
                <w:szCs w:val="21"/>
                <w14:textFill>
                  <w14:solidFill>
                    <w14:schemeClr w14:val="tx1"/>
                  </w14:solidFill>
                </w14:textFill>
              </w:rPr>
            </w:pPr>
            <w:r>
              <w:rPr>
                <w:rFonts w:cs="Times New Roman" w:eastAsiaTheme="minorEastAsia"/>
                <w:color w:val="000000" w:themeColor="text1"/>
                <w:kern w:val="0"/>
                <w:sz w:val="21"/>
                <w:szCs w:val="21"/>
                <w14:textFill>
                  <w14:solidFill>
                    <w14:schemeClr w14:val="tx1"/>
                  </w14:solidFill>
                </w14:textFill>
              </w:rPr>
              <w:t>JB/T10491.2-2004《额定电压450/750及以下交联聚烯烃绝缘电线和电缆  第2部分：耐热105℃交联聚烯烃绝缘电线和电缆》</w:t>
            </w:r>
          </w:p>
        </w:tc>
      </w:tr>
      <w:tr>
        <w:tblPrEx>
          <w:tblCellMar>
            <w:top w:w="0" w:type="dxa"/>
            <w:left w:w="108" w:type="dxa"/>
            <w:bottom w:w="0" w:type="dxa"/>
            <w:right w:w="108" w:type="dxa"/>
          </w:tblCellMar>
        </w:tblPrEx>
        <w:trPr>
          <w:trHeight w:val="280" w:hRule="atLeast"/>
          <w:jc w:val="center"/>
        </w:trPr>
        <w:tc>
          <w:tcPr>
            <w:tcW w:w="53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Times New Roman" w:eastAsiaTheme="minorEastAsia"/>
                <w:color w:val="000000" w:themeColor="text1"/>
                <w:kern w:val="0"/>
                <w:sz w:val="21"/>
                <w:szCs w:val="21"/>
                <w14:textFill>
                  <w14:solidFill>
                    <w14:schemeClr w14:val="tx1"/>
                  </w14:solidFill>
                </w14:textFill>
              </w:rPr>
            </w:pPr>
            <w:r>
              <w:rPr>
                <w:rFonts w:cs="Times New Roman" w:eastAsiaTheme="minorEastAsia"/>
                <w:color w:val="000000" w:themeColor="text1"/>
                <w:kern w:val="0"/>
                <w:sz w:val="21"/>
                <w:szCs w:val="21"/>
                <w14:textFill>
                  <w14:solidFill>
                    <w14:schemeClr w14:val="tx1"/>
                  </w14:solidFill>
                </w14:textFill>
              </w:rPr>
              <w:t>3</w:t>
            </w:r>
          </w:p>
        </w:tc>
        <w:tc>
          <w:tcPr>
            <w:tcW w:w="446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cs="Times New Roman" w:eastAsiaTheme="minorEastAsia"/>
                <w:color w:val="000000" w:themeColor="text1"/>
                <w:kern w:val="0"/>
                <w:sz w:val="21"/>
                <w:szCs w:val="21"/>
                <w14:textFill>
                  <w14:solidFill>
                    <w14:schemeClr w14:val="tx1"/>
                  </w14:solidFill>
                </w14:textFill>
              </w:rPr>
            </w:pPr>
            <w:r>
              <w:rPr>
                <w:rFonts w:cs="Times New Roman" w:eastAsiaTheme="minorEastAsia"/>
                <w:color w:val="000000" w:themeColor="text1"/>
                <w:kern w:val="0"/>
                <w:sz w:val="21"/>
                <w:szCs w:val="21"/>
                <w14:textFill>
                  <w14:solidFill>
                    <w14:schemeClr w14:val="tx1"/>
                  </w14:solidFill>
                </w14:textFill>
              </w:rPr>
              <w:t>JB/T10491.3-2004《额定电压450/750及以下交联聚烯烃绝缘电线和电缆  第2部分：耐热125℃交联聚烯烃绝缘电线和电缆》</w:t>
            </w:r>
          </w:p>
        </w:tc>
      </w:tr>
      <w:tr>
        <w:tblPrEx>
          <w:tblCellMar>
            <w:top w:w="0" w:type="dxa"/>
            <w:left w:w="108" w:type="dxa"/>
            <w:bottom w:w="0" w:type="dxa"/>
            <w:right w:w="108" w:type="dxa"/>
          </w:tblCellMar>
        </w:tblPrEx>
        <w:trPr>
          <w:trHeight w:val="280" w:hRule="atLeast"/>
          <w:jc w:val="center"/>
        </w:trPr>
        <w:tc>
          <w:tcPr>
            <w:tcW w:w="53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Times New Roman" w:eastAsiaTheme="minorEastAsia"/>
                <w:color w:val="000000" w:themeColor="text1"/>
                <w:kern w:val="0"/>
                <w:sz w:val="21"/>
                <w:szCs w:val="21"/>
                <w14:textFill>
                  <w14:solidFill>
                    <w14:schemeClr w14:val="tx1"/>
                  </w14:solidFill>
                </w14:textFill>
              </w:rPr>
            </w:pPr>
            <w:r>
              <w:rPr>
                <w:rFonts w:cs="Times New Roman" w:eastAsiaTheme="minorEastAsia"/>
                <w:color w:val="000000" w:themeColor="text1"/>
                <w:kern w:val="0"/>
                <w:sz w:val="21"/>
                <w:szCs w:val="21"/>
                <w14:textFill>
                  <w14:solidFill>
                    <w14:schemeClr w14:val="tx1"/>
                  </w14:solidFill>
                </w14:textFill>
              </w:rPr>
              <w:t>4</w:t>
            </w:r>
          </w:p>
        </w:tc>
        <w:tc>
          <w:tcPr>
            <w:tcW w:w="446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cs="Times New Roman" w:eastAsiaTheme="minorEastAsia"/>
                <w:color w:val="000000" w:themeColor="text1"/>
                <w:kern w:val="0"/>
                <w:sz w:val="21"/>
                <w:szCs w:val="21"/>
                <w14:textFill>
                  <w14:solidFill>
                    <w14:schemeClr w14:val="tx1"/>
                  </w14:solidFill>
                </w14:textFill>
              </w:rPr>
            </w:pPr>
            <w:r>
              <w:rPr>
                <w:rFonts w:cs="Times New Roman" w:eastAsiaTheme="minorEastAsia"/>
                <w:color w:val="000000" w:themeColor="text1"/>
                <w:kern w:val="0"/>
                <w:sz w:val="21"/>
                <w:szCs w:val="21"/>
                <w14:textFill>
                  <w14:solidFill>
                    <w14:schemeClr w14:val="tx1"/>
                  </w14:solidFill>
                </w14:textFill>
              </w:rPr>
              <w:t>JB/T10491.4-2004《额定电压450/750及以下交联聚烯烃绝缘电线和电缆  第2部分：耐热150℃交联聚烯烃绝缘电线和电缆》</w:t>
            </w:r>
          </w:p>
        </w:tc>
      </w:tr>
    </w:tbl>
    <w:p>
      <w:pPr>
        <w:rPr>
          <w:rFonts w:hint="eastAsia"/>
          <w:lang w:val="en-US" w:eastAsia="zh-CN"/>
        </w:rPr>
      </w:pPr>
    </w:p>
    <w:p>
      <w:pPr>
        <w:pStyle w:val="5"/>
        <w:spacing w:before="0" w:after="0" w:line="480" w:lineRule="auto"/>
        <w:rPr>
          <w:rFonts w:ascii="宋体" w:hAnsi="宋体"/>
          <w:sz w:val="28"/>
          <w:szCs w:val="28"/>
        </w:rPr>
      </w:pPr>
      <w:r>
        <w:rPr>
          <w:rFonts w:hint="eastAsia" w:ascii="宋体" w:hAnsi="宋体"/>
          <w:sz w:val="28"/>
          <w:szCs w:val="28"/>
        </w:rPr>
        <w:t>4.2 计量水平</w:t>
      </w:r>
      <w:bookmarkEnd w:id="27"/>
      <w:bookmarkEnd w:id="28"/>
    </w:p>
    <w:p>
      <w:pPr>
        <w:pStyle w:val="31"/>
        <w:ind w:firstLine="560"/>
        <w:rPr>
          <w:rFonts w:ascii="Cambria" w:hAnsi="Cambria" w:cs="Cambria"/>
          <w:kern w:val="0"/>
          <w:sz w:val="28"/>
          <w:szCs w:val="28"/>
        </w:rPr>
      </w:pPr>
      <w:bookmarkStart w:id="29" w:name="_Toc488941497"/>
      <w:r>
        <w:rPr>
          <w:rFonts w:hint="eastAsia" w:ascii="Cambria" w:hAnsi="Cambria" w:cs="Cambria"/>
          <w:kern w:val="0"/>
          <w:sz w:val="28"/>
          <w:szCs w:val="28"/>
        </w:rPr>
        <w:t>公司遵循“计量准确、科学公正”的原则，按照 ISO10012 的要求，覆盖从物资采购验收到产品出厂交付的全过程管理，配备了满足生产经营和质量管理要求的测量仪器、美国HIPO公司的局部放电等国际先进的检测设备，保证了计量检测结果准确。</w:t>
      </w:r>
    </w:p>
    <w:p>
      <w:pPr>
        <w:pStyle w:val="5"/>
        <w:spacing w:before="0" w:after="0" w:line="480" w:lineRule="auto"/>
        <w:rPr>
          <w:rFonts w:ascii="宋体" w:hAnsi="宋体"/>
          <w:sz w:val="28"/>
          <w:szCs w:val="28"/>
        </w:rPr>
      </w:pPr>
      <w:bookmarkStart w:id="30" w:name="_Toc532973900"/>
      <w:r>
        <w:rPr>
          <w:rFonts w:hint="eastAsia" w:ascii="宋体" w:hAnsi="宋体"/>
          <w:sz w:val="28"/>
          <w:szCs w:val="28"/>
        </w:rPr>
        <w:t>4.3 认证认可情况</w:t>
      </w:r>
      <w:bookmarkEnd w:id="29"/>
      <w:bookmarkEnd w:id="30"/>
    </w:p>
    <w:p>
      <w:pPr>
        <w:pStyle w:val="31"/>
        <w:ind w:firstLine="560"/>
        <w:rPr>
          <w:rFonts w:ascii="Cambria" w:hAnsi="Cambria" w:cs="Cambria"/>
          <w:kern w:val="0"/>
          <w:sz w:val="28"/>
          <w:szCs w:val="28"/>
        </w:rPr>
      </w:pPr>
      <w:r>
        <w:rPr>
          <w:rFonts w:hint="eastAsia" w:ascii="Cambria" w:hAnsi="Cambria" w:cs="Cambria"/>
          <w:kern w:val="0"/>
          <w:sz w:val="28"/>
          <w:szCs w:val="28"/>
        </w:rPr>
        <w:t>公司严格按照ISO9001质量管理体系要求进行品质管理、生产过程控制与出厂品质控制。同时，以项目管理方式进行产品开发，提高了产品开发效率，确保产品质量。目前，公司先后通过ISO9001质量管理体系、ISO14001环境管理体系、</w:t>
      </w:r>
      <w:r>
        <w:rPr>
          <w:rFonts w:hint="eastAsia" w:ascii="Cambria" w:hAnsi="Cambria" w:cs="Cambria"/>
          <w:kern w:val="0"/>
          <w:sz w:val="28"/>
          <w:szCs w:val="28"/>
          <w:lang w:eastAsia="zh-CN"/>
        </w:rPr>
        <w:t>ISO 45001</w:t>
      </w:r>
      <w:r>
        <w:rPr>
          <w:rFonts w:hint="eastAsia" w:ascii="Cambria" w:hAnsi="Cambria" w:cs="Cambria"/>
          <w:kern w:val="0"/>
          <w:sz w:val="28"/>
          <w:szCs w:val="28"/>
        </w:rPr>
        <w:t>职业健康安全管理体系、质量诚信管理体系等。</w:t>
      </w:r>
      <w:bookmarkStart w:id="31" w:name="_Toc488941498"/>
    </w:p>
    <w:p>
      <w:pPr>
        <w:pStyle w:val="5"/>
        <w:spacing w:before="0" w:after="0" w:line="480" w:lineRule="auto"/>
        <w:rPr>
          <w:rFonts w:ascii="宋体" w:hAnsi="宋体"/>
          <w:sz w:val="28"/>
          <w:szCs w:val="28"/>
        </w:rPr>
      </w:pPr>
      <w:bookmarkStart w:id="32" w:name="_Toc532973901"/>
      <w:r>
        <w:rPr>
          <w:rFonts w:hint="eastAsia" w:ascii="宋体" w:hAnsi="宋体"/>
          <w:sz w:val="28"/>
          <w:szCs w:val="28"/>
        </w:rPr>
        <w:t>4.4 特种设备安全管理</w:t>
      </w:r>
      <w:bookmarkEnd w:id="31"/>
      <w:bookmarkEnd w:id="32"/>
    </w:p>
    <w:p>
      <w:pPr>
        <w:pStyle w:val="31"/>
        <w:ind w:firstLine="560"/>
        <w:rPr>
          <w:rFonts w:ascii="Cambria" w:hAnsi="Cambria" w:cs="Cambria"/>
          <w:kern w:val="0"/>
          <w:sz w:val="28"/>
          <w:szCs w:val="28"/>
        </w:rPr>
      </w:pPr>
      <w:r>
        <w:rPr>
          <w:rFonts w:hint="eastAsia" w:ascii="Cambria" w:hAnsi="Cambria" w:cs="Cambria"/>
          <w:kern w:val="0"/>
          <w:sz w:val="28"/>
          <w:szCs w:val="28"/>
        </w:rPr>
        <w:t>我公司按照国家有关法律、法规、规章、标准等的要求，建立和完善了安全生产管理制度和安全操作规程，并悬挂上墙。加强对职工的宣传教育，狠抓制度的落实工作，确保了各项制度的贯彻落实，有效杜绝了“三违”现象发生。</w:t>
      </w:r>
    </w:p>
    <w:p>
      <w:pPr>
        <w:pStyle w:val="31"/>
        <w:ind w:firstLine="560"/>
        <w:rPr>
          <w:rFonts w:ascii="Cambria" w:hAnsi="Cambria" w:cs="Cambria"/>
          <w:kern w:val="0"/>
          <w:sz w:val="28"/>
          <w:szCs w:val="28"/>
        </w:rPr>
      </w:pPr>
      <w:r>
        <w:rPr>
          <w:rFonts w:hint="eastAsia" w:ascii="Cambria" w:hAnsi="Cambria" w:cs="Cambria"/>
          <w:kern w:val="0"/>
          <w:sz w:val="28"/>
          <w:szCs w:val="28"/>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pPr>
        <w:pStyle w:val="31"/>
        <w:ind w:firstLine="560"/>
        <w:rPr>
          <w:rFonts w:ascii="Cambria" w:hAnsi="Cambria" w:cs="Cambria"/>
          <w:kern w:val="0"/>
          <w:sz w:val="28"/>
          <w:szCs w:val="28"/>
        </w:rPr>
      </w:pPr>
      <w:r>
        <w:rPr>
          <w:rFonts w:hint="eastAsia" w:ascii="Cambria" w:hAnsi="Cambria" w:cs="Cambria"/>
          <w:kern w:val="0"/>
          <w:sz w:val="28"/>
          <w:szCs w:val="28"/>
        </w:rPr>
        <w:br w:type="page"/>
      </w:r>
    </w:p>
    <w:p>
      <w:pPr>
        <w:pStyle w:val="4"/>
        <w:jc w:val="center"/>
      </w:pPr>
      <w:bookmarkStart w:id="33" w:name="_Toc488941499"/>
      <w:bookmarkStart w:id="34" w:name="_Toc12852"/>
      <w:bookmarkStart w:id="35" w:name="_Toc532973902"/>
      <w:bookmarkStart w:id="36" w:name="_Toc29859_WPSOffice_Level1"/>
      <w:r>
        <w:rPr>
          <w:rFonts w:hint="eastAsia"/>
        </w:rPr>
        <w:t>第五章 产品质量责任</w:t>
      </w:r>
      <w:bookmarkEnd w:id="33"/>
      <w:bookmarkEnd w:id="34"/>
      <w:bookmarkEnd w:id="35"/>
      <w:bookmarkEnd w:id="36"/>
    </w:p>
    <w:p>
      <w:pPr>
        <w:pStyle w:val="5"/>
        <w:spacing w:before="0" w:after="0" w:line="480" w:lineRule="auto"/>
        <w:rPr>
          <w:rFonts w:ascii="宋体" w:hAnsi="宋体"/>
          <w:sz w:val="28"/>
          <w:szCs w:val="28"/>
        </w:rPr>
      </w:pPr>
      <w:bookmarkStart w:id="37" w:name="_Toc488941500"/>
      <w:bookmarkStart w:id="38" w:name="_Toc532973903"/>
      <w:r>
        <w:rPr>
          <w:rFonts w:hint="eastAsia" w:ascii="宋体" w:hAnsi="宋体"/>
          <w:sz w:val="28"/>
          <w:szCs w:val="28"/>
        </w:rPr>
        <w:t xml:space="preserve">5.1 </w:t>
      </w:r>
      <w:bookmarkEnd w:id="37"/>
      <w:bookmarkStart w:id="39" w:name="_Toc488941501"/>
      <w:r>
        <w:rPr>
          <w:rFonts w:hint="eastAsia" w:ascii="宋体" w:hAnsi="宋体"/>
          <w:sz w:val="28"/>
          <w:szCs w:val="28"/>
        </w:rPr>
        <w:t>产品质量承诺</w:t>
      </w:r>
      <w:bookmarkEnd w:id="38"/>
      <w:bookmarkEnd w:id="39"/>
    </w:p>
    <w:p>
      <w:pPr>
        <w:pStyle w:val="31"/>
        <w:ind w:firstLine="560"/>
        <w:rPr>
          <w:rFonts w:hint="eastAsia" w:ascii="Cambria" w:hAnsi="Cambria" w:cs="Cambria"/>
          <w:kern w:val="0"/>
          <w:sz w:val="28"/>
          <w:szCs w:val="28"/>
        </w:rPr>
      </w:pPr>
      <w:r>
        <w:rPr>
          <w:rFonts w:hint="eastAsia" w:ascii="Cambria" w:hAnsi="Cambria" w:cs="Cambria"/>
          <w:kern w:val="0"/>
          <w:sz w:val="28"/>
          <w:szCs w:val="28"/>
        </w:rPr>
        <w:t>1、本企业严格遵守《中华人民共和国产品质量法》等相关法律法规，依法诚信经营。</w:t>
      </w:r>
    </w:p>
    <w:p>
      <w:pPr>
        <w:pStyle w:val="31"/>
        <w:ind w:firstLine="560"/>
        <w:rPr>
          <w:rFonts w:hint="eastAsia" w:ascii="Cambria" w:hAnsi="Cambria" w:cs="Cambria"/>
          <w:kern w:val="0"/>
          <w:sz w:val="28"/>
          <w:szCs w:val="28"/>
        </w:rPr>
      </w:pPr>
      <w:r>
        <w:rPr>
          <w:rFonts w:hint="eastAsia" w:ascii="Cambria" w:hAnsi="Cambria" w:cs="Cambria"/>
          <w:kern w:val="0"/>
          <w:sz w:val="28"/>
          <w:szCs w:val="28"/>
        </w:rPr>
        <w:t>2、本企业依法管理和生产，落实质量安全主体责任。建立健全各项管理制度，完善各项记录和台账。</w:t>
      </w:r>
    </w:p>
    <w:p>
      <w:pPr>
        <w:pStyle w:val="31"/>
        <w:ind w:firstLine="560"/>
        <w:rPr>
          <w:rFonts w:hint="eastAsia" w:ascii="Cambria" w:hAnsi="Cambria" w:cs="Cambria"/>
          <w:kern w:val="0"/>
          <w:sz w:val="28"/>
          <w:szCs w:val="28"/>
        </w:rPr>
      </w:pPr>
      <w:r>
        <w:rPr>
          <w:rFonts w:hint="eastAsia" w:ascii="Cambria" w:hAnsi="Cambria" w:cs="Cambria"/>
          <w:kern w:val="0"/>
          <w:sz w:val="28"/>
          <w:szCs w:val="28"/>
        </w:rPr>
        <w:t>3、本企业周围环境、生产现场符合国家标准规定的要求。</w:t>
      </w:r>
    </w:p>
    <w:p>
      <w:pPr>
        <w:pStyle w:val="31"/>
        <w:ind w:firstLine="560"/>
        <w:rPr>
          <w:rFonts w:hint="eastAsia" w:ascii="Cambria" w:hAnsi="Cambria" w:cs="Cambria"/>
          <w:kern w:val="0"/>
          <w:sz w:val="28"/>
          <w:szCs w:val="28"/>
        </w:rPr>
      </w:pPr>
      <w:r>
        <w:rPr>
          <w:rFonts w:hint="eastAsia" w:ascii="Cambria" w:hAnsi="Cambria" w:cs="Cambria"/>
          <w:kern w:val="0"/>
          <w:sz w:val="28"/>
          <w:szCs w:val="28"/>
        </w:rPr>
        <w:t>4、本企业严格执行原辅材料检验制度，所用的原辅材料及包装材料符合相应的国家标准、行业标准及其相关规定。</w:t>
      </w:r>
    </w:p>
    <w:p>
      <w:pPr>
        <w:pStyle w:val="31"/>
        <w:ind w:firstLine="560"/>
        <w:rPr>
          <w:rFonts w:hint="eastAsia" w:ascii="Cambria" w:hAnsi="Cambria" w:cs="Cambria"/>
          <w:kern w:val="0"/>
          <w:sz w:val="28"/>
          <w:szCs w:val="28"/>
        </w:rPr>
      </w:pPr>
      <w:r>
        <w:rPr>
          <w:rFonts w:hint="eastAsia" w:ascii="Cambria" w:hAnsi="Cambria" w:cs="Cambria"/>
          <w:kern w:val="0"/>
          <w:sz w:val="28"/>
          <w:szCs w:val="28"/>
        </w:rPr>
        <w:t>5、本企业以“零缺陷”为目标，确保不合规格产品不出厂。</w:t>
      </w:r>
    </w:p>
    <w:p>
      <w:pPr>
        <w:pStyle w:val="31"/>
        <w:ind w:firstLine="560"/>
        <w:rPr>
          <w:rFonts w:ascii="Cambria" w:hAnsi="Cambria" w:cs="Cambria"/>
          <w:kern w:val="0"/>
          <w:sz w:val="28"/>
          <w:szCs w:val="28"/>
        </w:rPr>
      </w:pPr>
      <w:r>
        <w:rPr>
          <w:rFonts w:hint="eastAsia" w:ascii="Cambria" w:hAnsi="Cambria" w:cs="Cambria"/>
          <w:kern w:val="0"/>
          <w:sz w:val="28"/>
          <w:szCs w:val="28"/>
        </w:rPr>
        <w:t>6、保证不生产加工假冒伪劣产品，承诺产品出厂产品批批检测，未经检验的产品绝不出厂。</w:t>
      </w:r>
    </w:p>
    <w:p>
      <w:pPr>
        <w:pStyle w:val="31"/>
        <w:ind w:firstLine="560"/>
        <w:rPr>
          <w:rFonts w:ascii="Cambria" w:hAnsi="Cambria" w:cs="Cambria"/>
          <w:kern w:val="0"/>
          <w:sz w:val="28"/>
          <w:szCs w:val="28"/>
        </w:rPr>
      </w:pPr>
      <w:r>
        <w:rPr>
          <w:rFonts w:hint="eastAsia" w:ascii="Cambria" w:hAnsi="Cambria" w:cs="Cambria"/>
          <w:kern w:val="0"/>
          <w:sz w:val="28"/>
          <w:szCs w:val="28"/>
        </w:rPr>
        <w:t>7、检验不合格的产品绝不出厂，决不以不合格品冒充合格品出厂。</w:t>
      </w:r>
    </w:p>
    <w:p>
      <w:pPr>
        <w:pStyle w:val="31"/>
        <w:ind w:firstLine="560"/>
        <w:rPr>
          <w:rFonts w:ascii="Cambria" w:hAnsi="Cambria" w:cs="Cambria"/>
          <w:kern w:val="0"/>
          <w:sz w:val="28"/>
          <w:szCs w:val="28"/>
        </w:rPr>
      </w:pPr>
      <w:r>
        <w:rPr>
          <w:rFonts w:hint="eastAsia" w:ascii="Cambria" w:hAnsi="Cambria" w:cs="Cambria"/>
          <w:kern w:val="0"/>
          <w:sz w:val="28"/>
          <w:szCs w:val="28"/>
        </w:rPr>
        <w:t xml:space="preserve">8、所采用的仪器设备严格按照国家法定要求进行检定，检定不合格的仪器设备绝不用于产品检测。 </w:t>
      </w:r>
    </w:p>
    <w:p>
      <w:pPr>
        <w:pStyle w:val="31"/>
        <w:ind w:firstLine="560"/>
        <w:rPr>
          <w:rFonts w:ascii="Cambria" w:hAnsi="Cambria" w:cs="Cambria"/>
          <w:kern w:val="0"/>
          <w:sz w:val="28"/>
          <w:szCs w:val="28"/>
        </w:rPr>
      </w:pPr>
      <w:r>
        <w:rPr>
          <w:rFonts w:hint="eastAsia" w:ascii="Cambria" w:hAnsi="Cambria" w:cs="Cambria"/>
          <w:kern w:val="0"/>
          <w:sz w:val="28"/>
          <w:szCs w:val="28"/>
        </w:rPr>
        <w:t>9、保证所生产的每一批产品都能进行追溯，如生产日期、班次，生产原料、生产过程、检验人员等等。</w:t>
      </w:r>
    </w:p>
    <w:p>
      <w:pPr>
        <w:pStyle w:val="5"/>
        <w:spacing w:before="0" w:after="0" w:line="480" w:lineRule="auto"/>
        <w:rPr>
          <w:rFonts w:ascii="宋体" w:hAnsi="宋体"/>
          <w:sz w:val="28"/>
          <w:szCs w:val="28"/>
        </w:rPr>
      </w:pPr>
      <w:bookmarkStart w:id="40" w:name="_Toc488941502"/>
      <w:bookmarkStart w:id="41" w:name="_Toc532973904"/>
      <w:r>
        <w:rPr>
          <w:rFonts w:hint="eastAsia" w:ascii="宋体" w:hAnsi="宋体"/>
          <w:sz w:val="28"/>
          <w:szCs w:val="28"/>
        </w:rPr>
        <w:t>5.2 生产许可情况</w:t>
      </w:r>
      <w:bookmarkEnd w:id="40"/>
      <w:bookmarkEnd w:id="41"/>
    </w:p>
    <w:p>
      <w:pPr>
        <w:pStyle w:val="31"/>
        <w:ind w:firstLine="560"/>
        <w:rPr>
          <w:rFonts w:ascii="Cambria" w:hAnsi="Cambria" w:cs="Cambria"/>
          <w:kern w:val="0"/>
          <w:sz w:val="28"/>
          <w:szCs w:val="28"/>
        </w:rPr>
      </w:pPr>
      <w:r>
        <w:rPr>
          <w:rFonts w:hint="eastAsia" w:ascii="Cambria" w:hAnsi="Cambria" w:cs="Cambria"/>
          <w:kern w:val="0"/>
          <w:sz w:val="28"/>
          <w:szCs w:val="28"/>
        </w:rPr>
        <w:t>本公司生产加工场所、生产设备、设施、检测仪器、管理人员、技术人员等在同行业中处于先进水平，符合相关国家法律、法规要求，营业执照在有效期内。</w:t>
      </w:r>
      <w:bookmarkStart w:id="42" w:name="_Toc488941503"/>
    </w:p>
    <w:p>
      <w:pPr>
        <w:autoSpaceDE w:val="0"/>
        <w:autoSpaceDN w:val="0"/>
        <w:adjustRightInd w:val="0"/>
        <w:spacing w:line="500" w:lineRule="exact"/>
        <w:ind w:firstLine="560" w:firstLineChars="200"/>
        <w:jc w:val="left"/>
        <w:rPr>
          <w:rFonts w:ascii="宋体" w:cs="宋体"/>
          <w:kern w:val="0"/>
          <w:sz w:val="28"/>
          <w:szCs w:val="28"/>
          <w:highlight w:val="yellow"/>
        </w:rPr>
      </w:pPr>
    </w:p>
    <w:bookmarkEnd w:id="42"/>
    <w:p>
      <w:pPr>
        <w:pStyle w:val="4"/>
        <w:jc w:val="center"/>
      </w:pPr>
      <w:bookmarkStart w:id="43" w:name="_Toc20551_WPSOffice_Level1"/>
      <w:bookmarkStart w:id="44" w:name="_Toc19938"/>
      <w:bookmarkStart w:id="45" w:name="_Toc532973905"/>
      <w:r>
        <w:rPr>
          <w:rFonts w:hint="eastAsia"/>
        </w:rPr>
        <w:t>第六章 质量风险管理</w:t>
      </w:r>
      <w:bookmarkEnd w:id="43"/>
      <w:bookmarkEnd w:id="44"/>
      <w:bookmarkEnd w:id="45"/>
      <w:bookmarkStart w:id="46" w:name="_Toc488941504"/>
    </w:p>
    <w:p>
      <w:pPr>
        <w:pStyle w:val="5"/>
        <w:spacing w:before="0" w:after="0" w:line="480" w:lineRule="auto"/>
        <w:rPr>
          <w:rFonts w:ascii="宋体" w:hAnsi="宋体"/>
          <w:sz w:val="28"/>
          <w:szCs w:val="28"/>
        </w:rPr>
      </w:pPr>
      <w:bookmarkStart w:id="47" w:name="_Toc532973906"/>
      <w:r>
        <w:rPr>
          <w:rFonts w:hint="eastAsia" w:ascii="宋体" w:hAnsi="宋体"/>
          <w:sz w:val="28"/>
          <w:szCs w:val="28"/>
        </w:rPr>
        <w:t>6.1 质量投诉</w:t>
      </w:r>
      <w:bookmarkEnd w:id="46"/>
      <w:bookmarkEnd w:id="47"/>
    </w:p>
    <w:p>
      <w:pPr>
        <w:pStyle w:val="31"/>
        <w:ind w:firstLine="560"/>
        <w:rPr>
          <w:rFonts w:ascii="Cambria" w:hAnsi="Cambria" w:cs="Cambria"/>
          <w:kern w:val="0"/>
          <w:sz w:val="28"/>
          <w:szCs w:val="28"/>
        </w:rPr>
      </w:pPr>
      <w:bookmarkStart w:id="48" w:name="_Toc488941505"/>
      <w:r>
        <w:rPr>
          <w:rFonts w:hint="eastAsia" w:ascii="Cambria" w:hAnsi="Cambria" w:cs="Cambria"/>
          <w:kern w:val="0"/>
          <w:sz w:val="28"/>
          <w:szCs w:val="28"/>
        </w:rPr>
        <w:t>为规范顾客投诉处理流程，公司制定了客户投诉流程，对公司产品质量管理，及时处理并答复客户反馈质量信息，</w:t>
      </w:r>
      <w:r>
        <w:rPr>
          <w:rFonts w:hint="eastAsia" w:ascii="Cambria" w:hAnsi="Cambria" w:cs="Cambria"/>
          <w:kern w:val="0"/>
          <w:sz w:val="28"/>
          <w:szCs w:val="28"/>
          <w:lang w:eastAsia="zh-CN"/>
        </w:rPr>
        <w:t>销售管理部</w:t>
      </w:r>
      <w:r>
        <w:rPr>
          <w:rFonts w:hint="eastAsia" w:ascii="Cambria" w:hAnsi="Cambria" w:cs="Cambria"/>
          <w:kern w:val="0"/>
          <w:sz w:val="28"/>
          <w:szCs w:val="28"/>
        </w:rPr>
        <w:t>受到客户质量反馈信息，及时传递到</w:t>
      </w:r>
      <w:r>
        <w:rPr>
          <w:rFonts w:hint="eastAsia" w:ascii="Cambria" w:hAnsi="Cambria" w:cs="Cambria"/>
          <w:kern w:val="0"/>
          <w:sz w:val="28"/>
          <w:szCs w:val="28"/>
          <w:lang w:val="en-US" w:eastAsia="zh-CN"/>
        </w:rPr>
        <w:t>技术</w:t>
      </w:r>
      <w:r>
        <w:rPr>
          <w:rFonts w:hint="eastAsia" w:ascii="Cambria" w:hAnsi="Cambria" w:cs="Cambria"/>
          <w:kern w:val="0"/>
          <w:sz w:val="28"/>
          <w:szCs w:val="28"/>
        </w:rPr>
        <w:t>部和</w:t>
      </w:r>
      <w:r>
        <w:rPr>
          <w:rFonts w:hint="eastAsia" w:ascii="Cambria" w:hAnsi="Cambria" w:cs="Cambria"/>
          <w:kern w:val="0"/>
          <w:sz w:val="28"/>
          <w:szCs w:val="28"/>
          <w:lang w:eastAsia="zh-CN"/>
        </w:rPr>
        <w:t>品质部</w:t>
      </w:r>
      <w:r>
        <w:rPr>
          <w:rFonts w:hint="eastAsia" w:ascii="Cambria" w:hAnsi="Cambria" w:cs="Cambria"/>
          <w:kern w:val="0"/>
          <w:sz w:val="28"/>
          <w:szCs w:val="28"/>
        </w:rPr>
        <w:t>，由</w:t>
      </w:r>
      <w:r>
        <w:rPr>
          <w:rFonts w:hint="eastAsia" w:ascii="Cambria" w:hAnsi="Cambria" w:cs="Cambria"/>
          <w:kern w:val="0"/>
          <w:sz w:val="28"/>
          <w:szCs w:val="28"/>
          <w:lang w:val="en-US" w:eastAsia="zh-CN"/>
        </w:rPr>
        <w:t>品质</w:t>
      </w:r>
      <w:r>
        <w:rPr>
          <w:rFonts w:hint="eastAsia" w:ascii="Cambria" w:hAnsi="Cambria" w:cs="Cambria"/>
          <w:kern w:val="0"/>
          <w:sz w:val="28"/>
          <w:szCs w:val="28"/>
          <w:lang w:eastAsia="zh-CN"/>
        </w:rPr>
        <w:t>部</w:t>
      </w:r>
      <w:r>
        <w:rPr>
          <w:rFonts w:hint="eastAsia" w:ascii="Cambria" w:hAnsi="Cambria" w:cs="Cambria"/>
          <w:kern w:val="0"/>
          <w:sz w:val="28"/>
          <w:szCs w:val="28"/>
        </w:rPr>
        <w:t>负责处理客户反馈问题。</w:t>
      </w:r>
    </w:p>
    <w:p>
      <w:pPr>
        <w:pStyle w:val="31"/>
        <w:ind w:firstLine="560"/>
        <w:rPr>
          <w:rFonts w:hint="eastAsia" w:ascii="Cambria" w:hAnsi="Cambria" w:cs="Cambria"/>
          <w:kern w:val="0"/>
          <w:sz w:val="28"/>
          <w:szCs w:val="28"/>
        </w:rPr>
      </w:pPr>
      <w:bookmarkStart w:id="49" w:name="_Toc532973907"/>
      <w:r>
        <w:rPr>
          <w:rFonts w:hint="eastAsia" w:ascii="Cambria" w:hAnsi="Cambria" w:cs="Cambria"/>
          <w:kern w:val="0"/>
          <w:sz w:val="28"/>
          <w:szCs w:val="28"/>
        </w:rPr>
        <w:t>建立完善服务台账，对用户的来电来函及复函进行存档。业务人员通过与客户的日常沟通，不定期专项市场调研，按客户等级分类的市场走访，了解顾客最新动态，对走访工作进行总结，书面报告给销售管理部负责人。定期召开研产销协调会议，确保客户需求信息在组织内部的及时、准确传递</w:t>
      </w:r>
    </w:p>
    <w:p>
      <w:pPr>
        <w:pStyle w:val="31"/>
        <w:ind w:firstLine="560"/>
        <w:rPr>
          <w:rFonts w:hint="eastAsia" w:ascii="Cambria" w:hAnsi="Cambria" w:cs="Cambria"/>
          <w:kern w:val="0"/>
          <w:sz w:val="28"/>
          <w:szCs w:val="28"/>
        </w:rPr>
      </w:pPr>
      <w:r>
        <w:rPr>
          <w:rFonts w:hint="eastAsia" w:ascii="Cambria" w:hAnsi="Cambria" w:cs="Cambria"/>
          <w:kern w:val="0"/>
          <w:sz w:val="28"/>
          <w:szCs w:val="28"/>
        </w:rPr>
        <w:t>对用户的来电、来信提出的各种意见和建议分类整理，并及时反馈到相关部门及有关领导，同时做好台账。公司的生产部门、品质部、技术部等部门配合业务部做好销售服务工作，及时处理和解决客户反馈问题。对于产品质量问题，由品质部牵头分析原因、联合相关部门制定对策，并将问题处理结果及时反馈业务部及客户；对于产品创新及技术改善建议，由技术部牵头开展研发创新、工艺改进等工作，确保客户需求能有效转化为公司产品。</w:t>
      </w:r>
    </w:p>
    <w:p>
      <w:pPr>
        <w:pStyle w:val="5"/>
        <w:spacing w:before="0" w:after="0" w:line="480" w:lineRule="auto"/>
        <w:rPr>
          <w:rFonts w:ascii="宋体" w:hAnsi="宋体"/>
          <w:sz w:val="28"/>
          <w:szCs w:val="28"/>
        </w:rPr>
      </w:pPr>
      <w:r>
        <w:rPr>
          <w:rFonts w:hint="eastAsia" w:ascii="宋体" w:hAnsi="宋体"/>
          <w:sz w:val="28"/>
          <w:szCs w:val="28"/>
        </w:rPr>
        <w:t>6.2 质量风险监测</w:t>
      </w:r>
      <w:bookmarkEnd w:id="48"/>
      <w:bookmarkEnd w:id="49"/>
    </w:p>
    <w:p>
      <w:pPr>
        <w:pStyle w:val="31"/>
        <w:ind w:firstLine="560"/>
        <w:rPr>
          <w:rFonts w:ascii="Cambria" w:hAnsi="Cambria" w:cs="Cambria"/>
          <w:kern w:val="0"/>
          <w:sz w:val="28"/>
          <w:szCs w:val="28"/>
        </w:rPr>
      </w:pPr>
      <w:r>
        <w:rPr>
          <w:rFonts w:hint="eastAsia" w:ascii="Cambria" w:hAnsi="Cambria" w:cs="Cambria"/>
          <w:kern w:val="0"/>
          <w:sz w:val="28"/>
          <w:szCs w:val="28"/>
        </w:rPr>
        <w:t>6.2.1 质量控制点</w:t>
      </w:r>
    </w:p>
    <w:p>
      <w:pPr>
        <w:pStyle w:val="31"/>
        <w:ind w:firstLine="560"/>
        <w:rPr>
          <w:rFonts w:ascii="Cambria" w:hAnsi="Cambria" w:cs="Cambria"/>
          <w:kern w:val="0"/>
          <w:sz w:val="28"/>
          <w:szCs w:val="28"/>
        </w:rPr>
      </w:pPr>
      <w:r>
        <w:rPr>
          <w:rFonts w:hint="eastAsia" w:ascii="Cambria" w:hAnsi="Cambria" w:cs="Cambria"/>
          <w:kern w:val="0"/>
          <w:sz w:val="28"/>
          <w:szCs w:val="28"/>
        </w:rPr>
        <w:t>公司配备了先进的检测设备，质量管理部门负责三大过程的质量控制和质量检验。公司出厂产品质量稳定，从未发生过质量事故，顾客满意度评价均满足要求。</w:t>
      </w:r>
    </w:p>
    <w:p>
      <w:pPr>
        <w:pStyle w:val="31"/>
        <w:ind w:firstLine="560"/>
        <w:rPr>
          <w:rFonts w:ascii="Cambria" w:hAnsi="Cambria" w:cs="Cambria"/>
          <w:kern w:val="0"/>
          <w:sz w:val="28"/>
          <w:szCs w:val="28"/>
        </w:rPr>
      </w:pPr>
      <w:r>
        <w:rPr>
          <w:rFonts w:hint="eastAsia" w:ascii="Cambria" w:hAnsi="Cambria" w:cs="Cambria"/>
          <w:kern w:val="0"/>
          <w:sz w:val="28"/>
          <w:szCs w:val="28"/>
        </w:rPr>
        <w:t>6.2.2 质量监督审核</w:t>
      </w:r>
      <w:bookmarkStart w:id="50" w:name="_Toc532973908"/>
      <w:bookmarkStart w:id="51" w:name="_Toc488941506"/>
      <w:r>
        <w:rPr>
          <w:rFonts w:hint="eastAsia" w:ascii="Cambria" w:hAnsi="Cambria" w:cs="Cambria"/>
          <w:kern w:val="0"/>
          <w:sz w:val="28"/>
          <w:szCs w:val="28"/>
        </w:rPr>
        <w:t>通过建立完善的质量管理体系和过程管理体系、实施各种质量控制手段、建立完善的售后服务体系等措施来确保产品和服务的质量，每道工序都制定了岗位职责和作业指导书，每道工序都有明确的质量控制点及工艺卡片的质量控制实施方法和要求。并设立了严格的内控指标。质量控制和监督涵盖了产品形成的全过程。</w:t>
      </w:r>
    </w:p>
    <w:p>
      <w:pPr>
        <w:pStyle w:val="5"/>
        <w:spacing w:before="0" w:after="0" w:line="480" w:lineRule="auto"/>
        <w:rPr>
          <w:rFonts w:ascii="宋体" w:hAnsi="宋体"/>
          <w:sz w:val="28"/>
          <w:szCs w:val="28"/>
        </w:rPr>
      </w:pPr>
      <w:r>
        <w:rPr>
          <w:rFonts w:hint="eastAsia" w:ascii="宋体" w:hAnsi="宋体"/>
          <w:sz w:val="28"/>
          <w:szCs w:val="28"/>
        </w:rPr>
        <w:t>6.3 应急管理</w:t>
      </w:r>
      <w:bookmarkEnd w:id="50"/>
      <w:bookmarkEnd w:id="51"/>
    </w:p>
    <w:p>
      <w:pPr>
        <w:ind w:firstLine="560" w:firstLineChars="200"/>
        <w:rPr>
          <w:rFonts w:hint="eastAsia" w:ascii="Cambria" w:hAnsi="Cambria" w:eastAsia="宋体" w:cs="Cambria"/>
          <w:color w:val="000000"/>
          <w:kern w:val="0"/>
          <w:sz w:val="28"/>
          <w:szCs w:val="28"/>
          <w:lang w:val="en-US" w:eastAsia="zh-CN" w:bidi="ar-SA"/>
        </w:rPr>
      </w:pPr>
      <w:bookmarkStart w:id="52" w:name="_Toc18065_WPSOffice_Level1"/>
      <w:bookmarkStart w:id="53" w:name="_Toc16573"/>
      <w:bookmarkStart w:id="54" w:name="_Toc488941507"/>
      <w:bookmarkStart w:id="55" w:name="_Toc532973909"/>
      <w:r>
        <w:rPr>
          <w:rFonts w:hint="eastAsia" w:ascii="Cambria" w:hAnsi="Cambria" w:eastAsia="宋体" w:cs="Cambria"/>
          <w:color w:val="000000"/>
          <w:kern w:val="0"/>
          <w:sz w:val="28"/>
          <w:szCs w:val="28"/>
          <w:lang w:val="en-US" w:eastAsia="zh-CN" w:bidi="ar-SA"/>
        </w:rPr>
        <w:t>公司严格执行国家的《劳动法》、《安全生产法》、《职业病防治法》等劳动、安全生产法律法规，通过环境管理体系、职业健康安全管理体系，并有效运行，不断改善员工工作环境中的职业健康安全条件。</w:t>
      </w:r>
    </w:p>
    <w:p>
      <w:pPr>
        <w:ind w:firstLine="560" w:firstLineChars="200"/>
        <w:rPr>
          <w:rFonts w:hint="eastAsia" w:ascii="Cambria" w:hAnsi="Cambria" w:eastAsia="宋体" w:cs="Cambria"/>
          <w:color w:val="000000"/>
          <w:kern w:val="0"/>
          <w:sz w:val="28"/>
          <w:szCs w:val="28"/>
          <w:lang w:val="en-US" w:eastAsia="zh-CN" w:bidi="ar-SA"/>
        </w:rPr>
      </w:pPr>
      <w:r>
        <w:rPr>
          <w:rFonts w:hint="eastAsia" w:ascii="Cambria" w:hAnsi="Cambria" w:eastAsia="宋体" w:cs="Cambria"/>
          <w:color w:val="000000"/>
          <w:kern w:val="0"/>
          <w:sz w:val="28"/>
          <w:szCs w:val="28"/>
          <w:lang w:val="en-US" w:eastAsia="zh-CN" w:bidi="ar-SA"/>
        </w:rPr>
        <w:t>公司定期开展员工职业健康安全教育，不断改善员工的劳动环境和工作条件，在改善作业环境的同时，不断提升作业技术装置和技术含量，公司各主要装置基本采用了自动化和信息化控制，大幅度降低工人劳动强度；公司对有噪声、有毒有害等场所，定期进行检测，发现问题及时采取相应措施，严格控制作业场所的卫生标准；对有毒有害、易燃易爆场所采用相应气体报警仪，以便及时发现有毒有害、易燃易爆物质泄漏，有效地防止事故发生。</w:t>
      </w:r>
    </w:p>
    <w:p>
      <w:pPr>
        <w:ind w:firstLine="560" w:firstLineChars="200"/>
        <w:rPr>
          <w:rFonts w:hint="eastAsia" w:ascii="Cambria" w:hAnsi="Cambria" w:eastAsia="宋体" w:cs="Cambria"/>
          <w:color w:val="000000"/>
          <w:kern w:val="0"/>
          <w:sz w:val="28"/>
          <w:szCs w:val="28"/>
          <w:lang w:val="en-US" w:eastAsia="zh-CN" w:bidi="ar-SA"/>
        </w:rPr>
      </w:pPr>
      <w:r>
        <w:rPr>
          <w:rFonts w:hint="eastAsia" w:ascii="Cambria" w:hAnsi="Cambria" w:eastAsia="宋体" w:cs="Cambria"/>
          <w:color w:val="000000"/>
          <w:kern w:val="0"/>
          <w:sz w:val="28"/>
          <w:szCs w:val="28"/>
          <w:lang w:val="en-US" w:eastAsia="zh-CN" w:bidi="ar-SA"/>
        </w:rPr>
        <w:t>公司制订了《环境因素识别与评价控制程序》、《危险源辨识和风险评价控制程序》、《环境和职业健康安全运行控制程序》、《职业健康管理程序》、《环境因素识别与评价控制程序》、《环境、安全的监视和测量控制程序》、《事故处理控制程序》等制度，帮助组织与员工识别危险源、危险因素及关键场所的环境测量项目和指标，群策群防，确保体系有效运行。公司采取各种措施以有效应对不同危险源和危险因素，如为员工提供各种防护用品、提供标识说明、应急培训等，同时为预防突发事件对员工造成的各种影响，公司制定各种应急预案，以保障员工权益。</w:t>
      </w:r>
    </w:p>
    <w:bookmarkEnd w:id="52"/>
    <w:bookmarkEnd w:id="53"/>
    <w:bookmarkEnd w:id="54"/>
    <w:bookmarkEnd w:id="55"/>
    <w:p>
      <w:pPr>
        <w:autoSpaceDE w:val="0"/>
        <w:autoSpaceDN w:val="0"/>
        <w:adjustRightInd w:val="0"/>
        <w:spacing w:line="500" w:lineRule="exact"/>
        <w:jc w:val="left"/>
        <w:rPr>
          <w:rFonts w:ascii="宋体" w:hAnsi="宋体" w:cs="宋体"/>
          <w:kern w:val="0"/>
          <w:sz w:val="28"/>
          <w:szCs w:val="28"/>
        </w:rPr>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EHKHQN+ËÎÌå">
    <w:altName w:val="微软雅黑"/>
    <w:panose1 w:val="00000000000000000000"/>
    <w:charset w:val="01"/>
    <w:family w:val="auto"/>
    <w:pitch w:val="default"/>
    <w:sig w:usb0="00000000" w:usb1="00000000" w:usb2="00000000" w:usb3="00000000" w:csb0="00040001" w:csb1="00000000"/>
  </w:font>
  <w:font w:name="ºÚÌå">
    <w:altName w:val="Arial"/>
    <w:panose1 w:val="00000000000000000000"/>
    <w:charset w:val="00"/>
    <w:family w:val="swiss"/>
    <w:pitch w:val="default"/>
    <w:sig w:usb0="00000000" w:usb1="00000000" w:usb2="00000000" w:usb3="00000000" w:csb0="00000001" w:csb1="00000000"/>
  </w:font>
  <w:font w:name="华文新魏">
    <w:altName w:val="宋体"/>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4751154"/>
    </w:sdtPr>
    <w:sdtContent>
      <w:p>
        <w:pPr>
          <w:pStyle w:val="11"/>
          <w:jc w:val="center"/>
        </w:pPr>
        <w:r>
          <w:fldChar w:fldCharType="begin"/>
        </w:r>
        <w:r>
          <w:instrText xml:space="preserve">PAGE   \* MERGEFORMAT</w:instrText>
        </w:r>
        <w:r>
          <w:fldChar w:fldCharType="separate"/>
        </w:r>
        <w:r>
          <w:rPr>
            <w:lang w:val="zh-CN"/>
          </w:rPr>
          <w:t>13</w:t>
        </w:r>
        <w:r>
          <w:fldChar w:fldCharType="end"/>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9470100"/>
      <w:docPartObj>
        <w:docPartGallery w:val="autotext"/>
      </w:docPartObj>
    </w:sdtPr>
    <w:sdtContent>
      <w:p>
        <w:pPr>
          <w:pStyle w:val="11"/>
          <w:jc w:val="center"/>
        </w:pPr>
        <w:r>
          <w:fldChar w:fldCharType="begin"/>
        </w:r>
        <w:r>
          <w:instrText xml:space="preserve">PAGE   \* MERGEFORMAT</w:instrText>
        </w:r>
        <w:r>
          <w:fldChar w:fldCharType="separate"/>
        </w:r>
        <w:r>
          <w:rPr>
            <w:lang w:val="zh-CN"/>
          </w:rPr>
          <w:t>18</w:t>
        </w:r>
        <w: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w:rPr>
        <w:rFonts w:asciiTheme="majorEastAsia" w:hAnsiTheme="majorEastAsia" w:eastAsiaTheme="majorEastAsia"/>
      </w:rPr>
      <w:drawing>
        <wp:inline distT="0" distB="0" distL="114300" distR="114300">
          <wp:extent cx="714375" cy="480060"/>
          <wp:effectExtent l="0" t="0" r="1905" b="7620"/>
          <wp:docPr id="4" name="图片 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形1"/>
                  <pic:cNvPicPr>
                    <a:picLocks noChangeAspect="1"/>
                  </pic:cNvPicPr>
                </pic:nvPicPr>
                <pic:blipFill>
                  <a:blip r:embed="rId1"/>
                  <a:stretch>
                    <a:fillRect/>
                  </a:stretch>
                </pic:blipFill>
                <pic:spPr>
                  <a:xfrm>
                    <a:off x="0" y="0"/>
                    <a:ext cx="714375" cy="480060"/>
                  </a:xfrm>
                  <a:prstGeom prst="rect">
                    <a:avLst/>
                  </a:prstGeom>
                  <a:noFill/>
                  <a:ln>
                    <a:noFill/>
                  </a:ln>
                </pic:spPr>
              </pic:pic>
            </a:graphicData>
          </a:graphic>
        </wp:inline>
      </w:drawing>
    </w:r>
    <w:r>
      <w:rPr>
        <w:rFonts w:hint="eastAsia" w:asciiTheme="majorEastAsia" w:hAnsiTheme="majorEastAsia" w:eastAsiaTheme="majorEastAsia"/>
        <w:b/>
        <w:bCs/>
        <w:sz w:val="24"/>
        <w:szCs w:val="24"/>
        <w:lang w:val="en-US" w:eastAsia="zh-CN"/>
      </w:rPr>
      <w:t>2022年质量诚信报告</w:t>
    </w:r>
    <w:r>
      <w:rPr>
        <w:rFonts w:hint="eastAsia" w:asciiTheme="majorEastAsia" w:hAnsiTheme="majorEastAsia" w:eastAsiaTheme="major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BB7B90"/>
    <w:multiLevelType w:val="multilevel"/>
    <w:tmpl w:val="35BB7B90"/>
    <w:lvl w:ilvl="0" w:tentative="0">
      <w:start w:val="1"/>
      <w:numFmt w:val="japaneseCounting"/>
      <w:lvlText w:val="%1、"/>
      <w:lvlJc w:val="left"/>
      <w:pPr>
        <w:tabs>
          <w:tab w:val="left" w:pos="1290"/>
        </w:tabs>
        <w:ind w:left="1290" w:hanging="720"/>
      </w:pPr>
      <w:rPr>
        <w:rFonts w:hint="default"/>
        <w:u w:val="none" w:color="auto"/>
      </w:rPr>
    </w:lvl>
    <w:lvl w:ilvl="1" w:tentative="0">
      <w:start w:val="1"/>
      <w:numFmt w:val="decimal"/>
      <w:lvlText w:val="%2、"/>
      <w:lvlJc w:val="left"/>
      <w:pPr>
        <w:tabs>
          <w:tab w:val="left" w:pos="1710"/>
        </w:tabs>
        <w:ind w:left="0" w:firstLine="990"/>
      </w:pPr>
      <w:rPr>
        <w:rFonts w:hint="default"/>
        <w:u w:val="none" w:color="auto"/>
      </w:rPr>
    </w:lvl>
    <w:lvl w:ilvl="2" w:tentative="0">
      <w:start w:val="1"/>
      <w:numFmt w:val="lowerRoman"/>
      <w:lvlText w:val="%3."/>
      <w:lvlJc w:val="right"/>
      <w:pPr>
        <w:tabs>
          <w:tab w:val="left" w:pos="1830"/>
        </w:tabs>
        <w:ind w:left="1830" w:hanging="420"/>
      </w:pPr>
      <w:rPr>
        <w:rFonts w:hint="default"/>
        <w:u w:val="none" w:color="auto"/>
      </w:rPr>
    </w:lvl>
    <w:lvl w:ilvl="3" w:tentative="0">
      <w:start w:val="1"/>
      <w:numFmt w:val="decimal"/>
      <w:lvlText w:val="%4."/>
      <w:lvlJc w:val="left"/>
      <w:pPr>
        <w:tabs>
          <w:tab w:val="left" w:pos="2250"/>
        </w:tabs>
        <w:ind w:left="2250" w:hanging="420"/>
      </w:pPr>
      <w:rPr>
        <w:rFonts w:hint="default"/>
        <w:u w:val="none" w:color="auto"/>
      </w:rPr>
    </w:lvl>
    <w:lvl w:ilvl="4" w:tentative="0">
      <w:start w:val="1"/>
      <w:numFmt w:val="lowerLetter"/>
      <w:lvlText w:val="%5)"/>
      <w:lvlJc w:val="left"/>
      <w:pPr>
        <w:tabs>
          <w:tab w:val="left" w:pos="2670"/>
        </w:tabs>
        <w:ind w:left="2670" w:hanging="420"/>
      </w:pPr>
      <w:rPr>
        <w:rFonts w:hint="default"/>
        <w:u w:val="none" w:color="auto"/>
      </w:rPr>
    </w:lvl>
    <w:lvl w:ilvl="5" w:tentative="0">
      <w:start w:val="1"/>
      <w:numFmt w:val="lowerRoman"/>
      <w:lvlText w:val="%6."/>
      <w:lvlJc w:val="right"/>
      <w:pPr>
        <w:tabs>
          <w:tab w:val="left" w:pos="3090"/>
        </w:tabs>
        <w:ind w:left="3090" w:hanging="420"/>
      </w:pPr>
      <w:rPr>
        <w:rFonts w:hint="default"/>
        <w:u w:val="none" w:color="auto"/>
      </w:rPr>
    </w:lvl>
    <w:lvl w:ilvl="6" w:tentative="0">
      <w:start w:val="1"/>
      <w:numFmt w:val="decimal"/>
      <w:lvlText w:val="%7."/>
      <w:lvlJc w:val="left"/>
      <w:pPr>
        <w:tabs>
          <w:tab w:val="left" w:pos="3510"/>
        </w:tabs>
        <w:ind w:left="3510" w:hanging="420"/>
      </w:pPr>
      <w:rPr>
        <w:rFonts w:hint="default"/>
        <w:u w:val="none" w:color="auto"/>
      </w:rPr>
    </w:lvl>
    <w:lvl w:ilvl="7" w:tentative="0">
      <w:start w:val="1"/>
      <w:numFmt w:val="lowerLetter"/>
      <w:lvlText w:val="%8)"/>
      <w:lvlJc w:val="left"/>
      <w:pPr>
        <w:tabs>
          <w:tab w:val="left" w:pos="3930"/>
        </w:tabs>
        <w:ind w:left="3930" w:hanging="420"/>
      </w:pPr>
      <w:rPr>
        <w:rFonts w:hint="default"/>
        <w:u w:val="none" w:color="auto"/>
      </w:rPr>
    </w:lvl>
    <w:lvl w:ilvl="8" w:tentative="0">
      <w:start w:val="1"/>
      <w:numFmt w:val="lowerRoman"/>
      <w:lvlText w:val="%9."/>
      <w:lvlJc w:val="right"/>
      <w:pPr>
        <w:tabs>
          <w:tab w:val="left" w:pos="4350"/>
        </w:tabs>
        <w:ind w:left="4350" w:hanging="420"/>
      </w:pPr>
      <w:rPr>
        <w:rFonts w:hint="default"/>
        <w:u w:val="none" w:color="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U0ODM5MDEyNGZhNzFkN2QwMDZlMGNmZWMxZDgzNjUifQ=="/>
  </w:docVars>
  <w:rsids>
    <w:rsidRoot w:val="00172A27"/>
    <w:rsid w:val="00046376"/>
    <w:rsid w:val="00067C29"/>
    <w:rsid w:val="00082B94"/>
    <w:rsid w:val="000C2D67"/>
    <w:rsid w:val="000E3E7C"/>
    <w:rsid w:val="00116CD3"/>
    <w:rsid w:val="00122F50"/>
    <w:rsid w:val="001234D7"/>
    <w:rsid w:val="00126B8B"/>
    <w:rsid w:val="00134BFE"/>
    <w:rsid w:val="001512ED"/>
    <w:rsid w:val="00172996"/>
    <w:rsid w:val="0017718C"/>
    <w:rsid w:val="00195CB5"/>
    <w:rsid w:val="001B4168"/>
    <w:rsid w:val="001C0221"/>
    <w:rsid w:val="001C47F2"/>
    <w:rsid w:val="001E23D9"/>
    <w:rsid w:val="001F3805"/>
    <w:rsid w:val="0021550D"/>
    <w:rsid w:val="00232EC3"/>
    <w:rsid w:val="00243B63"/>
    <w:rsid w:val="002A6F3C"/>
    <w:rsid w:val="002B39D0"/>
    <w:rsid w:val="002C3344"/>
    <w:rsid w:val="00306002"/>
    <w:rsid w:val="00324CBC"/>
    <w:rsid w:val="0036690E"/>
    <w:rsid w:val="00385616"/>
    <w:rsid w:val="00396B26"/>
    <w:rsid w:val="003D49BE"/>
    <w:rsid w:val="003E64A7"/>
    <w:rsid w:val="003F0A29"/>
    <w:rsid w:val="003F2C79"/>
    <w:rsid w:val="003F6E9B"/>
    <w:rsid w:val="0042555F"/>
    <w:rsid w:val="0043427C"/>
    <w:rsid w:val="00453E60"/>
    <w:rsid w:val="004A057E"/>
    <w:rsid w:val="004A334F"/>
    <w:rsid w:val="004B4443"/>
    <w:rsid w:val="004F55F1"/>
    <w:rsid w:val="005A661C"/>
    <w:rsid w:val="005B4B73"/>
    <w:rsid w:val="005D25D1"/>
    <w:rsid w:val="00607C1B"/>
    <w:rsid w:val="00664BEB"/>
    <w:rsid w:val="0073176F"/>
    <w:rsid w:val="00745D18"/>
    <w:rsid w:val="00755191"/>
    <w:rsid w:val="007578BA"/>
    <w:rsid w:val="007B4816"/>
    <w:rsid w:val="007C54DA"/>
    <w:rsid w:val="007D4E74"/>
    <w:rsid w:val="00847D92"/>
    <w:rsid w:val="008962AD"/>
    <w:rsid w:val="008B168E"/>
    <w:rsid w:val="008D6DFF"/>
    <w:rsid w:val="00902966"/>
    <w:rsid w:val="00903293"/>
    <w:rsid w:val="00903844"/>
    <w:rsid w:val="00904118"/>
    <w:rsid w:val="00905F30"/>
    <w:rsid w:val="009228C7"/>
    <w:rsid w:val="009346E8"/>
    <w:rsid w:val="009408C7"/>
    <w:rsid w:val="009707BD"/>
    <w:rsid w:val="009812E3"/>
    <w:rsid w:val="0098690A"/>
    <w:rsid w:val="009B57B5"/>
    <w:rsid w:val="00A4548E"/>
    <w:rsid w:val="00A539F7"/>
    <w:rsid w:val="00A54B10"/>
    <w:rsid w:val="00A678C5"/>
    <w:rsid w:val="00A74C37"/>
    <w:rsid w:val="00A80F82"/>
    <w:rsid w:val="00AC4F6B"/>
    <w:rsid w:val="00AC7799"/>
    <w:rsid w:val="00B128F8"/>
    <w:rsid w:val="00B36CA3"/>
    <w:rsid w:val="00B64639"/>
    <w:rsid w:val="00B7695C"/>
    <w:rsid w:val="00B9238A"/>
    <w:rsid w:val="00BA2372"/>
    <w:rsid w:val="00C1175E"/>
    <w:rsid w:val="00C17AC3"/>
    <w:rsid w:val="00C53250"/>
    <w:rsid w:val="00C542AA"/>
    <w:rsid w:val="00C60932"/>
    <w:rsid w:val="00C64694"/>
    <w:rsid w:val="00C90CBE"/>
    <w:rsid w:val="00C93B3C"/>
    <w:rsid w:val="00CC029A"/>
    <w:rsid w:val="00D275FC"/>
    <w:rsid w:val="00D30687"/>
    <w:rsid w:val="00D508CA"/>
    <w:rsid w:val="00D62084"/>
    <w:rsid w:val="00D737AA"/>
    <w:rsid w:val="00D776BA"/>
    <w:rsid w:val="00D86194"/>
    <w:rsid w:val="00D86E8C"/>
    <w:rsid w:val="00D87BDE"/>
    <w:rsid w:val="00D93E1A"/>
    <w:rsid w:val="00DA63F1"/>
    <w:rsid w:val="00DA7CDE"/>
    <w:rsid w:val="00DC0080"/>
    <w:rsid w:val="00DE2A6F"/>
    <w:rsid w:val="00DE5505"/>
    <w:rsid w:val="00DF4230"/>
    <w:rsid w:val="00DF603C"/>
    <w:rsid w:val="00E0171E"/>
    <w:rsid w:val="00E22819"/>
    <w:rsid w:val="00E71ED7"/>
    <w:rsid w:val="00E976F1"/>
    <w:rsid w:val="00F46612"/>
    <w:rsid w:val="00FC687E"/>
    <w:rsid w:val="01066A48"/>
    <w:rsid w:val="03D66BA6"/>
    <w:rsid w:val="065169B7"/>
    <w:rsid w:val="074B1659"/>
    <w:rsid w:val="0A232419"/>
    <w:rsid w:val="0A685EA5"/>
    <w:rsid w:val="0AA74DF8"/>
    <w:rsid w:val="0B3A40DD"/>
    <w:rsid w:val="0B8213C1"/>
    <w:rsid w:val="0C111B5B"/>
    <w:rsid w:val="0EA725BC"/>
    <w:rsid w:val="112B2718"/>
    <w:rsid w:val="14831570"/>
    <w:rsid w:val="14BD1B19"/>
    <w:rsid w:val="15FF1F8C"/>
    <w:rsid w:val="16FE2244"/>
    <w:rsid w:val="173D23C0"/>
    <w:rsid w:val="17680005"/>
    <w:rsid w:val="17AB69E9"/>
    <w:rsid w:val="17EA0A1A"/>
    <w:rsid w:val="18E73B06"/>
    <w:rsid w:val="1996436E"/>
    <w:rsid w:val="1CB24F45"/>
    <w:rsid w:val="1CC10421"/>
    <w:rsid w:val="1D81772B"/>
    <w:rsid w:val="219519F6"/>
    <w:rsid w:val="2309269C"/>
    <w:rsid w:val="23BF0FAD"/>
    <w:rsid w:val="23E34C9B"/>
    <w:rsid w:val="2455556D"/>
    <w:rsid w:val="25E92311"/>
    <w:rsid w:val="26630315"/>
    <w:rsid w:val="26E8081A"/>
    <w:rsid w:val="27307534"/>
    <w:rsid w:val="27743CB2"/>
    <w:rsid w:val="27A51F53"/>
    <w:rsid w:val="282E6701"/>
    <w:rsid w:val="2B011EAB"/>
    <w:rsid w:val="2B6110F0"/>
    <w:rsid w:val="2E4A1F69"/>
    <w:rsid w:val="30654C8A"/>
    <w:rsid w:val="30DF2C8E"/>
    <w:rsid w:val="3163566D"/>
    <w:rsid w:val="31F9168B"/>
    <w:rsid w:val="33026F9A"/>
    <w:rsid w:val="34360E17"/>
    <w:rsid w:val="343A52BB"/>
    <w:rsid w:val="37F3622C"/>
    <w:rsid w:val="3D803103"/>
    <w:rsid w:val="3DBA03C3"/>
    <w:rsid w:val="3DD940BE"/>
    <w:rsid w:val="3E6E73FF"/>
    <w:rsid w:val="418B5C7C"/>
    <w:rsid w:val="4546111E"/>
    <w:rsid w:val="46DC2E58"/>
    <w:rsid w:val="47290367"/>
    <w:rsid w:val="48825D5A"/>
    <w:rsid w:val="492D7BE7"/>
    <w:rsid w:val="4A1D4813"/>
    <w:rsid w:val="4A9D796D"/>
    <w:rsid w:val="4B210A4D"/>
    <w:rsid w:val="4C07011A"/>
    <w:rsid w:val="4FFF435B"/>
    <w:rsid w:val="500D0826"/>
    <w:rsid w:val="52C553E8"/>
    <w:rsid w:val="54890697"/>
    <w:rsid w:val="54A95EAF"/>
    <w:rsid w:val="56755377"/>
    <w:rsid w:val="56A1616C"/>
    <w:rsid w:val="570B43D4"/>
    <w:rsid w:val="57342B3C"/>
    <w:rsid w:val="57A8352A"/>
    <w:rsid w:val="580A1AEF"/>
    <w:rsid w:val="58484011"/>
    <w:rsid w:val="5C13531C"/>
    <w:rsid w:val="5C190694"/>
    <w:rsid w:val="5C1C3449"/>
    <w:rsid w:val="5CDD2ABF"/>
    <w:rsid w:val="5DD47E86"/>
    <w:rsid w:val="5F27742B"/>
    <w:rsid w:val="5F6E6E08"/>
    <w:rsid w:val="617C27DA"/>
    <w:rsid w:val="62F13FD7"/>
    <w:rsid w:val="64E5191A"/>
    <w:rsid w:val="65F77B57"/>
    <w:rsid w:val="67A569DC"/>
    <w:rsid w:val="69B2068A"/>
    <w:rsid w:val="6A813E93"/>
    <w:rsid w:val="6ABA55F7"/>
    <w:rsid w:val="6CC17C72"/>
    <w:rsid w:val="6CCB17B2"/>
    <w:rsid w:val="6D154D66"/>
    <w:rsid w:val="6D633D24"/>
    <w:rsid w:val="6D6D6950"/>
    <w:rsid w:val="72E21F42"/>
    <w:rsid w:val="7306587D"/>
    <w:rsid w:val="767E38B0"/>
    <w:rsid w:val="7AEC35AA"/>
    <w:rsid w:val="7CAD7B21"/>
    <w:rsid w:val="7D2708CA"/>
    <w:rsid w:val="7F015A3C"/>
    <w:rsid w:val="7F6714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20"/>
    <w:qFormat/>
    <w:uiPriority w:val="9"/>
    <w:pPr>
      <w:keepNext/>
      <w:keepLines/>
      <w:spacing w:before="340" w:after="330" w:line="578" w:lineRule="auto"/>
      <w:outlineLvl w:val="0"/>
    </w:pPr>
    <w:rPr>
      <w:b/>
      <w:bCs/>
      <w:kern w:val="44"/>
      <w:sz w:val="44"/>
      <w:szCs w:val="44"/>
      <w:lang w:val="zh-CN"/>
    </w:rPr>
  </w:style>
  <w:style w:type="paragraph" w:styleId="5">
    <w:name w:val="heading 2"/>
    <w:basedOn w:val="1"/>
    <w:next w:val="1"/>
    <w:link w:val="24"/>
    <w:unhideWhenUsed/>
    <w:qFormat/>
    <w:uiPriority w:val="9"/>
    <w:pPr>
      <w:keepNext/>
      <w:keepLines/>
      <w:spacing w:before="260" w:after="260" w:line="416" w:lineRule="auto"/>
      <w:outlineLvl w:val="1"/>
    </w:pPr>
    <w:rPr>
      <w:rFonts w:ascii="Calibri Light" w:hAnsi="Calibri Light"/>
      <w:b/>
      <w:bCs/>
      <w:sz w:val="32"/>
      <w:szCs w:val="32"/>
      <w:lang w:val="zh-CN"/>
    </w:rPr>
  </w:style>
  <w:style w:type="paragraph" w:styleId="6">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widowControl/>
      <w:adjustRightInd w:val="0"/>
      <w:snapToGrid w:val="0"/>
      <w:ind w:firstLine="420" w:firstLineChars="200"/>
      <w:jc w:val="left"/>
    </w:pPr>
    <w:rPr>
      <w:rFonts w:ascii="Tahoma" w:hAnsi="Tahoma" w:cs="Times New Roman"/>
      <w:kern w:val="0"/>
      <w:sz w:val="21"/>
      <w:szCs w:val="21"/>
    </w:rPr>
  </w:style>
  <w:style w:type="paragraph" w:styleId="3">
    <w:name w:val="Body Text Indent"/>
    <w:basedOn w:val="1"/>
    <w:qFormat/>
    <w:uiPriority w:val="0"/>
    <w:pPr>
      <w:spacing w:before="78" w:beforeLines="25" w:after="78" w:afterLines="25"/>
      <w:ind w:firstLine="538" w:firstLineChars="192"/>
    </w:pPr>
    <w:rPr>
      <w:rFonts w:hint="default" w:ascii="Times New Roman" w:eastAsia="宋体"/>
      <w:kern w:val="2"/>
      <w:sz w:val="24"/>
      <w:lang w:val="en-US" w:eastAsia="zh-CN"/>
    </w:rPr>
  </w:style>
  <w:style w:type="paragraph" w:styleId="7">
    <w:name w:val="caption"/>
    <w:basedOn w:val="1"/>
    <w:next w:val="1"/>
    <w:unhideWhenUsed/>
    <w:qFormat/>
    <w:uiPriority w:val="35"/>
    <w:pPr>
      <w:jc w:val="center"/>
    </w:pPr>
    <w:rPr>
      <w:rFonts w:ascii="楷体" w:hAnsi="楷体" w:cs="Times New Roman"/>
      <w:b/>
      <w:szCs w:val="20"/>
    </w:rPr>
  </w:style>
  <w:style w:type="paragraph" w:styleId="8">
    <w:name w:val="annotation text"/>
    <w:basedOn w:val="1"/>
    <w:qFormat/>
    <w:uiPriority w:val="0"/>
    <w:pPr>
      <w:spacing w:line="300" w:lineRule="auto"/>
      <w:ind w:firstLine="200" w:firstLineChars="200"/>
      <w:jc w:val="left"/>
    </w:pPr>
    <w:rPr>
      <w:rFonts w:eastAsia="宋体"/>
      <w:kern w:val="2"/>
      <w:sz w:val="21"/>
      <w:lang w:val="en-US" w:eastAsia="zh-CN" w:bidi="ar-SA"/>
    </w:rPr>
  </w:style>
  <w:style w:type="paragraph" w:styleId="9">
    <w:name w:val="toc 3"/>
    <w:basedOn w:val="1"/>
    <w:next w:val="1"/>
    <w:unhideWhenUsed/>
    <w:qFormat/>
    <w:uiPriority w:val="39"/>
    <w:pPr>
      <w:ind w:left="840" w:leftChars="400"/>
    </w:pPr>
  </w:style>
  <w:style w:type="paragraph" w:styleId="10">
    <w:name w:val="Balloon Text"/>
    <w:basedOn w:val="1"/>
    <w:link w:val="29"/>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unhideWhenUsed/>
    <w:qFormat/>
    <w:uiPriority w:val="0"/>
    <w:rPr>
      <w:rFonts w:hint="default"/>
      <w:sz w:val="24"/>
      <w:szCs w:val="24"/>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customStyle="1" w:styleId="20">
    <w:name w:val="标题 1 字符"/>
    <w:basedOn w:val="17"/>
    <w:link w:val="4"/>
    <w:qFormat/>
    <w:uiPriority w:val="9"/>
    <w:rPr>
      <w:rFonts w:ascii="Calibri" w:hAnsi="Calibri" w:eastAsia="宋体" w:cs="Times New Roman"/>
      <w:b/>
      <w:bCs/>
      <w:kern w:val="44"/>
      <w:sz w:val="44"/>
      <w:szCs w:val="44"/>
      <w:lang w:val="zh-CN" w:eastAsia="zh-CN"/>
    </w:rPr>
  </w:style>
  <w:style w:type="paragraph" w:customStyle="1" w:styleId="21">
    <w:name w:val="表头"/>
    <w:basedOn w:val="1"/>
    <w:qFormat/>
    <w:uiPriority w:val="0"/>
    <w:pPr>
      <w:spacing w:line="360" w:lineRule="auto"/>
      <w:jc w:val="center"/>
    </w:pPr>
    <w:rPr>
      <w:rFonts w:eastAsia="黑体"/>
      <w:b/>
    </w:rPr>
  </w:style>
  <w:style w:type="character" w:customStyle="1" w:styleId="22">
    <w:name w:val="页眉 字符"/>
    <w:basedOn w:val="17"/>
    <w:link w:val="12"/>
    <w:qFormat/>
    <w:uiPriority w:val="99"/>
    <w:rPr>
      <w:sz w:val="18"/>
      <w:szCs w:val="18"/>
    </w:rPr>
  </w:style>
  <w:style w:type="character" w:customStyle="1" w:styleId="23">
    <w:name w:val="页脚 字符"/>
    <w:basedOn w:val="17"/>
    <w:link w:val="11"/>
    <w:qFormat/>
    <w:uiPriority w:val="99"/>
    <w:rPr>
      <w:sz w:val="18"/>
      <w:szCs w:val="18"/>
    </w:rPr>
  </w:style>
  <w:style w:type="character" w:customStyle="1" w:styleId="24">
    <w:name w:val="标题 2 字符"/>
    <w:basedOn w:val="17"/>
    <w:link w:val="5"/>
    <w:qFormat/>
    <w:uiPriority w:val="9"/>
    <w:rPr>
      <w:rFonts w:ascii="Calibri Light" w:hAnsi="Calibri Light" w:eastAsia="宋体" w:cs="Times New Roman"/>
      <w:b/>
      <w:bCs/>
      <w:sz w:val="32"/>
      <w:szCs w:val="32"/>
      <w:lang w:val="zh-CN" w:eastAsia="zh-CN"/>
    </w:rPr>
  </w:style>
  <w:style w:type="paragraph" w:styleId="25">
    <w:name w:val="List Paragraph"/>
    <w:basedOn w:val="1"/>
    <w:qFormat/>
    <w:uiPriority w:val="34"/>
    <w:pPr>
      <w:ind w:firstLine="420" w:firstLineChars="200"/>
    </w:pPr>
  </w:style>
  <w:style w:type="paragraph" w:customStyle="1" w:styleId="26">
    <w:name w:val="XN正文"/>
    <w:basedOn w:val="1"/>
    <w:link w:val="27"/>
    <w:qFormat/>
    <w:uiPriority w:val="99"/>
    <w:pPr>
      <w:spacing w:line="300" w:lineRule="auto"/>
      <w:ind w:firstLine="200" w:firstLineChars="200"/>
    </w:pPr>
    <w:rPr>
      <w:rFonts w:ascii="仿宋" w:hAnsi="仿宋" w:eastAsia="仿宋"/>
      <w:color w:val="000000"/>
      <w:sz w:val="24"/>
      <w:szCs w:val="24"/>
      <w:lang w:val="zh-CN"/>
    </w:rPr>
  </w:style>
  <w:style w:type="character" w:customStyle="1" w:styleId="27">
    <w:name w:val="XN正文 Char"/>
    <w:link w:val="26"/>
    <w:qFormat/>
    <w:uiPriority w:val="99"/>
    <w:rPr>
      <w:rFonts w:ascii="仿宋" w:hAnsi="仿宋" w:eastAsia="仿宋" w:cs="Times New Roman"/>
      <w:color w:val="000000"/>
      <w:sz w:val="24"/>
      <w:szCs w:val="24"/>
      <w:lang w:val="zh-CN" w:eastAsia="zh-CN"/>
    </w:rPr>
  </w:style>
  <w:style w:type="paragraph" w:customStyle="1" w:styleId="28">
    <w:name w:val="TOC 标题1"/>
    <w:basedOn w:val="4"/>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lang w:val="en-US"/>
    </w:rPr>
  </w:style>
  <w:style w:type="character" w:customStyle="1" w:styleId="29">
    <w:name w:val="批注框文本 字符"/>
    <w:basedOn w:val="17"/>
    <w:link w:val="10"/>
    <w:semiHidden/>
    <w:qFormat/>
    <w:uiPriority w:val="99"/>
    <w:rPr>
      <w:rFonts w:ascii="Calibri" w:hAnsi="Calibri" w:eastAsia="宋体" w:cs="Times New Roman"/>
      <w:sz w:val="18"/>
      <w:szCs w:val="18"/>
    </w:rPr>
  </w:style>
  <w:style w:type="character" w:customStyle="1" w:styleId="30">
    <w:name w:val="标题 3 字符"/>
    <w:basedOn w:val="17"/>
    <w:link w:val="6"/>
    <w:qFormat/>
    <w:uiPriority w:val="9"/>
    <w:rPr>
      <w:rFonts w:ascii="Calibri" w:hAnsi="Calibri" w:eastAsia="宋体" w:cs="Times New Roman"/>
      <w:b/>
      <w:bCs/>
      <w:sz w:val="32"/>
      <w:szCs w:val="32"/>
    </w:rPr>
  </w:style>
  <w:style w:type="paragraph" w:customStyle="1" w:styleId="31">
    <w:name w:val="报告正文"/>
    <w:basedOn w:val="1"/>
    <w:link w:val="32"/>
    <w:qFormat/>
    <w:uiPriority w:val="0"/>
    <w:pPr>
      <w:widowControl/>
      <w:snapToGrid w:val="0"/>
      <w:spacing w:line="360" w:lineRule="auto"/>
      <w:ind w:firstLine="480" w:firstLineChars="200"/>
      <w:contextualSpacing/>
      <w:jc w:val="left"/>
    </w:pPr>
    <w:rPr>
      <w:rFonts w:ascii="宋体" w:hAnsi="宋体" w:cs="宋体"/>
      <w:color w:val="000000"/>
      <w:sz w:val="24"/>
      <w:szCs w:val="24"/>
    </w:rPr>
  </w:style>
  <w:style w:type="character" w:customStyle="1" w:styleId="32">
    <w:name w:val="报告正文 字符"/>
    <w:basedOn w:val="17"/>
    <w:link w:val="31"/>
    <w:qFormat/>
    <w:uiPriority w:val="0"/>
    <w:rPr>
      <w:rFonts w:ascii="宋体" w:hAnsi="宋体" w:eastAsia="宋体" w:cs="宋体"/>
      <w:color w:val="000000"/>
      <w:sz w:val="24"/>
      <w:szCs w:val="24"/>
    </w:rPr>
  </w:style>
  <w:style w:type="paragraph" w:customStyle="1" w:styleId="33">
    <w:name w:val="WPSOffice手动目录 1"/>
    <w:qFormat/>
    <w:uiPriority w:val="0"/>
    <w:rPr>
      <w:rFonts w:asciiTheme="minorHAnsi" w:hAnsiTheme="minorHAnsi" w:eastAsiaTheme="minorEastAsia" w:cstheme="minorBidi"/>
      <w:lang w:val="en-US" w:eastAsia="zh-CN" w:bidi="ar-SA"/>
    </w:rPr>
  </w:style>
  <w:style w:type="paragraph" w:customStyle="1" w:styleId="34">
    <w:name w:val="表内文字"/>
    <w:basedOn w:val="21"/>
    <w:qFormat/>
    <w:uiPriority w:val="0"/>
    <w:pPr>
      <w:spacing w:line="240" w:lineRule="auto"/>
      <w:jc w:val="left"/>
    </w:pPr>
    <w:rPr>
      <w:rFonts w:eastAsia="宋体"/>
      <w:b w:val="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4D882-C218-44A5-9512-CC6FD3DC6612}">
  <ds:schemaRefs/>
</ds:datastoreItem>
</file>

<file path=docProps/app.xml><?xml version="1.0" encoding="utf-8"?>
<Properties xmlns="http://schemas.openxmlformats.org/officeDocument/2006/extended-properties" xmlns:vt="http://schemas.openxmlformats.org/officeDocument/2006/docPropsVTypes">
  <Template>Normal.dotm</Template>
  <Pages>23</Pages>
  <Words>8435</Words>
  <Characters>8895</Characters>
  <Lines>71</Lines>
  <Paragraphs>20</Paragraphs>
  <TotalTime>4</TotalTime>
  <ScaleCrop>false</ScaleCrop>
  <LinksUpToDate>false</LinksUpToDate>
  <CharactersWithSpaces>9040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2019-02-26T02:18:00Z</dcterms:created>
  <dc:creator>67590</dc:creator>
  <cp:lastModifiedBy>YJ</cp:lastModifiedBy>
  <dcterms:modified xsi:type="dcterms:W3CDTF">2023-06-01T02:06:04Z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C3FD9BC016F747F68D7AE88718F98E83</vt:lpwstr>
  </property>
</Properties>
</file>