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b/>
          <w:bCs/>
          <w:sz w:val="44"/>
          <w:szCs w:val="36"/>
        </w:rPr>
      </w:pPr>
    </w:p>
    <w:p>
      <w:pPr>
        <w:ind w:firstLine="0" w:firstLineChars="0"/>
        <w:jc w:val="center"/>
        <w:rPr>
          <w:rFonts w:ascii="黑体" w:hAnsi="黑体" w:eastAsia="黑体"/>
          <w:b/>
          <w:bCs/>
          <w:sz w:val="44"/>
          <w:szCs w:val="36"/>
        </w:rPr>
      </w:pPr>
    </w:p>
    <w:p>
      <w:pPr>
        <w:ind w:firstLine="0" w:firstLineChars="0"/>
        <w:jc w:val="center"/>
        <w:rPr>
          <w:rFonts w:ascii="黑体" w:hAnsi="黑体" w:eastAsia="黑体"/>
          <w:b/>
          <w:bCs/>
          <w:sz w:val="44"/>
          <w:szCs w:val="36"/>
        </w:rPr>
      </w:pPr>
    </w:p>
    <w:p>
      <w:pPr>
        <w:ind w:firstLine="0" w:firstLineChars="0"/>
        <w:rPr>
          <w:rFonts w:ascii="黑体" w:hAnsi="黑体" w:eastAsia="黑体"/>
          <w:b/>
          <w:bCs/>
          <w:sz w:val="72"/>
          <w:szCs w:val="52"/>
        </w:rPr>
      </w:pPr>
    </w:p>
    <w:p>
      <w:pPr>
        <w:ind w:firstLine="0" w:firstLineChars="0"/>
        <w:jc w:val="center"/>
        <w:rPr>
          <w:rFonts w:ascii="黑体" w:hAnsi="黑体" w:eastAsia="黑体"/>
          <w:b/>
          <w:bCs/>
          <w:sz w:val="72"/>
          <w:szCs w:val="52"/>
        </w:rPr>
      </w:pPr>
      <w:r>
        <w:rPr>
          <w:rFonts w:hint="eastAsia" w:ascii="黑体" w:hAnsi="黑体" w:eastAsia="黑体"/>
          <w:b/>
          <w:bCs/>
          <w:sz w:val="72"/>
          <w:szCs w:val="52"/>
          <w:lang w:val="en-US" w:eastAsia="zh-CN"/>
        </w:rPr>
        <w:t>2022年度</w:t>
      </w:r>
      <w:r>
        <w:rPr>
          <w:rFonts w:hint="eastAsia" w:ascii="黑体" w:hAnsi="黑体" w:eastAsia="黑体"/>
          <w:b/>
          <w:bCs/>
          <w:sz w:val="72"/>
          <w:szCs w:val="52"/>
        </w:rPr>
        <w:t>社会责任报告</w:t>
      </w:r>
    </w:p>
    <w:p>
      <w:pPr>
        <w:ind w:firstLine="0" w:firstLineChars="0"/>
        <w:rPr>
          <w:rFonts w:ascii="黑体" w:hAnsi="黑体" w:eastAsia="黑体"/>
          <w:b/>
          <w:bCs/>
          <w:sz w:val="72"/>
          <w:szCs w:val="52"/>
        </w:rPr>
      </w:pPr>
    </w:p>
    <w:p>
      <w:pPr>
        <w:ind w:firstLine="0" w:firstLineChars="0"/>
        <w:rPr>
          <w:rFonts w:ascii="黑体" w:hAnsi="黑体" w:eastAsia="黑体"/>
          <w:b/>
          <w:bCs/>
          <w:sz w:val="72"/>
          <w:szCs w:val="52"/>
        </w:rPr>
      </w:pPr>
    </w:p>
    <w:p>
      <w:pPr>
        <w:ind w:firstLine="0" w:firstLineChars="0"/>
        <w:jc w:val="center"/>
        <w:rPr>
          <w:rFonts w:ascii="黑体" w:hAnsi="黑体" w:eastAsia="黑体"/>
          <w:b/>
          <w:bCs/>
          <w:sz w:val="72"/>
          <w:szCs w:val="52"/>
        </w:rPr>
      </w:pPr>
      <w:r>
        <w:rPr>
          <w:rFonts w:ascii="Times New Roman" w:hAnsi="Times New Roman" w:eastAsia="宋体"/>
        </w:rPr>
        <w:drawing>
          <wp:inline distT="0" distB="0" distL="114300" distR="114300">
            <wp:extent cx="4943475" cy="3037840"/>
            <wp:effectExtent l="0" t="0" r="952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4943475" cy="3037840"/>
                    </a:xfrm>
                    <a:prstGeom prst="rect">
                      <a:avLst/>
                    </a:prstGeom>
                    <a:noFill/>
                    <a:ln>
                      <a:noFill/>
                    </a:ln>
                  </pic:spPr>
                </pic:pic>
              </a:graphicData>
            </a:graphic>
          </wp:inline>
        </w:drawing>
      </w:r>
    </w:p>
    <w:p>
      <w:pPr>
        <w:ind w:firstLine="0" w:firstLineChars="0"/>
        <w:rPr>
          <w:rFonts w:ascii="黑体" w:hAnsi="黑体" w:eastAsia="黑体"/>
          <w:b/>
          <w:bCs/>
          <w:sz w:val="72"/>
          <w:szCs w:val="52"/>
        </w:rPr>
      </w:pPr>
    </w:p>
    <w:p>
      <w:pPr>
        <w:ind w:firstLine="0" w:firstLineChars="0"/>
        <w:jc w:val="center"/>
        <w:rPr>
          <w:rFonts w:hint="eastAsia" w:ascii="黑体" w:hAnsi="黑体" w:eastAsia="黑体"/>
          <w:b/>
          <w:bCs/>
          <w:sz w:val="52"/>
          <w:szCs w:val="44"/>
        </w:rPr>
      </w:pPr>
      <w:r>
        <w:rPr>
          <w:rFonts w:hint="eastAsia" w:ascii="黑体" w:hAnsi="黑体" w:eastAsia="黑体"/>
          <w:b/>
          <w:bCs/>
          <w:sz w:val="52"/>
          <w:szCs w:val="44"/>
          <w:lang w:eastAsia="zh-CN"/>
        </w:rPr>
        <w:t>浙江久盛交联电缆有限公司</w:t>
      </w:r>
    </w:p>
    <w:p>
      <w:pPr>
        <w:ind w:firstLine="0" w:firstLineChars="0"/>
        <w:jc w:val="center"/>
        <w:rPr>
          <w:rFonts w:ascii="黑体" w:hAnsi="黑体" w:eastAsia="黑体"/>
          <w:b/>
          <w:bCs/>
          <w:sz w:val="52"/>
          <w:szCs w:val="44"/>
        </w:rPr>
      </w:pPr>
      <w:r>
        <w:rPr>
          <w:rFonts w:hint="eastAsia" w:ascii="宋体" w:hAnsi="宋体" w:eastAsia="宋体" w:cs="宋体"/>
          <w:b w:val="0"/>
          <w:bCs w:val="0"/>
          <w:sz w:val="52"/>
          <w:szCs w:val="44"/>
          <w:lang w:val="en-US" w:eastAsia="zh-CN"/>
        </w:rPr>
        <w:t>二零二三</w:t>
      </w:r>
      <w:r>
        <w:rPr>
          <w:rFonts w:hint="eastAsia" w:ascii="宋体" w:hAnsi="宋体" w:eastAsia="宋体" w:cs="宋体"/>
          <w:b w:val="0"/>
          <w:bCs w:val="0"/>
          <w:sz w:val="52"/>
          <w:szCs w:val="44"/>
        </w:rPr>
        <w:t>年</w:t>
      </w:r>
      <w:r>
        <w:rPr>
          <w:rFonts w:hint="eastAsia" w:ascii="宋体" w:hAnsi="宋体" w:eastAsia="宋体" w:cs="宋体"/>
          <w:b w:val="0"/>
          <w:bCs w:val="0"/>
          <w:sz w:val="52"/>
          <w:szCs w:val="44"/>
          <w:lang w:val="en-US" w:eastAsia="zh-CN"/>
        </w:rPr>
        <w:t>五</w:t>
      </w:r>
      <w:r>
        <w:rPr>
          <w:rFonts w:hint="eastAsia" w:ascii="宋体" w:hAnsi="宋体" w:eastAsia="宋体" w:cs="宋体"/>
          <w:b w:val="0"/>
          <w:bCs w:val="0"/>
          <w:sz w:val="52"/>
          <w:szCs w:val="44"/>
        </w:rPr>
        <w:t>月</w:t>
      </w:r>
      <w:r>
        <w:rPr>
          <w:rFonts w:hint="eastAsia" w:ascii="宋体" w:hAnsi="宋体" w:eastAsia="宋体" w:cs="宋体"/>
          <w:b w:val="0"/>
          <w:bCs w:val="0"/>
          <w:sz w:val="52"/>
          <w:szCs w:val="44"/>
          <w:lang w:val="en-US" w:eastAsia="zh-CN"/>
        </w:rPr>
        <w:t>八日</w:t>
      </w:r>
    </w:p>
    <w:p>
      <w:pPr>
        <w:widowControl/>
        <w:spacing w:line="240" w:lineRule="auto"/>
        <w:ind w:firstLine="0" w:firstLineChars="0"/>
        <w:jc w:val="center"/>
        <w:rPr>
          <w:rFonts w:ascii="宋体" w:cs="宋体"/>
          <w:kern w:val="0"/>
          <w:sz w:val="26"/>
          <w:szCs w:val="26"/>
        </w:rPr>
      </w:pPr>
      <w:r>
        <w:rPr>
          <w:rFonts w:ascii="黑体" w:hAnsi="黑体" w:eastAsia="黑体"/>
          <w:b/>
          <w:bCs/>
          <w:sz w:val="52"/>
          <w:szCs w:val="44"/>
        </w:rPr>
        <w:br w:type="page"/>
      </w:r>
      <w:bookmarkStart w:id="0" w:name="_Toc9099"/>
      <w:bookmarkStart w:id="1" w:name="_Toc11086994"/>
      <w:r>
        <w:rPr>
          <w:rFonts w:hint="eastAsia" w:ascii="黑体" w:hAnsi="黑体" w:eastAsia="黑体"/>
          <w:b w:val="0"/>
          <w:sz w:val="52"/>
          <w:szCs w:val="44"/>
          <w:lang w:val="zh-CN"/>
        </w:rPr>
        <w:t>郑重声明</w:t>
      </w:r>
      <w:bookmarkEnd w:id="0"/>
      <w:bookmarkEnd w:id="1"/>
    </w:p>
    <w:p>
      <w:pPr>
        <w:autoSpaceDE w:val="0"/>
        <w:autoSpaceDN w:val="0"/>
        <w:adjustRightInd w:val="0"/>
        <w:spacing w:line="400" w:lineRule="exact"/>
        <w:ind w:firstLine="520"/>
        <w:rPr>
          <w:rFonts w:hint="eastAsia" w:ascii="宋体" w:cs="宋体"/>
          <w:kern w:val="0"/>
          <w:sz w:val="26"/>
          <w:szCs w:val="26"/>
        </w:rPr>
      </w:pPr>
    </w:p>
    <w:p>
      <w:pPr>
        <w:pStyle w:val="20"/>
        <w:rPr>
          <w:rFonts w:hint="eastAsia" w:ascii="宋体" w:hAnsi="Calibri" w:eastAsia="宋体" w:cs="宋体"/>
          <w:kern w:val="0"/>
          <w:sz w:val="28"/>
          <w:szCs w:val="28"/>
          <w:lang w:val="en-US" w:eastAsia="zh-CN" w:bidi="ar-SA"/>
        </w:rPr>
      </w:pPr>
    </w:p>
    <w:p>
      <w:pPr>
        <w:pStyle w:val="20"/>
      </w:pPr>
      <w:r>
        <w:rPr>
          <w:rFonts w:hint="eastAsia" w:ascii="宋体" w:hAnsi="Calibri" w:eastAsia="宋体" w:cs="宋体"/>
          <w:kern w:val="0"/>
          <w:sz w:val="28"/>
          <w:szCs w:val="28"/>
          <w:lang w:val="en-US" w:eastAsia="zh-CN" w:bidi="ar-SA"/>
        </w:rPr>
        <w:t>本公司出具的社会责任报告，是依据国家有关质量法律、法规等进行撰写。报告中关于公司</w:t>
      </w:r>
      <w:r>
        <w:rPr>
          <w:rFonts w:hint="eastAsia" w:ascii="宋体" w:hAnsi="Calibri" w:cs="宋体"/>
          <w:kern w:val="0"/>
          <w:sz w:val="28"/>
          <w:szCs w:val="28"/>
          <w:lang w:val="en-US" w:eastAsia="zh-CN" w:bidi="ar-SA"/>
        </w:rPr>
        <w:t>社会责任</w:t>
      </w:r>
      <w:r>
        <w:rPr>
          <w:rFonts w:hint="eastAsia" w:ascii="宋体" w:hAnsi="Calibri" w:eastAsia="宋体" w:cs="宋体"/>
          <w:kern w:val="0"/>
          <w:sz w:val="28"/>
          <w:szCs w:val="28"/>
          <w:lang w:val="en-US" w:eastAsia="zh-CN" w:bidi="ar-SA"/>
        </w:rPr>
        <w:t>是公司现状的真实反映，本公司对报告内容的客观性负责，对相关论述和结论真实性和科学性负责。</w:t>
      </w:r>
      <w:r>
        <w:rPr>
          <w:rFonts w:hint="eastAsia"/>
        </w:rPr>
        <w:t>.</w:t>
      </w:r>
    </w:p>
    <w:p>
      <w:pPr>
        <w:pStyle w:val="20"/>
      </w:pPr>
      <w:r>
        <w:t>.</w:t>
      </w:r>
    </w:p>
    <w:p>
      <w:pPr>
        <w:widowControl/>
        <w:spacing w:line="240" w:lineRule="auto"/>
        <w:jc w:val="right"/>
        <w:rPr>
          <w:rFonts w:hint="eastAsia" w:ascii="EHKHQN+ËÎÌå" w:hAnsi="EHKHQN+ËÎÌå" w:cs="EHKHQN+ËÎÌå"/>
          <w:color w:val="000000"/>
          <w:sz w:val="28"/>
          <w:szCs w:val="28"/>
          <w:lang w:eastAsia="zh-CN"/>
        </w:rPr>
      </w:pPr>
    </w:p>
    <w:p>
      <w:pPr>
        <w:widowControl/>
        <w:spacing w:line="240" w:lineRule="auto"/>
        <w:jc w:val="right"/>
        <w:rPr>
          <w:rFonts w:hint="eastAsia" w:ascii="EHKHQN+ËÎÌå" w:hAnsi="EHKHQN+ËÎÌå" w:cs="EHKHQN+ËÎÌå"/>
          <w:color w:val="000000"/>
          <w:sz w:val="28"/>
          <w:szCs w:val="28"/>
          <w:lang w:eastAsia="zh-CN"/>
        </w:rPr>
      </w:pPr>
    </w:p>
    <w:p>
      <w:pPr>
        <w:widowControl/>
        <w:spacing w:line="240" w:lineRule="auto"/>
        <w:jc w:val="right"/>
        <w:rPr>
          <w:rFonts w:hint="eastAsia" w:ascii="EHKHQN+ËÎÌå" w:hAnsi="EHKHQN+ËÎÌå" w:eastAsia="宋体" w:cs="EHKHQN+ËÎÌå"/>
          <w:color w:val="000000"/>
          <w:sz w:val="28"/>
          <w:szCs w:val="28"/>
          <w:lang w:eastAsia="zh-CN"/>
        </w:rPr>
      </w:pPr>
      <w:r>
        <w:rPr>
          <w:rFonts w:hint="eastAsia" w:ascii="EHKHQN+ËÎÌå" w:hAnsi="EHKHQN+ËÎÌå" w:cs="EHKHQN+ËÎÌå"/>
          <w:color w:val="000000"/>
          <w:sz w:val="28"/>
          <w:szCs w:val="28"/>
          <w:lang w:eastAsia="zh-CN"/>
        </w:rPr>
        <w:t>浙江久盛交联电缆有限公司</w:t>
      </w:r>
    </w:p>
    <w:p>
      <w:pPr>
        <w:widowControl/>
        <w:spacing w:line="240" w:lineRule="auto"/>
        <w:ind w:firstLine="0" w:firstLineChars="0"/>
      </w:pPr>
      <w:r>
        <w:br w:type="page"/>
      </w:r>
    </w:p>
    <w:p>
      <w:pPr>
        <w:pStyle w:val="20"/>
        <w:ind w:firstLine="482"/>
        <w:rPr>
          <w:rFonts w:hint="eastAsia" w:ascii="黑体" w:hAnsi="Calibri" w:eastAsia="黑体" w:cs="黑体"/>
          <w:color w:val="000000"/>
          <w:kern w:val="0"/>
          <w:sz w:val="28"/>
          <w:szCs w:val="28"/>
          <w:lang w:val="en-US" w:eastAsia="zh-CN" w:bidi="ar-SA"/>
        </w:rPr>
      </w:pPr>
      <w:r>
        <w:rPr>
          <w:rFonts w:hint="eastAsia" w:ascii="黑体" w:hAnsi="Calibri" w:eastAsia="黑体" w:cs="黑体"/>
          <w:color w:val="000000"/>
          <w:kern w:val="0"/>
          <w:sz w:val="28"/>
          <w:szCs w:val="28"/>
          <w:lang w:val="en-US" w:eastAsia="zh-CN" w:bidi="ar-SA"/>
        </w:rPr>
        <w:t>组织范围：</w:t>
      </w:r>
    </w:p>
    <w:p>
      <w:pPr>
        <w:pStyle w:val="20"/>
        <w:ind w:firstLine="1120" w:firstLineChars="400"/>
        <w:rPr>
          <w:rFonts w:ascii="Times New Roman" w:hAnsi="Calibri" w:eastAsia="宋体" w:cs="Times New Roman"/>
          <w:color w:val="000000"/>
          <w:kern w:val="2"/>
          <w:sz w:val="28"/>
          <w:szCs w:val="28"/>
          <w:lang w:val="en-US" w:eastAsia="zh-CN" w:bidi="ar-SA"/>
        </w:rPr>
      </w:pPr>
      <w:r>
        <w:rPr>
          <w:rFonts w:hint="eastAsia" w:ascii="Times New Roman" w:hAnsi="Calibri" w:cs="Times New Roman"/>
          <w:color w:val="000000"/>
          <w:kern w:val="2"/>
          <w:sz w:val="28"/>
          <w:szCs w:val="28"/>
          <w:lang w:val="en-US" w:eastAsia="zh-CN" w:bidi="ar-SA"/>
        </w:rPr>
        <w:t>浙江久盛交联电缆有限公司</w:t>
      </w:r>
    </w:p>
    <w:p>
      <w:pPr>
        <w:pStyle w:val="20"/>
        <w:ind w:firstLine="482"/>
        <w:rPr>
          <w:rFonts w:hint="eastAsia" w:ascii="黑体" w:hAnsi="Calibri" w:eastAsia="黑体" w:cs="黑体"/>
          <w:color w:val="000000"/>
          <w:kern w:val="0"/>
          <w:sz w:val="28"/>
          <w:szCs w:val="28"/>
          <w:lang w:val="en-US" w:eastAsia="zh-CN" w:bidi="ar-SA"/>
        </w:rPr>
      </w:pPr>
      <w:r>
        <w:rPr>
          <w:rFonts w:hint="eastAsia" w:ascii="黑体" w:hAnsi="Calibri" w:eastAsia="黑体" w:cs="黑体"/>
          <w:color w:val="000000"/>
          <w:kern w:val="0"/>
          <w:sz w:val="28"/>
          <w:szCs w:val="28"/>
          <w:lang w:val="en-US" w:eastAsia="zh-CN" w:bidi="ar-SA"/>
        </w:rPr>
        <w:t>报告时间：</w:t>
      </w:r>
    </w:p>
    <w:p>
      <w:pPr>
        <w:pStyle w:val="20"/>
        <w:ind w:firstLine="1120" w:firstLineChars="400"/>
        <w:rPr>
          <w:rFonts w:hint="eastAsia" w:ascii="Times New Roman" w:hAnsi="Calibri" w:eastAsia="宋体" w:cs="Times New Roman"/>
          <w:color w:val="000000"/>
          <w:kern w:val="2"/>
          <w:sz w:val="28"/>
          <w:szCs w:val="28"/>
          <w:lang w:val="en-US" w:eastAsia="zh-CN" w:bidi="ar-SA"/>
        </w:rPr>
      </w:pPr>
      <w:r>
        <w:rPr>
          <w:rFonts w:hint="eastAsia" w:ascii="Times New Roman" w:hAnsi="Calibri" w:eastAsia="宋体" w:cs="Times New Roman"/>
          <w:color w:val="000000"/>
          <w:kern w:val="2"/>
          <w:sz w:val="28"/>
          <w:szCs w:val="28"/>
          <w:lang w:val="en-US" w:eastAsia="zh-CN" w:bidi="ar-SA"/>
        </w:rPr>
        <w:t>本报告涵盖的时间范围为 20</w:t>
      </w:r>
      <w:r>
        <w:rPr>
          <w:rFonts w:hint="eastAsia" w:ascii="Times New Roman" w:hAnsi="Calibri" w:cs="Times New Roman"/>
          <w:color w:val="000000"/>
          <w:kern w:val="2"/>
          <w:sz w:val="28"/>
          <w:szCs w:val="28"/>
          <w:lang w:val="en-US" w:eastAsia="zh-CN" w:bidi="ar-SA"/>
        </w:rPr>
        <w:t>22</w:t>
      </w:r>
      <w:r>
        <w:rPr>
          <w:rFonts w:hint="eastAsia" w:ascii="Times New Roman" w:hAnsi="Calibri" w:eastAsia="宋体" w:cs="Times New Roman"/>
          <w:color w:val="000000"/>
          <w:kern w:val="2"/>
          <w:sz w:val="28"/>
          <w:szCs w:val="28"/>
          <w:lang w:val="en-US" w:eastAsia="zh-CN" w:bidi="ar-SA"/>
        </w:rPr>
        <w:t>年1月1日至 12月31日，本报告为</w:t>
      </w:r>
      <w:r>
        <w:rPr>
          <w:rFonts w:hint="eastAsia" w:ascii="Times New Roman" w:hAnsi="Calibri" w:cs="Times New Roman"/>
          <w:color w:val="000000"/>
          <w:kern w:val="2"/>
          <w:sz w:val="28"/>
          <w:szCs w:val="28"/>
          <w:lang w:val="en-US" w:eastAsia="zh-CN" w:bidi="ar-SA"/>
        </w:rPr>
        <w:t>浙江久盛交联电缆有限公司</w:t>
      </w:r>
      <w:r>
        <w:rPr>
          <w:rFonts w:hint="eastAsia" w:ascii="Times New Roman" w:hAnsi="Calibri" w:eastAsia="宋体" w:cs="Times New Roman"/>
          <w:color w:val="000000"/>
          <w:kern w:val="2"/>
          <w:sz w:val="28"/>
          <w:szCs w:val="28"/>
          <w:lang w:val="en-US" w:eastAsia="zh-CN" w:bidi="ar-SA"/>
        </w:rPr>
        <w:t>第</w:t>
      </w:r>
      <w:r>
        <w:rPr>
          <w:rFonts w:hint="eastAsia" w:ascii="Times New Roman" w:hAnsi="Calibri" w:cs="Times New Roman"/>
          <w:color w:val="000000"/>
          <w:kern w:val="2"/>
          <w:sz w:val="28"/>
          <w:szCs w:val="28"/>
          <w:lang w:val="en-US" w:eastAsia="zh-CN" w:bidi="ar-SA"/>
        </w:rPr>
        <w:t>1</w:t>
      </w:r>
      <w:r>
        <w:rPr>
          <w:rFonts w:hint="eastAsia" w:ascii="Times New Roman" w:hAnsi="Calibri" w:eastAsia="宋体" w:cs="Times New Roman"/>
          <w:color w:val="000000"/>
          <w:kern w:val="2"/>
          <w:sz w:val="28"/>
          <w:szCs w:val="28"/>
          <w:lang w:val="en-US" w:eastAsia="zh-CN" w:bidi="ar-SA"/>
        </w:rPr>
        <w:t>份社会责任报告。</w:t>
      </w:r>
    </w:p>
    <w:p>
      <w:pPr>
        <w:pStyle w:val="20"/>
        <w:rPr>
          <w:rFonts w:hint="eastAsia" w:ascii="黑体" w:hAnsi="Calibri" w:eastAsia="黑体" w:cs="黑体"/>
          <w:color w:val="000000"/>
          <w:kern w:val="0"/>
          <w:sz w:val="28"/>
          <w:szCs w:val="28"/>
          <w:lang w:val="en-US" w:eastAsia="zh-CN" w:bidi="ar-SA"/>
        </w:rPr>
      </w:pPr>
      <w:r>
        <w:rPr>
          <w:rFonts w:hint="eastAsia" w:ascii="黑体" w:hAnsi="Calibri" w:eastAsia="黑体" w:cs="黑体"/>
          <w:color w:val="000000"/>
          <w:kern w:val="0"/>
          <w:sz w:val="28"/>
          <w:szCs w:val="28"/>
          <w:lang w:val="en-US" w:eastAsia="zh-CN" w:bidi="ar-SA"/>
        </w:rPr>
        <w:t>发布周期:</w:t>
      </w:r>
    </w:p>
    <w:p>
      <w:pPr>
        <w:pStyle w:val="20"/>
        <w:ind w:firstLine="1120" w:firstLineChars="400"/>
      </w:pPr>
      <w:r>
        <w:rPr>
          <w:rFonts w:hint="eastAsia" w:ascii="Times New Roman" w:hAnsi="Calibri" w:eastAsia="宋体" w:cs="Times New Roman"/>
          <w:color w:val="000000"/>
          <w:kern w:val="2"/>
          <w:sz w:val="28"/>
          <w:szCs w:val="28"/>
          <w:lang w:val="en-US" w:eastAsia="zh-CN" w:bidi="ar-SA"/>
        </w:rPr>
        <w:t>一年</w:t>
      </w:r>
    </w:p>
    <w:p>
      <w:pPr>
        <w:pStyle w:val="20"/>
        <w:ind w:firstLine="482"/>
        <w:rPr>
          <w:rFonts w:hint="eastAsia" w:ascii="黑体" w:hAnsi="Calibri" w:eastAsia="黑体" w:cs="黑体"/>
          <w:color w:val="000000"/>
          <w:kern w:val="0"/>
          <w:sz w:val="28"/>
          <w:szCs w:val="28"/>
          <w:lang w:val="en-US" w:eastAsia="zh-CN" w:bidi="ar-SA"/>
        </w:rPr>
      </w:pPr>
      <w:r>
        <w:rPr>
          <w:rFonts w:hint="eastAsia" w:ascii="黑体" w:hAnsi="Calibri" w:eastAsia="黑体" w:cs="黑体"/>
          <w:color w:val="000000"/>
          <w:kern w:val="0"/>
          <w:sz w:val="28"/>
          <w:szCs w:val="28"/>
          <w:lang w:val="en-US" w:eastAsia="zh-CN" w:bidi="ar-SA"/>
        </w:rPr>
        <w:t>报告获取方式：</w:t>
      </w:r>
    </w:p>
    <w:p>
      <w:pPr>
        <w:pStyle w:val="20"/>
        <w:ind w:firstLine="1120" w:firstLineChars="400"/>
        <w:rPr>
          <w:rFonts w:hint="default"/>
          <w:lang w:val="en-US"/>
        </w:rPr>
      </w:pPr>
      <w:r>
        <w:rPr>
          <w:rFonts w:hint="eastAsia" w:ascii="Times New Roman" w:hAnsi="Calibri" w:eastAsia="宋体" w:cs="Times New Roman"/>
          <w:color w:val="000000"/>
          <w:kern w:val="2"/>
          <w:sz w:val="28"/>
          <w:szCs w:val="28"/>
          <w:lang w:val="en-US" w:eastAsia="zh-CN" w:bidi="ar-SA"/>
        </w:rPr>
        <w:t>通过公司</w:t>
      </w:r>
      <w:r>
        <w:rPr>
          <w:rFonts w:hint="eastAsia" w:ascii="Times New Roman" w:hAnsi="Calibri" w:cs="Times New Roman"/>
          <w:color w:val="000000"/>
          <w:kern w:val="2"/>
          <w:sz w:val="28"/>
          <w:szCs w:val="28"/>
          <w:lang w:val="en-US" w:eastAsia="zh-CN" w:bidi="ar-SA"/>
        </w:rPr>
        <w:t>公众号公示</w:t>
      </w:r>
    </w:p>
    <w:p>
      <w:pPr>
        <w:widowControl/>
        <w:spacing w:line="240" w:lineRule="auto"/>
        <w:ind w:firstLine="0" w:firstLineChars="0"/>
      </w:pPr>
      <w:r>
        <w:br w:type="page"/>
      </w:r>
    </w:p>
    <w:p>
      <w:pPr>
        <w:widowControl/>
        <w:spacing w:line="240" w:lineRule="auto"/>
        <w:ind w:firstLine="0" w:firstLineChars="0"/>
        <w:jc w:val="center"/>
        <w:rPr>
          <w:rFonts w:hint="eastAsia" w:ascii="黑体" w:hAnsi="黑体" w:eastAsia="黑体"/>
          <w:b/>
          <w:bCs/>
          <w:sz w:val="36"/>
          <w:szCs w:val="28"/>
        </w:rPr>
      </w:pPr>
      <w:r>
        <w:rPr>
          <w:rFonts w:hint="eastAsia" w:ascii="黑体" w:hAnsi="黑体" w:eastAsia="黑体"/>
          <w:b/>
          <w:bCs/>
          <w:sz w:val="36"/>
          <w:szCs w:val="28"/>
        </w:rPr>
        <w:t>目录</w:t>
      </w:r>
    </w:p>
    <w:p>
      <w:pPr>
        <w:pStyle w:val="10"/>
        <w:tabs>
          <w:tab w:val="right" w:leader="dot" w:pos="9746"/>
        </w:tabs>
      </w:pPr>
      <w:r>
        <w:rPr>
          <w:rFonts w:hint="eastAsia" w:ascii="黑体" w:hAnsi="黑体" w:eastAsia="黑体"/>
          <w:b/>
          <w:bCs/>
          <w:sz w:val="36"/>
          <w:szCs w:val="28"/>
        </w:rPr>
        <w:fldChar w:fldCharType="begin"/>
      </w:r>
      <w:r>
        <w:rPr>
          <w:rFonts w:hint="eastAsia" w:ascii="黑体" w:hAnsi="黑体" w:eastAsia="黑体"/>
          <w:b/>
          <w:bCs/>
          <w:sz w:val="36"/>
          <w:szCs w:val="28"/>
        </w:rPr>
        <w:instrText xml:space="preserve">TOC \o "1-1" \h \u </w:instrText>
      </w:r>
      <w:r>
        <w:rPr>
          <w:rFonts w:hint="eastAsia" w:ascii="黑体" w:hAnsi="黑体" w:eastAsia="黑体"/>
          <w:b/>
          <w:bCs/>
          <w:sz w:val="36"/>
          <w:szCs w:val="28"/>
        </w:rPr>
        <w:fldChar w:fldCharType="separate"/>
      </w:r>
      <w:r>
        <w:rPr>
          <w:rFonts w:hint="eastAsia" w:ascii="黑体" w:hAnsi="黑体" w:eastAsia="黑体"/>
          <w:bCs/>
          <w:szCs w:val="28"/>
        </w:rPr>
        <w:fldChar w:fldCharType="begin"/>
      </w:r>
      <w:r>
        <w:rPr>
          <w:rFonts w:hint="eastAsia" w:ascii="黑体" w:hAnsi="黑体" w:eastAsia="黑体"/>
          <w:bCs/>
          <w:szCs w:val="28"/>
        </w:rPr>
        <w:instrText xml:space="preserve"> HYPERLINK \l _Toc9099 </w:instrText>
      </w:r>
      <w:r>
        <w:rPr>
          <w:rFonts w:hint="eastAsia" w:ascii="黑体" w:hAnsi="黑体" w:eastAsia="黑体"/>
          <w:bCs/>
          <w:szCs w:val="28"/>
        </w:rPr>
        <w:fldChar w:fldCharType="separate"/>
      </w:r>
      <w:r>
        <w:rPr>
          <w:rFonts w:hint="eastAsia" w:ascii="黑体" w:hAnsi="黑体" w:eastAsia="黑体"/>
          <w:szCs w:val="44"/>
          <w:lang w:val="zh-CN"/>
        </w:rPr>
        <w:t>郑重声明</w:t>
      </w:r>
      <w:r>
        <w:tab/>
      </w:r>
      <w:r>
        <w:fldChar w:fldCharType="begin"/>
      </w:r>
      <w:r>
        <w:instrText xml:space="preserve"> PAGEREF _Toc9099 \h </w:instrText>
      </w:r>
      <w:r>
        <w:fldChar w:fldCharType="separate"/>
      </w:r>
      <w:r>
        <w:t>1</w:t>
      </w:r>
      <w:r>
        <w:fldChar w:fldCharType="end"/>
      </w:r>
      <w:r>
        <w:rPr>
          <w:rFonts w:hint="eastAsia" w:ascii="黑体" w:hAnsi="黑体" w:eastAsia="黑体"/>
          <w:bCs/>
          <w:szCs w:val="28"/>
        </w:rPr>
        <w:fldChar w:fldCharType="end"/>
      </w:r>
    </w:p>
    <w:p>
      <w:pPr>
        <w:pStyle w:val="10"/>
        <w:tabs>
          <w:tab w:val="right" w:leader="dot" w:pos="9746"/>
        </w:tabs>
      </w:pPr>
      <w:r>
        <w:rPr>
          <w:rFonts w:hint="eastAsia" w:ascii="黑体" w:hAnsi="黑体" w:eastAsia="黑体"/>
          <w:bCs/>
          <w:szCs w:val="28"/>
        </w:rPr>
        <w:fldChar w:fldCharType="begin"/>
      </w:r>
      <w:r>
        <w:rPr>
          <w:rFonts w:hint="eastAsia" w:ascii="黑体" w:hAnsi="黑体" w:eastAsia="黑体"/>
          <w:bCs/>
          <w:szCs w:val="28"/>
        </w:rPr>
        <w:instrText xml:space="preserve"> HYPERLINK \l _Toc7870 </w:instrText>
      </w:r>
      <w:r>
        <w:rPr>
          <w:rFonts w:hint="eastAsia" w:ascii="黑体" w:hAnsi="黑体" w:eastAsia="黑体"/>
          <w:bCs/>
          <w:szCs w:val="28"/>
        </w:rPr>
        <w:fldChar w:fldCharType="separate"/>
      </w:r>
      <w:r>
        <w:rPr>
          <w:rFonts w:hint="eastAsia" w:ascii="华文新魏" w:hAnsi="Calibri" w:eastAsia="华文新魏" w:cs="黑体"/>
          <w:kern w:val="0"/>
          <w:szCs w:val="44"/>
        </w:rPr>
        <w:t>公司简介</w:t>
      </w:r>
      <w:r>
        <w:tab/>
      </w:r>
      <w:r>
        <w:fldChar w:fldCharType="begin"/>
      </w:r>
      <w:r>
        <w:instrText xml:space="preserve"> PAGEREF _Toc7870 \h </w:instrText>
      </w:r>
      <w:r>
        <w:fldChar w:fldCharType="separate"/>
      </w:r>
      <w:r>
        <w:t>4</w:t>
      </w:r>
      <w:r>
        <w:fldChar w:fldCharType="end"/>
      </w:r>
      <w:r>
        <w:rPr>
          <w:rFonts w:hint="eastAsia" w:ascii="黑体" w:hAnsi="黑体" w:eastAsia="黑体"/>
          <w:bCs/>
          <w:szCs w:val="28"/>
        </w:rPr>
        <w:fldChar w:fldCharType="end"/>
      </w:r>
    </w:p>
    <w:p>
      <w:pPr>
        <w:pStyle w:val="10"/>
        <w:tabs>
          <w:tab w:val="right" w:leader="dot" w:pos="9746"/>
        </w:tabs>
      </w:pPr>
      <w:r>
        <w:rPr>
          <w:rFonts w:hint="eastAsia" w:ascii="黑体" w:hAnsi="黑体" w:eastAsia="黑体"/>
          <w:bCs/>
          <w:szCs w:val="28"/>
        </w:rPr>
        <w:fldChar w:fldCharType="begin"/>
      </w:r>
      <w:r>
        <w:rPr>
          <w:rFonts w:hint="eastAsia" w:ascii="黑体" w:hAnsi="黑体" w:eastAsia="黑体"/>
          <w:bCs/>
          <w:szCs w:val="28"/>
        </w:rPr>
        <w:instrText xml:space="preserve"> HYPERLINK \l _Toc13135 </w:instrText>
      </w:r>
      <w:r>
        <w:rPr>
          <w:rFonts w:hint="eastAsia" w:ascii="黑体" w:hAnsi="黑体" w:eastAsia="黑体"/>
          <w:bCs/>
          <w:szCs w:val="28"/>
        </w:rPr>
        <w:fldChar w:fldCharType="separate"/>
      </w:r>
      <w:r>
        <w:rPr>
          <w:rFonts w:hint="eastAsia" w:ascii="Calibri" w:hAnsi="Calibri" w:eastAsia="宋体"/>
          <w:szCs w:val="44"/>
          <w:lang w:val="zh-CN"/>
        </w:rPr>
        <w:t>第一章</w:t>
      </w:r>
      <w:r>
        <w:rPr>
          <w:rFonts w:hint="eastAsia" w:ascii="Calibri" w:hAnsi="Calibri" w:eastAsia="宋体"/>
          <w:szCs w:val="44"/>
          <w:lang w:val="en-US" w:eastAsia="zh-CN"/>
        </w:rPr>
        <w:t xml:space="preserve"> </w:t>
      </w:r>
      <w:r>
        <w:rPr>
          <w:rFonts w:hint="eastAsia" w:ascii="Calibri" w:hAnsi="Calibri" w:eastAsia="宋体"/>
          <w:szCs w:val="44"/>
          <w:lang w:val="zh-CN"/>
        </w:rPr>
        <w:t>经济责任</w:t>
      </w:r>
      <w:r>
        <w:tab/>
      </w:r>
      <w:r>
        <w:fldChar w:fldCharType="begin"/>
      </w:r>
      <w:r>
        <w:instrText xml:space="preserve"> PAGEREF _Toc13135 \h </w:instrText>
      </w:r>
      <w:r>
        <w:fldChar w:fldCharType="separate"/>
      </w:r>
      <w:r>
        <w:t>7</w:t>
      </w:r>
      <w:r>
        <w:fldChar w:fldCharType="end"/>
      </w:r>
      <w:r>
        <w:rPr>
          <w:rFonts w:hint="eastAsia" w:ascii="黑体" w:hAnsi="黑体" w:eastAsia="黑体"/>
          <w:bCs/>
          <w:szCs w:val="28"/>
        </w:rPr>
        <w:fldChar w:fldCharType="end"/>
      </w:r>
    </w:p>
    <w:p>
      <w:pPr>
        <w:pStyle w:val="10"/>
        <w:tabs>
          <w:tab w:val="right" w:leader="dot" w:pos="9746"/>
        </w:tabs>
      </w:pPr>
      <w:r>
        <w:rPr>
          <w:rFonts w:hint="eastAsia" w:ascii="黑体" w:hAnsi="黑体" w:eastAsia="黑体"/>
          <w:bCs/>
          <w:szCs w:val="28"/>
        </w:rPr>
        <w:fldChar w:fldCharType="begin"/>
      </w:r>
      <w:r>
        <w:rPr>
          <w:rFonts w:hint="eastAsia" w:ascii="黑体" w:hAnsi="黑体" w:eastAsia="黑体"/>
          <w:bCs/>
          <w:szCs w:val="28"/>
        </w:rPr>
        <w:instrText xml:space="preserve"> HYPERLINK \l _Toc6863 </w:instrText>
      </w:r>
      <w:r>
        <w:rPr>
          <w:rFonts w:hint="eastAsia" w:ascii="黑体" w:hAnsi="黑体" w:eastAsia="黑体"/>
          <w:bCs/>
          <w:szCs w:val="28"/>
        </w:rPr>
        <w:fldChar w:fldCharType="separate"/>
      </w:r>
      <w:r>
        <w:rPr>
          <w:rFonts w:hint="eastAsia" w:ascii="Calibri" w:hAnsi="Calibri" w:eastAsia="宋体"/>
          <w:szCs w:val="44"/>
          <w:lang w:val="zh-CN"/>
        </w:rPr>
        <w:t>第二章</w:t>
      </w:r>
      <w:r>
        <w:rPr>
          <w:rFonts w:hint="eastAsia" w:ascii="Calibri" w:hAnsi="Calibri" w:eastAsia="宋体"/>
          <w:szCs w:val="44"/>
          <w:lang w:val="en-US" w:eastAsia="zh-CN"/>
        </w:rPr>
        <w:t xml:space="preserve"> </w:t>
      </w:r>
      <w:r>
        <w:rPr>
          <w:rFonts w:hint="eastAsia" w:ascii="Calibri" w:hAnsi="Calibri" w:eastAsia="宋体"/>
          <w:szCs w:val="44"/>
          <w:lang w:val="zh-CN"/>
        </w:rPr>
        <w:t>社会责任</w:t>
      </w:r>
      <w:r>
        <w:tab/>
      </w:r>
      <w:r>
        <w:fldChar w:fldCharType="begin"/>
      </w:r>
      <w:r>
        <w:instrText xml:space="preserve"> PAGEREF _Toc6863 \h </w:instrText>
      </w:r>
      <w:r>
        <w:fldChar w:fldCharType="separate"/>
      </w:r>
      <w:r>
        <w:t>9</w:t>
      </w:r>
      <w:r>
        <w:fldChar w:fldCharType="end"/>
      </w:r>
      <w:r>
        <w:rPr>
          <w:rFonts w:hint="eastAsia" w:ascii="黑体" w:hAnsi="黑体" w:eastAsia="黑体"/>
          <w:bCs/>
          <w:szCs w:val="28"/>
        </w:rPr>
        <w:fldChar w:fldCharType="end"/>
      </w:r>
    </w:p>
    <w:p>
      <w:pPr>
        <w:widowControl/>
        <w:spacing w:line="240" w:lineRule="auto"/>
        <w:ind w:firstLine="0" w:firstLineChars="0"/>
        <w:rPr>
          <w:rFonts w:hint="eastAsia" w:ascii="黑体" w:hAnsi="黑体" w:eastAsia="黑体"/>
          <w:b/>
          <w:bCs/>
          <w:sz w:val="36"/>
          <w:szCs w:val="28"/>
        </w:rPr>
      </w:pPr>
      <w:r>
        <w:rPr>
          <w:rFonts w:hint="eastAsia" w:ascii="黑体" w:hAnsi="黑体" w:eastAsia="黑体"/>
          <w:bCs/>
          <w:szCs w:val="28"/>
        </w:rPr>
        <w:fldChar w:fldCharType="end"/>
      </w:r>
    </w:p>
    <w:p>
      <w:pPr>
        <w:keepNext w:val="0"/>
        <w:keepLines w:val="0"/>
        <w:pageBreakBefore/>
        <w:widowControl w:val="0"/>
        <w:kinsoku/>
        <w:wordWrap/>
        <w:overflowPunct/>
        <w:topLinePunct w:val="0"/>
        <w:autoSpaceDE w:val="0"/>
        <w:autoSpaceDN w:val="0"/>
        <w:bidi w:val="0"/>
        <w:adjustRightInd w:val="0"/>
        <w:snapToGrid/>
        <w:spacing w:line="820" w:lineRule="exact"/>
        <w:ind w:left="0" w:leftChars="0" w:firstLine="0" w:firstLineChars="0"/>
        <w:jc w:val="center"/>
        <w:textAlignment w:val="auto"/>
        <w:outlineLvl w:val="0"/>
        <w:rPr>
          <w:rFonts w:hint="eastAsia" w:ascii="华文新魏" w:hAnsi="Calibri" w:eastAsia="华文新魏" w:cs="黑体"/>
          <w:kern w:val="0"/>
          <w:sz w:val="44"/>
          <w:szCs w:val="44"/>
        </w:rPr>
      </w:pPr>
      <w:bookmarkStart w:id="2" w:name="_Toc7870"/>
      <w:bookmarkStart w:id="3" w:name="_Toc11086995"/>
      <w:r>
        <w:rPr>
          <w:rFonts w:hint="eastAsia" w:ascii="华文新魏" w:hAnsi="Calibri" w:eastAsia="华文新魏" w:cs="黑体"/>
          <w:kern w:val="0"/>
          <w:sz w:val="44"/>
          <w:szCs w:val="44"/>
        </w:rPr>
        <w:t>公司简介</w:t>
      </w:r>
      <w:bookmarkEnd w:id="2"/>
      <w:bookmarkEnd w:id="3"/>
    </w:p>
    <w:p>
      <w:pPr>
        <w:pStyle w:val="20"/>
        <w:rPr>
          <w:rFonts w:hint="eastAsia"/>
        </w:rPr>
      </w:pPr>
    </w:p>
    <w:p>
      <w:pPr>
        <w:autoSpaceDE w:val="0"/>
        <w:autoSpaceDN w:val="0"/>
        <w:adjustRightInd w:val="0"/>
        <w:spacing w:line="500" w:lineRule="exact"/>
        <w:ind w:firstLine="560" w:firstLineChars="200"/>
        <w:jc w:val="left"/>
        <w:rPr>
          <w:rFonts w:hint="eastAsia" w:ascii="Cambria" w:hAnsi="Cambria" w:eastAsia="宋体" w:cs="Cambria"/>
          <w:kern w:val="0"/>
          <w:sz w:val="28"/>
          <w:szCs w:val="28"/>
          <w:lang w:val="en-US" w:eastAsia="zh-CN"/>
        </w:rPr>
      </w:pPr>
      <w:bookmarkStart w:id="4" w:name="_Toc399767344"/>
      <w:bookmarkStart w:id="5" w:name="_Toc401146791"/>
      <w:r>
        <w:rPr>
          <w:rFonts w:hint="eastAsia" w:ascii="Cambria" w:hAnsi="Cambria" w:eastAsia="宋体" w:cs="Cambria"/>
          <w:kern w:val="0"/>
          <w:sz w:val="28"/>
          <w:szCs w:val="28"/>
          <w:lang w:val="en-US" w:eastAsia="zh-CN"/>
        </w:rPr>
        <w:t>浙江久盛交联电缆有限公司（原浙江交联电缆有限公司)（以下简称久盛电缆或公司），前身为浙江兰溪电缆厂，始建于1969年，2000年改制为民营有限责任公司。是原机械部、铁道和石化系统定点生产电线电缆的专业型企业。公司是国家经贸委首批推荐的全国城乡电网建设与改造所需主要设备产品生产企业；是国家二级企业，大二型电线电缆专业生产企业。</w:t>
      </w:r>
    </w:p>
    <w:p>
      <w:pPr>
        <w:autoSpaceDE w:val="0"/>
        <w:autoSpaceDN w:val="0"/>
        <w:adjustRightInd w:val="0"/>
        <w:spacing w:line="500" w:lineRule="exact"/>
        <w:ind w:firstLine="560" w:firstLineChars="200"/>
        <w:jc w:val="left"/>
        <w:rPr>
          <w:rFonts w:hint="eastAsia" w:ascii="Cambria" w:hAnsi="Cambria" w:eastAsia="宋体" w:cs="Cambria"/>
          <w:kern w:val="0"/>
          <w:sz w:val="28"/>
          <w:szCs w:val="28"/>
          <w:lang w:val="en-US" w:eastAsia="zh-CN"/>
        </w:rPr>
      </w:pPr>
      <w:r>
        <w:rPr>
          <w:rFonts w:hint="eastAsia" w:ascii="Cambria" w:hAnsi="Cambria" w:eastAsia="宋体" w:cs="Cambria"/>
          <w:kern w:val="0"/>
          <w:sz w:val="28"/>
          <w:szCs w:val="28"/>
          <w:lang w:val="en-US" w:eastAsia="zh-CN"/>
        </w:rPr>
        <w:t>2007年，公司与国内最大矿物绝缘电缆生产企业——久盛电气股份有限公司合资合作，更名为浙江久盛交联电缆有限公司，实现了优势互补，进一步提升企业市场竞争力和抗风险能力。2021年，公司与久盛电气并表上市，登陆创业板，再一次将公司推向新的高点。</w:t>
      </w:r>
    </w:p>
    <w:p>
      <w:pPr>
        <w:autoSpaceDE w:val="0"/>
        <w:autoSpaceDN w:val="0"/>
        <w:adjustRightInd w:val="0"/>
        <w:spacing w:line="500" w:lineRule="exact"/>
        <w:ind w:firstLine="560" w:firstLineChars="200"/>
        <w:jc w:val="left"/>
        <w:rPr>
          <w:rFonts w:hint="eastAsia" w:ascii="Cambria" w:hAnsi="Cambria" w:eastAsia="宋体" w:cs="Cambria"/>
          <w:kern w:val="0"/>
          <w:sz w:val="28"/>
          <w:szCs w:val="28"/>
          <w:lang w:val="en-US" w:eastAsia="zh-CN"/>
        </w:rPr>
      </w:pPr>
      <w:r>
        <w:rPr>
          <w:rFonts w:hint="eastAsia" w:ascii="Cambria" w:hAnsi="Cambria" w:eastAsia="宋体" w:cs="Cambria"/>
          <w:kern w:val="0"/>
          <w:sz w:val="28"/>
          <w:szCs w:val="28"/>
          <w:lang w:val="en-US" w:eastAsia="zh-CN"/>
        </w:rPr>
        <w:t>公司拥有各类生产设备60多台套，年生产能力折合铜导体3万吨，年产值能力达到16亿元。公司主要产品均按IEC标准、GB标准生产；生产的35KV及以下交联电力电缆、架空绝缘电缆、钢芯铝绞线、稀土铝导线、铝包钢芯铝绞线、全塑电力电缆、控制电缆、阻燃耐火系列电缆、电梯电缆、民用布电线等主导产品先后被国家机械电子工业部评为优质产品。同时，公司产品通过了3C认证、电能（北京）产品认证中心(PCCC)认证等多项资质认证，使公司产品有了强有力的质量保证。此外，公司以“精心设计、精良选材、精工制造、精准服务”的浙江制造内涵要求自己，积极开展浙江制造申报认证工作。</w:t>
      </w:r>
    </w:p>
    <w:p>
      <w:pPr>
        <w:autoSpaceDE w:val="0"/>
        <w:autoSpaceDN w:val="0"/>
        <w:adjustRightInd w:val="0"/>
        <w:spacing w:line="500" w:lineRule="exact"/>
        <w:ind w:firstLine="560" w:firstLineChars="200"/>
        <w:jc w:val="left"/>
        <w:rPr>
          <w:rFonts w:hint="eastAsia" w:ascii="Cambria" w:hAnsi="Cambria" w:eastAsia="宋体" w:cs="Cambria"/>
          <w:kern w:val="0"/>
          <w:sz w:val="28"/>
          <w:szCs w:val="28"/>
          <w:lang w:val="en-US" w:eastAsia="zh-CN"/>
        </w:rPr>
      </w:pPr>
      <w:r>
        <w:rPr>
          <w:rFonts w:hint="eastAsia" w:ascii="Cambria" w:hAnsi="Cambria" w:eastAsia="宋体" w:cs="Cambria"/>
          <w:kern w:val="0"/>
          <w:sz w:val="28"/>
          <w:szCs w:val="28"/>
          <w:lang w:val="en-US" w:eastAsia="zh-CN"/>
        </w:rPr>
        <w:t>公司坚持做国标产品，坚持以质量创品牌、以品牌力量占领市场，在顾客心中树立了良好的品牌形象。公司以“多、快、好、省”的服务理念，为客户提供一站式服务，增强客户粘性，实现了市场份额的快速提升。公司顾客主要包括各地电力公司、发电厂、石化企业等，公司与其均建立了长期的合作关系，在浙江省的市场占有率位居前列。公司产品先后荣获“浙江省名牌产品”“浙江省著名商标”等荣誉。</w:t>
      </w:r>
    </w:p>
    <w:p>
      <w:pPr>
        <w:autoSpaceDE w:val="0"/>
        <w:autoSpaceDN w:val="0"/>
        <w:adjustRightInd w:val="0"/>
        <w:spacing w:line="500" w:lineRule="exact"/>
        <w:ind w:firstLine="560" w:firstLineChars="200"/>
        <w:jc w:val="left"/>
        <w:rPr>
          <w:rFonts w:hint="eastAsia" w:ascii="Cambria" w:hAnsi="Cambria" w:eastAsia="宋体" w:cs="Cambria"/>
          <w:kern w:val="0"/>
          <w:sz w:val="28"/>
          <w:szCs w:val="28"/>
          <w:lang w:val="en-US" w:eastAsia="zh-CN"/>
        </w:rPr>
      </w:pPr>
      <w:r>
        <w:rPr>
          <w:rFonts w:hint="eastAsia" w:ascii="Cambria" w:hAnsi="Cambria" w:eastAsia="宋体" w:cs="Cambria"/>
          <w:kern w:val="0"/>
          <w:sz w:val="28"/>
          <w:szCs w:val="28"/>
          <w:lang w:val="en-US" w:eastAsia="zh-CN"/>
        </w:rPr>
        <w:t>久盛电缆牢记“专注为客户提供卓越品质的电线电缆”的使命，持续优化内部管理，规范各个业务流程，继1997年通过1SO9001质量管理体系标准认证以后，先后通过了1SO14001环境管理体系认证、1SO45001职业健康安全管理体系认证，形成了更加规范统一的“三合一”企业质、安、环管理体系。此外，公司全面推行ERP现代化管理模式，生产现场推行“6S”管理，为企业管理架设一个规范、高效、智能的管理平台，持续提升公司经营质量，为实现“成为国内一流的电线电缆制造企业”的愿景而不懈努力。</w:t>
      </w:r>
    </w:p>
    <w:p>
      <w:pPr>
        <w:autoSpaceDE w:val="0"/>
        <w:autoSpaceDN w:val="0"/>
        <w:adjustRightInd w:val="0"/>
        <w:spacing w:line="500" w:lineRule="exact"/>
        <w:ind w:firstLine="560" w:firstLineChars="200"/>
        <w:jc w:val="left"/>
        <w:rPr>
          <w:rFonts w:hint="eastAsia" w:ascii="Cambria" w:hAnsi="Cambria" w:eastAsia="宋体" w:cs="Cambria"/>
          <w:kern w:val="0"/>
          <w:sz w:val="28"/>
          <w:szCs w:val="28"/>
          <w:lang w:val="en-US" w:eastAsia="zh-CN"/>
        </w:rPr>
      </w:pPr>
      <w:r>
        <w:rPr>
          <w:rFonts w:hint="eastAsia" w:ascii="Cambria" w:hAnsi="Cambria" w:eastAsia="宋体" w:cs="Cambria"/>
          <w:kern w:val="0"/>
          <w:sz w:val="28"/>
          <w:szCs w:val="28"/>
          <w:lang w:val="en-US" w:eastAsia="zh-CN"/>
        </w:rPr>
        <w:t>公司的努力得到了社会各界的认可，久盛电缆先后获得了“浙江省2020年度‘隐形冠军’培育企业”“浙江省2021年度‘专精特新’企业”“浙江省最大工业企业”“浙江省重合同守信用企业”“浙江省科技型企业”“浙江省诚信示范企业”“浙江省三星级企业”“浙江省文明单位”“全国模范职工之家”等诸多殊荣。</w:t>
      </w:r>
    </w:p>
    <w:p>
      <w:pPr>
        <w:autoSpaceDE w:val="0"/>
        <w:autoSpaceDN w:val="0"/>
        <w:adjustRightInd w:val="0"/>
        <w:spacing w:line="500" w:lineRule="exact"/>
        <w:ind w:firstLine="2951" w:firstLineChars="1400"/>
        <w:jc w:val="left"/>
        <w:rPr>
          <w:rFonts w:hint="eastAsia" w:ascii="宋体" w:hAnsi="宋体" w:eastAsia="宋体" w:cs="宋体"/>
          <w:b/>
          <w:bCs/>
          <w:color w:val="000000"/>
          <w:sz w:val="21"/>
          <w:szCs w:val="20"/>
          <w:lang w:val="en-US" w:eastAsia="zh-CN"/>
        </w:rPr>
      </w:pPr>
      <w:r>
        <w:rPr>
          <w:rFonts w:hint="eastAsia" w:ascii="宋体" w:hAnsi="宋体" w:eastAsia="宋体" w:cs="宋体"/>
          <w:b/>
          <w:bCs/>
          <w:color w:val="000000"/>
          <w:sz w:val="21"/>
          <w:szCs w:val="20"/>
          <w:lang w:val="en-US" w:eastAsia="zh-CN"/>
        </w:rPr>
        <w:t>图表B.1-1 公司部分荣誉展示</w:t>
      </w:r>
    </w:p>
    <w:p>
      <w:pPr>
        <w:tabs>
          <w:tab w:val="left" w:pos="3654"/>
        </w:tabs>
        <w:adjustRightInd w:val="0"/>
        <w:snapToGrid w:val="0"/>
        <w:spacing w:line="360" w:lineRule="auto"/>
        <w:jc w:val="center"/>
        <w:rPr>
          <w:rFonts w:hint="default" w:ascii="宋体" w:hAnsi="宋体" w:eastAsia="宋体" w:cs="宋体"/>
          <w:b/>
          <w:bCs/>
          <w:color w:val="000000"/>
          <w:sz w:val="21"/>
          <w:szCs w:val="20"/>
          <w:lang w:val="en-US" w:eastAsia="zh-CN"/>
        </w:r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Borders>
              <w:tl2br w:val="nil"/>
              <w:tr2bl w:val="nil"/>
            </w:tcBorders>
            <w:shd w:val="clear" w:color="auto" w:fill="008080"/>
            <w:noWrap w:val="0"/>
            <w:vAlign w:val="top"/>
          </w:tcPr>
          <w:p>
            <w:pPr>
              <w:keepNext w:val="0"/>
              <w:keepLines w:val="0"/>
              <w:suppressLineNumbers w:val="0"/>
              <w:spacing w:before="0" w:beforeAutospacing="0" w:after="0" w:afterAutospacing="0"/>
              <w:ind w:left="0" w:right="0"/>
              <w:jc w:val="center"/>
              <w:rPr>
                <w:rFonts w:hint="default" w:cs="Times New Roman" w:eastAsiaTheme="minorEastAsia"/>
                <w:b/>
                <w:color w:val="FFFFFF" w:themeColor="background1"/>
                <w:sz w:val="21"/>
                <w:szCs w:val="21"/>
                <w:lang w:val="en-US" w:eastAsia="zh-CN"/>
                <w14:textFill>
                  <w14:solidFill>
                    <w14:schemeClr w14:val="bg1"/>
                  </w14:solidFill>
                </w14:textFill>
              </w:rPr>
            </w:pPr>
            <w:r>
              <w:rPr>
                <w:rFonts w:hint="eastAsia" w:cs="Times New Roman" w:eastAsiaTheme="minorEastAsia"/>
                <w:b/>
                <w:color w:val="FFFFFF" w:themeColor="background1"/>
                <w:sz w:val="21"/>
                <w:szCs w:val="21"/>
                <w:lang w:val="en-US" w:eastAsia="zh-CN"/>
                <w14:textFill>
                  <w14:solidFill>
                    <w14:schemeClr w14:val="bg1"/>
                  </w14:solidFill>
                </w14:textFill>
              </w:rPr>
              <w:t>美丽企业</w:t>
            </w:r>
          </w:p>
        </w:tc>
        <w:tc>
          <w:tcPr>
            <w:tcW w:w="4530" w:type="dxa"/>
            <w:tcBorders>
              <w:tl2br w:val="nil"/>
              <w:tr2bl w:val="nil"/>
            </w:tcBorders>
            <w:shd w:val="clear" w:color="auto" w:fill="008080"/>
            <w:noWrap w:val="0"/>
            <w:vAlign w:val="top"/>
          </w:tcPr>
          <w:p>
            <w:pPr>
              <w:keepNext w:val="0"/>
              <w:keepLines w:val="0"/>
              <w:suppressLineNumbers w:val="0"/>
              <w:spacing w:before="0" w:beforeAutospacing="0" w:after="0" w:afterAutospacing="0"/>
              <w:ind w:left="0" w:right="0"/>
              <w:jc w:val="center"/>
              <w:rPr>
                <w:rFonts w:hint="default" w:cs="Times New Roman" w:eastAsiaTheme="minorEastAsia"/>
                <w:b/>
                <w:color w:val="FFFFFF" w:themeColor="background1"/>
                <w:sz w:val="21"/>
                <w:szCs w:val="21"/>
                <w:lang w:val="en-US" w:eastAsia="zh-CN"/>
                <w14:textFill>
                  <w14:solidFill>
                    <w14:schemeClr w14:val="bg1"/>
                  </w14:solidFill>
                </w14:textFill>
              </w:rPr>
            </w:pPr>
            <w:r>
              <w:rPr>
                <w:rFonts w:hint="eastAsia" w:cs="Times New Roman" w:eastAsiaTheme="minorEastAsia"/>
                <w:b/>
                <w:color w:val="FFFFFF" w:themeColor="background1"/>
                <w:sz w:val="21"/>
                <w:szCs w:val="21"/>
                <w:lang w:val="en-US" w:eastAsia="zh-CN"/>
                <w14:textFill>
                  <w14:solidFill>
                    <w14:schemeClr w14:val="bg1"/>
                  </w14:solidFill>
                </w14:textFill>
              </w:rPr>
              <w:t>纳税大户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eastAsia" w:ascii="宋体" w:hAnsi="宋体" w:eastAsia="宋体" w:cs="宋体"/>
                <w:b/>
                <w:bCs/>
                <w:sz w:val="21"/>
                <w:szCs w:val="21"/>
                <w:vertAlign w:val="baseline"/>
                <w:lang w:val="en-US" w:eastAsia="zh-CN"/>
              </w:rPr>
            </w:pPr>
            <w:r>
              <w:rPr>
                <w:rFonts w:hint="eastAsia"/>
                <w:sz w:val="28"/>
                <w:szCs w:val="28"/>
              </w:rPr>
              <w:drawing>
                <wp:anchor distT="0" distB="0" distL="114300" distR="114300" simplePos="0" relativeHeight="251659264" behindDoc="0" locked="0" layoutInCell="1" allowOverlap="1">
                  <wp:simplePos x="0" y="0"/>
                  <wp:positionH relativeFrom="column">
                    <wp:posOffset>981075</wp:posOffset>
                  </wp:positionH>
                  <wp:positionV relativeFrom="paragraph">
                    <wp:posOffset>-3409950</wp:posOffset>
                  </wp:positionV>
                  <wp:extent cx="2926715" cy="1806575"/>
                  <wp:effectExtent l="0" t="0" r="14605" b="6985"/>
                  <wp:wrapSquare wrapText="bothSides"/>
                  <wp:docPr id="177" name="图片 177" descr="IMG_4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IMG_4910"/>
                          <pic:cNvPicPr>
                            <a:picLocks noChangeAspect="1"/>
                          </pic:cNvPicPr>
                        </pic:nvPicPr>
                        <pic:blipFill>
                          <a:blip r:embed="rId9"/>
                          <a:stretch>
                            <a:fillRect/>
                          </a:stretch>
                        </pic:blipFill>
                        <pic:spPr>
                          <a:xfrm>
                            <a:off x="0" y="0"/>
                            <a:ext cx="2926715" cy="1806575"/>
                          </a:xfrm>
                          <a:prstGeom prst="rect">
                            <a:avLst/>
                          </a:prstGeom>
                        </pic:spPr>
                      </pic:pic>
                    </a:graphicData>
                  </a:graphic>
                </wp:anchor>
              </w:drawing>
            </w:r>
          </w:p>
        </w:tc>
        <w:tc>
          <w:tcPr>
            <w:tcW w:w="453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eastAsia" w:ascii="宋体" w:hAnsi="宋体" w:eastAsia="宋体" w:cs="宋体"/>
                <w:b/>
                <w:bCs/>
                <w:sz w:val="21"/>
                <w:szCs w:val="21"/>
                <w:vertAlign w:val="baseline"/>
                <w:lang w:val="en-US" w:eastAsia="zh-CN"/>
              </w:rPr>
            </w:pPr>
            <w:r>
              <w:rPr>
                <w:rFonts w:hint="eastAsia"/>
                <w:sz w:val="28"/>
                <w:szCs w:val="28"/>
              </w:rPr>
              <w:drawing>
                <wp:anchor distT="0" distB="0" distL="114300" distR="114300" simplePos="0" relativeHeight="251660288" behindDoc="0" locked="0" layoutInCell="1" allowOverlap="1">
                  <wp:simplePos x="0" y="0"/>
                  <wp:positionH relativeFrom="column">
                    <wp:posOffset>2143125</wp:posOffset>
                  </wp:positionH>
                  <wp:positionV relativeFrom="paragraph">
                    <wp:posOffset>-3696970</wp:posOffset>
                  </wp:positionV>
                  <wp:extent cx="2820670" cy="1798320"/>
                  <wp:effectExtent l="0" t="0" r="13970" b="0"/>
                  <wp:wrapSquare wrapText="bothSides"/>
                  <wp:docPr id="176" name="图片 176" descr="IMG_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IMG_4911"/>
                          <pic:cNvPicPr>
                            <a:picLocks noChangeAspect="1"/>
                          </pic:cNvPicPr>
                        </pic:nvPicPr>
                        <pic:blipFill>
                          <a:blip r:embed="rId10"/>
                          <a:stretch>
                            <a:fillRect/>
                          </a:stretch>
                        </pic:blipFill>
                        <pic:spPr>
                          <a:xfrm>
                            <a:off x="0" y="0"/>
                            <a:ext cx="2820670" cy="179832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Borders>
              <w:tl2br w:val="nil"/>
              <w:tr2bl w:val="nil"/>
            </w:tcBorders>
            <w:shd w:val="clear" w:color="auto" w:fill="008080"/>
            <w:noWrap w:val="0"/>
            <w:vAlign w:val="top"/>
          </w:tcPr>
          <w:p>
            <w:pPr>
              <w:keepNext w:val="0"/>
              <w:keepLines w:val="0"/>
              <w:suppressLineNumbers w:val="0"/>
              <w:spacing w:before="0" w:beforeAutospacing="0" w:after="0" w:afterAutospacing="0"/>
              <w:ind w:left="0" w:right="0"/>
              <w:jc w:val="center"/>
              <w:rPr>
                <w:rFonts w:hint="default" w:cs="Times New Roman" w:eastAsiaTheme="minorEastAsia"/>
                <w:b/>
                <w:color w:val="FFFFFF" w:themeColor="background1"/>
                <w:sz w:val="21"/>
                <w:szCs w:val="21"/>
                <w:lang w:val="en-US" w:eastAsia="zh-CN"/>
                <w14:textFill>
                  <w14:solidFill>
                    <w14:schemeClr w14:val="bg1"/>
                  </w14:solidFill>
                </w14:textFill>
              </w:rPr>
            </w:pPr>
            <w:r>
              <w:rPr>
                <w:rFonts w:hint="eastAsia" w:cs="Times New Roman" w:eastAsiaTheme="minorEastAsia"/>
                <w:b/>
                <w:color w:val="FFFFFF" w:themeColor="background1"/>
                <w:sz w:val="21"/>
                <w:szCs w:val="21"/>
                <w:lang w:val="en-US" w:eastAsia="zh-CN"/>
                <w14:textFill>
                  <w14:solidFill>
                    <w14:schemeClr w14:val="bg1"/>
                  </w14:solidFill>
                </w14:textFill>
              </w:rPr>
              <w:t>模范称号</w:t>
            </w:r>
          </w:p>
        </w:tc>
        <w:tc>
          <w:tcPr>
            <w:tcW w:w="4530" w:type="dxa"/>
            <w:tcBorders>
              <w:tl2br w:val="nil"/>
              <w:tr2bl w:val="nil"/>
            </w:tcBorders>
            <w:shd w:val="clear" w:color="auto" w:fill="008080"/>
            <w:noWrap w:val="0"/>
            <w:vAlign w:val="top"/>
          </w:tcPr>
          <w:p>
            <w:pPr>
              <w:keepNext w:val="0"/>
              <w:keepLines w:val="0"/>
              <w:suppressLineNumbers w:val="0"/>
              <w:spacing w:before="0" w:beforeAutospacing="0" w:after="0" w:afterAutospacing="0"/>
              <w:ind w:left="0" w:right="0"/>
              <w:jc w:val="center"/>
              <w:rPr>
                <w:rFonts w:hint="default" w:cs="Times New Roman" w:eastAsiaTheme="minorEastAsia"/>
                <w:b/>
                <w:color w:val="FFFFFF" w:themeColor="background1"/>
                <w:sz w:val="21"/>
                <w:szCs w:val="21"/>
                <w:lang w:val="en-US" w:eastAsia="zh-CN"/>
                <w14:textFill>
                  <w14:solidFill>
                    <w14:schemeClr w14:val="bg1"/>
                  </w14:solidFill>
                </w14:textFill>
              </w:rPr>
            </w:pPr>
            <w:r>
              <w:rPr>
                <w:rFonts w:hint="eastAsia" w:cs="Times New Roman" w:eastAsiaTheme="minorEastAsia"/>
                <w:b/>
                <w:color w:val="FFFFFF" w:themeColor="background1"/>
                <w:sz w:val="21"/>
                <w:szCs w:val="21"/>
                <w:lang w:val="en-US" w:eastAsia="zh-CN"/>
                <w14:textFill>
                  <w14:solidFill>
                    <w14:schemeClr w14:val="bg1"/>
                  </w14:solidFill>
                </w14:textFill>
              </w:rPr>
              <w:t>隐形冠军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eastAsia" w:ascii="宋体" w:hAnsi="宋体" w:eastAsia="宋体" w:cs="宋体"/>
                <w:b/>
                <w:bCs/>
                <w:sz w:val="21"/>
                <w:szCs w:val="21"/>
                <w:vertAlign w:val="baseline"/>
                <w:lang w:val="en-US" w:eastAsia="zh-CN"/>
              </w:rPr>
            </w:pPr>
            <w:r>
              <w:rPr>
                <w:rFonts w:hint="eastAsia"/>
                <w:sz w:val="28"/>
                <w:szCs w:val="28"/>
              </w:rPr>
              <w:drawing>
                <wp:anchor distT="0" distB="0" distL="114300" distR="114300" simplePos="0" relativeHeight="251661312" behindDoc="0" locked="0" layoutInCell="1" allowOverlap="1">
                  <wp:simplePos x="0" y="0"/>
                  <wp:positionH relativeFrom="column">
                    <wp:posOffset>-19050</wp:posOffset>
                  </wp:positionH>
                  <wp:positionV relativeFrom="paragraph">
                    <wp:posOffset>111760</wp:posOffset>
                  </wp:positionV>
                  <wp:extent cx="2789555" cy="1688465"/>
                  <wp:effectExtent l="0" t="0" r="14605" b="3175"/>
                  <wp:wrapSquare wrapText="bothSides"/>
                  <wp:docPr id="179" name="图片 179" descr="QQ图片20210421135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QQ图片20210421135404"/>
                          <pic:cNvPicPr>
                            <a:picLocks noChangeAspect="1"/>
                          </pic:cNvPicPr>
                        </pic:nvPicPr>
                        <pic:blipFill>
                          <a:blip r:embed="rId11"/>
                          <a:srcRect t="4562" r="2443" b="3585"/>
                          <a:stretch>
                            <a:fillRect/>
                          </a:stretch>
                        </pic:blipFill>
                        <pic:spPr>
                          <a:xfrm>
                            <a:off x="0" y="0"/>
                            <a:ext cx="2789555" cy="1688465"/>
                          </a:xfrm>
                          <a:prstGeom prst="rect">
                            <a:avLst/>
                          </a:prstGeom>
                        </pic:spPr>
                      </pic:pic>
                    </a:graphicData>
                  </a:graphic>
                </wp:anchor>
              </w:drawing>
            </w:r>
          </w:p>
        </w:tc>
        <w:tc>
          <w:tcPr>
            <w:tcW w:w="453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eastAsia" w:ascii="宋体" w:hAnsi="宋体" w:eastAsia="宋体" w:cs="宋体"/>
                <w:b/>
                <w:bCs/>
                <w:sz w:val="21"/>
                <w:szCs w:val="21"/>
                <w:vertAlign w:val="baseline"/>
                <w:lang w:val="en-US" w:eastAsia="zh-CN"/>
              </w:rPr>
            </w:pPr>
            <w:r>
              <w:rPr>
                <w:rFonts w:hint="eastAsia"/>
                <w:sz w:val="28"/>
                <w:szCs w:val="28"/>
              </w:rPr>
              <w:drawing>
                <wp:anchor distT="0" distB="0" distL="114300" distR="114300" simplePos="0" relativeHeight="251662336" behindDoc="0" locked="0" layoutInCell="1" allowOverlap="1">
                  <wp:simplePos x="0" y="0"/>
                  <wp:positionH relativeFrom="column">
                    <wp:posOffset>68580</wp:posOffset>
                  </wp:positionH>
                  <wp:positionV relativeFrom="paragraph">
                    <wp:posOffset>120650</wp:posOffset>
                  </wp:positionV>
                  <wp:extent cx="2644775" cy="1789430"/>
                  <wp:effectExtent l="0" t="0" r="6985" b="8890"/>
                  <wp:wrapSquare wrapText="bothSides"/>
                  <wp:docPr id="182" name="图片 182" descr="IMG_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IMG_4913"/>
                          <pic:cNvPicPr>
                            <a:picLocks noChangeAspect="1"/>
                          </pic:cNvPicPr>
                        </pic:nvPicPr>
                        <pic:blipFill>
                          <a:blip r:embed="rId12"/>
                          <a:stretch>
                            <a:fillRect/>
                          </a:stretch>
                        </pic:blipFill>
                        <pic:spPr>
                          <a:xfrm>
                            <a:off x="0" y="0"/>
                            <a:ext cx="2644775" cy="1789430"/>
                          </a:xfrm>
                          <a:prstGeom prst="rect">
                            <a:avLst/>
                          </a:prstGeom>
                        </pic:spPr>
                      </pic:pic>
                    </a:graphicData>
                  </a:graphic>
                </wp:anchor>
              </w:drawing>
            </w:r>
          </w:p>
        </w:tc>
      </w:tr>
      <w:bookmarkEnd w:id="4"/>
      <w:bookmarkEnd w:id="5"/>
    </w:tbl>
    <w:p>
      <w:pPr>
        <w:tabs>
          <w:tab w:val="left" w:pos="3654"/>
        </w:tabs>
        <w:adjustRightInd w:val="0"/>
        <w:snapToGrid w:val="0"/>
        <w:spacing w:line="360" w:lineRule="auto"/>
        <w:jc w:val="center"/>
        <w:rPr>
          <w:rFonts w:hint="eastAsia" w:ascii="宋体" w:hAnsi="宋体" w:eastAsia="宋体" w:cs="宋体"/>
          <w:b/>
          <w:bCs/>
          <w:color w:val="000000"/>
          <w:sz w:val="21"/>
          <w:szCs w:val="20"/>
        </w:rPr>
      </w:pPr>
      <w:bookmarkStart w:id="6" w:name="_Toc21447_WPSOffice_Level2"/>
      <w:r>
        <w:rPr>
          <w:rFonts w:hint="eastAsia" w:ascii="宋体" w:hAnsi="宋体" w:eastAsia="宋体" w:cs="宋体"/>
          <w:b/>
          <w:bCs/>
          <w:color w:val="000000"/>
          <w:sz w:val="21"/>
          <w:szCs w:val="20"/>
          <w:lang w:val="en-US" w:eastAsia="zh-CN"/>
        </w:rPr>
        <w:t xml:space="preserve">图表B.1 </w:t>
      </w:r>
      <w:r>
        <w:rPr>
          <w:rFonts w:hint="eastAsia" w:ascii="宋体" w:hAnsi="宋体" w:cs="宋体"/>
          <w:b/>
          <w:bCs/>
          <w:color w:val="000000"/>
          <w:sz w:val="21"/>
          <w:szCs w:val="20"/>
          <w:lang w:val="en-US" w:eastAsia="zh-CN"/>
        </w:rPr>
        <w:t>久盛</w:t>
      </w:r>
      <w:r>
        <w:rPr>
          <w:rFonts w:hint="eastAsia" w:ascii="宋体" w:hAnsi="宋体" w:eastAsia="宋体" w:cs="宋体"/>
          <w:b/>
          <w:bCs/>
          <w:color w:val="000000"/>
          <w:sz w:val="21"/>
          <w:szCs w:val="20"/>
        </w:rPr>
        <w:t>企业文化基本构成</w:t>
      </w:r>
      <w:bookmarkEnd w:id="6"/>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7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084" w:type="pct"/>
            <w:shd w:val="clear" w:color="auto" w:fill="008080"/>
            <w:vAlign w:val="center"/>
          </w:tcPr>
          <w:p>
            <w:pPr>
              <w:keepNext w:val="0"/>
              <w:keepLines w:val="0"/>
              <w:suppressLineNumbers w:val="0"/>
              <w:spacing w:before="0" w:beforeAutospacing="0" w:after="0" w:afterAutospacing="0"/>
              <w:ind w:left="0" w:right="0"/>
              <w:jc w:val="center"/>
              <w:rPr>
                <w:rFonts w:hint="default" w:cs="Times New Roman" w:eastAsiaTheme="minorEastAsia"/>
                <w:b/>
                <w:color w:val="FFFFFF" w:themeColor="background1"/>
                <w:sz w:val="21"/>
                <w:szCs w:val="21"/>
                <w14:textFill>
                  <w14:solidFill>
                    <w14:schemeClr w14:val="bg1"/>
                  </w14:solidFill>
                </w14:textFill>
              </w:rPr>
            </w:pPr>
            <w:r>
              <w:rPr>
                <w:rFonts w:hint="default" w:cs="Times New Roman" w:eastAsiaTheme="minorEastAsia"/>
                <w:b/>
                <w:color w:val="FFFFFF" w:themeColor="background1"/>
                <w:sz w:val="21"/>
                <w:szCs w:val="21"/>
                <w14:textFill>
                  <w14:solidFill>
                    <w14:schemeClr w14:val="bg1"/>
                  </w14:solidFill>
                </w14:textFill>
              </w:rPr>
              <w:t>文化</w:t>
            </w:r>
          </w:p>
        </w:tc>
        <w:tc>
          <w:tcPr>
            <w:tcW w:w="3916" w:type="pct"/>
            <w:shd w:val="clear" w:color="auto" w:fill="008080"/>
            <w:vAlign w:val="center"/>
          </w:tcPr>
          <w:p>
            <w:pPr>
              <w:keepNext w:val="0"/>
              <w:keepLines w:val="0"/>
              <w:suppressLineNumbers w:val="0"/>
              <w:spacing w:before="0" w:beforeAutospacing="0" w:after="0" w:afterAutospacing="0"/>
              <w:ind w:left="0" w:right="0"/>
              <w:jc w:val="center"/>
              <w:rPr>
                <w:rFonts w:hint="default" w:cs="Times New Roman" w:eastAsiaTheme="minorEastAsia"/>
                <w:b/>
                <w:color w:val="FFFFFF" w:themeColor="background1"/>
                <w:sz w:val="21"/>
                <w:szCs w:val="21"/>
                <w14:textFill>
                  <w14:solidFill>
                    <w14:schemeClr w14:val="bg1"/>
                  </w14:solidFill>
                </w14:textFill>
              </w:rPr>
            </w:pPr>
            <w:r>
              <w:rPr>
                <w:rFonts w:hint="default" w:cs="Times New Roman" w:eastAsiaTheme="minorEastAsia"/>
                <w:b/>
                <w:color w:val="FFFFFF" w:themeColor="background1"/>
                <w:sz w:val="21"/>
                <w:szCs w:val="21"/>
                <w14:textFill>
                  <w14:solidFill>
                    <w14:schemeClr w14:val="bg1"/>
                  </w14:solidFill>
                </w14:textFill>
              </w:rPr>
              <w:t>表述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084"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使命</w:t>
            </w:r>
          </w:p>
        </w:tc>
        <w:tc>
          <w:tcPr>
            <w:tcW w:w="3916" w:type="pct"/>
            <w:vAlign w:val="center"/>
          </w:tcPr>
          <w:p>
            <w:pPr>
              <w:keepNext w:val="0"/>
              <w:keepLines w:val="0"/>
              <w:suppressLineNumbers w:val="0"/>
              <w:spacing w:before="0" w:beforeAutospacing="0" w:after="0" w:afterAutospacing="0"/>
              <w:ind w:left="0" w:right="0"/>
              <w:jc w:val="both"/>
              <w:rPr>
                <w:rFonts w:hint="default" w:cs="Times New Roman" w:eastAsiaTheme="minorEastAsia"/>
                <w:sz w:val="21"/>
                <w:szCs w:val="21"/>
              </w:rPr>
            </w:pPr>
            <w:r>
              <w:rPr>
                <w:rFonts w:hint="default" w:cs="Times New Roman" w:eastAsiaTheme="minorEastAsia"/>
                <w:sz w:val="21"/>
                <w:szCs w:val="21"/>
              </w:rPr>
              <w:t>专注为客户提供卓越品质的电线电缆。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愿景</w:t>
            </w:r>
          </w:p>
        </w:tc>
        <w:tc>
          <w:tcPr>
            <w:tcW w:w="3916" w:type="pct"/>
            <w:vAlign w:val="center"/>
          </w:tcPr>
          <w:p>
            <w:pPr>
              <w:keepNext w:val="0"/>
              <w:keepLines w:val="0"/>
              <w:suppressLineNumbers w:val="0"/>
              <w:spacing w:before="0" w:beforeAutospacing="0" w:after="0" w:afterAutospacing="0"/>
              <w:ind w:left="0" w:right="0"/>
              <w:jc w:val="both"/>
              <w:rPr>
                <w:rFonts w:hint="default" w:cs="Times New Roman" w:eastAsiaTheme="minorEastAsia"/>
                <w:sz w:val="21"/>
                <w:szCs w:val="21"/>
              </w:rPr>
            </w:pPr>
            <w:r>
              <w:rPr>
                <w:rFonts w:hint="default" w:cs="Times New Roman" w:eastAsiaTheme="minorEastAsia"/>
                <w:sz w:val="21"/>
                <w:szCs w:val="21"/>
              </w:rPr>
              <w:t>成为国内一流的电线电缆制造企业。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核心价值观</w:t>
            </w:r>
          </w:p>
        </w:tc>
        <w:tc>
          <w:tcPr>
            <w:tcW w:w="3916" w:type="pct"/>
            <w:vAlign w:val="center"/>
          </w:tcPr>
          <w:p>
            <w:pPr>
              <w:keepNext w:val="0"/>
              <w:keepLines w:val="0"/>
              <w:suppressLineNumbers w:val="0"/>
              <w:spacing w:before="0" w:beforeAutospacing="0" w:after="0" w:afterAutospacing="0"/>
              <w:ind w:left="0" w:right="0"/>
              <w:jc w:val="both"/>
              <w:rPr>
                <w:rFonts w:hint="default" w:cs="Times New Roman" w:eastAsiaTheme="minorEastAsia"/>
                <w:sz w:val="21"/>
                <w:szCs w:val="21"/>
              </w:rPr>
            </w:pPr>
            <w:r>
              <w:rPr>
                <w:rFonts w:hint="default" w:cs="Times New Roman" w:eastAsiaTheme="minorEastAsia"/>
                <w:sz w:val="21"/>
                <w:szCs w:val="21"/>
              </w:rPr>
              <w:t>客户至上、诚信品质、精细管理、推陈出新。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企业精神</w:t>
            </w:r>
          </w:p>
        </w:tc>
        <w:tc>
          <w:tcPr>
            <w:tcW w:w="3916" w:type="pct"/>
            <w:vAlign w:val="center"/>
          </w:tcPr>
          <w:p>
            <w:pPr>
              <w:keepNext w:val="0"/>
              <w:keepLines w:val="0"/>
              <w:suppressLineNumbers w:val="0"/>
              <w:spacing w:before="0" w:beforeAutospacing="0" w:after="0" w:afterAutospacing="0"/>
              <w:ind w:left="0" w:right="0"/>
              <w:jc w:val="both"/>
              <w:rPr>
                <w:rFonts w:hint="default" w:cs="Times New Roman" w:eastAsiaTheme="minorEastAsia"/>
                <w:sz w:val="21"/>
                <w:szCs w:val="21"/>
              </w:rPr>
            </w:pPr>
            <w:r>
              <w:rPr>
                <w:rFonts w:hint="default" w:cs="Times New Roman" w:eastAsiaTheme="minorEastAsia"/>
                <w:sz w:val="21"/>
                <w:szCs w:val="21"/>
              </w:rPr>
              <w:t>艰苦创业，实事求是，敢为人先，追求卓越。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经营理念</w:t>
            </w:r>
          </w:p>
        </w:tc>
        <w:tc>
          <w:tcPr>
            <w:tcW w:w="3916" w:type="pct"/>
            <w:vAlign w:val="center"/>
          </w:tcPr>
          <w:p>
            <w:pPr>
              <w:keepNext w:val="0"/>
              <w:keepLines w:val="0"/>
              <w:suppressLineNumbers w:val="0"/>
              <w:spacing w:before="0" w:beforeAutospacing="0" w:after="0" w:afterAutospacing="0"/>
              <w:ind w:left="0" w:right="0"/>
              <w:jc w:val="both"/>
              <w:rPr>
                <w:rFonts w:hint="default" w:cs="Times New Roman" w:eastAsiaTheme="minorEastAsia"/>
                <w:sz w:val="21"/>
                <w:szCs w:val="21"/>
              </w:rPr>
            </w:pPr>
            <w:r>
              <w:rPr>
                <w:rFonts w:hint="default" w:cs="Times New Roman" w:eastAsiaTheme="minorEastAsia"/>
                <w:sz w:val="21"/>
                <w:szCs w:val="21"/>
              </w:rPr>
              <w:t>诚信双赢，人本和谐。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市场理念</w:t>
            </w:r>
          </w:p>
        </w:tc>
        <w:tc>
          <w:tcPr>
            <w:tcW w:w="3916" w:type="pct"/>
            <w:vAlign w:val="center"/>
          </w:tcPr>
          <w:p>
            <w:pPr>
              <w:keepNext w:val="0"/>
              <w:keepLines w:val="0"/>
              <w:suppressLineNumbers w:val="0"/>
              <w:spacing w:before="0" w:beforeAutospacing="0" w:after="0" w:afterAutospacing="0"/>
              <w:ind w:left="0" w:right="0"/>
              <w:jc w:val="both"/>
              <w:rPr>
                <w:rFonts w:hint="default" w:cs="Times New Roman" w:eastAsiaTheme="minorEastAsia"/>
                <w:sz w:val="21"/>
                <w:szCs w:val="21"/>
              </w:rPr>
            </w:pPr>
            <w:r>
              <w:rPr>
                <w:rFonts w:hint="default" w:cs="Times New Roman" w:eastAsiaTheme="minorEastAsia"/>
                <w:sz w:val="21"/>
                <w:szCs w:val="21"/>
              </w:rPr>
              <w:t>观念创造价值，品牌引领市场。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发展理念</w:t>
            </w:r>
          </w:p>
        </w:tc>
        <w:tc>
          <w:tcPr>
            <w:tcW w:w="3916" w:type="pct"/>
            <w:vAlign w:val="center"/>
          </w:tcPr>
          <w:p>
            <w:pPr>
              <w:keepNext w:val="0"/>
              <w:keepLines w:val="0"/>
              <w:suppressLineNumbers w:val="0"/>
              <w:spacing w:before="0" w:beforeAutospacing="0" w:after="0" w:afterAutospacing="0"/>
              <w:ind w:left="0" w:right="0"/>
              <w:jc w:val="both"/>
              <w:rPr>
                <w:rFonts w:hint="default" w:cs="Times New Roman" w:eastAsiaTheme="minorEastAsia"/>
                <w:sz w:val="21"/>
                <w:szCs w:val="21"/>
              </w:rPr>
            </w:pPr>
            <w:r>
              <w:rPr>
                <w:rFonts w:hint="default" w:cs="Times New Roman" w:eastAsiaTheme="minorEastAsia"/>
                <w:sz w:val="21"/>
                <w:szCs w:val="21"/>
              </w:rPr>
              <w:t>员工同企业共发展，企业与市场共壮大。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学习理念</w:t>
            </w:r>
          </w:p>
        </w:tc>
        <w:tc>
          <w:tcPr>
            <w:tcW w:w="3916" w:type="pct"/>
            <w:vAlign w:val="center"/>
          </w:tcPr>
          <w:p>
            <w:pPr>
              <w:keepNext w:val="0"/>
              <w:keepLines w:val="0"/>
              <w:suppressLineNumbers w:val="0"/>
              <w:spacing w:before="0" w:beforeAutospacing="0" w:after="0" w:afterAutospacing="0"/>
              <w:ind w:left="0" w:right="0"/>
              <w:jc w:val="both"/>
              <w:rPr>
                <w:rFonts w:hint="default" w:cs="Times New Roman" w:eastAsiaTheme="minorEastAsia"/>
                <w:sz w:val="21"/>
                <w:szCs w:val="21"/>
              </w:rPr>
            </w:pPr>
            <w:r>
              <w:rPr>
                <w:rFonts w:hint="default" w:cs="Times New Roman" w:eastAsiaTheme="minorEastAsia"/>
                <w:sz w:val="21"/>
                <w:szCs w:val="21"/>
              </w:rPr>
              <w:t>创新中学习，学习中创新。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人才理念</w:t>
            </w:r>
          </w:p>
        </w:tc>
        <w:tc>
          <w:tcPr>
            <w:tcW w:w="3916" w:type="pct"/>
            <w:vAlign w:val="center"/>
          </w:tcPr>
          <w:p>
            <w:pPr>
              <w:keepNext w:val="0"/>
              <w:keepLines w:val="0"/>
              <w:suppressLineNumbers w:val="0"/>
              <w:spacing w:before="0" w:beforeAutospacing="0" w:after="0" w:afterAutospacing="0"/>
              <w:ind w:left="0" w:right="0"/>
              <w:jc w:val="both"/>
              <w:rPr>
                <w:rFonts w:hint="default" w:cs="Times New Roman" w:eastAsiaTheme="minorEastAsia"/>
                <w:sz w:val="21"/>
                <w:szCs w:val="21"/>
              </w:rPr>
            </w:pPr>
            <w:r>
              <w:rPr>
                <w:rFonts w:hint="default" w:cs="Times New Roman" w:eastAsiaTheme="minorEastAsia"/>
                <w:sz w:val="21"/>
                <w:szCs w:val="21"/>
              </w:rPr>
              <w:t>公平竞争，不拘一格，育人晋人，激发潜能。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4"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沟通理念</w:t>
            </w:r>
          </w:p>
        </w:tc>
        <w:tc>
          <w:tcPr>
            <w:tcW w:w="3916" w:type="pct"/>
            <w:vAlign w:val="center"/>
          </w:tcPr>
          <w:p>
            <w:pPr>
              <w:keepNext w:val="0"/>
              <w:keepLines w:val="0"/>
              <w:suppressLineNumbers w:val="0"/>
              <w:spacing w:before="0" w:beforeAutospacing="0" w:after="0" w:afterAutospacing="0"/>
              <w:ind w:left="0" w:right="0"/>
              <w:jc w:val="both"/>
              <w:rPr>
                <w:rFonts w:hint="default" w:cs="Times New Roman" w:eastAsiaTheme="minorEastAsia"/>
                <w:sz w:val="21"/>
                <w:szCs w:val="21"/>
              </w:rPr>
            </w:pPr>
            <w:r>
              <w:rPr>
                <w:rFonts w:hint="default" w:cs="Times New Roman" w:eastAsiaTheme="minorEastAsia"/>
                <w:sz w:val="21"/>
                <w:szCs w:val="21"/>
              </w:rPr>
              <w:t>真诚互动，及时有效。</w:t>
            </w:r>
          </w:p>
        </w:tc>
      </w:tr>
    </w:tbl>
    <w:p>
      <w:pPr>
        <w:tabs>
          <w:tab w:val="left" w:pos="3654"/>
        </w:tabs>
        <w:adjustRightInd w:val="0"/>
        <w:snapToGrid w:val="0"/>
        <w:spacing w:line="360" w:lineRule="auto"/>
        <w:jc w:val="center"/>
        <w:rPr>
          <w:rFonts w:hint="eastAsia" w:ascii="宋体" w:hAnsi="宋体" w:eastAsia="宋体" w:cs="宋体"/>
          <w:b/>
          <w:bCs/>
          <w:color w:val="000000"/>
          <w:sz w:val="21"/>
          <w:szCs w:val="20"/>
        </w:rPr>
      </w:pPr>
    </w:p>
    <w:p>
      <w:pPr>
        <w:tabs>
          <w:tab w:val="left" w:pos="3654"/>
        </w:tabs>
        <w:adjustRightInd w:val="0"/>
        <w:snapToGrid w:val="0"/>
        <w:spacing w:line="360" w:lineRule="auto"/>
        <w:ind w:firstLine="480" w:firstLineChars="200"/>
        <w:jc w:val="left"/>
        <w:rPr>
          <w:rFonts w:hint="eastAsia" w:ascii="宋体" w:hAnsi="宋体" w:eastAsia="宋体" w:cs="宋体"/>
          <w:color w:val="000000"/>
          <w:kern w:val="0"/>
          <w:sz w:val="24"/>
          <w:szCs w:val="24"/>
        </w:rPr>
      </w:pPr>
    </w:p>
    <w:p>
      <w:pPr>
        <w:rPr>
          <w:rFonts w:hint="eastAsia" w:ascii="宋体" w:hAnsi="宋体" w:cs="宋体"/>
          <w:color w:val="000000"/>
          <w:kern w:val="0"/>
          <w:sz w:val="28"/>
          <w:szCs w:val="28"/>
        </w:rPr>
      </w:pPr>
      <w:r>
        <w:rPr>
          <w:rFonts w:hint="eastAsia" w:ascii="宋体" w:hAnsi="宋体" w:cs="宋体"/>
          <w:color w:val="000000"/>
          <w:kern w:val="0"/>
          <w:sz w:val="28"/>
          <w:szCs w:val="28"/>
        </w:rPr>
        <w:br w:type="page"/>
      </w:r>
    </w:p>
    <w:p>
      <w:pPr>
        <w:pStyle w:val="4"/>
        <w:widowControl w:val="0"/>
        <w:suppressLineNumbers w:val="0"/>
        <w:spacing w:before="340" w:after="330" w:line="578" w:lineRule="auto"/>
        <w:ind w:firstLine="0" w:firstLineChars="0"/>
        <w:jc w:val="center"/>
        <w:rPr>
          <w:rFonts w:hint="eastAsia" w:ascii="Calibri" w:hAnsi="Calibri" w:eastAsia="宋体"/>
          <w:sz w:val="44"/>
          <w:szCs w:val="44"/>
          <w:lang w:val="zh-CN"/>
        </w:rPr>
      </w:pPr>
      <w:bookmarkStart w:id="7" w:name="_Toc11086996"/>
      <w:bookmarkStart w:id="8" w:name="_Toc13135"/>
      <w:r>
        <w:rPr>
          <w:rFonts w:hint="eastAsia" w:ascii="Calibri" w:hAnsi="Calibri" w:eastAsia="宋体"/>
          <w:sz w:val="44"/>
          <w:szCs w:val="44"/>
          <w:lang w:val="zh-CN"/>
        </w:rPr>
        <w:t>第一章</w:t>
      </w:r>
      <w:r>
        <w:rPr>
          <w:rFonts w:hint="eastAsia" w:ascii="Calibri" w:hAnsi="Calibri" w:eastAsia="宋体"/>
          <w:sz w:val="44"/>
          <w:szCs w:val="44"/>
          <w:lang w:val="en-US" w:eastAsia="zh-CN"/>
        </w:rPr>
        <w:t xml:space="preserve"> </w:t>
      </w:r>
      <w:r>
        <w:rPr>
          <w:rFonts w:hint="eastAsia" w:ascii="Calibri" w:hAnsi="Calibri" w:eastAsia="宋体"/>
          <w:sz w:val="44"/>
          <w:szCs w:val="44"/>
          <w:lang w:val="zh-CN"/>
        </w:rPr>
        <w:t>经济责任</w:t>
      </w:r>
      <w:bookmarkEnd w:id="7"/>
      <w:bookmarkEnd w:id="8"/>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480" w:lineRule="auto"/>
        <w:jc w:val="both"/>
        <w:textAlignment w:val="auto"/>
        <w:rPr>
          <w:rFonts w:hint="eastAsia" w:ascii="宋体" w:hAnsi="宋体" w:eastAsia="宋体" w:cs="Times New Roman"/>
          <w:sz w:val="28"/>
          <w:szCs w:val="28"/>
          <w:lang w:val="zh-CN"/>
        </w:rPr>
      </w:pPr>
      <w:r>
        <w:rPr>
          <w:rFonts w:hint="eastAsia" w:ascii="宋体" w:hAnsi="宋体" w:eastAsia="宋体" w:cs="Times New Roman"/>
          <w:sz w:val="28"/>
          <w:szCs w:val="28"/>
          <w:lang w:val="zh-CN"/>
        </w:rPr>
        <w:t>1、公司的长、中、短期主要战略目标</w:t>
      </w:r>
    </w:p>
    <w:p>
      <w:pPr>
        <w:autoSpaceDE w:val="0"/>
        <w:autoSpaceDN w:val="0"/>
        <w:adjustRightInd w:val="0"/>
        <w:spacing w:line="500" w:lineRule="exact"/>
        <w:ind w:firstLine="560" w:firstLineChars="200"/>
        <w:jc w:val="left"/>
        <w:rPr>
          <w:rFonts w:hint="eastAsia" w:eastAsia="宋体" w:cs="Times New Roman"/>
          <w:sz w:val="28"/>
          <w:szCs w:val="28"/>
          <w:lang w:val="zh-CN" w:eastAsia="zh-CN"/>
        </w:rPr>
      </w:pPr>
      <w:r>
        <w:rPr>
          <w:rFonts w:hint="eastAsia" w:ascii="宋体" w:hAnsi="宋体" w:eastAsia="宋体" w:cs="Times New Roman"/>
          <w:sz w:val="28"/>
          <w:szCs w:val="28"/>
          <w:lang w:val="zh-CN"/>
        </w:rPr>
        <w:t>为实现“</w:t>
      </w:r>
      <w:r>
        <w:rPr>
          <w:rFonts w:hint="eastAsia" w:cs="Times New Roman"/>
          <w:sz w:val="28"/>
          <w:szCs w:val="28"/>
          <w:lang w:val="en-US" w:eastAsia="zh-CN"/>
        </w:rPr>
        <w:t>成为国内一流的电线电缆制造企业</w:t>
      </w:r>
      <w:r>
        <w:rPr>
          <w:rFonts w:hint="eastAsia" w:ascii="宋体" w:hAnsi="宋体" w:eastAsia="宋体" w:cs="Times New Roman"/>
          <w:sz w:val="28"/>
          <w:szCs w:val="28"/>
          <w:lang w:val="zh-CN"/>
        </w:rPr>
        <w:t>”的愿景，公司通过深谋远虑的战略制定、系统全面的战略部署、严格高效的实施控制</w:t>
      </w:r>
      <w:r>
        <w:rPr>
          <w:rFonts w:hint="eastAsia" w:eastAsia="宋体" w:cs="Times New Roman"/>
          <w:sz w:val="28"/>
          <w:szCs w:val="28"/>
          <w:lang w:val="en-US" w:eastAsia="zh-CN"/>
        </w:rPr>
        <w:t>。公司以“大质量”观统领质量战略，引导企业质量管理向追求卓越绩效发展，突出重点、预防为主、系统管理，把质量工作落到实处，解决好影响企业发展的突出质量问题，稳步提高产品的一致性和高可靠性，带动产品整体质量水平，为客户提供最优的产品，以良好的客户口碑提高在行业内的品牌知名度。</w:t>
      </w:r>
      <w:r>
        <w:rPr>
          <w:rFonts w:hint="eastAsia" w:eastAsia="宋体" w:cs="Times New Roman"/>
          <w:sz w:val="28"/>
          <w:szCs w:val="28"/>
          <w:lang w:val="zh-CN" w:eastAsia="zh-CN"/>
        </w:rPr>
        <w:t>实施</w:t>
      </w:r>
      <w:r>
        <w:rPr>
          <w:rFonts w:hint="eastAsia" w:eastAsia="宋体" w:cs="Times New Roman"/>
          <w:sz w:val="28"/>
          <w:szCs w:val="28"/>
          <w:lang w:val="en-US" w:eastAsia="zh-CN"/>
        </w:rPr>
        <w:t>品牌</w:t>
      </w:r>
      <w:r>
        <w:rPr>
          <w:rFonts w:hint="eastAsia" w:eastAsia="宋体" w:cs="Times New Roman"/>
          <w:sz w:val="28"/>
          <w:szCs w:val="28"/>
          <w:lang w:val="zh-CN" w:eastAsia="zh-CN"/>
        </w:rPr>
        <w:t>的发展战略，推动企业不断取得跨越式发展。</w:t>
      </w: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480" w:lineRule="auto"/>
        <w:jc w:val="both"/>
        <w:textAlignment w:val="auto"/>
        <w:rPr>
          <w:rFonts w:hint="eastAsia" w:ascii="宋体" w:hAnsi="宋体" w:eastAsia="宋体" w:cs="Times New Roman"/>
          <w:sz w:val="28"/>
          <w:szCs w:val="28"/>
          <w:lang w:val="en-US" w:eastAsia="zh-CN"/>
        </w:rPr>
      </w:pPr>
      <w:r>
        <w:rPr>
          <w:rFonts w:hint="eastAsia" w:ascii="宋体" w:hAnsi="宋体" w:eastAsia="宋体" w:cs="Times New Roman"/>
          <w:sz w:val="28"/>
          <w:szCs w:val="28"/>
          <w:lang w:val="en-US" w:eastAsia="zh-CN"/>
        </w:rPr>
        <w:t>2、战略发展方向及目标</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rPr>
          <w:rFonts w:hint="eastAsia" w:eastAsia="宋体" w:cs="Times New Roman" w:asciiTheme="minorHAnsi" w:hAnsiTheme="minorHAnsi"/>
          <w:kern w:val="2"/>
          <w:sz w:val="28"/>
          <w:szCs w:val="28"/>
          <w:lang w:val="en-US" w:eastAsia="zh-CN" w:bidi="ar-SA"/>
        </w:rPr>
      </w:pPr>
      <w:r>
        <w:rPr>
          <w:rFonts w:hint="eastAsia" w:eastAsia="宋体" w:cs="Times New Roman" w:asciiTheme="minorHAnsi" w:hAnsiTheme="minorHAnsi"/>
          <w:kern w:val="2"/>
          <w:sz w:val="28"/>
          <w:szCs w:val="28"/>
          <w:lang w:val="en-US" w:eastAsia="zh-CN" w:bidi="ar-SA"/>
        </w:rPr>
        <w:t>2.1 人力资源配置：公司通过人力资源规划进行人才结构调整、人员素质提升、营销能力提升、管理理念提升工作，以满足公司战略目标的需要。对管理人员、技术研发人员、营销人员以及一线工人进行有针对性的培训，全面提高人员素质；实行外部外进与内部培养相结合的方式培养一批有创造性的优秀人才；建立健全能上能下、竞争上岗、薪酬与贡献挂钩的人员聘任和激励机制。公司将进一步加强人力资源管理，建立完善、高效、灵活的人才培养和管理机制，通过培养、引进和外聘等方式，扩充公司发展所需的各种人才，尤其是技术开发人员和市场营销人员。公司将制订周密的培训计划，通过内部培训、外聘专家授课、等方式，全面提高公司员工的整体素质。同时加强公司中层领导和后备管理人员的管理技能培训，使公司中高级管理人员成为集经营、管理、技术为一体的复合型人才。公司还将继续积极探索和建立对各类人才有持久吸引力的绩效评价体系和相应的激励机制，使公司人才资源稳定，实现人力资源可持续发展，从而建立一支高素质人才队伍，确保公司竞争实力不断增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rPr>
          <w:rFonts w:hint="eastAsia" w:eastAsia="宋体" w:cs="Times New Roman" w:asciiTheme="minorHAnsi" w:hAnsiTheme="minorHAnsi"/>
          <w:kern w:val="2"/>
          <w:sz w:val="28"/>
          <w:szCs w:val="28"/>
          <w:lang w:val="en-US" w:eastAsia="zh-CN" w:bidi="ar-SA"/>
        </w:rPr>
      </w:pPr>
      <w:r>
        <w:rPr>
          <w:rFonts w:hint="eastAsia" w:eastAsia="宋体" w:cs="Times New Roman" w:asciiTheme="minorHAnsi" w:hAnsiTheme="minorHAnsi"/>
          <w:kern w:val="2"/>
          <w:sz w:val="28"/>
          <w:szCs w:val="28"/>
          <w:lang w:val="en-US" w:eastAsia="zh-CN" w:bidi="ar-SA"/>
        </w:rPr>
        <w:t>2.2 财务资源配置：优化全面预算管理路程，强化预算刚性原则，推动预算落实；突出成本管控，强化重点成本分析，相关职能部门要开展重大影响成本控制专题研究，制订针对性管控举措，挖掘节能降本空间。实施现金池、资金链和融资线的管理方法，与各大银行建立战略合作关系，建立更广泛的融资平台，完成各项资金的融资，确保公司内部现金流正常。</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rPr>
          <w:rFonts w:hint="eastAsia" w:eastAsia="宋体" w:cs="Times New Roman" w:asciiTheme="minorHAnsi" w:hAnsiTheme="minorHAnsi"/>
          <w:kern w:val="2"/>
          <w:sz w:val="28"/>
          <w:szCs w:val="28"/>
          <w:lang w:val="en-US" w:eastAsia="zh-CN" w:bidi="ar-SA"/>
        </w:rPr>
      </w:pPr>
      <w:r>
        <w:rPr>
          <w:rFonts w:hint="eastAsia" w:eastAsia="宋体" w:cs="Times New Roman" w:asciiTheme="minorHAnsi" w:hAnsiTheme="minorHAnsi"/>
          <w:kern w:val="2"/>
          <w:sz w:val="28"/>
          <w:szCs w:val="28"/>
          <w:lang w:val="en-US" w:eastAsia="zh-CN" w:bidi="ar-SA"/>
        </w:rPr>
        <w:t>2.3 实物资源配置：通过技术改造计划、设备维修计划、物资供应计划等具体计划，从基础设施建设、设备管理、物资供应三个层面对公司实物资源进行科学安排和调度。</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rPr>
          <w:rFonts w:hint="eastAsia" w:eastAsia="宋体" w:cs="Times New Roman" w:asciiTheme="minorHAnsi" w:hAnsiTheme="minorHAnsi"/>
          <w:kern w:val="2"/>
          <w:sz w:val="28"/>
          <w:szCs w:val="28"/>
          <w:lang w:val="en-US" w:eastAsia="zh-CN" w:bidi="ar-SA"/>
        </w:rPr>
      </w:pPr>
      <w:r>
        <w:rPr>
          <w:rFonts w:hint="eastAsia" w:eastAsia="宋体" w:cs="Times New Roman" w:asciiTheme="minorHAnsi" w:hAnsiTheme="minorHAnsi"/>
          <w:kern w:val="2"/>
          <w:sz w:val="28"/>
          <w:szCs w:val="28"/>
          <w:lang w:val="en-US" w:eastAsia="zh-CN" w:bidi="ar-SA"/>
        </w:rPr>
        <w:t>2.4 提高技术创新能力：公司将继续依托自身研发优势以及创新实力，并不断加大与外部研发平台的合作，保持行业敏感度，对现有产品不断提升优化性能以及节本降耗。同时，公司将继续加大在电力等领域的产品研发，持续保持公司在研发创新领域的优势地位。</w:t>
      </w:r>
    </w:p>
    <w:p>
      <w:pPr>
        <w:autoSpaceDE w:val="0"/>
        <w:autoSpaceDN w:val="0"/>
        <w:adjustRightInd w:val="0"/>
        <w:spacing w:line="500" w:lineRule="exact"/>
        <w:ind w:left="0" w:leftChars="0" w:firstLine="0" w:firstLineChars="0"/>
        <w:jc w:val="left"/>
        <w:rPr>
          <w:rFonts w:hint="eastAsia" w:ascii="Cambria" w:hAnsi="Cambria" w:cs="Cambria"/>
          <w:kern w:val="0"/>
          <w:sz w:val="28"/>
          <w:szCs w:val="28"/>
        </w:rPr>
      </w:pPr>
      <w:r>
        <w:rPr>
          <w:rFonts w:hint="eastAsia" w:ascii="Cambria" w:hAnsi="Cambria" w:cs="Cambria"/>
          <w:kern w:val="0"/>
          <w:sz w:val="28"/>
          <w:szCs w:val="28"/>
        </w:rPr>
        <w:br w:type="page"/>
      </w:r>
    </w:p>
    <w:p>
      <w:pPr>
        <w:pStyle w:val="4"/>
        <w:widowControl w:val="0"/>
        <w:suppressLineNumbers w:val="0"/>
        <w:spacing w:before="340" w:after="330" w:line="578" w:lineRule="auto"/>
        <w:ind w:firstLine="0" w:firstLineChars="0"/>
        <w:jc w:val="center"/>
        <w:rPr>
          <w:rFonts w:hint="eastAsia" w:ascii="Calibri" w:hAnsi="Calibri" w:eastAsia="宋体"/>
          <w:sz w:val="44"/>
          <w:szCs w:val="44"/>
          <w:lang w:val="zh-CN"/>
        </w:rPr>
      </w:pPr>
      <w:bookmarkStart w:id="9" w:name="_Toc11086999"/>
      <w:bookmarkStart w:id="10" w:name="_Toc6863"/>
      <w:r>
        <w:rPr>
          <w:rFonts w:hint="eastAsia" w:ascii="Calibri" w:hAnsi="Calibri" w:eastAsia="宋体"/>
          <w:sz w:val="44"/>
          <w:szCs w:val="44"/>
          <w:lang w:val="zh-CN"/>
        </w:rPr>
        <w:t>第二章</w:t>
      </w:r>
      <w:r>
        <w:rPr>
          <w:rFonts w:hint="eastAsia" w:ascii="Calibri" w:hAnsi="Calibri" w:eastAsia="宋体"/>
          <w:sz w:val="44"/>
          <w:szCs w:val="44"/>
          <w:lang w:val="en-US" w:eastAsia="zh-CN"/>
        </w:rPr>
        <w:t xml:space="preserve"> </w:t>
      </w:r>
      <w:r>
        <w:rPr>
          <w:rFonts w:hint="eastAsia" w:ascii="Calibri" w:hAnsi="Calibri" w:eastAsia="宋体"/>
          <w:sz w:val="44"/>
          <w:szCs w:val="44"/>
          <w:lang w:val="zh-CN"/>
        </w:rPr>
        <w:t>社会责任</w:t>
      </w:r>
      <w:bookmarkEnd w:id="9"/>
      <w:bookmarkEnd w:id="10"/>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480" w:lineRule="auto"/>
        <w:ind w:firstLine="560" w:firstLineChars="200"/>
        <w:jc w:val="both"/>
        <w:textAlignment w:val="auto"/>
        <w:rPr>
          <w:rFonts w:hint="eastAsia" w:ascii="Cambria" w:hAnsi="Cambria" w:eastAsia="宋体" w:cs="Cambria"/>
          <w:b w:val="0"/>
          <w:bCs w:val="0"/>
          <w:kern w:val="0"/>
          <w:sz w:val="28"/>
          <w:szCs w:val="28"/>
          <w:lang w:val="zh-CN" w:eastAsia="zh-CN" w:bidi="ar-SA"/>
        </w:rPr>
      </w:pPr>
      <w:bookmarkStart w:id="11" w:name="_Toc11087000"/>
      <w:r>
        <w:rPr>
          <w:rFonts w:hint="eastAsia" w:ascii="Cambria" w:hAnsi="Cambria" w:eastAsia="宋体" w:cs="Cambria"/>
          <w:b w:val="0"/>
          <w:bCs w:val="0"/>
          <w:kern w:val="0"/>
          <w:sz w:val="28"/>
          <w:szCs w:val="28"/>
          <w:lang w:val="en-US" w:eastAsia="zh-CN" w:bidi="ar-SA"/>
        </w:rPr>
        <w:t>公司作为国内电线电缆行业产品的龙头企业，为社会创造价值的同时，积极履行社会责任，全力支持公益事业。在履行公共责任、公民义务、恪守道德规范和保护公众健康、安全、环境等方面，公司从自身生产经营活动出发，分析相关活动对社会产生的影响，积极主动承担责任和义务，并在行业中率先向社会定期发布社会责任报告。</w:t>
      </w: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480" w:lineRule="auto"/>
        <w:jc w:val="both"/>
        <w:textAlignment w:val="auto"/>
        <w:rPr>
          <w:rFonts w:hint="eastAsia" w:ascii="宋体" w:hAnsi="宋体" w:eastAsia="宋体" w:cs="Times New Roman"/>
          <w:sz w:val="28"/>
          <w:szCs w:val="28"/>
          <w:lang w:val="zh-CN" w:eastAsia="zh-CN"/>
        </w:rPr>
      </w:pPr>
      <w:r>
        <w:rPr>
          <w:rFonts w:hint="eastAsia" w:ascii="宋体" w:hAnsi="宋体" w:eastAsia="宋体" w:cs="Times New Roman"/>
          <w:sz w:val="28"/>
          <w:szCs w:val="28"/>
          <w:lang w:val="zh-CN"/>
        </w:rPr>
        <w:t>1、</w:t>
      </w:r>
      <w:bookmarkEnd w:id="11"/>
      <w:r>
        <w:rPr>
          <w:rFonts w:hint="eastAsia" w:ascii="宋体" w:hAnsi="宋体" w:eastAsia="宋体" w:cs="Times New Roman"/>
          <w:sz w:val="28"/>
          <w:szCs w:val="28"/>
          <w:lang w:val="en-US" w:eastAsia="zh-CN"/>
        </w:rPr>
        <w:t>公共责任</w:t>
      </w:r>
    </w:p>
    <w:p>
      <w:pPr>
        <w:pStyle w:val="20"/>
        <w:rPr>
          <w:rFonts w:hint="eastAsia" w:ascii="Cambria" w:hAnsi="Cambria" w:cs="Cambria"/>
          <w:kern w:val="0"/>
          <w:sz w:val="28"/>
          <w:szCs w:val="28"/>
          <w:lang w:val="en-US" w:eastAsia="zh-CN" w:bidi="ar-SA"/>
        </w:rPr>
      </w:pPr>
      <w:r>
        <w:rPr>
          <w:rFonts w:hint="eastAsia" w:ascii="Cambria" w:hAnsi="Cambria" w:eastAsia="宋体" w:cs="Cambria"/>
          <w:kern w:val="0"/>
          <w:sz w:val="28"/>
          <w:szCs w:val="28"/>
          <w:lang w:val="en-US" w:eastAsia="zh-CN" w:bidi="ar-SA"/>
        </w:rPr>
        <w:t>公司立足于电线电缆制造行业，产品涉及金属、塑料等资源的加工，主要有少量油污、废气、固体废物、安全隐患、职业健康等影响因素。公司严格遵守安全生产、环境保护等方面的法律法规，定期评估产品安全、环境保护、能源节约和资源综合利用以及公共卫生等方面的影响，采取预防、控制和改进措施</w:t>
      </w:r>
      <w:bookmarkStart w:id="12" w:name="_Toc11087001"/>
      <w:r>
        <w:rPr>
          <w:rFonts w:hint="eastAsia" w:ascii="Cambria" w:hAnsi="Cambria" w:cs="Cambria"/>
          <w:kern w:val="0"/>
          <w:sz w:val="28"/>
          <w:szCs w:val="28"/>
          <w:lang w:val="en-US" w:eastAsia="zh-CN" w:bidi="ar-SA"/>
        </w:rPr>
        <w:t>。</w:t>
      </w:r>
    </w:p>
    <w:p>
      <w:pPr>
        <w:pStyle w:val="6"/>
        <w:rPr>
          <w:rFonts w:ascii="Times New Roman" w:hAnsi="Times New Roman" w:cs="Times New Roman" w:eastAsiaTheme="minorEastAsia"/>
        </w:rPr>
      </w:pPr>
      <w:r>
        <w:rPr>
          <w:rFonts w:hint="eastAsia" w:ascii="Times New Roman" w:hAnsi="Times New Roman" w:cs="Times New Roman" w:eastAsiaTheme="minorEastAsia"/>
          <w:lang w:val="en-US" w:eastAsia="zh-CN"/>
        </w:rPr>
        <w:t>图</w:t>
      </w:r>
      <w:r>
        <w:rPr>
          <w:rFonts w:ascii="Times New Roman" w:hAnsi="Times New Roman" w:cs="Times New Roman" w:eastAsiaTheme="minorEastAsia"/>
        </w:rPr>
        <w:t>表</w:t>
      </w:r>
      <w:r>
        <w:rPr>
          <w:rFonts w:hint="eastAsia" w:ascii="Times New Roman" w:hAnsi="Times New Roman" w:cs="Times New Roman" w:eastAsiaTheme="minorEastAsia"/>
          <w:lang w:val="en-US" w:eastAsia="zh-CN"/>
        </w:rPr>
        <w:t>2-1</w:t>
      </w:r>
      <w:r>
        <w:rPr>
          <w:rFonts w:ascii="Times New Roman" w:hAnsi="Times New Roman" w:cs="Times New Roman" w:eastAsiaTheme="minorEastAsia"/>
        </w:rPr>
        <w:t xml:space="preserve"> 履行公共责任</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216"/>
        <w:gridCol w:w="1692"/>
        <w:gridCol w:w="2255"/>
        <w:gridCol w:w="2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072" w:type="dxa"/>
            <w:shd w:val="clear" w:color="auto" w:fill="008080"/>
            <w:vAlign w:val="center"/>
          </w:tcPr>
          <w:p>
            <w:pPr>
              <w:keepNext w:val="0"/>
              <w:keepLines w:val="0"/>
              <w:suppressLineNumbers w:val="0"/>
              <w:spacing w:before="0" w:beforeAutospacing="0" w:after="0" w:afterAutospacing="0" w:line="276" w:lineRule="auto"/>
              <w:ind w:left="0" w:leftChars="0" w:right="0" w:firstLine="210" w:firstLineChars="100"/>
              <w:jc w:val="both"/>
              <w:rPr>
                <w:rFonts w:hint="default" w:cs="Times New Roman" w:eastAsiaTheme="minorEastAsia"/>
                <w:b/>
                <w:color w:val="FFFFFF" w:themeColor="background1"/>
                <w:sz w:val="21"/>
                <w:szCs w:val="21"/>
                <w14:textFill>
                  <w14:solidFill>
                    <w14:schemeClr w14:val="bg1"/>
                  </w14:solidFill>
                </w14:textFill>
              </w:rPr>
            </w:pPr>
            <w:r>
              <w:rPr>
                <w:rFonts w:hint="default" w:cs="Times New Roman" w:eastAsiaTheme="minorEastAsia"/>
                <w:b/>
                <w:color w:val="FFFFFF" w:themeColor="background1"/>
                <w:sz w:val="21"/>
                <w:szCs w:val="21"/>
                <w14:textFill>
                  <w14:solidFill>
                    <w14:schemeClr w14:val="bg1"/>
                  </w14:solidFill>
                </w14:textFill>
              </w:rPr>
              <w:t>项目</w:t>
            </w:r>
          </w:p>
        </w:tc>
        <w:tc>
          <w:tcPr>
            <w:tcW w:w="1216" w:type="dxa"/>
            <w:shd w:val="clear" w:color="auto" w:fill="008080"/>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b/>
                <w:color w:val="FFFFFF" w:themeColor="background1"/>
                <w:sz w:val="21"/>
                <w:szCs w:val="21"/>
                <w14:textFill>
                  <w14:solidFill>
                    <w14:schemeClr w14:val="bg1"/>
                  </w14:solidFill>
                </w14:textFill>
              </w:rPr>
            </w:pPr>
            <w:r>
              <w:rPr>
                <w:rFonts w:hint="default" w:cs="Times New Roman" w:eastAsiaTheme="minorEastAsia"/>
                <w:b/>
                <w:color w:val="FFFFFF" w:themeColor="background1"/>
                <w:sz w:val="21"/>
                <w:szCs w:val="21"/>
                <w14:textFill>
                  <w14:solidFill>
                    <w14:schemeClr w14:val="bg1"/>
                  </w14:solidFill>
                </w14:textFill>
              </w:rPr>
              <w:t>影响因素</w:t>
            </w:r>
          </w:p>
        </w:tc>
        <w:tc>
          <w:tcPr>
            <w:tcW w:w="1692" w:type="dxa"/>
            <w:shd w:val="clear" w:color="auto" w:fill="008080"/>
            <w:vAlign w:val="center"/>
          </w:tcPr>
          <w:p>
            <w:pPr>
              <w:keepNext w:val="0"/>
              <w:keepLines w:val="0"/>
              <w:suppressLineNumbers w:val="0"/>
              <w:spacing w:before="0" w:beforeAutospacing="0" w:after="0" w:afterAutospacing="0" w:line="276" w:lineRule="auto"/>
              <w:ind w:left="0" w:right="0"/>
              <w:jc w:val="both"/>
              <w:rPr>
                <w:rFonts w:hint="default" w:cs="Times New Roman" w:eastAsiaTheme="minorEastAsia"/>
                <w:b/>
                <w:color w:val="FFFFFF" w:themeColor="background1"/>
                <w:sz w:val="21"/>
                <w:szCs w:val="21"/>
                <w14:textFill>
                  <w14:solidFill>
                    <w14:schemeClr w14:val="bg1"/>
                  </w14:solidFill>
                </w14:textFill>
              </w:rPr>
            </w:pPr>
            <w:r>
              <w:rPr>
                <w:rFonts w:hint="default" w:cs="Times New Roman" w:eastAsiaTheme="minorEastAsia"/>
                <w:b/>
                <w:color w:val="FFFFFF" w:themeColor="background1"/>
                <w:sz w:val="21"/>
                <w:szCs w:val="21"/>
                <w14:textFill>
                  <w14:solidFill>
                    <w14:schemeClr w14:val="bg1"/>
                  </w14:solidFill>
                </w14:textFill>
              </w:rPr>
              <w:t>风险</w:t>
            </w:r>
          </w:p>
        </w:tc>
        <w:tc>
          <w:tcPr>
            <w:tcW w:w="2255" w:type="dxa"/>
            <w:shd w:val="clear" w:color="auto" w:fill="008080"/>
            <w:vAlign w:val="center"/>
          </w:tcPr>
          <w:p>
            <w:pPr>
              <w:keepNext w:val="0"/>
              <w:keepLines w:val="0"/>
              <w:suppressLineNumbers w:val="0"/>
              <w:spacing w:before="0" w:beforeAutospacing="0" w:after="0" w:afterAutospacing="0" w:line="276" w:lineRule="auto"/>
              <w:ind w:left="0" w:right="0"/>
              <w:jc w:val="both"/>
              <w:rPr>
                <w:rFonts w:hint="default" w:cs="Times New Roman" w:eastAsiaTheme="minorEastAsia"/>
                <w:b/>
                <w:color w:val="FFFFFF" w:themeColor="background1"/>
                <w:sz w:val="21"/>
                <w:szCs w:val="21"/>
                <w14:textFill>
                  <w14:solidFill>
                    <w14:schemeClr w14:val="bg1"/>
                  </w14:solidFill>
                </w14:textFill>
              </w:rPr>
            </w:pPr>
            <w:r>
              <w:rPr>
                <w:rFonts w:hint="default" w:cs="Times New Roman" w:eastAsiaTheme="minorEastAsia"/>
                <w:b/>
                <w:color w:val="FFFFFF" w:themeColor="background1"/>
                <w:sz w:val="21"/>
                <w:szCs w:val="21"/>
                <w14:textFill>
                  <w14:solidFill>
                    <w14:schemeClr w14:val="bg1"/>
                  </w14:solidFill>
                </w14:textFill>
              </w:rPr>
              <w:t>标准要求</w:t>
            </w:r>
          </w:p>
        </w:tc>
        <w:tc>
          <w:tcPr>
            <w:tcW w:w="2545" w:type="dxa"/>
            <w:shd w:val="clear" w:color="auto" w:fill="008080"/>
            <w:vAlign w:val="center"/>
          </w:tcPr>
          <w:p>
            <w:pPr>
              <w:keepNext w:val="0"/>
              <w:keepLines w:val="0"/>
              <w:suppressLineNumbers w:val="0"/>
              <w:spacing w:before="0" w:beforeAutospacing="0" w:after="0" w:afterAutospacing="0" w:line="276" w:lineRule="auto"/>
              <w:ind w:left="0" w:right="0"/>
              <w:jc w:val="both"/>
              <w:rPr>
                <w:rFonts w:hint="default" w:cs="Times New Roman" w:eastAsiaTheme="minorEastAsia"/>
                <w:b/>
                <w:color w:val="FFFFFF" w:themeColor="background1"/>
                <w:sz w:val="21"/>
                <w:szCs w:val="21"/>
                <w14:textFill>
                  <w14:solidFill>
                    <w14:schemeClr w14:val="bg1"/>
                  </w14:solidFill>
                </w14:textFill>
              </w:rPr>
            </w:pPr>
            <w:r>
              <w:rPr>
                <w:rFonts w:hint="default" w:cs="Times New Roman" w:eastAsiaTheme="minorEastAsia"/>
                <w:b/>
                <w:color w:val="FFFFFF" w:themeColor="background1"/>
                <w:sz w:val="21"/>
                <w:szCs w:val="21"/>
                <w14:textFill>
                  <w14:solidFill>
                    <w14:schemeClr w14:val="bg1"/>
                  </w14:solidFill>
                </w14:textFill>
              </w:rPr>
              <w:t>测量方法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环境保护</w:t>
            </w:r>
          </w:p>
        </w:tc>
        <w:tc>
          <w:tcPr>
            <w:tcW w:w="1216"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“三废”</w:t>
            </w:r>
          </w:p>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噪音等</w:t>
            </w:r>
          </w:p>
        </w:tc>
        <w:tc>
          <w:tcPr>
            <w:tcW w:w="1692"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轻度空气污染</w:t>
            </w:r>
          </w:p>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轻度噪声</w:t>
            </w:r>
          </w:p>
        </w:tc>
        <w:tc>
          <w:tcPr>
            <w:tcW w:w="2255" w:type="dxa"/>
            <w:vAlign w:val="center"/>
          </w:tcPr>
          <w:p>
            <w:pPr>
              <w:pStyle w:val="7"/>
              <w:keepNext w:val="0"/>
              <w:keepLines w:val="0"/>
              <w:suppressLineNumbers w:val="0"/>
              <w:spacing w:before="0" w:beforeAutospacing="0" w:after="0" w:afterAutospacing="0" w:line="276" w:lineRule="auto"/>
              <w:ind w:left="0" w:leftChars="0" w:right="0" w:firstLine="0" w:firstLineChars="0"/>
              <w:jc w:val="both"/>
              <w:rPr>
                <w:rFonts w:hint="default" w:ascii="Times New Roman" w:hAnsi="Times New Roman" w:eastAsiaTheme="minorEastAsia"/>
                <w:szCs w:val="21"/>
              </w:rPr>
            </w:pPr>
            <w:r>
              <w:rPr>
                <w:rFonts w:hint="default" w:ascii="Times New Roman" w:hAnsi="Times New Roman" w:eastAsiaTheme="minorEastAsia"/>
                <w:szCs w:val="21"/>
              </w:rPr>
              <w:t>《大气污染物排放标准》《工业企业厂界环境噪声排放标准》</w:t>
            </w:r>
          </w:p>
        </w:tc>
        <w:tc>
          <w:tcPr>
            <w:tcW w:w="2545"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环境保护部门监测（不定期）；公司内部测量(按规定频次)。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能资源利用</w:t>
            </w:r>
          </w:p>
        </w:tc>
        <w:tc>
          <w:tcPr>
            <w:tcW w:w="1216"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电、水、铜、钢等能资源</w:t>
            </w:r>
          </w:p>
        </w:tc>
        <w:tc>
          <w:tcPr>
            <w:tcW w:w="1692"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增加生产成本、消耗能源资源、影响可持续发展</w:t>
            </w:r>
          </w:p>
        </w:tc>
        <w:tc>
          <w:tcPr>
            <w:tcW w:w="2255"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公司按照政府有关部门下达的节能降耗指标，并自主做出要求</w:t>
            </w:r>
          </w:p>
        </w:tc>
        <w:tc>
          <w:tcPr>
            <w:tcW w:w="2545"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统计与分析(每年一次)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安全生产</w:t>
            </w:r>
          </w:p>
        </w:tc>
        <w:tc>
          <w:tcPr>
            <w:tcW w:w="1216"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工伤火灾</w:t>
            </w:r>
          </w:p>
        </w:tc>
        <w:tc>
          <w:tcPr>
            <w:tcW w:w="1692"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人员伤亡</w:t>
            </w:r>
          </w:p>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财产损失</w:t>
            </w:r>
          </w:p>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影响社会稳定</w:t>
            </w:r>
          </w:p>
        </w:tc>
        <w:tc>
          <w:tcPr>
            <w:tcW w:w="2255"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工亡≤0.1‰</w:t>
            </w:r>
          </w:p>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重伤、重大火灾≤1‰</w:t>
            </w:r>
          </w:p>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一般轻伤≤6‰</w:t>
            </w:r>
          </w:p>
        </w:tc>
        <w:tc>
          <w:tcPr>
            <w:tcW w:w="2545"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安全性评价</w:t>
            </w:r>
          </w:p>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定期检查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72" w:type="dxa"/>
            <w:vMerge w:val="restart"/>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产品安全</w:t>
            </w:r>
          </w:p>
        </w:tc>
        <w:tc>
          <w:tcPr>
            <w:tcW w:w="1216"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产品质量</w:t>
            </w:r>
          </w:p>
        </w:tc>
        <w:tc>
          <w:tcPr>
            <w:tcW w:w="1692"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产生触电、着火、财产损失、使用者受到伤害</w:t>
            </w:r>
          </w:p>
        </w:tc>
        <w:tc>
          <w:tcPr>
            <w:tcW w:w="2255" w:type="dxa"/>
            <w:vAlign w:val="center"/>
          </w:tcPr>
          <w:p>
            <w:pPr>
              <w:keepNext w:val="0"/>
              <w:keepLines w:val="0"/>
              <w:suppressLineNumbers w:val="0"/>
              <w:spacing w:before="0" w:beforeAutospacing="0" w:after="0" w:afterAutospacing="0" w:line="276" w:lineRule="auto"/>
              <w:ind w:left="0" w:right="0"/>
              <w:jc w:val="both"/>
              <w:rPr>
                <w:rFonts w:hint="default" w:cs="Times New Roman" w:eastAsiaTheme="minorEastAsia"/>
                <w:sz w:val="21"/>
                <w:szCs w:val="21"/>
              </w:rPr>
            </w:pPr>
            <w:r>
              <w:rPr>
                <w:rFonts w:hint="default" w:cs="Times New Roman" w:eastAsiaTheme="minorEastAsia"/>
                <w:sz w:val="21"/>
                <w:szCs w:val="21"/>
              </w:rPr>
              <w:t>国家标准</w:t>
            </w:r>
          </w:p>
        </w:tc>
        <w:tc>
          <w:tcPr>
            <w:tcW w:w="2545"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公司内部监测：认证产品一致性检查，每季度一次；外部认证机构监测。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vMerge w:val="continue"/>
            <w:vAlign w:val="center"/>
          </w:tcPr>
          <w:p>
            <w:pPr>
              <w:keepNext w:val="0"/>
              <w:keepLines w:val="0"/>
              <w:suppressLineNumbers w:val="0"/>
              <w:spacing w:before="0" w:beforeAutospacing="0" w:after="0" w:afterAutospacing="0" w:line="276" w:lineRule="auto"/>
              <w:ind w:left="0" w:right="0"/>
              <w:jc w:val="center"/>
              <w:rPr>
                <w:rFonts w:hint="default" w:cs="Times New Roman" w:eastAsiaTheme="minorEastAsia"/>
                <w:sz w:val="21"/>
                <w:szCs w:val="21"/>
              </w:rPr>
            </w:pPr>
          </w:p>
        </w:tc>
        <w:tc>
          <w:tcPr>
            <w:tcW w:w="1216"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有害物质</w:t>
            </w:r>
          </w:p>
        </w:tc>
        <w:tc>
          <w:tcPr>
            <w:tcW w:w="1692"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污染环境和影响人类健康</w:t>
            </w:r>
          </w:p>
        </w:tc>
        <w:tc>
          <w:tcPr>
            <w:tcW w:w="2255"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《环境控制管理办法》</w:t>
            </w:r>
          </w:p>
        </w:tc>
        <w:tc>
          <w:tcPr>
            <w:tcW w:w="2545"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公司按照内部制订的有害物质检测频次进行检测。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2"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公共卫生</w:t>
            </w:r>
          </w:p>
        </w:tc>
        <w:tc>
          <w:tcPr>
            <w:tcW w:w="1216"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噪声</w:t>
            </w:r>
          </w:p>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烟雾</w:t>
            </w:r>
          </w:p>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高温</w:t>
            </w:r>
          </w:p>
        </w:tc>
        <w:tc>
          <w:tcPr>
            <w:tcW w:w="1692"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特殊工种和相关职工受到影响</w:t>
            </w:r>
          </w:p>
        </w:tc>
        <w:tc>
          <w:tcPr>
            <w:tcW w:w="2255" w:type="dxa"/>
            <w:vAlign w:val="center"/>
          </w:tcPr>
          <w:p>
            <w:pPr>
              <w:keepNext w:val="0"/>
              <w:keepLines w:val="0"/>
              <w:suppressLineNumbers w:val="0"/>
              <w:autoSpaceDE w:val="0"/>
              <w:autoSpaceDN w:val="0"/>
              <w:adjustRightInd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工业场所有害因素职业接触限值（GBZ2）</w:t>
            </w:r>
          </w:p>
          <w:p>
            <w:pPr>
              <w:keepNext w:val="0"/>
              <w:keepLines w:val="0"/>
              <w:suppressLineNumbers w:val="0"/>
              <w:autoSpaceDE w:val="0"/>
              <w:autoSpaceDN w:val="0"/>
              <w:adjustRightInd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（工业企业设计标准）</w:t>
            </w:r>
          </w:p>
        </w:tc>
        <w:tc>
          <w:tcPr>
            <w:tcW w:w="2545" w:type="dxa"/>
            <w:vAlign w:val="center"/>
          </w:tcPr>
          <w:p>
            <w:pPr>
              <w:keepNext w:val="0"/>
              <w:keepLines w:val="0"/>
              <w:suppressLineNumbers w:val="0"/>
              <w:spacing w:before="0" w:beforeAutospacing="0" w:after="0" w:afterAutospacing="0" w:line="276" w:lineRule="auto"/>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疾病预防控制中心监测；卫生监督所；定期体检。</w:t>
            </w:r>
          </w:p>
        </w:tc>
      </w:tr>
    </w:tbl>
    <w:p>
      <w:pPr>
        <w:ind w:firstLine="480" w:firstLineChars="200"/>
        <w:rPr>
          <w:rFonts w:cs="Times New Roman" w:eastAsiaTheme="minorEastAsia"/>
        </w:rPr>
      </w:pPr>
      <w:r>
        <w:rPr>
          <w:rFonts w:cs="Times New Roman" w:eastAsiaTheme="minorEastAsia"/>
        </w:rPr>
        <w:t>公司通过市场调研、公众调查访谈、组织专业研讨会等方式分析评价，用三同时验收、自我评价、第三方评价等识别未来在环保、节能等方面的隐忧并提前做好准备。</w:t>
      </w:r>
    </w:p>
    <w:p>
      <w:pPr>
        <w:pStyle w:val="6"/>
        <w:rPr>
          <w:rFonts w:ascii="Times New Roman" w:hAnsi="Times New Roman" w:cs="Times New Roman" w:eastAsiaTheme="minorEastAsia"/>
        </w:rPr>
      </w:pPr>
      <w:r>
        <w:rPr>
          <w:rFonts w:hint="eastAsia" w:ascii="Times New Roman" w:hAnsi="Times New Roman" w:cs="Times New Roman" w:eastAsiaTheme="minorEastAsia"/>
          <w:lang w:val="en-US" w:eastAsia="zh-CN"/>
        </w:rPr>
        <w:t>图</w:t>
      </w:r>
      <w:r>
        <w:rPr>
          <w:rFonts w:ascii="Times New Roman" w:hAnsi="Times New Roman" w:cs="Times New Roman" w:eastAsiaTheme="minorEastAsia"/>
        </w:rPr>
        <w:t>表</w:t>
      </w:r>
      <w:r>
        <w:rPr>
          <w:rFonts w:hint="eastAsia" w:ascii="Times New Roman" w:hAnsi="Times New Roman" w:cs="Times New Roman" w:eastAsiaTheme="minorEastAsia"/>
          <w:lang w:val="en-US" w:eastAsia="zh-CN"/>
        </w:rPr>
        <w:t>2-2</w:t>
      </w:r>
      <w:r>
        <w:rPr>
          <w:rFonts w:ascii="Times New Roman" w:hAnsi="Times New Roman" w:cs="Times New Roman" w:eastAsiaTheme="minorEastAsia"/>
        </w:rPr>
        <w:t xml:space="preserve"> 公共责任的预见和应对</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8"/>
        <w:gridCol w:w="2556"/>
        <w:gridCol w:w="5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078" w:type="dxa"/>
            <w:shd w:val="clear" w:color="auto" w:fill="008080"/>
            <w:vAlign w:val="center"/>
          </w:tcPr>
          <w:p>
            <w:pPr>
              <w:keepNext w:val="0"/>
              <w:keepLines w:val="0"/>
              <w:suppressLineNumbers w:val="0"/>
              <w:spacing w:before="0" w:beforeAutospacing="0" w:after="0" w:afterAutospacing="0"/>
              <w:ind w:left="0" w:leftChars="0" w:right="0" w:firstLine="210" w:firstLineChars="100"/>
              <w:jc w:val="both"/>
              <w:rPr>
                <w:rFonts w:hint="default" w:cs="Times New Roman" w:eastAsiaTheme="minorEastAsia"/>
                <w:b/>
                <w:color w:val="FFFFFF" w:themeColor="background1"/>
                <w:sz w:val="21"/>
                <w:szCs w:val="21"/>
                <w14:textFill>
                  <w14:solidFill>
                    <w14:schemeClr w14:val="bg1"/>
                  </w14:solidFill>
                </w14:textFill>
              </w:rPr>
            </w:pPr>
            <w:r>
              <w:rPr>
                <w:rFonts w:hint="default" w:cs="Times New Roman" w:eastAsiaTheme="minorEastAsia"/>
                <w:b/>
                <w:color w:val="FFFFFF" w:themeColor="background1"/>
                <w:sz w:val="21"/>
                <w:szCs w:val="21"/>
                <w14:textFill>
                  <w14:solidFill>
                    <w14:schemeClr w14:val="bg1"/>
                  </w14:solidFill>
                </w14:textFill>
              </w:rPr>
              <w:t>方面</w:t>
            </w:r>
          </w:p>
        </w:tc>
        <w:tc>
          <w:tcPr>
            <w:tcW w:w="2556" w:type="dxa"/>
            <w:shd w:val="clear" w:color="auto" w:fill="008080"/>
            <w:vAlign w:val="center"/>
          </w:tcPr>
          <w:p>
            <w:pPr>
              <w:keepNext w:val="0"/>
              <w:keepLines w:val="0"/>
              <w:suppressLineNumbers w:val="0"/>
              <w:spacing w:before="0" w:beforeAutospacing="0" w:after="0" w:afterAutospacing="0"/>
              <w:ind w:left="0" w:right="0" w:firstLine="630" w:firstLineChars="300"/>
              <w:jc w:val="both"/>
              <w:rPr>
                <w:rFonts w:hint="default" w:cs="Times New Roman" w:eastAsiaTheme="minorEastAsia"/>
                <w:b/>
                <w:color w:val="FFFFFF" w:themeColor="background1"/>
                <w:sz w:val="21"/>
                <w:szCs w:val="21"/>
                <w14:textFill>
                  <w14:solidFill>
                    <w14:schemeClr w14:val="bg1"/>
                  </w14:solidFill>
                </w14:textFill>
              </w:rPr>
            </w:pPr>
            <w:r>
              <w:rPr>
                <w:rFonts w:hint="default" w:cs="Times New Roman" w:eastAsiaTheme="minorEastAsia"/>
                <w:b/>
                <w:color w:val="FFFFFF" w:themeColor="background1"/>
                <w:sz w:val="21"/>
                <w:szCs w:val="21"/>
                <w14:textFill>
                  <w14:solidFill>
                    <w14:schemeClr w14:val="bg1"/>
                  </w14:solidFill>
                </w14:textFill>
              </w:rPr>
              <w:t>预见隐忧</w:t>
            </w:r>
          </w:p>
        </w:tc>
        <w:tc>
          <w:tcPr>
            <w:tcW w:w="5203" w:type="dxa"/>
            <w:shd w:val="clear" w:color="auto" w:fill="008080"/>
            <w:vAlign w:val="center"/>
          </w:tcPr>
          <w:p>
            <w:pPr>
              <w:keepNext w:val="0"/>
              <w:keepLines w:val="0"/>
              <w:suppressLineNumbers w:val="0"/>
              <w:spacing w:before="0" w:beforeAutospacing="0" w:after="0" w:afterAutospacing="0"/>
              <w:ind w:left="0" w:right="0"/>
              <w:jc w:val="center"/>
              <w:rPr>
                <w:rFonts w:hint="default" w:cs="Times New Roman" w:eastAsiaTheme="minorEastAsia"/>
                <w:b/>
                <w:color w:val="FFFFFF" w:themeColor="background1"/>
                <w:sz w:val="21"/>
                <w:szCs w:val="21"/>
                <w14:textFill>
                  <w14:solidFill>
                    <w14:schemeClr w14:val="bg1"/>
                  </w14:solidFill>
                </w14:textFill>
              </w:rPr>
            </w:pPr>
            <w:r>
              <w:rPr>
                <w:rFonts w:hint="default" w:cs="Times New Roman" w:eastAsiaTheme="minorEastAsia"/>
                <w:b/>
                <w:color w:val="FFFFFF" w:themeColor="background1"/>
                <w:sz w:val="21"/>
                <w:szCs w:val="21"/>
                <w14:textFill>
                  <w14:solidFill>
                    <w14:schemeClr w14:val="bg1"/>
                  </w14:solidFill>
                </w14:textFill>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8" w:type="dxa"/>
            <w:vAlign w:val="center"/>
          </w:tcPr>
          <w:p>
            <w:pPr>
              <w:keepNext w:val="0"/>
              <w:keepLines w:val="0"/>
              <w:suppressLineNumbers w:val="0"/>
              <w:spacing w:before="0" w:beforeAutospacing="0" w:after="0" w:afterAutospacing="0"/>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公共安全</w:t>
            </w:r>
          </w:p>
        </w:tc>
        <w:tc>
          <w:tcPr>
            <w:tcW w:w="2556" w:type="dxa"/>
            <w:vAlign w:val="center"/>
          </w:tcPr>
          <w:p>
            <w:pPr>
              <w:keepNext w:val="0"/>
              <w:keepLines w:val="0"/>
              <w:suppressLineNumbers w:val="0"/>
              <w:spacing w:before="0" w:beforeAutospacing="0" w:after="0" w:afterAutospacing="0"/>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公众对产品质量寿命、耐火、阻燃、环保、耐寒、防水、低烟无卤等引起公共安全事故的忧虑。</w:t>
            </w:r>
          </w:p>
        </w:tc>
        <w:tc>
          <w:tcPr>
            <w:tcW w:w="5203" w:type="dxa"/>
            <w:vAlign w:val="center"/>
          </w:tcPr>
          <w:p>
            <w:pPr>
              <w:keepNext w:val="0"/>
              <w:keepLines w:val="0"/>
              <w:suppressLineNumbers w:val="0"/>
              <w:spacing w:before="0" w:beforeAutospacing="0" w:after="0" w:afterAutospacing="0"/>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坚持做国标产品，内部建立严格质量保证体系，实施产品安全认证，推进防火电缆的生产，消除公共安全隐忧。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078" w:type="dxa"/>
            <w:vAlign w:val="center"/>
          </w:tcPr>
          <w:p>
            <w:pPr>
              <w:keepNext w:val="0"/>
              <w:keepLines w:val="0"/>
              <w:suppressLineNumbers w:val="0"/>
              <w:spacing w:before="0" w:beforeAutospacing="0" w:after="0" w:afterAutospacing="0"/>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资源浪费</w:t>
            </w:r>
          </w:p>
          <w:p>
            <w:pPr>
              <w:keepNext w:val="0"/>
              <w:keepLines w:val="0"/>
              <w:suppressLineNumbers w:val="0"/>
              <w:spacing w:before="0" w:beforeAutospacing="0" w:after="0" w:afterAutospacing="0"/>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环境保护</w:t>
            </w:r>
          </w:p>
        </w:tc>
        <w:tc>
          <w:tcPr>
            <w:tcW w:w="2556" w:type="dxa"/>
            <w:vAlign w:val="center"/>
          </w:tcPr>
          <w:p>
            <w:pPr>
              <w:keepNext w:val="0"/>
              <w:keepLines w:val="0"/>
              <w:suppressLineNumbers w:val="0"/>
              <w:spacing w:before="0" w:beforeAutospacing="0" w:after="0" w:afterAutospacing="0"/>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水污染、大气污染、能源浪费等</w:t>
            </w:r>
          </w:p>
        </w:tc>
        <w:tc>
          <w:tcPr>
            <w:tcW w:w="5203" w:type="dxa"/>
            <w:vAlign w:val="center"/>
          </w:tcPr>
          <w:p>
            <w:pPr>
              <w:keepNext w:val="0"/>
              <w:keepLines w:val="0"/>
              <w:suppressLineNumbers w:val="0"/>
              <w:spacing w:before="0" w:beforeAutospacing="0" w:after="0" w:afterAutospacing="0"/>
              <w:ind w:left="0" w:leftChars="0" w:right="0" w:firstLine="0" w:firstLineChars="0"/>
              <w:jc w:val="both"/>
              <w:rPr>
                <w:rFonts w:hint="default" w:cs="Times New Roman" w:eastAsiaTheme="minorEastAsia"/>
                <w:sz w:val="21"/>
                <w:szCs w:val="21"/>
              </w:rPr>
            </w:pPr>
            <w:r>
              <w:rPr>
                <w:rFonts w:hint="default" w:cs="Times New Roman" w:eastAsiaTheme="minorEastAsia"/>
                <w:sz w:val="21"/>
                <w:szCs w:val="21"/>
              </w:rPr>
              <w:t>内部积极推进节能降耗及清洁生产活动，设定各种能耗等指标，保持万元产值能耗年节约率10%左右；加大工程建设项目中环保投入力度，100%实施水循环利用，持续推行清洁生产，确保能耗水平逐年下降，实现节能降耗、减污增效，消除公众的隐忧。</w:t>
            </w:r>
          </w:p>
        </w:tc>
      </w:tr>
    </w:tbl>
    <w:p>
      <w:pPr>
        <w:ind w:firstLine="480" w:firstLineChars="200"/>
        <w:rPr>
          <w:rFonts w:cs="Times New Roman" w:eastAsiaTheme="minorEastAsia"/>
        </w:rPr>
      </w:pPr>
      <w:r>
        <w:rPr>
          <w:rFonts w:cs="Times New Roman" w:eastAsiaTheme="minorEastAsia"/>
        </w:rPr>
        <w:t>为满足法律法规要求和达到更高水平，公司在质量安全、环境保护、节能降耗、资源综合利用、公共卫生等方面确立了绩效指标要求，并在关键过程采取有力措施。</w:t>
      </w:r>
    </w:p>
    <w:p>
      <w:pPr>
        <w:pStyle w:val="6"/>
        <w:rPr>
          <w:rFonts w:ascii="Times New Roman" w:hAnsi="Times New Roman" w:cs="Times New Roman" w:eastAsiaTheme="minorEastAsia"/>
        </w:rPr>
      </w:pPr>
      <w:r>
        <w:rPr>
          <w:rFonts w:hint="eastAsia" w:ascii="Times New Roman" w:hAnsi="Times New Roman" w:cs="Times New Roman" w:eastAsiaTheme="minorEastAsia"/>
          <w:lang w:val="en-US" w:eastAsia="zh-CN"/>
        </w:rPr>
        <w:t>图</w:t>
      </w:r>
      <w:r>
        <w:rPr>
          <w:rFonts w:ascii="Times New Roman" w:hAnsi="Times New Roman" w:cs="Times New Roman" w:eastAsiaTheme="minorEastAsia"/>
        </w:rPr>
        <w:t>表</w:t>
      </w:r>
      <w:r>
        <w:rPr>
          <w:rFonts w:hint="eastAsia" w:ascii="Times New Roman" w:hAnsi="Times New Roman" w:cs="Times New Roman" w:eastAsiaTheme="minorEastAsia"/>
          <w:lang w:val="en-US" w:eastAsia="zh-CN"/>
        </w:rPr>
        <w:t>2-3</w:t>
      </w:r>
      <w:r>
        <w:rPr>
          <w:rFonts w:ascii="Times New Roman" w:hAnsi="Times New Roman" w:cs="Times New Roman" w:eastAsiaTheme="minorEastAsia"/>
        </w:rPr>
        <w:t xml:space="preserve"> 公共责任控制过程与指标</w:t>
      </w:r>
    </w:p>
    <w:tbl>
      <w:tblPr>
        <w:tblStyle w:val="1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1140"/>
        <w:gridCol w:w="1090"/>
        <w:gridCol w:w="1838"/>
        <w:gridCol w:w="1282"/>
        <w:gridCol w:w="1172"/>
        <w:gridCol w:w="2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546" w:type="pct"/>
            <w:shd w:val="clear" w:color="auto" w:fill="008080"/>
            <w:vAlign w:val="center"/>
          </w:tcPr>
          <w:p>
            <w:pPr>
              <w:ind w:left="0" w:leftChars="0" w:firstLine="0" w:firstLineChars="0"/>
              <w:jc w:val="both"/>
              <w:rPr>
                <w:rFonts w:cs="Times New Roman" w:eastAsiaTheme="minorEastAsia"/>
                <w:b/>
                <w:color w:val="FFFFFF" w:themeColor="background1"/>
                <w:sz w:val="21"/>
                <w:szCs w:val="21"/>
                <w14:textFill>
                  <w14:solidFill>
                    <w14:schemeClr w14:val="bg1"/>
                  </w14:solidFill>
                </w14:textFill>
              </w:rPr>
            </w:pPr>
            <w:r>
              <w:rPr>
                <w:rFonts w:cs="Times New Roman" w:eastAsiaTheme="minorEastAsia"/>
                <w:b/>
                <w:color w:val="FFFFFF" w:themeColor="background1"/>
                <w:sz w:val="21"/>
                <w:szCs w:val="21"/>
                <w14:textFill>
                  <w14:solidFill>
                    <w14:schemeClr w14:val="bg1"/>
                  </w14:solidFill>
                </w14:textFill>
              </w:rPr>
              <w:t>方面</w:t>
            </w:r>
          </w:p>
        </w:tc>
        <w:tc>
          <w:tcPr>
            <w:tcW w:w="572" w:type="pct"/>
            <w:shd w:val="clear" w:color="auto" w:fill="008080"/>
            <w:vAlign w:val="center"/>
          </w:tcPr>
          <w:p>
            <w:pPr>
              <w:ind w:left="1" w:leftChars="-10" w:hanging="25" w:hangingChars="12"/>
              <w:jc w:val="center"/>
              <w:rPr>
                <w:rFonts w:cs="Times New Roman" w:eastAsiaTheme="minorEastAsia"/>
                <w:b/>
                <w:color w:val="FFFFFF" w:themeColor="background1"/>
                <w:sz w:val="21"/>
                <w:szCs w:val="21"/>
                <w14:textFill>
                  <w14:solidFill>
                    <w14:schemeClr w14:val="bg1"/>
                  </w14:solidFill>
                </w14:textFill>
              </w:rPr>
            </w:pPr>
            <w:r>
              <w:rPr>
                <w:rFonts w:cs="Times New Roman" w:eastAsiaTheme="minorEastAsia"/>
                <w:b/>
                <w:color w:val="FFFFFF" w:themeColor="background1"/>
                <w:sz w:val="21"/>
                <w:szCs w:val="21"/>
                <w14:textFill>
                  <w14:solidFill>
                    <w14:schemeClr w14:val="bg1"/>
                  </w14:solidFill>
                </w14:textFill>
              </w:rPr>
              <w:t>控制项目</w:t>
            </w:r>
          </w:p>
        </w:tc>
        <w:tc>
          <w:tcPr>
            <w:tcW w:w="547" w:type="pct"/>
            <w:shd w:val="clear" w:color="auto" w:fill="008080"/>
            <w:vAlign w:val="center"/>
          </w:tcPr>
          <w:p>
            <w:pPr>
              <w:ind w:left="0" w:leftChars="0" w:firstLine="0" w:firstLineChars="0"/>
              <w:jc w:val="both"/>
              <w:rPr>
                <w:rFonts w:cs="Times New Roman" w:eastAsiaTheme="minorEastAsia"/>
                <w:b/>
                <w:color w:val="FFFFFF" w:themeColor="background1"/>
                <w:sz w:val="21"/>
                <w:szCs w:val="21"/>
                <w14:textFill>
                  <w14:solidFill>
                    <w14:schemeClr w14:val="bg1"/>
                  </w14:solidFill>
                </w14:textFill>
              </w:rPr>
            </w:pPr>
            <w:r>
              <w:rPr>
                <w:rFonts w:cs="Times New Roman" w:eastAsiaTheme="minorEastAsia"/>
                <w:b/>
                <w:color w:val="FFFFFF" w:themeColor="background1"/>
                <w:sz w:val="21"/>
                <w:szCs w:val="21"/>
                <w14:textFill>
                  <w14:solidFill>
                    <w14:schemeClr w14:val="bg1"/>
                  </w14:solidFill>
                </w14:textFill>
              </w:rPr>
              <w:t>风险因素</w:t>
            </w:r>
          </w:p>
        </w:tc>
        <w:tc>
          <w:tcPr>
            <w:tcW w:w="922" w:type="pct"/>
            <w:shd w:val="clear" w:color="auto" w:fill="008080"/>
            <w:vAlign w:val="center"/>
          </w:tcPr>
          <w:p>
            <w:pPr>
              <w:jc w:val="both"/>
              <w:rPr>
                <w:rFonts w:cs="Times New Roman" w:eastAsiaTheme="minorEastAsia"/>
                <w:b/>
                <w:color w:val="FFFFFF" w:themeColor="background1"/>
                <w:sz w:val="21"/>
                <w:szCs w:val="21"/>
                <w14:textFill>
                  <w14:solidFill>
                    <w14:schemeClr w14:val="bg1"/>
                  </w14:solidFill>
                </w14:textFill>
              </w:rPr>
            </w:pPr>
            <w:r>
              <w:rPr>
                <w:rFonts w:cs="Times New Roman" w:eastAsiaTheme="minorEastAsia"/>
                <w:b/>
                <w:color w:val="FFFFFF" w:themeColor="background1"/>
                <w:sz w:val="21"/>
                <w:szCs w:val="21"/>
                <w14:textFill>
                  <w14:solidFill>
                    <w14:schemeClr w14:val="bg1"/>
                  </w14:solidFill>
                </w14:textFill>
              </w:rPr>
              <w:t>相关标准</w:t>
            </w:r>
          </w:p>
        </w:tc>
        <w:tc>
          <w:tcPr>
            <w:tcW w:w="643" w:type="pct"/>
            <w:shd w:val="clear" w:color="auto" w:fill="008080"/>
            <w:vAlign w:val="center"/>
          </w:tcPr>
          <w:p>
            <w:pPr>
              <w:ind w:left="0" w:leftChars="0" w:firstLine="0" w:firstLineChars="0"/>
              <w:jc w:val="both"/>
              <w:rPr>
                <w:rFonts w:cs="Times New Roman" w:eastAsiaTheme="minorEastAsia"/>
                <w:b/>
                <w:color w:val="FFFFFF" w:themeColor="background1"/>
                <w:sz w:val="21"/>
                <w:szCs w:val="21"/>
                <w14:textFill>
                  <w14:solidFill>
                    <w14:schemeClr w14:val="bg1"/>
                  </w14:solidFill>
                </w14:textFill>
              </w:rPr>
            </w:pPr>
            <w:r>
              <w:rPr>
                <w:rFonts w:cs="Times New Roman" w:eastAsiaTheme="minorEastAsia"/>
                <w:b/>
                <w:color w:val="FFFFFF" w:themeColor="background1"/>
                <w:sz w:val="21"/>
                <w:szCs w:val="21"/>
                <w14:textFill>
                  <w14:solidFill>
                    <w14:schemeClr w14:val="bg1"/>
                  </w14:solidFill>
                </w14:textFill>
              </w:rPr>
              <w:t>控制指标</w:t>
            </w:r>
          </w:p>
        </w:tc>
        <w:tc>
          <w:tcPr>
            <w:tcW w:w="588" w:type="pct"/>
            <w:shd w:val="clear" w:color="auto" w:fill="008080"/>
            <w:vAlign w:val="center"/>
          </w:tcPr>
          <w:p>
            <w:pPr>
              <w:ind w:left="0" w:leftChars="0" w:firstLine="0" w:firstLineChars="0"/>
              <w:jc w:val="both"/>
              <w:rPr>
                <w:rFonts w:cs="Times New Roman" w:eastAsiaTheme="minorEastAsia"/>
                <w:b/>
                <w:color w:val="FFFFFF" w:themeColor="background1"/>
                <w:sz w:val="21"/>
                <w:szCs w:val="21"/>
                <w14:textFill>
                  <w14:solidFill>
                    <w14:schemeClr w14:val="bg1"/>
                  </w14:solidFill>
                </w14:textFill>
              </w:rPr>
            </w:pPr>
            <w:r>
              <w:rPr>
                <w:rFonts w:cs="Times New Roman" w:eastAsiaTheme="minorEastAsia"/>
                <w:b/>
                <w:color w:val="FFFFFF" w:themeColor="background1"/>
                <w:sz w:val="21"/>
                <w:szCs w:val="21"/>
                <w14:textFill>
                  <w14:solidFill>
                    <w14:schemeClr w14:val="bg1"/>
                  </w14:solidFill>
                </w14:textFill>
              </w:rPr>
              <w:t>测量方法</w:t>
            </w:r>
          </w:p>
        </w:tc>
        <w:tc>
          <w:tcPr>
            <w:tcW w:w="1180" w:type="pct"/>
            <w:shd w:val="clear" w:color="auto" w:fill="008080"/>
            <w:vAlign w:val="center"/>
          </w:tcPr>
          <w:p>
            <w:pPr>
              <w:jc w:val="both"/>
              <w:rPr>
                <w:rFonts w:cs="Times New Roman" w:eastAsiaTheme="minorEastAsia"/>
                <w:b/>
                <w:color w:val="FFFFFF" w:themeColor="background1"/>
                <w:sz w:val="21"/>
                <w:szCs w:val="21"/>
                <w14:textFill>
                  <w14:solidFill>
                    <w14:schemeClr w14:val="bg1"/>
                  </w14:solidFill>
                </w14:textFill>
              </w:rPr>
            </w:pPr>
            <w:r>
              <w:rPr>
                <w:rFonts w:cs="Times New Roman" w:eastAsiaTheme="minorEastAsia"/>
                <w:b/>
                <w:color w:val="FFFFFF" w:themeColor="background1"/>
                <w:sz w:val="21"/>
                <w:szCs w:val="21"/>
                <w14:textFill>
                  <w14:solidFill>
                    <w14:schemeClr w14:val="bg1"/>
                  </w14:solidFill>
                </w14:textFill>
              </w:rPr>
              <w:t>控制方法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46" w:type="pct"/>
            <w:shd w:val="clear" w:color="auto" w:fill="FFFFFF"/>
            <w:vAlign w:val="center"/>
          </w:tcPr>
          <w:p>
            <w:pPr>
              <w:ind w:left="0" w:leftChars="0" w:firstLine="0" w:firstLineChars="0"/>
              <w:rPr>
                <w:rFonts w:cs="Times New Roman" w:eastAsiaTheme="minorEastAsia"/>
                <w:sz w:val="21"/>
                <w:szCs w:val="21"/>
              </w:rPr>
            </w:pPr>
            <w:r>
              <w:rPr>
                <w:rFonts w:cs="Times New Roman" w:eastAsiaTheme="minorEastAsia"/>
                <w:sz w:val="21"/>
                <w:szCs w:val="21"/>
              </w:rPr>
              <w:t>产品安全</w:t>
            </w:r>
          </w:p>
        </w:tc>
        <w:tc>
          <w:tcPr>
            <w:tcW w:w="572" w:type="pct"/>
            <w:shd w:val="clear" w:color="auto" w:fill="FFFFFF"/>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质量寿命</w:t>
            </w:r>
          </w:p>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耐火阻燃</w:t>
            </w:r>
          </w:p>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环保、低烟无卤等</w:t>
            </w:r>
          </w:p>
        </w:tc>
        <w:tc>
          <w:tcPr>
            <w:tcW w:w="547" w:type="pct"/>
            <w:shd w:val="clear" w:color="auto" w:fill="FFFFFF"/>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对人身、设备造成安全隐患</w:t>
            </w:r>
          </w:p>
        </w:tc>
        <w:tc>
          <w:tcPr>
            <w:tcW w:w="922" w:type="pct"/>
            <w:shd w:val="clear" w:color="auto" w:fill="FFFFFF"/>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w:t>
            </w:r>
            <w:r>
              <w:rPr>
                <w:rFonts w:hint="eastAsia" w:cs="Times New Roman" w:eastAsiaTheme="minorEastAsia"/>
                <w:sz w:val="21"/>
                <w:szCs w:val="21"/>
              </w:rPr>
              <w:t>电线电缆用无卤低烟阻燃电缆料</w:t>
            </w:r>
            <w:r>
              <w:rPr>
                <w:rFonts w:cs="Times New Roman" w:eastAsiaTheme="minorEastAsia"/>
                <w:sz w:val="21"/>
                <w:szCs w:val="21"/>
              </w:rPr>
              <w:t>》GB/T</w:t>
            </w:r>
            <w:r>
              <w:rPr>
                <w:rFonts w:hint="eastAsia" w:cs="Times New Roman" w:eastAsiaTheme="minorEastAsia"/>
                <w:sz w:val="21"/>
                <w:szCs w:val="21"/>
                <w:lang w:val="en-US" w:eastAsia="zh-CN"/>
              </w:rPr>
              <w:t>32129</w:t>
            </w:r>
            <w:r>
              <w:rPr>
                <w:rFonts w:cs="Times New Roman" w:eastAsiaTheme="minorEastAsia"/>
                <w:sz w:val="21"/>
                <w:szCs w:val="21"/>
              </w:rPr>
              <w:t>-20</w:t>
            </w:r>
            <w:r>
              <w:rPr>
                <w:rFonts w:hint="eastAsia" w:cs="Times New Roman" w:eastAsiaTheme="minorEastAsia"/>
                <w:sz w:val="21"/>
                <w:szCs w:val="21"/>
                <w:lang w:val="en-US" w:eastAsia="zh-CN"/>
              </w:rPr>
              <w:t>1</w:t>
            </w:r>
            <w:bookmarkStart w:id="14" w:name="_GoBack"/>
            <w:bookmarkEnd w:id="14"/>
            <w:r>
              <w:rPr>
                <w:rFonts w:cs="Times New Roman" w:eastAsiaTheme="minorEastAsia"/>
                <w:sz w:val="21"/>
                <w:szCs w:val="21"/>
              </w:rPr>
              <w:t>5</w:t>
            </w:r>
          </w:p>
        </w:tc>
        <w:tc>
          <w:tcPr>
            <w:tcW w:w="643" w:type="pct"/>
            <w:shd w:val="clear" w:color="auto" w:fill="FFFFFF"/>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产品质量导致的人身伤害=0</w:t>
            </w:r>
          </w:p>
        </w:tc>
        <w:tc>
          <w:tcPr>
            <w:tcW w:w="588" w:type="pct"/>
            <w:shd w:val="clear" w:color="auto" w:fill="FFFFFF"/>
            <w:vAlign w:val="center"/>
          </w:tcPr>
          <w:p>
            <w:pPr>
              <w:ind w:left="0" w:leftChars="0" w:firstLine="0" w:firstLineChars="0"/>
              <w:rPr>
                <w:rFonts w:cs="Times New Roman" w:eastAsiaTheme="minorEastAsia"/>
                <w:sz w:val="21"/>
                <w:szCs w:val="21"/>
              </w:rPr>
            </w:pPr>
            <w:r>
              <w:rPr>
                <w:rFonts w:cs="Times New Roman" w:eastAsiaTheme="minorEastAsia"/>
                <w:sz w:val="21"/>
                <w:szCs w:val="21"/>
              </w:rPr>
              <w:t>市场监测</w:t>
            </w:r>
          </w:p>
        </w:tc>
        <w:tc>
          <w:tcPr>
            <w:tcW w:w="1180" w:type="pct"/>
            <w:shd w:val="clear" w:color="auto" w:fill="FFFFFF"/>
            <w:vAlign w:val="center"/>
          </w:tcPr>
          <w:p>
            <w:pPr>
              <w:ind w:left="0" w:leftChars="0" w:firstLine="0" w:firstLineChars="0"/>
              <w:rPr>
                <w:rFonts w:cs="Times New Roman" w:eastAsiaTheme="minorEastAsia"/>
                <w:sz w:val="21"/>
                <w:szCs w:val="21"/>
              </w:rPr>
            </w:pPr>
            <w:r>
              <w:rPr>
                <w:rFonts w:cs="Times New Roman" w:eastAsiaTheme="minorEastAsia"/>
                <w:sz w:val="21"/>
                <w:szCs w:val="21"/>
              </w:rPr>
              <w:t>加强过程控制，操作工自检互检；实行100%例行出厂检验。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2" w:hRule="atLeast"/>
        </w:trPr>
        <w:tc>
          <w:tcPr>
            <w:tcW w:w="546" w:type="pct"/>
            <w:vMerge w:val="restart"/>
            <w:vAlign w:val="center"/>
          </w:tcPr>
          <w:p>
            <w:pPr>
              <w:ind w:left="0" w:leftChars="0" w:firstLine="0" w:firstLineChars="0"/>
              <w:rPr>
                <w:rFonts w:cs="Times New Roman" w:eastAsiaTheme="minorEastAsia"/>
                <w:sz w:val="21"/>
                <w:szCs w:val="21"/>
              </w:rPr>
            </w:pPr>
            <w:r>
              <w:rPr>
                <w:rFonts w:cs="Times New Roman" w:eastAsiaTheme="minorEastAsia"/>
                <w:sz w:val="21"/>
                <w:szCs w:val="21"/>
              </w:rPr>
              <w:t>环境保护</w:t>
            </w:r>
          </w:p>
        </w:tc>
        <w:tc>
          <w:tcPr>
            <w:tcW w:w="572"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废水</w:t>
            </w:r>
          </w:p>
        </w:tc>
        <w:tc>
          <w:tcPr>
            <w:tcW w:w="547"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污染水体</w:t>
            </w:r>
          </w:p>
        </w:tc>
        <w:tc>
          <w:tcPr>
            <w:tcW w:w="922"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《环境保护法》、《水污染防治法》、《污水综合排放标准》一级标准</w:t>
            </w:r>
          </w:p>
        </w:tc>
        <w:tc>
          <w:tcPr>
            <w:tcW w:w="643"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废水排放达标率=100%</w:t>
            </w:r>
          </w:p>
        </w:tc>
        <w:tc>
          <w:tcPr>
            <w:tcW w:w="588"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市环境监测部门监测</w:t>
            </w:r>
          </w:p>
        </w:tc>
        <w:tc>
          <w:tcPr>
            <w:tcW w:w="1180"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工业废水隔油沉淀处理；优于国家/地方相应的标准后纳管；生活废水经处理后纳管。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546" w:type="pct"/>
            <w:vMerge w:val="continue"/>
            <w:vAlign w:val="center"/>
          </w:tcPr>
          <w:p>
            <w:pPr>
              <w:rPr>
                <w:rFonts w:cs="Times New Roman" w:eastAsiaTheme="minorEastAsia"/>
                <w:sz w:val="21"/>
                <w:szCs w:val="21"/>
              </w:rPr>
            </w:pPr>
          </w:p>
        </w:tc>
        <w:tc>
          <w:tcPr>
            <w:tcW w:w="572"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烟尘</w:t>
            </w:r>
          </w:p>
          <w:p>
            <w:pPr>
              <w:ind w:left="0" w:leftChars="0" w:firstLine="0" w:firstLineChars="0"/>
              <w:rPr>
                <w:rFonts w:cs="Times New Roman" w:eastAsiaTheme="minorEastAsia"/>
                <w:sz w:val="21"/>
                <w:szCs w:val="21"/>
              </w:rPr>
            </w:pPr>
            <w:r>
              <w:rPr>
                <w:rFonts w:cs="Times New Roman" w:eastAsiaTheme="minorEastAsia"/>
                <w:sz w:val="21"/>
                <w:szCs w:val="21"/>
              </w:rPr>
              <w:t>二氧化硫</w:t>
            </w:r>
          </w:p>
        </w:tc>
        <w:tc>
          <w:tcPr>
            <w:tcW w:w="547"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空气污染，危害人体；形成酸雨，破坏生态；污染大气/水体/土壤</w:t>
            </w:r>
          </w:p>
        </w:tc>
        <w:tc>
          <w:tcPr>
            <w:tcW w:w="922"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《大气污染防治法》、《大气污染物综合排放标准》二级标准，《锅炉大气污染物排放标准》等</w:t>
            </w:r>
          </w:p>
        </w:tc>
        <w:tc>
          <w:tcPr>
            <w:tcW w:w="643"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废气排放达标率=100%</w:t>
            </w:r>
          </w:p>
        </w:tc>
        <w:tc>
          <w:tcPr>
            <w:tcW w:w="588"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市环境监测部门监测</w:t>
            </w:r>
          </w:p>
        </w:tc>
        <w:tc>
          <w:tcPr>
            <w:tcW w:w="1180"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锅炉废气碱水喷淋；水膜除尘处理。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0" w:hRule="atLeast"/>
        </w:trPr>
        <w:tc>
          <w:tcPr>
            <w:tcW w:w="546" w:type="pct"/>
            <w:vMerge w:val="continue"/>
            <w:vAlign w:val="center"/>
          </w:tcPr>
          <w:p>
            <w:pPr>
              <w:rPr>
                <w:rFonts w:cs="Times New Roman" w:eastAsiaTheme="minorEastAsia"/>
                <w:sz w:val="21"/>
                <w:szCs w:val="21"/>
              </w:rPr>
            </w:pPr>
          </w:p>
        </w:tc>
        <w:tc>
          <w:tcPr>
            <w:tcW w:w="572"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固体废弃物</w:t>
            </w:r>
          </w:p>
        </w:tc>
        <w:tc>
          <w:tcPr>
            <w:tcW w:w="547"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污染大气/水体/土壤</w:t>
            </w:r>
          </w:p>
        </w:tc>
        <w:tc>
          <w:tcPr>
            <w:tcW w:w="922"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《固体废物污染环境防治法》</w:t>
            </w:r>
          </w:p>
        </w:tc>
        <w:tc>
          <w:tcPr>
            <w:tcW w:w="643"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危险废弃物处理率=100%</w:t>
            </w:r>
          </w:p>
        </w:tc>
        <w:tc>
          <w:tcPr>
            <w:tcW w:w="588"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公司内部监测</w:t>
            </w:r>
          </w:p>
        </w:tc>
        <w:tc>
          <w:tcPr>
            <w:tcW w:w="1180"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垃圾分类、定置存放、定点处置；废渣综合利用；危险废弃物送有资质的单位处理。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99" w:hRule="atLeast"/>
        </w:trPr>
        <w:tc>
          <w:tcPr>
            <w:tcW w:w="546" w:type="pct"/>
            <w:vMerge w:val="continue"/>
            <w:vAlign w:val="center"/>
          </w:tcPr>
          <w:p>
            <w:pPr>
              <w:rPr>
                <w:rFonts w:cs="Times New Roman" w:eastAsiaTheme="minorEastAsia"/>
                <w:sz w:val="21"/>
                <w:szCs w:val="21"/>
              </w:rPr>
            </w:pPr>
          </w:p>
        </w:tc>
        <w:tc>
          <w:tcPr>
            <w:tcW w:w="572"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噪声</w:t>
            </w:r>
          </w:p>
        </w:tc>
        <w:tc>
          <w:tcPr>
            <w:tcW w:w="547"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干扰社区居民生活</w:t>
            </w:r>
          </w:p>
        </w:tc>
        <w:tc>
          <w:tcPr>
            <w:tcW w:w="922"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《环境噪声污染防治法》、《工业企业厂界噪声标准》</w:t>
            </w:r>
          </w:p>
        </w:tc>
        <w:tc>
          <w:tcPr>
            <w:tcW w:w="643"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噪声：</w:t>
            </w:r>
          </w:p>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昼间≤60dB夜间≤50dB</w:t>
            </w:r>
          </w:p>
        </w:tc>
        <w:tc>
          <w:tcPr>
            <w:tcW w:w="588"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市环境监测部门监测</w:t>
            </w:r>
          </w:p>
        </w:tc>
        <w:tc>
          <w:tcPr>
            <w:tcW w:w="1180"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噪声源治理；对建设项目进行环境影响评价，实施 “三同时”。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6" w:hRule="atLeast"/>
        </w:trPr>
        <w:tc>
          <w:tcPr>
            <w:tcW w:w="546"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节能与资源综合利用</w:t>
            </w:r>
          </w:p>
        </w:tc>
        <w:tc>
          <w:tcPr>
            <w:tcW w:w="572"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水、电、煤、柴油、汽油、铜、铝、塑料、橡胶等</w:t>
            </w:r>
          </w:p>
        </w:tc>
        <w:tc>
          <w:tcPr>
            <w:tcW w:w="547"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增加生产成本；浪费能源资源；影响持续发展</w:t>
            </w:r>
          </w:p>
        </w:tc>
        <w:tc>
          <w:tcPr>
            <w:tcW w:w="922"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《节约能源法》、《循环经济促进法》</w:t>
            </w:r>
          </w:p>
        </w:tc>
        <w:tc>
          <w:tcPr>
            <w:tcW w:w="643"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万元产值能耗能耗≤0.015吨标煤/万元</w:t>
            </w:r>
          </w:p>
        </w:tc>
        <w:tc>
          <w:tcPr>
            <w:tcW w:w="588"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内部监测</w:t>
            </w:r>
          </w:p>
          <w:p>
            <w:pPr>
              <w:ind w:left="0" w:leftChars="0" w:firstLine="0" w:firstLineChars="0"/>
              <w:rPr>
                <w:rFonts w:cs="Times New Roman" w:eastAsiaTheme="minorEastAsia"/>
                <w:sz w:val="21"/>
                <w:szCs w:val="21"/>
              </w:rPr>
            </w:pPr>
            <w:r>
              <w:rPr>
                <w:rFonts w:cs="Times New Roman" w:eastAsiaTheme="minorEastAsia"/>
                <w:sz w:val="21"/>
                <w:szCs w:val="21"/>
              </w:rPr>
              <w:t>统计分析</w:t>
            </w:r>
          </w:p>
        </w:tc>
        <w:tc>
          <w:tcPr>
            <w:tcW w:w="1180"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制定能源消耗年度计划及指标，构建能源管理体系；推广节能新技术、新材料、新工艺。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6" w:hRule="atLeast"/>
        </w:trPr>
        <w:tc>
          <w:tcPr>
            <w:tcW w:w="546"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公共卫生</w:t>
            </w:r>
          </w:p>
        </w:tc>
        <w:tc>
          <w:tcPr>
            <w:tcW w:w="572"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粉尘；噪声、放射线等</w:t>
            </w:r>
          </w:p>
        </w:tc>
        <w:tc>
          <w:tcPr>
            <w:tcW w:w="547"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导致尘肺病、职业性耳聋、放射病等</w:t>
            </w:r>
          </w:p>
        </w:tc>
        <w:tc>
          <w:tcPr>
            <w:tcW w:w="922"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《职业病防治法》、《工业场所有害因素职业接触限职》（GBZ2—2007）工业企业设计卫生标准》（GBZ1—2007）</w:t>
            </w:r>
          </w:p>
        </w:tc>
        <w:tc>
          <w:tcPr>
            <w:tcW w:w="643"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职业病发病率=0</w:t>
            </w:r>
          </w:p>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员工体检率=100%</w:t>
            </w:r>
          </w:p>
        </w:tc>
        <w:tc>
          <w:tcPr>
            <w:tcW w:w="588"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市疾控中心年度抽查</w:t>
            </w:r>
          </w:p>
        </w:tc>
        <w:tc>
          <w:tcPr>
            <w:tcW w:w="1180" w:type="pct"/>
            <w:vAlign w:val="center"/>
          </w:tcPr>
          <w:p>
            <w:pPr>
              <w:ind w:left="0" w:leftChars="0" w:firstLine="0" w:firstLineChars="0"/>
              <w:rPr>
                <w:rFonts w:cs="Times New Roman" w:eastAsiaTheme="minorEastAsia"/>
                <w:sz w:val="21"/>
                <w:szCs w:val="21"/>
              </w:rPr>
            </w:pPr>
            <w:r>
              <w:rPr>
                <w:rFonts w:cs="Times New Roman" w:eastAsiaTheme="minorEastAsia"/>
                <w:sz w:val="21"/>
                <w:szCs w:val="21"/>
              </w:rPr>
              <w:t>落实《职业病防治管理制度》；健全职业卫生档案；定期体检；工作场所职业病危害因素周期性监测；个人防护用品佩戴。</w:t>
            </w:r>
          </w:p>
        </w:tc>
      </w:tr>
    </w:tbl>
    <w:p>
      <w:pPr>
        <w:pStyle w:val="20"/>
        <w:rPr>
          <w:rFonts w:hint="eastAsia" w:ascii="Cambria" w:hAnsi="Cambria" w:cs="Cambria"/>
          <w:kern w:val="0"/>
          <w:sz w:val="28"/>
          <w:szCs w:val="28"/>
          <w:lang w:val="en-US" w:eastAsia="zh-CN" w:bidi="ar-SA"/>
        </w:rPr>
      </w:pPr>
    </w:p>
    <w:p>
      <w:pPr>
        <w:pStyle w:val="20"/>
        <w:rPr>
          <w:rFonts w:hint="eastAsia" w:ascii="Cambria" w:hAnsi="Cambria" w:cs="Cambria"/>
          <w:kern w:val="0"/>
          <w:sz w:val="28"/>
          <w:szCs w:val="28"/>
          <w:lang w:val="en-US" w:eastAsia="zh-CN" w:bidi="ar-SA"/>
        </w:rPr>
      </w:pPr>
    </w:p>
    <w:p>
      <w:pPr>
        <w:pStyle w:val="20"/>
        <w:ind w:left="0" w:leftChars="0" w:firstLine="0" w:firstLineChars="0"/>
        <w:rPr>
          <w:rFonts w:hint="eastAsia" w:ascii="宋体" w:hAnsi="宋体" w:eastAsia="宋体" w:cs="Times New Roman"/>
          <w:sz w:val="28"/>
          <w:szCs w:val="28"/>
          <w:lang w:val="zh-CN" w:eastAsia="zh-CN"/>
        </w:rPr>
      </w:pPr>
      <w:r>
        <w:rPr>
          <w:rFonts w:hint="eastAsia" w:ascii="宋体" w:hAnsi="宋体" w:eastAsia="宋体" w:cs="Times New Roman"/>
          <w:sz w:val="28"/>
          <w:szCs w:val="28"/>
          <w:lang w:val="zh-CN"/>
        </w:rPr>
        <w:t>2、</w:t>
      </w:r>
      <w:bookmarkEnd w:id="12"/>
      <w:r>
        <w:rPr>
          <w:rFonts w:hint="eastAsia" w:ascii="宋体" w:hAnsi="宋体" w:cs="Times New Roman"/>
          <w:sz w:val="28"/>
          <w:szCs w:val="28"/>
          <w:lang w:val="en-US" w:eastAsia="zh-CN"/>
        </w:rPr>
        <w:t>道德行为</w:t>
      </w:r>
    </w:p>
    <w:p>
      <w:pPr>
        <w:ind w:firstLine="480" w:firstLineChars="200"/>
        <w:rPr>
          <w:rFonts w:cs="Times New Roman" w:eastAsiaTheme="minorEastAsia"/>
        </w:rPr>
      </w:pPr>
      <w:r>
        <w:rPr>
          <w:rFonts w:cs="Times New Roman" w:eastAsiaTheme="minorEastAsia"/>
        </w:rPr>
        <w:t>公司从创业初期就成立了普法教育和依法治理领导小组，推进依法治企和规范管理。公司从建章立制做起，狠抓制度建设，从标准化、计量、定额、规章、职工教育、现场管理、质量管理等基础管理入手，规范企业的经营体系，以制度保障企业的规范运作。公司借助母公司法务部门和审计部门，使企业的诚信管理和法制管理网络逐步健全起来，促使公司的生产和管理环节与国内外通行惯例接轨，严格依法办事，诚信经营。</w:t>
      </w:r>
    </w:p>
    <w:p>
      <w:pPr>
        <w:ind w:firstLine="480" w:firstLineChars="200"/>
        <w:rPr>
          <w:rFonts w:cs="Times New Roman" w:eastAsiaTheme="minorEastAsia"/>
        </w:rPr>
      </w:pPr>
      <w:r>
        <w:rPr>
          <w:rFonts w:cs="Times New Roman" w:eastAsiaTheme="minorEastAsia"/>
        </w:rPr>
        <w:t>公司保证自身行为符合诚信准则等道德规范，采取各种手段监测公司内部、与主要合作伙伴之间以及公司的管理中行为道德的主要过程及测量方法和指标。</w:t>
      </w:r>
    </w:p>
    <w:p>
      <w:pPr>
        <w:pStyle w:val="6"/>
        <w:rPr>
          <w:rFonts w:ascii="Times New Roman" w:hAnsi="Times New Roman" w:cs="Times New Roman" w:eastAsiaTheme="minorEastAsia"/>
        </w:rPr>
      </w:pPr>
      <w:r>
        <w:rPr>
          <w:rFonts w:hint="eastAsia" w:ascii="Times New Roman" w:hAnsi="Times New Roman" w:cs="Times New Roman" w:eastAsiaTheme="minorEastAsia"/>
          <w:lang w:val="en-US" w:eastAsia="zh-CN"/>
        </w:rPr>
        <w:t>图</w:t>
      </w:r>
      <w:r>
        <w:rPr>
          <w:rFonts w:ascii="Times New Roman" w:hAnsi="Times New Roman" w:cs="Times New Roman" w:eastAsiaTheme="minorEastAsia"/>
        </w:rPr>
        <w:t>表</w:t>
      </w:r>
      <w:r>
        <w:rPr>
          <w:rFonts w:hint="eastAsia" w:ascii="Times New Roman" w:hAnsi="Times New Roman" w:cs="Times New Roman" w:eastAsiaTheme="minorEastAsia"/>
          <w:lang w:val="en-US" w:eastAsia="zh-CN"/>
        </w:rPr>
        <w:t>2.4</w:t>
      </w:r>
      <w:r>
        <w:rPr>
          <w:rFonts w:ascii="Times New Roman" w:hAnsi="Times New Roman" w:cs="Times New Roman" w:eastAsiaTheme="minorEastAsia"/>
        </w:rPr>
        <w:t xml:space="preserve"> 道德行为的关键过程和监测指标</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569"/>
        <w:gridCol w:w="1778"/>
        <w:gridCol w:w="2510"/>
        <w:gridCol w:w="2223"/>
        <w:gridCol w:w="10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27" w:type="pct"/>
            <w:shd w:val="clear" w:color="auto" w:fill="008080"/>
            <w:vAlign w:val="center"/>
          </w:tcPr>
          <w:p>
            <w:pPr>
              <w:adjustRightInd w:val="0"/>
              <w:snapToGrid w:val="0"/>
              <w:ind w:left="0" w:leftChars="0" w:firstLine="210" w:firstLineChars="100"/>
              <w:jc w:val="center"/>
              <w:rPr>
                <w:rFonts w:cs="Times New Roman" w:eastAsiaTheme="minorEastAsia"/>
                <w:b/>
                <w:color w:val="FFFFFF" w:themeColor="background1"/>
                <w:sz w:val="21"/>
                <w:szCs w:val="21"/>
                <w14:textFill>
                  <w14:solidFill>
                    <w14:schemeClr w14:val="bg1"/>
                  </w14:solidFill>
                </w14:textFill>
              </w:rPr>
            </w:pPr>
            <w:r>
              <w:rPr>
                <w:rFonts w:cs="Times New Roman" w:eastAsiaTheme="minorEastAsia"/>
                <w:b/>
                <w:color w:val="FFFFFF" w:themeColor="background1"/>
                <w:sz w:val="21"/>
                <w:szCs w:val="21"/>
                <w14:textFill>
                  <w14:solidFill>
                    <w14:schemeClr w14:val="bg1"/>
                  </w14:solidFill>
                </w14:textFill>
              </w:rPr>
              <w:t>对象</w:t>
            </w:r>
          </w:p>
        </w:tc>
        <w:tc>
          <w:tcPr>
            <w:tcW w:w="787" w:type="pct"/>
            <w:shd w:val="clear" w:color="auto" w:fill="008080"/>
            <w:vAlign w:val="center"/>
          </w:tcPr>
          <w:p>
            <w:pPr>
              <w:adjustRightInd w:val="0"/>
              <w:snapToGrid w:val="0"/>
              <w:ind w:left="0" w:leftChars="0" w:firstLine="0" w:firstLineChars="0"/>
              <w:jc w:val="center"/>
              <w:rPr>
                <w:rFonts w:cs="Times New Roman" w:eastAsiaTheme="minorEastAsia"/>
                <w:b/>
                <w:color w:val="FFFFFF" w:themeColor="background1"/>
                <w:sz w:val="21"/>
                <w:szCs w:val="21"/>
                <w14:textFill>
                  <w14:solidFill>
                    <w14:schemeClr w14:val="bg1"/>
                  </w14:solidFill>
                </w14:textFill>
              </w:rPr>
            </w:pPr>
            <w:r>
              <w:rPr>
                <w:rFonts w:cs="Times New Roman" w:eastAsiaTheme="minorEastAsia"/>
                <w:b/>
                <w:color w:val="FFFFFF" w:themeColor="background1"/>
                <w:sz w:val="21"/>
                <w:szCs w:val="21"/>
                <w14:textFill>
                  <w14:solidFill>
                    <w14:schemeClr w14:val="bg1"/>
                  </w14:solidFill>
                </w14:textFill>
              </w:rPr>
              <w:t>道德准则</w:t>
            </w:r>
          </w:p>
        </w:tc>
        <w:tc>
          <w:tcPr>
            <w:tcW w:w="892" w:type="pct"/>
            <w:shd w:val="clear" w:color="auto" w:fill="008080"/>
            <w:vAlign w:val="center"/>
          </w:tcPr>
          <w:p>
            <w:pPr>
              <w:adjustRightInd w:val="0"/>
              <w:snapToGrid w:val="0"/>
              <w:jc w:val="center"/>
              <w:rPr>
                <w:rFonts w:cs="Times New Roman" w:eastAsiaTheme="minorEastAsia"/>
                <w:b/>
                <w:color w:val="FFFFFF" w:themeColor="background1"/>
                <w:sz w:val="21"/>
                <w:szCs w:val="21"/>
                <w14:textFill>
                  <w14:solidFill>
                    <w14:schemeClr w14:val="bg1"/>
                  </w14:solidFill>
                </w14:textFill>
              </w:rPr>
            </w:pPr>
            <w:r>
              <w:rPr>
                <w:rFonts w:cs="Times New Roman" w:eastAsiaTheme="minorEastAsia"/>
                <w:b/>
                <w:color w:val="FFFFFF" w:themeColor="background1"/>
                <w:sz w:val="21"/>
                <w:szCs w:val="21"/>
                <w14:textFill>
                  <w14:solidFill>
                    <w14:schemeClr w14:val="bg1"/>
                  </w14:solidFill>
                </w14:textFill>
              </w:rPr>
              <w:t>关键过程</w:t>
            </w:r>
          </w:p>
        </w:tc>
        <w:tc>
          <w:tcPr>
            <w:tcW w:w="1259" w:type="pct"/>
            <w:shd w:val="clear" w:color="auto" w:fill="008080"/>
            <w:vAlign w:val="center"/>
          </w:tcPr>
          <w:p>
            <w:pPr>
              <w:adjustRightInd w:val="0"/>
              <w:snapToGrid w:val="0"/>
              <w:ind w:firstLine="840" w:firstLineChars="400"/>
              <w:jc w:val="center"/>
              <w:rPr>
                <w:rFonts w:cs="Times New Roman" w:eastAsiaTheme="minorEastAsia"/>
                <w:b/>
                <w:color w:val="FFFFFF" w:themeColor="background1"/>
                <w:sz w:val="21"/>
                <w:szCs w:val="21"/>
                <w14:textFill>
                  <w14:solidFill>
                    <w14:schemeClr w14:val="bg1"/>
                  </w14:solidFill>
                </w14:textFill>
              </w:rPr>
            </w:pPr>
            <w:r>
              <w:rPr>
                <w:rFonts w:cs="Times New Roman" w:eastAsiaTheme="minorEastAsia"/>
                <w:b/>
                <w:color w:val="FFFFFF" w:themeColor="background1"/>
                <w:sz w:val="21"/>
                <w:szCs w:val="21"/>
                <w14:textFill>
                  <w14:solidFill>
                    <w14:schemeClr w14:val="bg1"/>
                  </w14:solidFill>
                </w14:textFill>
              </w:rPr>
              <w:t>指标</w:t>
            </w:r>
          </w:p>
        </w:tc>
        <w:tc>
          <w:tcPr>
            <w:tcW w:w="1115" w:type="pct"/>
            <w:shd w:val="clear" w:color="auto" w:fill="008080"/>
            <w:vAlign w:val="center"/>
          </w:tcPr>
          <w:p>
            <w:pPr>
              <w:adjustRightInd w:val="0"/>
              <w:snapToGrid w:val="0"/>
              <w:jc w:val="center"/>
              <w:rPr>
                <w:rFonts w:cs="Times New Roman" w:eastAsiaTheme="minorEastAsia"/>
                <w:b/>
                <w:color w:val="FFFFFF" w:themeColor="background1"/>
                <w:sz w:val="21"/>
                <w:szCs w:val="21"/>
                <w14:textFill>
                  <w14:solidFill>
                    <w14:schemeClr w14:val="bg1"/>
                  </w14:solidFill>
                </w14:textFill>
              </w:rPr>
            </w:pPr>
            <w:r>
              <w:rPr>
                <w:rFonts w:cs="Times New Roman" w:eastAsiaTheme="minorEastAsia"/>
                <w:b/>
                <w:color w:val="FFFFFF" w:themeColor="background1"/>
                <w:sz w:val="21"/>
                <w:szCs w:val="21"/>
                <w14:textFill>
                  <w14:solidFill>
                    <w14:schemeClr w14:val="bg1"/>
                  </w14:solidFill>
                </w14:textFill>
              </w:rPr>
              <w:t>测量方法</w:t>
            </w:r>
          </w:p>
        </w:tc>
        <w:tc>
          <w:tcPr>
            <w:tcW w:w="517" w:type="pct"/>
            <w:shd w:val="clear" w:color="auto" w:fill="008080"/>
            <w:vAlign w:val="center"/>
          </w:tcPr>
          <w:p>
            <w:pPr>
              <w:adjustRightInd w:val="0"/>
              <w:snapToGrid w:val="0"/>
              <w:ind w:left="0" w:leftChars="0" w:firstLine="210" w:firstLineChars="100"/>
              <w:jc w:val="center"/>
              <w:rPr>
                <w:rFonts w:cs="Times New Roman" w:eastAsiaTheme="minorEastAsia"/>
                <w:b/>
                <w:color w:val="FFFFFF" w:themeColor="background1"/>
                <w:sz w:val="21"/>
                <w:szCs w:val="21"/>
                <w14:textFill>
                  <w14:solidFill>
                    <w14:schemeClr w14:val="bg1"/>
                  </w14:solidFill>
                </w14:textFill>
              </w:rPr>
            </w:pPr>
            <w:r>
              <w:rPr>
                <w:rFonts w:cs="Times New Roman" w:eastAsiaTheme="minorEastAsia"/>
                <w:b/>
                <w:color w:val="FFFFFF" w:themeColor="background1"/>
                <w:sz w:val="21"/>
                <w:szCs w:val="21"/>
                <w14:textFill>
                  <w14:solidFill>
                    <w14:schemeClr w14:val="bg1"/>
                  </w14:solidFill>
                </w14:textFill>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27" w:type="pct"/>
            <w:vAlign w:val="center"/>
          </w:tcPr>
          <w:p>
            <w:pPr>
              <w:adjustRightInd w:val="0"/>
              <w:snapToGrid w:val="0"/>
              <w:ind w:left="0" w:leftChars="0" w:firstLine="0" w:firstLineChars="0"/>
              <w:jc w:val="left"/>
              <w:rPr>
                <w:rFonts w:cs="Times New Roman" w:eastAsiaTheme="minorEastAsia"/>
                <w:sz w:val="21"/>
                <w:szCs w:val="21"/>
              </w:rPr>
            </w:pPr>
            <w:r>
              <w:rPr>
                <w:rFonts w:cs="Times New Roman" w:eastAsiaTheme="minorEastAsia"/>
                <w:sz w:val="21"/>
                <w:szCs w:val="21"/>
              </w:rPr>
              <w:t>高管</w:t>
            </w:r>
          </w:p>
        </w:tc>
        <w:tc>
          <w:tcPr>
            <w:tcW w:w="787" w:type="pct"/>
            <w:shd w:val="clear" w:color="auto" w:fill="auto"/>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勤政、廉政</w:t>
            </w:r>
          </w:p>
        </w:tc>
        <w:tc>
          <w:tcPr>
            <w:tcW w:w="892" w:type="pct"/>
            <w:vMerge w:val="restar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投诉举报、审计</w:t>
            </w:r>
          </w:p>
        </w:tc>
        <w:tc>
          <w:tcPr>
            <w:tcW w:w="1259" w:type="pct"/>
            <w:shd w:val="clear" w:color="auto" w:fill="auto"/>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违法违纪事件=0</w:t>
            </w:r>
          </w:p>
        </w:tc>
        <w:tc>
          <w:tcPr>
            <w:tcW w:w="1115" w:type="pct"/>
            <w:shd w:val="clear" w:color="auto" w:fill="auto"/>
            <w:vAlign w:val="center"/>
          </w:tcPr>
          <w:p>
            <w:pPr>
              <w:adjustRightInd w:val="0"/>
              <w:snapToGrid w:val="0"/>
              <w:rPr>
                <w:rFonts w:cs="Times New Roman" w:eastAsiaTheme="minorEastAsia"/>
                <w:sz w:val="21"/>
                <w:szCs w:val="21"/>
              </w:rPr>
            </w:pPr>
            <w:r>
              <w:rPr>
                <w:rFonts w:cs="Times New Roman" w:eastAsiaTheme="minorEastAsia"/>
                <w:sz w:val="21"/>
                <w:szCs w:val="21"/>
              </w:rPr>
              <w:t>投诉举报统计</w:t>
            </w:r>
          </w:p>
        </w:tc>
        <w:tc>
          <w:tcPr>
            <w:tcW w:w="517" w:type="pct"/>
            <w:vMerge w:val="restar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vMerge w:val="restart"/>
            <w:vAlign w:val="center"/>
          </w:tcPr>
          <w:p>
            <w:pPr>
              <w:adjustRightInd w:val="0"/>
              <w:snapToGrid w:val="0"/>
              <w:ind w:left="0" w:leftChars="0" w:firstLine="0" w:firstLineChars="0"/>
              <w:jc w:val="left"/>
              <w:rPr>
                <w:rFonts w:cs="Times New Roman" w:eastAsiaTheme="minorEastAsia"/>
                <w:sz w:val="21"/>
                <w:szCs w:val="21"/>
              </w:rPr>
            </w:pPr>
            <w:r>
              <w:rPr>
                <w:rFonts w:cs="Times New Roman" w:eastAsiaTheme="minorEastAsia"/>
                <w:sz w:val="21"/>
                <w:szCs w:val="21"/>
              </w:rPr>
              <w:t>中层领导</w:t>
            </w:r>
          </w:p>
        </w:tc>
        <w:tc>
          <w:tcPr>
            <w:tcW w:w="787" w:type="pct"/>
            <w:shd w:val="clear" w:color="auto" w:fill="auto"/>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公平、公正、诚信</w:t>
            </w:r>
          </w:p>
        </w:tc>
        <w:tc>
          <w:tcPr>
            <w:tcW w:w="892" w:type="pct"/>
            <w:vMerge w:val="continue"/>
            <w:vAlign w:val="center"/>
          </w:tcPr>
          <w:p>
            <w:pPr>
              <w:adjustRightInd w:val="0"/>
              <w:snapToGrid w:val="0"/>
              <w:rPr>
                <w:rFonts w:cs="Times New Roman" w:eastAsiaTheme="minorEastAsia"/>
                <w:sz w:val="21"/>
                <w:szCs w:val="21"/>
              </w:rPr>
            </w:pPr>
          </w:p>
        </w:tc>
        <w:tc>
          <w:tcPr>
            <w:tcW w:w="1259" w:type="pct"/>
            <w:shd w:val="clear" w:color="auto" w:fill="auto"/>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管理活动违章事件=0</w:t>
            </w:r>
          </w:p>
        </w:tc>
        <w:tc>
          <w:tcPr>
            <w:tcW w:w="1115" w:type="pct"/>
            <w:shd w:val="clear" w:color="auto" w:fill="auto"/>
            <w:vAlign w:val="center"/>
          </w:tcPr>
          <w:p>
            <w:pPr>
              <w:adjustRightInd w:val="0"/>
              <w:snapToGrid w:val="0"/>
              <w:rPr>
                <w:rFonts w:cs="Times New Roman" w:eastAsiaTheme="minorEastAsia"/>
                <w:sz w:val="21"/>
                <w:szCs w:val="21"/>
              </w:rPr>
            </w:pPr>
            <w:r>
              <w:rPr>
                <w:rFonts w:cs="Times New Roman" w:eastAsiaTheme="minorEastAsia"/>
                <w:sz w:val="21"/>
                <w:szCs w:val="21"/>
              </w:rPr>
              <w:t>审计结果统计</w:t>
            </w:r>
          </w:p>
        </w:tc>
        <w:tc>
          <w:tcPr>
            <w:tcW w:w="517" w:type="pct"/>
            <w:vMerge w:val="continue"/>
            <w:vAlign w:val="center"/>
          </w:tcPr>
          <w:p>
            <w:pPr>
              <w:adjustRightInd w:val="0"/>
              <w:snapToGrid w:val="0"/>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vMerge w:val="continue"/>
            <w:vAlign w:val="center"/>
          </w:tcPr>
          <w:p>
            <w:pPr>
              <w:adjustRightInd w:val="0"/>
              <w:snapToGrid w:val="0"/>
              <w:jc w:val="left"/>
              <w:rPr>
                <w:rFonts w:cs="Times New Roman" w:eastAsiaTheme="minorEastAsia"/>
                <w:sz w:val="21"/>
                <w:szCs w:val="21"/>
              </w:rPr>
            </w:pPr>
          </w:p>
        </w:tc>
        <w:tc>
          <w:tcPr>
            <w:tcW w:w="787" w:type="pct"/>
            <w:vMerge w:val="restart"/>
            <w:shd w:val="clear" w:color="auto" w:fill="auto"/>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经营规范</w:t>
            </w:r>
          </w:p>
        </w:tc>
        <w:tc>
          <w:tcPr>
            <w:tcW w:w="892"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税务检查、评价</w:t>
            </w:r>
          </w:p>
        </w:tc>
        <w:tc>
          <w:tcPr>
            <w:tcW w:w="1259" w:type="pct"/>
            <w:shd w:val="clear" w:color="auto" w:fill="auto"/>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依法纳税率=100%</w:t>
            </w:r>
          </w:p>
        </w:tc>
        <w:tc>
          <w:tcPr>
            <w:tcW w:w="1115" w:type="pct"/>
            <w:shd w:val="clear" w:color="auto" w:fill="auto"/>
            <w:vAlign w:val="center"/>
          </w:tcPr>
          <w:p>
            <w:pPr>
              <w:adjustRightInd w:val="0"/>
              <w:snapToGrid w:val="0"/>
              <w:rPr>
                <w:rFonts w:cs="Times New Roman" w:eastAsiaTheme="minorEastAsia"/>
                <w:sz w:val="21"/>
                <w:szCs w:val="21"/>
              </w:rPr>
            </w:pPr>
            <w:r>
              <w:rPr>
                <w:rFonts w:cs="Times New Roman" w:eastAsiaTheme="minorEastAsia"/>
                <w:sz w:val="21"/>
                <w:szCs w:val="21"/>
              </w:rPr>
              <w:t>税务检查与评价</w:t>
            </w:r>
          </w:p>
        </w:tc>
        <w:tc>
          <w:tcPr>
            <w:tcW w:w="517" w:type="pct"/>
            <w:vMerge w:val="continue"/>
            <w:vAlign w:val="center"/>
          </w:tcPr>
          <w:p>
            <w:pPr>
              <w:adjustRightInd w:val="0"/>
              <w:snapToGrid w:val="0"/>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vMerge w:val="continue"/>
            <w:vAlign w:val="center"/>
          </w:tcPr>
          <w:p>
            <w:pPr>
              <w:adjustRightInd w:val="0"/>
              <w:snapToGrid w:val="0"/>
              <w:jc w:val="left"/>
              <w:rPr>
                <w:rFonts w:cs="Times New Roman" w:eastAsiaTheme="minorEastAsia"/>
                <w:sz w:val="21"/>
                <w:szCs w:val="21"/>
              </w:rPr>
            </w:pPr>
          </w:p>
        </w:tc>
        <w:tc>
          <w:tcPr>
            <w:tcW w:w="787" w:type="pct"/>
            <w:vMerge w:val="continue"/>
            <w:shd w:val="clear" w:color="auto" w:fill="auto"/>
            <w:vAlign w:val="center"/>
          </w:tcPr>
          <w:p>
            <w:pPr>
              <w:adjustRightInd w:val="0"/>
              <w:snapToGrid w:val="0"/>
              <w:rPr>
                <w:rFonts w:cs="Times New Roman" w:eastAsiaTheme="minorEastAsia"/>
                <w:sz w:val="21"/>
                <w:szCs w:val="21"/>
              </w:rPr>
            </w:pPr>
          </w:p>
        </w:tc>
        <w:tc>
          <w:tcPr>
            <w:tcW w:w="892"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银行信用评价</w:t>
            </w:r>
          </w:p>
        </w:tc>
        <w:tc>
          <w:tcPr>
            <w:tcW w:w="1259" w:type="pct"/>
            <w:shd w:val="clear" w:color="auto" w:fill="auto"/>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银行信用等级AAA级</w:t>
            </w:r>
          </w:p>
        </w:tc>
        <w:tc>
          <w:tcPr>
            <w:tcW w:w="1115" w:type="pct"/>
            <w:shd w:val="clear" w:color="auto" w:fill="auto"/>
            <w:vAlign w:val="center"/>
          </w:tcPr>
          <w:p>
            <w:pPr>
              <w:adjustRightInd w:val="0"/>
              <w:snapToGrid w:val="0"/>
              <w:rPr>
                <w:rFonts w:cs="Times New Roman" w:eastAsiaTheme="minorEastAsia"/>
                <w:sz w:val="21"/>
                <w:szCs w:val="21"/>
              </w:rPr>
            </w:pPr>
            <w:r>
              <w:rPr>
                <w:rFonts w:cs="Times New Roman" w:eastAsiaTheme="minorEastAsia"/>
                <w:sz w:val="21"/>
                <w:szCs w:val="21"/>
              </w:rPr>
              <w:t>银行信用评价</w:t>
            </w:r>
          </w:p>
        </w:tc>
        <w:tc>
          <w:tcPr>
            <w:tcW w:w="517" w:type="pct"/>
            <w:vMerge w:val="continue"/>
            <w:vAlign w:val="center"/>
          </w:tcPr>
          <w:p>
            <w:pPr>
              <w:adjustRightInd w:val="0"/>
              <w:snapToGrid w:val="0"/>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27" w:type="pct"/>
            <w:vMerge w:val="continue"/>
            <w:vAlign w:val="center"/>
          </w:tcPr>
          <w:p>
            <w:pPr>
              <w:adjustRightInd w:val="0"/>
              <w:snapToGrid w:val="0"/>
              <w:jc w:val="left"/>
              <w:rPr>
                <w:rFonts w:cs="Times New Roman" w:eastAsiaTheme="minorEastAsia"/>
                <w:sz w:val="21"/>
                <w:szCs w:val="21"/>
              </w:rPr>
            </w:pPr>
          </w:p>
        </w:tc>
        <w:tc>
          <w:tcPr>
            <w:tcW w:w="787" w:type="pct"/>
            <w:vMerge w:val="continue"/>
            <w:shd w:val="clear" w:color="auto" w:fill="auto"/>
            <w:vAlign w:val="center"/>
          </w:tcPr>
          <w:p>
            <w:pPr>
              <w:adjustRightInd w:val="0"/>
              <w:snapToGrid w:val="0"/>
              <w:rPr>
                <w:rFonts w:cs="Times New Roman" w:eastAsiaTheme="minorEastAsia"/>
                <w:sz w:val="21"/>
                <w:szCs w:val="21"/>
              </w:rPr>
            </w:pPr>
          </w:p>
        </w:tc>
        <w:tc>
          <w:tcPr>
            <w:tcW w:w="892"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财务审计</w:t>
            </w:r>
          </w:p>
        </w:tc>
        <w:tc>
          <w:tcPr>
            <w:tcW w:w="1259" w:type="pct"/>
            <w:shd w:val="clear" w:color="auto" w:fill="auto"/>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财务报告真实率=100%</w:t>
            </w:r>
          </w:p>
        </w:tc>
        <w:tc>
          <w:tcPr>
            <w:tcW w:w="1115" w:type="pct"/>
            <w:shd w:val="clear" w:color="auto" w:fill="auto"/>
            <w:vAlign w:val="center"/>
          </w:tcPr>
          <w:p>
            <w:pPr>
              <w:adjustRightInd w:val="0"/>
              <w:snapToGrid w:val="0"/>
              <w:rPr>
                <w:rFonts w:cs="Times New Roman" w:eastAsiaTheme="minorEastAsia"/>
                <w:sz w:val="21"/>
                <w:szCs w:val="21"/>
              </w:rPr>
            </w:pPr>
            <w:r>
              <w:rPr>
                <w:rFonts w:cs="Times New Roman" w:eastAsiaTheme="minorEastAsia"/>
                <w:sz w:val="21"/>
                <w:szCs w:val="21"/>
              </w:rPr>
              <w:t>财务审计分析</w:t>
            </w:r>
          </w:p>
        </w:tc>
        <w:tc>
          <w:tcPr>
            <w:tcW w:w="517" w:type="pct"/>
            <w:vMerge w:val="restar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2次/年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vMerge w:val="continue"/>
            <w:vAlign w:val="center"/>
          </w:tcPr>
          <w:p>
            <w:pPr>
              <w:adjustRightInd w:val="0"/>
              <w:snapToGrid w:val="0"/>
              <w:jc w:val="left"/>
              <w:rPr>
                <w:rFonts w:cs="Times New Roman" w:eastAsiaTheme="minorEastAsia"/>
                <w:sz w:val="21"/>
                <w:szCs w:val="21"/>
              </w:rPr>
            </w:pPr>
          </w:p>
        </w:tc>
        <w:tc>
          <w:tcPr>
            <w:tcW w:w="787" w:type="pct"/>
            <w:vMerge w:val="continue"/>
            <w:shd w:val="clear" w:color="auto" w:fill="auto"/>
            <w:vAlign w:val="center"/>
          </w:tcPr>
          <w:p>
            <w:pPr>
              <w:adjustRightInd w:val="0"/>
              <w:snapToGrid w:val="0"/>
              <w:rPr>
                <w:rFonts w:cs="Times New Roman" w:eastAsiaTheme="minorEastAsia"/>
                <w:sz w:val="21"/>
                <w:szCs w:val="21"/>
              </w:rPr>
            </w:pPr>
          </w:p>
        </w:tc>
        <w:tc>
          <w:tcPr>
            <w:tcW w:w="892"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合同兑现调查</w:t>
            </w:r>
          </w:p>
        </w:tc>
        <w:tc>
          <w:tcPr>
            <w:tcW w:w="1259" w:type="pct"/>
            <w:shd w:val="clear" w:color="auto" w:fill="auto"/>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合同兑现率=100%</w:t>
            </w:r>
          </w:p>
        </w:tc>
        <w:tc>
          <w:tcPr>
            <w:tcW w:w="1115" w:type="pct"/>
            <w:shd w:val="clear" w:color="auto" w:fill="auto"/>
            <w:vAlign w:val="center"/>
          </w:tcPr>
          <w:p>
            <w:pPr>
              <w:adjustRightInd w:val="0"/>
              <w:snapToGrid w:val="0"/>
              <w:rPr>
                <w:rFonts w:cs="Times New Roman" w:eastAsiaTheme="minorEastAsia"/>
                <w:sz w:val="21"/>
                <w:szCs w:val="21"/>
              </w:rPr>
            </w:pPr>
            <w:r>
              <w:rPr>
                <w:rFonts w:cs="Times New Roman" w:eastAsiaTheme="minorEastAsia"/>
                <w:sz w:val="21"/>
                <w:szCs w:val="21"/>
              </w:rPr>
              <w:t>合同兑现检查</w:t>
            </w:r>
          </w:p>
        </w:tc>
        <w:tc>
          <w:tcPr>
            <w:tcW w:w="517" w:type="pct"/>
            <w:vMerge w:val="continue"/>
            <w:vAlign w:val="center"/>
          </w:tcPr>
          <w:p>
            <w:pPr>
              <w:adjustRightInd w:val="0"/>
              <w:snapToGrid w:val="0"/>
              <w:rPr>
                <w:rFonts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7" w:type="pct"/>
            <w:vMerge w:val="restart"/>
            <w:vAlign w:val="center"/>
          </w:tcPr>
          <w:p>
            <w:pPr>
              <w:adjustRightInd w:val="0"/>
              <w:snapToGrid w:val="0"/>
              <w:ind w:left="0" w:leftChars="0" w:firstLine="0" w:firstLineChars="0"/>
              <w:jc w:val="left"/>
              <w:rPr>
                <w:rFonts w:cs="Times New Roman" w:eastAsiaTheme="minorEastAsia"/>
                <w:sz w:val="21"/>
                <w:szCs w:val="21"/>
              </w:rPr>
            </w:pPr>
            <w:r>
              <w:rPr>
                <w:rFonts w:cs="Times New Roman" w:eastAsiaTheme="minorEastAsia"/>
                <w:sz w:val="21"/>
                <w:szCs w:val="21"/>
              </w:rPr>
              <w:t>驻外业务员</w:t>
            </w:r>
          </w:p>
        </w:tc>
        <w:tc>
          <w:tcPr>
            <w:tcW w:w="787" w:type="pct"/>
            <w:vMerge w:val="restart"/>
            <w:shd w:val="clear" w:color="auto" w:fill="auto"/>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销售行为规范</w:t>
            </w:r>
          </w:p>
        </w:tc>
        <w:tc>
          <w:tcPr>
            <w:tcW w:w="892"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合同执行检查</w:t>
            </w:r>
          </w:p>
        </w:tc>
        <w:tc>
          <w:tcPr>
            <w:tcW w:w="1259" w:type="pct"/>
            <w:shd w:val="clear" w:color="auto" w:fill="auto"/>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合同履约率=100%</w:t>
            </w:r>
          </w:p>
        </w:tc>
        <w:tc>
          <w:tcPr>
            <w:tcW w:w="1115" w:type="pct"/>
            <w:shd w:val="clear" w:color="auto" w:fill="auto"/>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投诉统计、回访调查</w:t>
            </w:r>
          </w:p>
        </w:tc>
        <w:tc>
          <w:tcPr>
            <w:tcW w:w="517"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1次/月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27" w:type="pct"/>
            <w:vMerge w:val="continue"/>
            <w:vAlign w:val="center"/>
          </w:tcPr>
          <w:p>
            <w:pPr>
              <w:adjustRightInd w:val="0"/>
              <w:snapToGrid w:val="0"/>
              <w:jc w:val="left"/>
              <w:rPr>
                <w:rFonts w:cs="Times New Roman" w:eastAsiaTheme="minorEastAsia"/>
                <w:sz w:val="21"/>
                <w:szCs w:val="21"/>
              </w:rPr>
            </w:pPr>
          </w:p>
        </w:tc>
        <w:tc>
          <w:tcPr>
            <w:tcW w:w="787" w:type="pct"/>
            <w:vMerge w:val="continue"/>
            <w:shd w:val="clear" w:color="auto" w:fill="auto"/>
            <w:vAlign w:val="center"/>
          </w:tcPr>
          <w:p>
            <w:pPr>
              <w:adjustRightInd w:val="0"/>
              <w:snapToGrid w:val="0"/>
              <w:rPr>
                <w:rFonts w:cs="Times New Roman" w:eastAsiaTheme="minorEastAsia"/>
                <w:sz w:val="21"/>
                <w:szCs w:val="21"/>
              </w:rPr>
            </w:pPr>
          </w:p>
        </w:tc>
        <w:tc>
          <w:tcPr>
            <w:tcW w:w="892"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投诉、举报</w:t>
            </w:r>
          </w:p>
        </w:tc>
        <w:tc>
          <w:tcPr>
            <w:tcW w:w="1259" w:type="pct"/>
            <w:shd w:val="clear" w:color="auto" w:fill="auto"/>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销售假冒伪劣产品=0</w:t>
            </w:r>
          </w:p>
        </w:tc>
        <w:tc>
          <w:tcPr>
            <w:tcW w:w="1115" w:type="pct"/>
            <w:shd w:val="clear" w:color="auto" w:fill="auto"/>
            <w:vAlign w:val="center"/>
          </w:tcPr>
          <w:p>
            <w:pPr>
              <w:adjustRightInd w:val="0"/>
              <w:snapToGrid w:val="0"/>
              <w:rPr>
                <w:rFonts w:cs="Times New Roman" w:eastAsiaTheme="minorEastAsia"/>
                <w:sz w:val="21"/>
                <w:szCs w:val="21"/>
              </w:rPr>
            </w:pPr>
            <w:r>
              <w:rPr>
                <w:rFonts w:cs="Times New Roman" w:eastAsiaTheme="minorEastAsia"/>
                <w:sz w:val="21"/>
                <w:szCs w:val="21"/>
              </w:rPr>
              <w:t>投诉举报</w:t>
            </w:r>
          </w:p>
        </w:tc>
        <w:tc>
          <w:tcPr>
            <w:tcW w:w="517"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1次/季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427" w:type="pct"/>
            <w:vAlign w:val="center"/>
          </w:tcPr>
          <w:p>
            <w:pPr>
              <w:adjustRightInd w:val="0"/>
              <w:snapToGrid w:val="0"/>
              <w:ind w:left="0" w:leftChars="0" w:firstLine="0" w:firstLineChars="0"/>
              <w:jc w:val="left"/>
              <w:rPr>
                <w:rFonts w:cs="Times New Roman" w:eastAsiaTheme="minorEastAsia"/>
                <w:sz w:val="21"/>
                <w:szCs w:val="21"/>
              </w:rPr>
            </w:pPr>
            <w:r>
              <w:rPr>
                <w:rFonts w:cs="Times New Roman" w:eastAsiaTheme="minorEastAsia"/>
                <w:sz w:val="21"/>
                <w:szCs w:val="21"/>
              </w:rPr>
              <w:t>员工</w:t>
            </w:r>
          </w:p>
        </w:tc>
        <w:tc>
          <w:tcPr>
            <w:tcW w:w="787" w:type="pct"/>
            <w:shd w:val="clear" w:color="auto" w:fill="auto"/>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日常道德规范</w:t>
            </w:r>
          </w:p>
        </w:tc>
        <w:tc>
          <w:tcPr>
            <w:tcW w:w="892"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曝光、违纪处理</w:t>
            </w:r>
          </w:p>
        </w:tc>
        <w:tc>
          <w:tcPr>
            <w:tcW w:w="1259" w:type="pct"/>
            <w:shd w:val="clear" w:color="auto" w:fill="auto"/>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不文明行为发生=0</w:t>
            </w:r>
          </w:p>
        </w:tc>
        <w:tc>
          <w:tcPr>
            <w:tcW w:w="1115" w:type="pct"/>
            <w:shd w:val="clear" w:color="auto" w:fill="auto"/>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曝光、违纪处理统计</w:t>
            </w:r>
          </w:p>
        </w:tc>
        <w:tc>
          <w:tcPr>
            <w:tcW w:w="517" w:type="pct"/>
            <w:vAlign w:val="center"/>
          </w:tcPr>
          <w:p>
            <w:pPr>
              <w:adjustRightInd w:val="0"/>
              <w:snapToGrid w:val="0"/>
              <w:ind w:left="0" w:leftChars="0" w:firstLine="0" w:firstLineChars="0"/>
              <w:rPr>
                <w:rFonts w:cs="Times New Roman" w:eastAsiaTheme="minorEastAsia"/>
                <w:sz w:val="21"/>
                <w:szCs w:val="21"/>
              </w:rPr>
            </w:pPr>
            <w:r>
              <w:rPr>
                <w:rFonts w:cs="Times New Roman" w:eastAsiaTheme="minorEastAsia"/>
                <w:sz w:val="21"/>
                <w:szCs w:val="21"/>
              </w:rPr>
              <w:t>1次/季</w:t>
            </w:r>
          </w:p>
        </w:tc>
      </w:tr>
    </w:tbl>
    <w:p>
      <w:pPr>
        <w:pStyle w:val="20"/>
        <w:rPr>
          <w:rFonts w:hint="eastAsia" w:ascii="Cambria" w:hAnsi="Cambria" w:eastAsia="宋体" w:cs="Cambria"/>
          <w:kern w:val="0"/>
          <w:sz w:val="28"/>
          <w:szCs w:val="28"/>
          <w:lang w:val="en-US" w:eastAsia="zh-CN" w:bidi="ar-SA"/>
        </w:rPr>
      </w:pP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480" w:lineRule="auto"/>
        <w:jc w:val="both"/>
        <w:textAlignment w:val="auto"/>
        <w:rPr>
          <w:rFonts w:hint="eastAsia" w:ascii="宋体" w:hAnsi="宋体" w:eastAsia="宋体" w:cs="Times New Roman"/>
          <w:sz w:val="28"/>
          <w:szCs w:val="28"/>
          <w:lang w:val="zh-CN"/>
        </w:rPr>
      </w:pPr>
      <w:bookmarkStart w:id="13" w:name="_Toc11087003"/>
      <w:r>
        <w:rPr>
          <w:rFonts w:hint="eastAsia" w:ascii="宋体" w:hAnsi="宋体" w:eastAsia="宋体" w:cs="Times New Roman"/>
          <w:sz w:val="28"/>
          <w:szCs w:val="28"/>
          <w:lang w:val="en-US" w:eastAsia="zh-CN"/>
        </w:rPr>
        <w:t>3</w:t>
      </w:r>
      <w:r>
        <w:rPr>
          <w:rFonts w:hint="eastAsia" w:ascii="宋体" w:hAnsi="宋体" w:eastAsia="宋体" w:cs="Times New Roman"/>
          <w:sz w:val="28"/>
          <w:szCs w:val="28"/>
          <w:lang w:val="zh-CN"/>
        </w:rPr>
        <w:t>、公益支持</w:t>
      </w:r>
      <w:bookmarkEnd w:id="13"/>
    </w:p>
    <w:p>
      <w:pPr>
        <w:ind w:firstLine="480" w:firstLineChars="200"/>
        <w:rPr>
          <w:rFonts w:cs="Times New Roman" w:eastAsiaTheme="minorEastAsia"/>
        </w:rPr>
      </w:pPr>
      <w:r>
        <w:rPr>
          <w:rFonts w:cs="Times New Roman" w:eastAsiaTheme="minorEastAsia"/>
        </w:rPr>
        <w:t>久盛电缆积极投身于社会公益事业，公司每年编制《年度公益活动计划》，主动开展形式多样、内容丰富的公益活动，将“公共事业、福利事业、环保事业”作为重点支持领域。高层领导亲自投身公益事业，给企业员工和社会树立了榜样。</w:t>
      </w:r>
    </w:p>
    <w:p>
      <w:pPr>
        <w:pStyle w:val="6"/>
        <w:ind w:left="480"/>
        <w:rPr>
          <w:rFonts w:ascii="Times New Roman" w:hAnsi="Times New Roman" w:cs="Times New Roman" w:eastAsiaTheme="minorEastAsia"/>
        </w:rPr>
      </w:pPr>
      <w:r>
        <w:rPr>
          <w:rFonts w:hint="eastAsia" w:ascii="Times New Roman" w:hAnsi="Times New Roman" w:cs="Times New Roman" w:eastAsiaTheme="minorEastAsia"/>
          <w:lang w:val="en-US" w:eastAsia="zh-CN"/>
        </w:rPr>
        <w:t>图</w:t>
      </w:r>
      <w:r>
        <w:rPr>
          <w:rFonts w:ascii="Times New Roman" w:hAnsi="Times New Roman" w:cs="Times New Roman" w:eastAsiaTheme="minorEastAsia"/>
        </w:rPr>
        <w:t>表</w:t>
      </w:r>
      <w:r>
        <w:rPr>
          <w:rFonts w:hint="eastAsia" w:ascii="Times New Roman" w:hAnsi="Times New Roman" w:cs="Times New Roman" w:eastAsiaTheme="minorEastAsia"/>
          <w:lang w:val="en-US" w:eastAsia="zh-CN"/>
        </w:rPr>
        <w:t>2-5</w:t>
      </w:r>
      <w:r>
        <w:rPr>
          <w:rFonts w:ascii="Times New Roman" w:hAnsi="Times New Roman" w:cs="Times New Roman" w:eastAsiaTheme="minorEastAsia"/>
        </w:rPr>
        <w:t xml:space="preserve"> 公司公益支持活动内容</w:t>
      </w:r>
    </w:p>
    <w:tbl>
      <w:tblPr>
        <w:tblStyle w:val="13"/>
        <w:tblW w:w="5006"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98"/>
        <w:gridCol w:w="2007"/>
        <w:gridCol w:w="3431"/>
        <w:gridCol w:w="1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503" w:type="pct"/>
            <w:shd w:val="clear" w:color="auto" w:fill="008080"/>
            <w:vAlign w:val="center"/>
          </w:tcPr>
          <w:p>
            <w:pPr>
              <w:keepNext w:val="0"/>
              <w:keepLines w:val="0"/>
              <w:suppressLineNumbers w:val="0"/>
              <w:spacing w:before="0" w:beforeAutospacing="0" w:after="0" w:afterAutospacing="0"/>
              <w:ind w:left="0" w:right="0"/>
              <w:jc w:val="center"/>
              <w:rPr>
                <w:rFonts w:hint="default" w:cs="Times New Roman" w:eastAsiaTheme="minorEastAsia"/>
                <w:b/>
                <w:color w:val="FFFFFF" w:themeColor="background1"/>
                <w:sz w:val="21"/>
                <w:szCs w:val="21"/>
                <w14:textFill>
                  <w14:solidFill>
                    <w14:schemeClr w14:val="bg1"/>
                  </w14:solidFill>
                </w14:textFill>
              </w:rPr>
            </w:pPr>
            <w:r>
              <w:rPr>
                <w:rFonts w:hint="default" w:cs="Times New Roman" w:eastAsiaTheme="minorEastAsia"/>
                <w:b/>
                <w:color w:val="FFFFFF" w:themeColor="background1"/>
                <w:sz w:val="21"/>
                <w:szCs w:val="21"/>
                <w14:textFill>
                  <w14:solidFill>
                    <w14:schemeClr w14:val="bg1"/>
                  </w14:solidFill>
                </w14:textFill>
              </w:rPr>
              <w:t>支持主题</w:t>
            </w:r>
          </w:p>
        </w:tc>
        <w:tc>
          <w:tcPr>
            <w:tcW w:w="2726" w:type="pct"/>
            <w:gridSpan w:val="2"/>
            <w:shd w:val="clear" w:color="auto" w:fill="008080"/>
            <w:vAlign w:val="center"/>
          </w:tcPr>
          <w:p>
            <w:pPr>
              <w:keepNext w:val="0"/>
              <w:keepLines w:val="0"/>
              <w:suppressLineNumbers w:val="0"/>
              <w:spacing w:before="0" w:beforeAutospacing="0" w:after="0" w:afterAutospacing="0"/>
              <w:ind w:left="0" w:right="0"/>
              <w:jc w:val="center"/>
              <w:rPr>
                <w:rFonts w:hint="default" w:cs="Times New Roman" w:eastAsiaTheme="minorEastAsia"/>
                <w:b/>
                <w:color w:val="FFFFFF" w:themeColor="background1"/>
                <w:sz w:val="21"/>
                <w:szCs w:val="21"/>
                <w14:textFill>
                  <w14:solidFill>
                    <w14:schemeClr w14:val="bg1"/>
                  </w14:solidFill>
                </w14:textFill>
              </w:rPr>
            </w:pPr>
            <w:r>
              <w:rPr>
                <w:rFonts w:hint="default" w:cs="Times New Roman" w:eastAsiaTheme="minorEastAsia"/>
                <w:b/>
                <w:color w:val="FFFFFF" w:themeColor="background1"/>
                <w:sz w:val="21"/>
                <w:szCs w:val="21"/>
                <w14:textFill>
                  <w14:solidFill>
                    <w14:schemeClr w14:val="bg1"/>
                  </w14:solidFill>
                </w14:textFill>
              </w:rPr>
              <w:t>具体内容</w:t>
            </w:r>
          </w:p>
        </w:tc>
        <w:tc>
          <w:tcPr>
            <w:tcW w:w="766" w:type="pct"/>
            <w:shd w:val="clear" w:color="auto" w:fill="008080"/>
            <w:vAlign w:val="center"/>
          </w:tcPr>
          <w:p>
            <w:pPr>
              <w:keepNext w:val="0"/>
              <w:keepLines w:val="0"/>
              <w:suppressLineNumbers w:val="0"/>
              <w:spacing w:before="0" w:beforeAutospacing="0" w:after="0" w:afterAutospacing="0"/>
              <w:ind w:left="0" w:right="0"/>
              <w:jc w:val="center"/>
              <w:rPr>
                <w:rFonts w:hint="default" w:cs="Times New Roman" w:eastAsiaTheme="minorEastAsia"/>
                <w:b/>
                <w:color w:val="FFFFFF" w:themeColor="background1"/>
                <w:sz w:val="21"/>
                <w:szCs w:val="21"/>
                <w14:textFill>
                  <w14:solidFill>
                    <w14:schemeClr w14:val="bg1"/>
                  </w14:solidFill>
                </w14:textFill>
              </w:rPr>
            </w:pPr>
            <w:r>
              <w:rPr>
                <w:rFonts w:hint="default" w:cs="Times New Roman" w:eastAsiaTheme="minorEastAsia"/>
                <w:b/>
                <w:color w:val="FFFFFF" w:themeColor="background1"/>
                <w:sz w:val="21"/>
                <w:szCs w:val="21"/>
                <w14:textFill>
                  <w14:solidFill>
                    <w14:schemeClr w14:val="bg1"/>
                  </w14:solidFill>
                </w14:textFill>
              </w:rPr>
              <w:t>支持方式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03"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社会慈善事业</w:t>
            </w:r>
          </w:p>
        </w:tc>
        <w:tc>
          <w:tcPr>
            <w:tcW w:w="2726" w:type="pct"/>
            <w:gridSpan w:val="2"/>
            <w:vAlign w:val="center"/>
          </w:tcPr>
          <w:p>
            <w:pPr>
              <w:keepNext w:val="0"/>
              <w:keepLines w:val="0"/>
              <w:suppressLineNumbers w:val="0"/>
              <w:spacing w:before="0" w:beforeAutospacing="0" w:after="0" w:afterAutospacing="0"/>
              <w:ind w:left="0" w:right="0"/>
              <w:jc w:val="both"/>
              <w:rPr>
                <w:rFonts w:hint="default" w:cs="Times New Roman" w:eastAsiaTheme="minorEastAsia"/>
                <w:sz w:val="21"/>
                <w:szCs w:val="21"/>
              </w:rPr>
            </w:pPr>
            <w:r>
              <w:rPr>
                <w:rFonts w:hint="default" w:cs="Times New Roman" w:eastAsiaTheme="minorEastAsia"/>
                <w:sz w:val="21"/>
                <w:szCs w:val="21"/>
              </w:rPr>
              <w:t>慈善事业捐助、慈善总会（兰溪市）等。</w:t>
            </w:r>
          </w:p>
        </w:tc>
        <w:tc>
          <w:tcPr>
            <w:tcW w:w="766"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捐资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3"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教育文化事业</w:t>
            </w:r>
          </w:p>
        </w:tc>
        <w:tc>
          <w:tcPr>
            <w:tcW w:w="2726" w:type="pct"/>
            <w:gridSpan w:val="2"/>
            <w:vAlign w:val="center"/>
          </w:tcPr>
          <w:p>
            <w:pPr>
              <w:keepNext w:val="0"/>
              <w:keepLines w:val="0"/>
              <w:suppressLineNumbers w:val="0"/>
              <w:spacing w:before="0" w:beforeAutospacing="0" w:after="0" w:afterAutospacing="0"/>
              <w:ind w:left="0" w:right="0"/>
              <w:jc w:val="both"/>
              <w:rPr>
                <w:rFonts w:hint="default" w:cs="Times New Roman" w:eastAsiaTheme="minorEastAsia"/>
                <w:sz w:val="21"/>
                <w:szCs w:val="21"/>
              </w:rPr>
            </w:pPr>
            <w:r>
              <w:rPr>
                <w:rFonts w:hint="default" w:cs="Times New Roman" w:eastAsiaTheme="minorEastAsia"/>
                <w:sz w:val="21"/>
                <w:szCs w:val="21"/>
              </w:rPr>
              <w:t>向城北小学捐助。</w:t>
            </w:r>
          </w:p>
        </w:tc>
        <w:tc>
          <w:tcPr>
            <w:tcW w:w="766"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捐资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3"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抗议捐助</w:t>
            </w:r>
          </w:p>
        </w:tc>
        <w:tc>
          <w:tcPr>
            <w:tcW w:w="2726" w:type="pct"/>
            <w:gridSpan w:val="2"/>
            <w:vAlign w:val="center"/>
          </w:tcPr>
          <w:p>
            <w:pPr>
              <w:keepNext w:val="0"/>
              <w:keepLines w:val="0"/>
              <w:suppressLineNumbers w:val="0"/>
              <w:spacing w:before="0" w:beforeAutospacing="0" w:after="0" w:afterAutospacing="0"/>
              <w:ind w:left="0" w:right="0"/>
              <w:jc w:val="both"/>
              <w:rPr>
                <w:rFonts w:hint="default" w:cs="Times New Roman" w:eastAsiaTheme="minorEastAsia"/>
                <w:sz w:val="21"/>
                <w:szCs w:val="21"/>
              </w:rPr>
            </w:pPr>
            <w:r>
              <w:rPr>
                <w:rFonts w:hint="default" w:cs="Times New Roman" w:eastAsiaTheme="minorEastAsia"/>
                <w:sz w:val="21"/>
                <w:szCs w:val="21"/>
              </w:rPr>
              <w:t>向云山街道各村、社区、及兰溪北高速路口捐物资。</w:t>
            </w:r>
          </w:p>
        </w:tc>
        <w:tc>
          <w:tcPr>
            <w:tcW w:w="766"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捐资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03"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基础设施</w:t>
            </w:r>
          </w:p>
        </w:tc>
        <w:tc>
          <w:tcPr>
            <w:tcW w:w="2726" w:type="pct"/>
            <w:gridSpan w:val="2"/>
            <w:vAlign w:val="center"/>
          </w:tcPr>
          <w:p>
            <w:pPr>
              <w:keepNext w:val="0"/>
              <w:keepLines w:val="0"/>
              <w:suppressLineNumbers w:val="0"/>
              <w:spacing w:before="0" w:beforeAutospacing="0" w:after="0" w:afterAutospacing="0"/>
              <w:ind w:left="0" w:right="0"/>
              <w:jc w:val="both"/>
              <w:rPr>
                <w:rFonts w:hint="default" w:cs="Times New Roman" w:eastAsiaTheme="minorEastAsia"/>
                <w:sz w:val="21"/>
                <w:szCs w:val="21"/>
              </w:rPr>
            </w:pPr>
            <w:r>
              <w:rPr>
                <w:rFonts w:hint="default" w:cs="Times New Roman" w:eastAsiaTheme="minorEastAsia"/>
                <w:sz w:val="21"/>
                <w:szCs w:val="21"/>
              </w:rPr>
              <w:t>支持周边乡村建设，美化村庄，经常为周边乡村的环境整治出钱出力。</w:t>
            </w:r>
          </w:p>
        </w:tc>
        <w:tc>
          <w:tcPr>
            <w:tcW w:w="766"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捐资、帮扶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3"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五水共治</w:t>
            </w:r>
          </w:p>
        </w:tc>
        <w:tc>
          <w:tcPr>
            <w:tcW w:w="2726" w:type="pct"/>
            <w:gridSpan w:val="2"/>
            <w:vAlign w:val="center"/>
          </w:tcPr>
          <w:p>
            <w:pPr>
              <w:keepNext w:val="0"/>
              <w:keepLines w:val="0"/>
              <w:suppressLineNumbers w:val="0"/>
              <w:spacing w:before="0" w:beforeAutospacing="0" w:after="0" w:afterAutospacing="0"/>
              <w:ind w:left="0" w:right="0"/>
              <w:jc w:val="both"/>
              <w:rPr>
                <w:rFonts w:hint="default" w:cs="Times New Roman" w:eastAsiaTheme="minorEastAsia"/>
                <w:sz w:val="21"/>
                <w:szCs w:val="21"/>
              </w:rPr>
            </w:pPr>
            <w:r>
              <w:rPr>
                <w:rFonts w:hint="default" w:cs="Times New Roman" w:eastAsiaTheme="minorEastAsia"/>
                <w:sz w:val="21"/>
                <w:szCs w:val="21"/>
              </w:rPr>
              <w:t>向当地进行专项捐资。</w:t>
            </w:r>
          </w:p>
        </w:tc>
        <w:tc>
          <w:tcPr>
            <w:tcW w:w="766" w:type="pct"/>
            <w:vAlign w:val="center"/>
          </w:tcPr>
          <w:p>
            <w:pPr>
              <w:keepNext w:val="0"/>
              <w:keepLines w:val="0"/>
              <w:suppressLineNumbers w:val="0"/>
              <w:spacing w:before="0" w:beforeAutospacing="0" w:after="0" w:afterAutospacing="0"/>
              <w:ind w:left="0" w:right="0"/>
              <w:jc w:val="center"/>
              <w:rPr>
                <w:rFonts w:hint="default" w:cs="Times New Roman" w:eastAsiaTheme="minorEastAsia"/>
                <w:sz w:val="21"/>
                <w:szCs w:val="21"/>
              </w:rPr>
            </w:pPr>
            <w:r>
              <w:rPr>
                <w:rFonts w:hint="default" w:cs="Times New Roman" w:eastAsiaTheme="minorEastAsia"/>
                <w:sz w:val="21"/>
                <w:szCs w:val="21"/>
              </w:rPr>
              <w:t>捐资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509" w:type="pct"/>
            <w:gridSpan w:val="2"/>
            <w:vAlign w:val="center"/>
          </w:tcPr>
          <w:p>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Theme="minorEastAsia"/>
              </w:rPr>
            </w:pPr>
            <w:r>
              <w:rPr>
                <w:rFonts w:hint="default" w:ascii="Times New Roman" w:hAnsi="Times New Roman" w:eastAsiaTheme="minorEastAsia"/>
              </w:rPr>
              <w:drawing>
                <wp:inline distT="0" distB="0" distL="0" distR="0">
                  <wp:extent cx="2611120" cy="1391920"/>
                  <wp:effectExtent l="0" t="0" r="10160" b="1016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stretch>
                            <a:fillRect/>
                          </a:stretch>
                        </pic:blipFill>
                        <pic:spPr>
                          <a:xfrm>
                            <a:off x="0" y="0"/>
                            <a:ext cx="2631331" cy="1402847"/>
                          </a:xfrm>
                          <a:prstGeom prst="rect">
                            <a:avLst/>
                          </a:prstGeom>
                        </pic:spPr>
                      </pic:pic>
                    </a:graphicData>
                  </a:graphic>
                </wp:inline>
              </w:drawing>
            </w:r>
          </w:p>
        </w:tc>
        <w:tc>
          <w:tcPr>
            <w:tcW w:w="2491" w:type="pct"/>
            <w:gridSpan w:val="2"/>
            <w:vAlign w:val="center"/>
          </w:tcPr>
          <w:p>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Theme="minorEastAsia"/>
              </w:rPr>
            </w:pPr>
            <w:r>
              <w:rPr>
                <w:rFonts w:hint="default" w:ascii="Times New Roman" w:hAnsi="Times New Roman" w:eastAsiaTheme="minorEastAsia"/>
              </w:rPr>
              <w:drawing>
                <wp:inline distT="0" distB="0" distL="0" distR="0">
                  <wp:extent cx="2567940" cy="1375410"/>
                  <wp:effectExtent l="0" t="0" r="7620" b="1143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4"/>
                          <a:stretch>
                            <a:fillRect/>
                          </a:stretch>
                        </pic:blipFill>
                        <pic:spPr>
                          <a:xfrm>
                            <a:off x="0" y="0"/>
                            <a:ext cx="2592744" cy="13887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509" w:type="pct"/>
            <w:gridSpan w:val="2"/>
            <w:vAlign w:val="center"/>
          </w:tcPr>
          <w:p>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Theme="minorEastAsia"/>
              </w:rPr>
            </w:pPr>
            <w:r>
              <w:rPr>
                <w:rFonts w:hint="default" w:ascii="Times New Roman" w:hAnsi="Times New Roman" w:eastAsiaTheme="minorEastAsia"/>
              </w:rPr>
              <w:drawing>
                <wp:inline distT="0" distB="0" distL="0" distR="0">
                  <wp:extent cx="2592705" cy="1337310"/>
                  <wp:effectExtent l="0" t="0" r="13335" b="38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15"/>
                          <a:stretch>
                            <a:fillRect/>
                          </a:stretch>
                        </pic:blipFill>
                        <pic:spPr>
                          <a:xfrm>
                            <a:off x="0" y="0"/>
                            <a:ext cx="2607602" cy="1345166"/>
                          </a:xfrm>
                          <a:prstGeom prst="rect">
                            <a:avLst/>
                          </a:prstGeom>
                        </pic:spPr>
                      </pic:pic>
                    </a:graphicData>
                  </a:graphic>
                </wp:inline>
              </w:drawing>
            </w:r>
          </w:p>
        </w:tc>
        <w:tc>
          <w:tcPr>
            <w:tcW w:w="2491" w:type="pct"/>
            <w:gridSpan w:val="2"/>
            <w:vAlign w:val="center"/>
          </w:tcPr>
          <w:p>
            <w:pPr>
              <w:pStyle w:val="2"/>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Theme="minorEastAsia"/>
              </w:rPr>
            </w:pPr>
            <w:r>
              <w:rPr>
                <w:rFonts w:hint="default" w:ascii="Times New Roman" w:hAnsi="Times New Roman" w:eastAsiaTheme="minorEastAsia"/>
              </w:rPr>
              <w:drawing>
                <wp:inline distT="0" distB="0" distL="0" distR="0">
                  <wp:extent cx="2536190" cy="1316355"/>
                  <wp:effectExtent l="0" t="0" r="8890"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6"/>
                          <a:stretch>
                            <a:fillRect/>
                          </a:stretch>
                        </pic:blipFill>
                        <pic:spPr>
                          <a:xfrm>
                            <a:off x="0" y="0"/>
                            <a:ext cx="2555289" cy="1326453"/>
                          </a:xfrm>
                          <a:prstGeom prst="rect">
                            <a:avLst/>
                          </a:prstGeom>
                        </pic:spPr>
                      </pic:pic>
                    </a:graphicData>
                  </a:graphic>
                </wp:inline>
              </w:drawing>
            </w:r>
          </w:p>
        </w:tc>
      </w:tr>
    </w:tbl>
    <w:p>
      <w:pPr>
        <w:pStyle w:val="20"/>
        <w:jc w:val="center"/>
        <w:rPr>
          <w:rFonts w:hint="default" w:ascii="Cambria" w:hAnsi="Cambria" w:eastAsia="宋体" w:cs="Cambria"/>
          <w:kern w:val="0"/>
          <w:sz w:val="28"/>
          <w:szCs w:val="28"/>
          <w:lang w:val="en-US" w:eastAsia="zh-CN" w:bidi="ar-SA"/>
        </w:rPr>
      </w:pPr>
      <w:r>
        <w:rPr>
          <w:rFonts w:hint="eastAsia" w:ascii="Times New Roman" w:hAnsi="Times New Roman" w:cs="Times New Roman" w:eastAsiaTheme="minorEastAsia"/>
          <w:lang w:val="en-US" w:eastAsia="zh-CN"/>
        </w:rPr>
        <w:t>图</w:t>
      </w:r>
      <w:r>
        <w:rPr>
          <w:rFonts w:ascii="Times New Roman" w:hAnsi="Times New Roman" w:cs="Times New Roman" w:eastAsiaTheme="minorEastAsia"/>
        </w:rPr>
        <w:t>表</w:t>
      </w:r>
      <w:r>
        <w:rPr>
          <w:rFonts w:hint="eastAsia" w:ascii="Times New Roman" w:hAnsi="Times New Roman" w:cs="Times New Roman" w:eastAsiaTheme="minorEastAsia"/>
          <w:lang w:val="en-US" w:eastAsia="zh-CN"/>
        </w:rPr>
        <w:t>2-6给各社区服务站送慰问品</w:t>
      </w:r>
    </w:p>
    <w:p>
      <w:pPr>
        <w:pStyle w:val="5"/>
        <w:keepNext/>
        <w:keepLines/>
        <w:pageBreakBefore w:val="0"/>
        <w:widowControl w:val="0"/>
        <w:numPr>
          <w:ilvl w:val="0"/>
          <w:numId w:val="0"/>
        </w:numPr>
        <w:kinsoku/>
        <w:wordWrap/>
        <w:overflowPunct/>
        <w:topLinePunct w:val="0"/>
        <w:autoSpaceDE/>
        <w:autoSpaceDN/>
        <w:bidi w:val="0"/>
        <w:adjustRightInd/>
        <w:snapToGrid/>
        <w:spacing w:before="0" w:after="0" w:line="480" w:lineRule="auto"/>
        <w:jc w:val="both"/>
        <w:textAlignment w:val="auto"/>
        <w:rPr>
          <w:rFonts w:hint="eastAsia" w:ascii="宋体" w:hAnsi="宋体" w:eastAsia="宋体" w:cs="Times New Roman"/>
          <w:sz w:val="28"/>
          <w:szCs w:val="28"/>
          <w:lang w:val="zh-CN"/>
        </w:rPr>
      </w:pPr>
      <w:r>
        <w:rPr>
          <w:rFonts w:hint="eastAsia" w:ascii="宋体" w:hAnsi="宋体" w:eastAsia="宋体" w:cs="Times New Roman"/>
          <w:sz w:val="28"/>
          <w:szCs w:val="28"/>
          <w:lang w:val="en-US" w:eastAsia="zh-CN"/>
        </w:rPr>
        <w:t>4</w:t>
      </w:r>
      <w:r>
        <w:rPr>
          <w:rFonts w:hint="eastAsia" w:ascii="宋体" w:hAnsi="宋体" w:eastAsia="宋体" w:cs="Times New Roman"/>
          <w:sz w:val="28"/>
          <w:szCs w:val="28"/>
          <w:lang w:val="zh-CN"/>
        </w:rPr>
        <w:t>、公司与员工双赢发展</w:t>
      </w:r>
    </w:p>
    <w:p>
      <w:pPr>
        <w:pStyle w:val="20"/>
        <w:ind w:left="0" w:leftChars="0" w:firstLine="560" w:firstLineChars="200"/>
        <w:rPr>
          <w:rFonts w:hint="default" w:ascii="Cambria" w:hAnsi="Cambria" w:eastAsia="宋体" w:cs="Cambria"/>
          <w:kern w:val="0"/>
          <w:sz w:val="28"/>
          <w:szCs w:val="28"/>
          <w:lang w:val="en-US" w:eastAsia="zh-CN" w:bidi="ar-SA"/>
        </w:rPr>
      </w:pPr>
      <w:r>
        <w:rPr>
          <w:rFonts w:hint="eastAsia" w:ascii="Cambria" w:hAnsi="Cambria" w:eastAsia="宋体" w:cs="Cambria"/>
          <w:kern w:val="0"/>
          <w:sz w:val="28"/>
          <w:szCs w:val="28"/>
          <w:lang w:val="en-US" w:eastAsia="zh-CN" w:bidi="ar-SA"/>
        </w:rPr>
        <w:t>公司注重公司与员工双赢，在公司稳步发展的同时，为员工提供良好的工作环境、适宜的生活条件以及具有竞争性的薪酬福利。公司提倡人与人之间互相尊重的工作氛围，建立完善的绩效管理制度和具有行业竞争力的薪酬制度，建立完善的晋升渠道和培训体系，关爱困难员工等一系列针对性措施来免除员工的后顾之忧，来提升员工的满意度。</w:t>
      </w:r>
    </w:p>
    <w:p>
      <w:pPr>
        <w:ind w:firstLine="560" w:firstLineChars="200"/>
        <w:rPr>
          <w:rFonts w:cs="Times New Roman" w:eastAsiaTheme="minorEastAsia"/>
        </w:rPr>
      </w:pPr>
      <w:r>
        <w:rPr>
          <w:rFonts w:hint="eastAsia" w:ascii="Cambria" w:hAnsi="Cambria" w:eastAsia="宋体" w:cs="Cambria"/>
          <w:kern w:val="0"/>
          <w:sz w:val="28"/>
          <w:szCs w:val="28"/>
          <w:lang w:val="en-US" w:eastAsia="zh-CN" w:bidi="ar-SA"/>
        </w:rPr>
        <w:t>公司每年度开展员工满意度调查，同时还通过日常的沟通、专项调查、员工离职分析等多种方式来了解员工的满意程度并促进改进。</w:t>
      </w:r>
    </w:p>
    <w:p>
      <w:pPr>
        <w:pStyle w:val="2"/>
        <w:spacing w:after="0"/>
        <w:ind w:left="0" w:leftChars="0" w:firstLine="0" w:firstLineChars="0"/>
        <w:jc w:val="center"/>
        <w:rPr>
          <w:rFonts w:ascii="Times New Roman" w:hAnsi="Times New Roman" w:eastAsiaTheme="minorEastAsia"/>
        </w:rPr>
      </w:pPr>
      <w:r>
        <w:rPr>
          <w:rFonts w:ascii="Times New Roman" w:hAnsi="Times New Roman" w:eastAsiaTheme="minorEastAsia"/>
        </w:rPr>
        <w:drawing>
          <wp:inline distT="0" distB="0" distL="0" distR="0">
            <wp:extent cx="2780030" cy="1572895"/>
            <wp:effectExtent l="0" t="0" r="8890" b="12065"/>
            <wp:docPr id="14343" name="图片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 name="图片 14343"/>
                    <pic:cNvPicPr>
                      <a:picLocks noChangeAspect="1"/>
                    </pic:cNvPicPr>
                  </pic:nvPicPr>
                  <pic:blipFill>
                    <a:blip r:embed="rId17"/>
                    <a:stretch>
                      <a:fillRect/>
                    </a:stretch>
                  </pic:blipFill>
                  <pic:spPr>
                    <a:xfrm>
                      <a:off x="0" y="0"/>
                      <a:ext cx="2797258" cy="1582870"/>
                    </a:xfrm>
                    <a:prstGeom prst="rect">
                      <a:avLst/>
                    </a:prstGeom>
                  </pic:spPr>
                </pic:pic>
              </a:graphicData>
            </a:graphic>
          </wp:inline>
        </w:drawing>
      </w:r>
      <w:r>
        <w:rPr>
          <w:rFonts w:ascii="Times New Roman" w:hAnsi="Times New Roman" w:eastAsiaTheme="minorEastAsia"/>
        </w:rPr>
        <w:t xml:space="preserve"> </w:t>
      </w:r>
      <w:r>
        <w:rPr>
          <w:rFonts w:ascii="Times New Roman" w:hAnsi="Times New Roman" w:eastAsiaTheme="minorEastAsia"/>
        </w:rPr>
        <w:drawing>
          <wp:inline distT="0" distB="0" distL="0" distR="0">
            <wp:extent cx="2463165" cy="1570990"/>
            <wp:effectExtent l="0" t="0" r="5715" b="13970"/>
            <wp:docPr id="14344" name="图片 1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 name="图片 14344"/>
                    <pic:cNvPicPr>
                      <a:picLocks noChangeAspect="1"/>
                    </pic:cNvPicPr>
                  </pic:nvPicPr>
                  <pic:blipFill>
                    <a:blip r:embed="rId18"/>
                    <a:stretch>
                      <a:fillRect/>
                    </a:stretch>
                  </pic:blipFill>
                  <pic:spPr>
                    <a:xfrm>
                      <a:off x="0" y="0"/>
                      <a:ext cx="2469789" cy="1575233"/>
                    </a:xfrm>
                    <a:prstGeom prst="rect">
                      <a:avLst/>
                    </a:prstGeom>
                  </pic:spPr>
                </pic:pic>
              </a:graphicData>
            </a:graphic>
          </wp:inline>
        </w:drawing>
      </w:r>
    </w:p>
    <w:p>
      <w:pPr>
        <w:pStyle w:val="2"/>
        <w:spacing w:afterLines="50"/>
        <w:ind w:left="0" w:leftChars="0" w:firstLine="0" w:firstLineChars="0"/>
        <w:jc w:val="center"/>
        <w:rPr>
          <w:rFonts w:ascii="Times New Roman" w:hAnsi="Times New Roman" w:eastAsiaTheme="minorEastAsia"/>
        </w:rPr>
      </w:pPr>
      <w:r>
        <w:rPr>
          <w:rFonts w:hint="eastAsia" w:ascii="Times New Roman" w:hAnsi="Times New Roman" w:cs="Times New Roman" w:eastAsiaTheme="minorEastAsia"/>
          <w:lang w:val="en-US" w:eastAsia="zh-CN"/>
        </w:rPr>
        <w:t>图</w:t>
      </w:r>
      <w:r>
        <w:rPr>
          <w:rFonts w:ascii="Times New Roman" w:hAnsi="Times New Roman" w:cs="Times New Roman" w:eastAsiaTheme="minorEastAsia"/>
        </w:rPr>
        <w:t>表</w:t>
      </w:r>
      <w:r>
        <w:rPr>
          <w:rFonts w:hint="eastAsia" w:ascii="Times New Roman" w:hAnsi="Times New Roman" w:cs="Times New Roman" w:eastAsiaTheme="minorEastAsia"/>
          <w:lang w:val="en-US" w:eastAsia="zh-CN"/>
        </w:rPr>
        <w:t>2-7</w:t>
      </w:r>
      <w:r>
        <w:rPr>
          <w:rFonts w:ascii="Times New Roman" w:hAnsi="Times New Roman" w:eastAsiaTheme="minorEastAsia"/>
          <w:b/>
          <w:szCs w:val="20"/>
        </w:rPr>
        <w:t xml:space="preserve"> 员工满意度调查结果示例</w:t>
      </w:r>
    </w:p>
    <w:p>
      <w:pPr>
        <w:pStyle w:val="20"/>
        <w:ind w:left="0" w:leftChars="0" w:firstLine="560" w:firstLineChars="200"/>
        <w:rPr>
          <w:rFonts w:hint="eastAsia" w:ascii="Cambria" w:hAnsi="Cambria" w:eastAsia="宋体" w:cs="Cambria"/>
          <w:kern w:val="0"/>
          <w:sz w:val="28"/>
          <w:szCs w:val="28"/>
          <w:lang w:val="en-US" w:eastAsia="zh-CN" w:bidi="ar-SA"/>
        </w:rPr>
      </w:pPr>
      <w:r>
        <w:rPr>
          <w:rFonts w:hint="eastAsia" w:ascii="Cambria" w:hAnsi="Cambria" w:eastAsia="宋体" w:cs="Cambria"/>
          <w:kern w:val="0"/>
          <w:sz w:val="28"/>
          <w:szCs w:val="28"/>
          <w:lang w:val="en-US" w:eastAsia="zh-CN" w:bidi="ar-SA"/>
        </w:rPr>
        <w:t>在对数据进行分析后，改进调研所暴露的问题，同时预防可能发生的问题，以此提高员工满意度，减少员工流失。对员工的支持还体现在针对所有员工设立的各种名目的奖励措施。从公司到部门，从生产到技术再到质量，纵横交错的激励体系，充分激发了员工的工作积极性。</w:t>
      </w:r>
    </w:p>
    <w:p>
      <w:pPr>
        <w:pStyle w:val="20"/>
        <w:ind w:left="0" w:leftChars="0" w:firstLine="560" w:firstLineChars="200"/>
        <w:rPr>
          <w:rFonts w:hint="eastAsia" w:ascii="Cambria" w:hAnsi="Cambria" w:eastAsia="宋体" w:cs="Cambria"/>
          <w:kern w:val="0"/>
          <w:sz w:val="28"/>
          <w:szCs w:val="28"/>
          <w:lang w:val="en-US" w:eastAsia="zh-CN" w:bidi="ar-SA"/>
        </w:rPr>
      </w:pPr>
      <w:r>
        <w:rPr>
          <w:rFonts w:hint="eastAsia" w:ascii="Cambria" w:hAnsi="Cambria" w:eastAsia="宋体" w:cs="Cambria"/>
          <w:kern w:val="0"/>
          <w:sz w:val="28"/>
          <w:szCs w:val="28"/>
          <w:lang w:val="en-US" w:eastAsia="zh-CN" w:bidi="ar-SA"/>
        </w:rPr>
        <w:t>总而言之，社会责任是久盛的应尽的责任，是回报社会的最好方法，我们将自始至终努力实现。</w:t>
      </w:r>
    </w:p>
    <w:sectPr>
      <w:headerReference r:id="rId5" w:type="default"/>
      <w:footerReference r:id="rId6" w:type="default"/>
      <w:pgSz w:w="11906" w:h="16838"/>
      <w:pgMar w:top="1440" w:right="1080" w:bottom="1440" w:left="1080"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EHKHQN+ËÎÌå">
    <w:altName w:val="微软雅黑"/>
    <w:panose1 w:val="00000000000000000000"/>
    <w:charset w:val="01"/>
    <w:family w:val="auto"/>
    <w:pitch w:val="default"/>
    <w:sig w:usb0="00000000" w:usb1="00000000" w:usb2="00000000"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58402388"/>
      <w:docPartObj>
        <w:docPartGallery w:val="autotext"/>
      </w:docPartObj>
    </w:sdtPr>
    <w:sdtContent>
      <w:p>
        <w:pPr>
          <w:pStyle w:val="8"/>
          <w:ind w:firstLine="360"/>
          <w:jc w:val="center"/>
        </w:pPr>
        <w:r>
          <w:fldChar w:fldCharType="begin"/>
        </w:r>
        <w:r>
          <w:instrText xml:space="preserve">PAGE   \* MERGEFORMAT</w:instrText>
        </w:r>
        <w:r>
          <w:fldChar w:fldCharType="separate"/>
        </w:r>
        <w:r>
          <w:rPr>
            <w:lang w:val="zh-CN"/>
          </w:rPr>
          <w:t>2</w:t>
        </w:r>
        <w:r>
          <w:fldChar w:fldCharType="end"/>
        </w:r>
      </w:p>
    </w:sdtContent>
  </w:sdt>
  <w:p>
    <w:pPr>
      <w:pStyle w:val="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0" w:leftChars="0" w:firstLine="0" w:firstLineChars="0"/>
      <w:jc w:val="both"/>
    </w:pPr>
    <w:r>
      <w:rPr>
        <w:rFonts w:asciiTheme="majorEastAsia" w:hAnsiTheme="majorEastAsia" w:eastAsiaTheme="majorEastAsia"/>
      </w:rPr>
      <w:drawing>
        <wp:inline distT="0" distB="0" distL="114300" distR="114300">
          <wp:extent cx="714375" cy="480060"/>
          <wp:effectExtent l="0" t="0" r="1905" b="7620"/>
          <wp:docPr id="4" name="图片 2" descr="图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图形1"/>
                  <pic:cNvPicPr>
                    <a:picLocks noChangeAspect="1"/>
                  </pic:cNvPicPr>
                </pic:nvPicPr>
                <pic:blipFill>
                  <a:blip r:embed="rId1"/>
                  <a:stretch>
                    <a:fillRect/>
                  </a:stretch>
                </pic:blipFill>
                <pic:spPr>
                  <a:xfrm>
                    <a:off x="0" y="0"/>
                    <a:ext cx="714375" cy="480060"/>
                  </a:xfrm>
                  <a:prstGeom prst="rect">
                    <a:avLst/>
                  </a:prstGeom>
                  <a:noFill/>
                  <a:ln>
                    <a:noFill/>
                  </a:ln>
                </pic:spPr>
              </pic:pic>
            </a:graphicData>
          </a:graphic>
        </wp:inline>
      </w:drawing>
    </w:r>
    <w:r>
      <w:rPr>
        <w:rFonts w:hint="eastAsia" w:ascii="宋体" w:hAnsi="宋体" w:eastAsia="宋体" w:cs="宋体"/>
        <w:b/>
        <w:bCs/>
        <w:sz w:val="24"/>
        <w:szCs w:val="24"/>
        <w:lang w:val="en-US" w:eastAsia="zh-CN"/>
      </w:rPr>
      <w:t>2022年社会责任报告</w:t>
    </w:r>
    <w:r>
      <w:rPr>
        <w:rFonts w:hint="eastAsia" w:asciiTheme="majorEastAsia" w:hAnsiTheme="majorEastAsia" w:eastAsiaTheme="majorEastAsia"/>
      </w:rPr>
      <w:t xml:space="preserve"> </w:t>
    </w:r>
  </w:p>
  <w:p>
    <w:pPr>
      <w:pStyle w:val="9"/>
      <w:pBdr>
        <w:bottom w:val="none" w:color="auto" w:sz="0" w:space="1"/>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U0ODM5MDEyNGZhNzFkN2QwMDZlMGNmZWMxZDgzNjUifQ=="/>
  </w:docVars>
  <w:rsids>
    <w:rsidRoot w:val="00A32AC3"/>
    <w:rsid w:val="00031484"/>
    <w:rsid w:val="00061187"/>
    <w:rsid w:val="00076B72"/>
    <w:rsid w:val="000C3C19"/>
    <w:rsid w:val="00147EB5"/>
    <w:rsid w:val="00164D0F"/>
    <w:rsid w:val="00165962"/>
    <w:rsid w:val="00197D0C"/>
    <w:rsid w:val="001F282A"/>
    <w:rsid w:val="00227E39"/>
    <w:rsid w:val="00284329"/>
    <w:rsid w:val="0029373D"/>
    <w:rsid w:val="002A3CE5"/>
    <w:rsid w:val="002B36D7"/>
    <w:rsid w:val="003144DE"/>
    <w:rsid w:val="003219F2"/>
    <w:rsid w:val="003733C5"/>
    <w:rsid w:val="003821B0"/>
    <w:rsid w:val="003968A5"/>
    <w:rsid w:val="00435A52"/>
    <w:rsid w:val="0045545F"/>
    <w:rsid w:val="004632AD"/>
    <w:rsid w:val="004B473A"/>
    <w:rsid w:val="004D0087"/>
    <w:rsid w:val="004E4DDC"/>
    <w:rsid w:val="00514BE3"/>
    <w:rsid w:val="00521E7D"/>
    <w:rsid w:val="0056408A"/>
    <w:rsid w:val="005B4A6B"/>
    <w:rsid w:val="005E60B8"/>
    <w:rsid w:val="005F0DD8"/>
    <w:rsid w:val="0065166E"/>
    <w:rsid w:val="006C1173"/>
    <w:rsid w:val="00702588"/>
    <w:rsid w:val="007B6133"/>
    <w:rsid w:val="007D1ED7"/>
    <w:rsid w:val="0084378C"/>
    <w:rsid w:val="0092778D"/>
    <w:rsid w:val="00961AA0"/>
    <w:rsid w:val="009F3F73"/>
    <w:rsid w:val="00A11A78"/>
    <w:rsid w:val="00A32AC3"/>
    <w:rsid w:val="00A5191F"/>
    <w:rsid w:val="00AA2A7A"/>
    <w:rsid w:val="00B62195"/>
    <w:rsid w:val="00BC4FE6"/>
    <w:rsid w:val="00BD0F38"/>
    <w:rsid w:val="00C23EB5"/>
    <w:rsid w:val="00CD0E97"/>
    <w:rsid w:val="00DA0F61"/>
    <w:rsid w:val="00DD37A1"/>
    <w:rsid w:val="00E03AB3"/>
    <w:rsid w:val="00E352C7"/>
    <w:rsid w:val="00E5420D"/>
    <w:rsid w:val="00E84D61"/>
    <w:rsid w:val="00EC658A"/>
    <w:rsid w:val="00EE58E1"/>
    <w:rsid w:val="00F120DF"/>
    <w:rsid w:val="00F23241"/>
    <w:rsid w:val="00F26C80"/>
    <w:rsid w:val="00F434A9"/>
    <w:rsid w:val="00F44F67"/>
    <w:rsid w:val="00F63CC5"/>
    <w:rsid w:val="00FA0B9A"/>
    <w:rsid w:val="01BD101B"/>
    <w:rsid w:val="01C506B1"/>
    <w:rsid w:val="022675DE"/>
    <w:rsid w:val="028C35D3"/>
    <w:rsid w:val="03800D34"/>
    <w:rsid w:val="042C4A18"/>
    <w:rsid w:val="04581CB1"/>
    <w:rsid w:val="04A96068"/>
    <w:rsid w:val="04EB6681"/>
    <w:rsid w:val="052D0A47"/>
    <w:rsid w:val="061314E0"/>
    <w:rsid w:val="062A31D9"/>
    <w:rsid w:val="07C92B37"/>
    <w:rsid w:val="082C2EC6"/>
    <w:rsid w:val="084A5DB4"/>
    <w:rsid w:val="085D5AE7"/>
    <w:rsid w:val="090239D0"/>
    <w:rsid w:val="09E21CC2"/>
    <w:rsid w:val="09F77876"/>
    <w:rsid w:val="0A93759F"/>
    <w:rsid w:val="0AC41E4E"/>
    <w:rsid w:val="0B6B22C9"/>
    <w:rsid w:val="0C201F08"/>
    <w:rsid w:val="0C340C08"/>
    <w:rsid w:val="0D682F64"/>
    <w:rsid w:val="0E213113"/>
    <w:rsid w:val="10060813"/>
    <w:rsid w:val="106F63B8"/>
    <w:rsid w:val="10A65B52"/>
    <w:rsid w:val="10D32CC7"/>
    <w:rsid w:val="112E1DCF"/>
    <w:rsid w:val="11D566EF"/>
    <w:rsid w:val="121D3BF2"/>
    <w:rsid w:val="125910CE"/>
    <w:rsid w:val="12952917"/>
    <w:rsid w:val="12C86F91"/>
    <w:rsid w:val="135E24DB"/>
    <w:rsid w:val="155344FA"/>
    <w:rsid w:val="157D6F8C"/>
    <w:rsid w:val="159A3ED7"/>
    <w:rsid w:val="162639BD"/>
    <w:rsid w:val="16B74615"/>
    <w:rsid w:val="16D521E8"/>
    <w:rsid w:val="17EE22B8"/>
    <w:rsid w:val="181F06C4"/>
    <w:rsid w:val="18267CA4"/>
    <w:rsid w:val="191A48F5"/>
    <w:rsid w:val="194A1770"/>
    <w:rsid w:val="19A97099"/>
    <w:rsid w:val="19D23251"/>
    <w:rsid w:val="1A491A28"/>
    <w:rsid w:val="1AF44089"/>
    <w:rsid w:val="1B193AF0"/>
    <w:rsid w:val="1D0D31E0"/>
    <w:rsid w:val="1D6923E1"/>
    <w:rsid w:val="1E42335E"/>
    <w:rsid w:val="20B3409F"/>
    <w:rsid w:val="216B6728"/>
    <w:rsid w:val="22320A85"/>
    <w:rsid w:val="22D24584"/>
    <w:rsid w:val="22D92DBE"/>
    <w:rsid w:val="23256DAA"/>
    <w:rsid w:val="236B2721"/>
    <w:rsid w:val="236E69A3"/>
    <w:rsid w:val="238C6E29"/>
    <w:rsid w:val="23B343B6"/>
    <w:rsid w:val="244E459C"/>
    <w:rsid w:val="257921E8"/>
    <w:rsid w:val="27E45486"/>
    <w:rsid w:val="28773C04"/>
    <w:rsid w:val="293D6BFB"/>
    <w:rsid w:val="297E7214"/>
    <w:rsid w:val="29D84B76"/>
    <w:rsid w:val="2B604E23"/>
    <w:rsid w:val="2C8132A3"/>
    <w:rsid w:val="2CC942BE"/>
    <w:rsid w:val="2CFF066C"/>
    <w:rsid w:val="2D1C6885"/>
    <w:rsid w:val="2DF16206"/>
    <w:rsid w:val="2E556795"/>
    <w:rsid w:val="31911553"/>
    <w:rsid w:val="324B1ED4"/>
    <w:rsid w:val="32785148"/>
    <w:rsid w:val="32F3657D"/>
    <w:rsid w:val="33E5680D"/>
    <w:rsid w:val="346A0AC1"/>
    <w:rsid w:val="34DA3E98"/>
    <w:rsid w:val="36745C27"/>
    <w:rsid w:val="369736C3"/>
    <w:rsid w:val="36B01365"/>
    <w:rsid w:val="36F73DE2"/>
    <w:rsid w:val="374C137C"/>
    <w:rsid w:val="37A662B4"/>
    <w:rsid w:val="37AD13F0"/>
    <w:rsid w:val="38402264"/>
    <w:rsid w:val="387B0050"/>
    <w:rsid w:val="3900331E"/>
    <w:rsid w:val="39047736"/>
    <w:rsid w:val="394A0EC1"/>
    <w:rsid w:val="396E1053"/>
    <w:rsid w:val="39F5707E"/>
    <w:rsid w:val="3A38498E"/>
    <w:rsid w:val="3A521AC7"/>
    <w:rsid w:val="3A5F274A"/>
    <w:rsid w:val="3AA12D62"/>
    <w:rsid w:val="3AA34D2C"/>
    <w:rsid w:val="3AF47E43"/>
    <w:rsid w:val="3BCA3F69"/>
    <w:rsid w:val="3C6B7ACC"/>
    <w:rsid w:val="3C836BC3"/>
    <w:rsid w:val="3D3D0110"/>
    <w:rsid w:val="3F4E099A"/>
    <w:rsid w:val="3FDC2A99"/>
    <w:rsid w:val="40297539"/>
    <w:rsid w:val="41847666"/>
    <w:rsid w:val="4251506E"/>
    <w:rsid w:val="42E934F8"/>
    <w:rsid w:val="43811983"/>
    <w:rsid w:val="446E57AD"/>
    <w:rsid w:val="4497145E"/>
    <w:rsid w:val="469848F3"/>
    <w:rsid w:val="476F0470"/>
    <w:rsid w:val="47A677ED"/>
    <w:rsid w:val="486E0728"/>
    <w:rsid w:val="490B41C9"/>
    <w:rsid w:val="497C50C6"/>
    <w:rsid w:val="49FD6207"/>
    <w:rsid w:val="4A9D52F4"/>
    <w:rsid w:val="4B217CD3"/>
    <w:rsid w:val="4BDC1E4C"/>
    <w:rsid w:val="4C1415E6"/>
    <w:rsid w:val="4CEE418A"/>
    <w:rsid w:val="4D203FBB"/>
    <w:rsid w:val="4D8A1A00"/>
    <w:rsid w:val="4EEF633A"/>
    <w:rsid w:val="4F1F09CE"/>
    <w:rsid w:val="4F351F9F"/>
    <w:rsid w:val="4FB530E0"/>
    <w:rsid w:val="4FEA3F18"/>
    <w:rsid w:val="50011E81"/>
    <w:rsid w:val="51CE66DB"/>
    <w:rsid w:val="521C11F4"/>
    <w:rsid w:val="521F2A93"/>
    <w:rsid w:val="532F31A9"/>
    <w:rsid w:val="5394125E"/>
    <w:rsid w:val="54C47921"/>
    <w:rsid w:val="54E0475B"/>
    <w:rsid w:val="56AD4B11"/>
    <w:rsid w:val="57E04A72"/>
    <w:rsid w:val="587C29ED"/>
    <w:rsid w:val="58D41145"/>
    <w:rsid w:val="58E40592"/>
    <w:rsid w:val="590906E1"/>
    <w:rsid w:val="59413C36"/>
    <w:rsid w:val="5967369D"/>
    <w:rsid w:val="5B250363"/>
    <w:rsid w:val="5BDB5C7C"/>
    <w:rsid w:val="5C8E7193"/>
    <w:rsid w:val="5DD9443E"/>
    <w:rsid w:val="5E7437FC"/>
    <w:rsid w:val="607630AD"/>
    <w:rsid w:val="616F01D6"/>
    <w:rsid w:val="61A15272"/>
    <w:rsid w:val="622D2FAA"/>
    <w:rsid w:val="62F228D5"/>
    <w:rsid w:val="63AE573A"/>
    <w:rsid w:val="644750CA"/>
    <w:rsid w:val="656E190F"/>
    <w:rsid w:val="65E82232"/>
    <w:rsid w:val="66996E60"/>
    <w:rsid w:val="66A31A8D"/>
    <w:rsid w:val="687068E0"/>
    <w:rsid w:val="6888619C"/>
    <w:rsid w:val="697B45FB"/>
    <w:rsid w:val="6A6A0451"/>
    <w:rsid w:val="6AF4228A"/>
    <w:rsid w:val="6AF97ECD"/>
    <w:rsid w:val="6BAD5F41"/>
    <w:rsid w:val="6BAF4A30"/>
    <w:rsid w:val="6CD24E7A"/>
    <w:rsid w:val="6D0F39D8"/>
    <w:rsid w:val="6D170ADE"/>
    <w:rsid w:val="6DAA3BEC"/>
    <w:rsid w:val="714F3D20"/>
    <w:rsid w:val="71A30B93"/>
    <w:rsid w:val="747B2605"/>
    <w:rsid w:val="755D54FC"/>
    <w:rsid w:val="75CB4B5C"/>
    <w:rsid w:val="75FA7AEF"/>
    <w:rsid w:val="762B73A9"/>
    <w:rsid w:val="76BF021D"/>
    <w:rsid w:val="790B193F"/>
    <w:rsid w:val="7AE446F6"/>
    <w:rsid w:val="7AE77D42"/>
    <w:rsid w:val="7B191C40"/>
    <w:rsid w:val="7B5A456B"/>
    <w:rsid w:val="7BAE6AB2"/>
    <w:rsid w:val="7C030BAC"/>
    <w:rsid w:val="7C2E2F18"/>
    <w:rsid w:val="7DF86670"/>
    <w:rsid w:val="7E9E4BBC"/>
    <w:rsid w:val="7FC41628"/>
    <w:rsid w:val="7FC71EF0"/>
    <w:rsid w:val="7FFC42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iPriority="0" w:semiHidden="0" w:name="Normal"/>
    <w:lsdException w:qFormat="1"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widowControl w:val="0"/>
      <w:spacing w:line="360" w:lineRule="auto"/>
      <w:ind w:firstLine="200" w:firstLineChars="200"/>
    </w:pPr>
    <w:rPr>
      <w:rFonts w:eastAsia="宋体" w:asciiTheme="minorHAnsi" w:hAnsiTheme="minorHAnsi" w:cstheme="minorBidi"/>
      <w:kern w:val="2"/>
      <w:sz w:val="24"/>
      <w:szCs w:val="21"/>
      <w:lang w:val="en-US" w:eastAsia="zh-CN" w:bidi="ar-SA"/>
    </w:rPr>
  </w:style>
  <w:style w:type="paragraph" w:styleId="4">
    <w:name w:val="heading 1"/>
    <w:basedOn w:val="1"/>
    <w:next w:val="1"/>
    <w:link w:val="16"/>
    <w:unhideWhenUsed/>
    <w:qFormat/>
    <w:uiPriority w:val="0"/>
    <w:pPr>
      <w:keepNext/>
      <w:keepLines/>
      <w:widowControl/>
      <w:suppressLineNumbers/>
      <w:ind w:firstLine="1044"/>
      <w:jc w:val="center"/>
      <w:outlineLvl w:val="0"/>
    </w:pPr>
    <w:rPr>
      <w:rFonts w:ascii="黑体" w:hAnsi="黑体" w:eastAsia="黑体" w:cs="Times New Roman"/>
      <w:b/>
      <w:bCs/>
      <w:kern w:val="44"/>
      <w:sz w:val="52"/>
      <w:szCs w:val="52"/>
    </w:rPr>
  </w:style>
  <w:style w:type="paragraph" w:styleId="5">
    <w:name w:val="heading 2"/>
    <w:basedOn w:val="1"/>
    <w:next w:val="1"/>
    <w:link w:val="19"/>
    <w:semiHidden/>
    <w:unhideWhenUsed/>
    <w:qFormat/>
    <w:uiPriority w:val="9"/>
    <w:pPr>
      <w:keepNext/>
      <w:keepLines/>
      <w:outlineLvl w:val="1"/>
    </w:pPr>
    <w:rPr>
      <w:rFonts w:eastAsia="黑体" w:asciiTheme="majorHAnsi" w:hAnsiTheme="majorHAnsi" w:cstheme="majorBidi"/>
      <w:b/>
      <w:bCs/>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widowControl/>
      <w:adjustRightInd w:val="0"/>
      <w:snapToGrid w:val="0"/>
      <w:ind w:firstLine="420" w:firstLineChars="200"/>
      <w:jc w:val="left"/>
    </w:pPr>
    <w:rPr>
      <w:rFonts w:ascii="Tahoma" w:hAnsi="Tahoma" w:cs="Times New Roman"/>
      <w:kern w:val="0"/>
      <w:sz w:val="21"/>
      <w:szCs w:val="21"/>
    </w:rPr>
  </w:style>
  <w:style w:type="paragraph" w:styleId="3">
    <w:name w:val="Body Text Indent"/>
    <w:basedOn w:val="1"/>
    <w:unhideWhenUsed/>
    <w:qFormat/>
    <w:uiPriority w:val="0"/>
    <w:pPr>
      <w:spacing w:after="120"/>
      <w:ind w:left="420" w:leftChars="200"/>
    </w:pPr>
    <w:rPr>
      <w:rFonts w:eastAsia="宋体"/>
    </w:rPr>
  </w:style>
  <w:style w:type="paragraph" w:styleId="6">
    <w:name w:val="caption"/>
    <w:basedOn w:val="1"/>
    <w:next w:val="1"/>
    <w:unhideWhenUsed/>
    <w:qFormat/>
    <w:uiPriority w:val="35"/>
    <w:pPr>
      <w:jc w:val="center"/>
    </w:pPr>
    <w:rPr>
      <w:rFonts w:ascii="楷体" w:hAnsi="楷体" w:cstheme="majorBidi"/>
      <w:b/>
      <w:szCs w:val="20"/>
    </w:rPr>
  </w:style>
  <w:style w:type="paragraph" w:styleId="7">
    <w:name w:val="Body Text"/>
    <w:basedOn w:val="1"/>
    <w:qFormat/>
    <w:uiPriority w:val="0"/>
    <w:pPr>
      <w:spacing w:after="120" w:line="240" w:lineRule="auto"/>
    </w:pPr>
    <w:rPr>
      <w:rFonts w:ascii="Calibri" w:hAnsi="Calibri" w:eastAsia="宋体" w:cs="Times New Roman"/>
      <w:sz w:val="21"/>
    </w:rPr>
  </w:style>
  <w:style w:type="paragraph" w:styleId="8">
    <w:name w:val="footer"/>
    <w:basedOn w:val="1"/>
    <w:link w:val="26"/>
    <w:unhideWhenUsed/>
    <w:qFormat/>
    <w:uiPriority w:val="99"/>
    <w:pPr>
      <w:tabs>
        <w:tab w:val="center" w:pos="4153"/>
        <w:tab w:val="right" w:pos="8306"/>
      </w:tabs>
      <w:snapToGrid w:val="0"/>
      <w:spacing w:line="240" w:lineRule="auto"/>
    </w:pPr>
    <w:rPr>
      <w:sz w:val="18"/>
      <w:szCs w:val="18"/>
    </w:rPr>
  </w:style>
  <w:style w:type="paragraph" w:styleId="9">
    <w:name w:val="header"/>
    <w:basedOn w:val="1"/>
    <w:link w:val="25"/>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0">
    <w:name w:val="toc 1"/>
    <w:basedOn w:val="1"/>
    <w:next w:val="1"/>
    <w:unhideWhenUsed/>
    <w:qFormat/>
    <w:uiPriority w:val="39"/>
  </w:style>
  <w:style w:type="paragraph" w:styleId="11">
    <w:name w:val="Normal (Web)"/>
    <w:basedOn w:val="1"/>
    <w:qFormat/>
    <w:uiPriority w:val="0"/>
    <w:pPr>
      <w:spacing w:before="0" w:beforeAutospacing="1" w:after="0" w:afterAutospacing="1"/>
      <w:ind w:left="0" w:right="0"/>
      <w:jc w:val="left"/>
    </w:pPr>
    <w:rPr>
      <w:kern w:val="0"/>
      <w:sz w:val="24"/>
      <w:lang w:val="en-US" w:eastAsia="zh-CN" w:bidi="ar"/>
    </w:rPr>
  </w:style>
  <w:style w:type="table" w:styleId="13">
    <w:name w:val="Table Grid"/>
    <w:basedOn w:val="12"/>
    <w:unhideWhenUsed/>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customStyle="1" w:styleId="16">
    <w:name w:val="标题 1 字符"/>
    <w:basedOn w:val="14"/>
    <w:link w:val="4"/>
    <w:qFormat/>
    <w:uiPriority w:val="0"/>
    <w:rPr>
      <w:rFonts w:ascii="黑体" w:hAnsi="黑体" w:eastAsia="黑体" w:cs="Times New Roman"/>
      <w:b/>
      <w:bCs/>
      <w:kern w:val="44"/>
      <w:sz w:val="52"/>
      <w:szCs w:val="52"/>
    </w:rPr>
  </w:style>
  <w:style w:type="paragraph" w:customStyle="1" w:styleId="17">
    <w:name w:val="表头"/>
    <w:basedOn w:val="1"/>
    <w:link w:val="22"/>
    <w:qFormat/>
    <w:uiPriority w:val="0"/>
    <w:pPr>
      <w:widowControl/>
      <w:ind w:firstLine="0" w:firstLineChars="0"/>
      <w:jc w:val="center"/>
    </w:pPr>
    <w:rPr>
      <w:rFonts w:eastAsia="黑体"/>
      <w:b/>
      <w:sz w:val="21"/>
    </w:rPr>
  </w:style>
  <w:style w:type="paragraph" w:customStyle="1" w:styleId="18">
    <w:name w:val="正宗一级标题"/>
    <w:basedOn w:val="1"/>
    <w:unhideWhenUsed/>
    <w:qFormat/>
    <w:uiPriority w:val="0"/>
    <w:pPr>
      <w:widowControl/>
      <w:outlineLvl w:val="0"/>
    </w:pPr>
    <w:rPr>
      <w:rFonts w:ascii="Times New Roman" w:hAnsi="Times New Roman" w:eastAsia="黑体" w:cs="Times New Roman"/>
      <w:b/>
      <w:sz w:val="28"/>
      <w:szCs w:val="24"/>
    </w:rPr>
  </w:style>
  <w:style w:type="character" w:customStyle="1" w:styleId="19">
    <w:name w:val="标题 2 字符"/>
    <w:basedOn w:val="14"/>
    <w:link w:val="5"/>
    <w:qFormat/>
    <w:uiPriority w:val="0"/>
    <w:rPr>
      <w:rFonts w:eastAsia="黑体" w:asciiTheme="majorHAnsi" w:hAnsiTheme="majorHAnsi" w:cstheme="majorBidi"/>
      <w:b/>
      <w:bCs/>
      <w:sz w:val="24"/>
      <w:szCs w:val="32"/>
    </w:rPr>
  </w:style>
  <w:style w:type="paragraph" w:customStyle="1" w:styleId="20">
    <w:name w:val="报告正文"/>
    <w:basedOn w:val="1"/>
    <w:link w:val="21"/>
    <w:qFormat/>
    <w:uiPriority w:val="0"/>
    <w:pPr>
      <w:widowControl/>
      <w:snapToGrid w:val="0"/>
      <w:ind w:firstLine="480"/>
      <w:contextualSpacing/>
    </w:pPr>
  </w:style>
  <w:style w:type="character" w:customStyle="1" w:styleId="21">
    <w:name w:val="报告正文 字符"/>
    <w:basedOn w:val="14"/>
    <w:link w:val="20"/>
    <w:qFormat/>
    <w:uiPriority w:val="0"/>
    <w:rPr>
      <w:rFonts w:eastAsia="宋体"/>
      <w:sz w:val="24"/>
    </w:rPr>
  </w:style>
  <w:style w:type="character" w:customStyle="1" w:styleId="22">
    <w:name w:val="表头 字符"/>
    <w:basedOn w:val="14"/>
    <w:link w:val="17"/>
    <w:qFormat/>
    <w:uiPriority w:val="0"/>
    <w:rPr>
      <w:rFonts w:eastAsia="黑体"/>
      <w:b/>
    </w:rPr>
  </w:style>
  <w:style w:type="paragraph" w:customStyle="1" w:styleId="23">
    <w:name w:val="表内文字"/>
    <w:basedOn w:val="17"/>
    <w:link w:val="24"/>
    <w:qFormat/>
    <w:uiPriority w:val="0"/>
    <w:pPr>
      <w:spacing w:line="240" w:lineRule="auto"/>
      <w:jc w:val="left"/>
    </w:pPr>
    <w:rPr>
      <w:rFonts w:eastAsia="宋体"/>
      <w:b w:val="0"/>
    </w:rPr>
  </w:style>
  <w:style w:type="character" w:customStyle="1" w:styleId="24">
    <w:name w:val="表内文字 字符"/>
    <w:basedOn w:val="22"/>
    <w:link w:val="23"/>
    <w:qFormat/>
    <w:uiPriority w:val="0"/>
    <w:rPr>
      <w:rFonts w:eastAsia="宋体"/>
      <w:b w:val="0"/>
    </w:rPr>
  </w:style>
  <w:style w:type="character" w:customStyle="1" w:styleId="25">
    <w:name w:val="页眉 字符"/>
    <w:basedOn w:val="14"/>
    <w:link w:val="9"/>
    <w:qFormat/>
    <w:uiPriority w:val="99"/>
    <w:rPr>
      <w:rFonts w:eastAsia="宋体"/>
      <w:sz w:val="18"/>
      <w:szCs w:val="18"/>
    </w:rPr>
  </w:style>
  <w:style w:type="character" w:customStyle="1" w:styleId="26">
    <w:name w:val="页脚 字符"/>
    <w:basedOn w:val="14"/>
    <w:link w:val="8"/>
    <w:qFormat/>
    <w:uiPriority w:val="99"/>
    <w:rPr>
      <w:rFonts w:eastAsia="宋体"/>
      <w:sz w:val="18"/>
      <w:szCs w:val="18"/>
    </w:rPr>
  </w:style>
  <w:style w:type="paragraph" w:styleId="27">
    <w:name w:val="Quote"/>
    <w:basedOn w:val="1"/>
    <w:next w:val="1"/>
    <w:link w:val="28"/>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28">
    <w:name w:val="引用 字符"/>
    <w:basedOn w:val="14"/>
    <w:link w:val="27"/>
    <w:qFormat/>
    <w:uiPriority w:val="29"/>
    <w:rPr>
      <w:rFonts w:eastAsia="宋体"/>
      <w:i/>
      <w:iCs/>
      <w:color w:val="404040" w:themeColor="text1" w:themeTint="BF"/>
      <w:sz w:val="24"/>
      <w14:textFill>
        <w14:solidFill>
          <w14:schemeClr w14:val="tx1">
            <w14:lumMod w14:val="75000"/>
            <w14:lumOff w14:val="25000"/>
          </w14:schemeClr>
        </w14:solidFill>
      </w14:textFill>
    </w:rPr>
  </w:style>
  <w:style w:type="paragraph" w:customStyle="1" w:styleId="29">
    <w:name w:val="社质报告二级标题"/>
    <w:basedOn w:val="20"/>
    <w:link w:val="30"/>
    <w:qFormat/>
    <w:uiPriority w:val="0"/>
    <w:pPr>
      <w:ind w:firstLine="0" w:firstLineChars="0"/>
    </w:pPr>
    <w:rPr>
      <w:rFonts w:eastAsia="黑体"/>
      <w:b/>
    </w:rPr>
  </w:style>
  <w:style w:type="character" w:customStyle="1" w:styleId="30">
    <w:name w:val="社质报告二级标题 字符"/>
    <w:basedOn w:val="21"/>
    <w:link w:val="29"/>
    <w:qFormat/>
    <w:uiPriority w:val="0"/>
    <w:rPr>
      <w:rFonts w:eastAsia="黑体"/>
      <w:b/>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3CB821-66D2-4BDC-A19A-3D60D4940C4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5689</Words>
  <Characters>5871</Characters>
  <Lines>64</Lines>
  <Paragraphs>18</Paragraphs>
  <TotalTime>5</TotalTime>
  <ScaleCrop>false</ScaleCrop>
  <LinksUpToDate>false</LinksUpToDate>
  <CharactersWithSpaces>5895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2019-06-10T08:25:00Z</dcterms:created>
  <dc:creator>黄明昊</dc:creator>
  <cp:lastModifiedBy>YJ</cp:lastModifiedBy>
  <dcterms:modified xsi:type="dcterms:W3CDTF">2023-06-01T02:10:35Z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98B78DF492A742BFA812B940E967AD92</vt:lpwstr>
  </property>
</Properties>
</file>