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color w:val="000000" w:themeColor="text1"/>
          <w:sz w:val="44"/>
          <w:szCs w:val="44"/>
          <w14:textFill>
            <w14:solidFill>
              <w14:schemeClr w14:val="tx1"/>
            </w14:solidFill>
          </w14:textFill>
        </w:rPr>
      </w:pPr>
    </w:p>
    <w:p>
      <w:pPr>
        <w:jc w:val="center"/>
        <w:rPr>
          <w:b/>
          <w:color w:val="000000" w:themeColor="text1"/>
          <w:sz w:val="44"/>
          <w:szCs w:val="44"/>
          <w14:textFill>
            <w14:solidFill>
              <w14:schemeClr w14:val="tx1"/>
            </w14:solidFill>
          </w14:textFill>
        </w:rPr>
      </w:pPr>
    </w:p>
    <w:p>
      <w:pPr>
        <w:jc w:val="center"/>
        <w:rPr>
          <w:b/>
          <w:color w:val="000000" w:themeColor="text1"/>
          <w:sz w:val="44"/>
          <w:szCs w:val="44"/>
          <w14:textFill>
            <w14:solidFill>
              <w14:schemeClr w14:val="tx1"/>
            </w14:solidFill>
          </w14:textFill>
        </w:rPr>
      </w:pPr>
    </w:p>
    <w:p>
      <w:pPr>
        <w:jc w:val="center"/>
        <w:rPr>
          <w:b/>
          <w:color w:val="000000" w:themeColor="text1"/>
          <w:sz w:val="48"/>
          <w:szCs w:val="48"/>
          <w14:textFill>
            <w14:solidFill>
              <w14:schemeClr w14:val="tx1"/>
            </w14:solidFill>
          </w14:textFill>
        </w:rPr>
      </w:pPr>
      <w:r>
        <w:rPr>
          <w:rFonts w:hint="eastAsia"/>
          <w:b/>
          <w:color w:val="000000" w:themeColor="text1"/>
          <w:sz w:val="48"/>
          <w:szCs w:val="48"/>
          <w14:textFill>
            <w14:solidFill>
              <w14:schemeClr w14:val="tx1"/>
            </w14:solidFill>
          </w14:textFill>
        </w:rPr>
        <w:t>建设</w:t>
      </w:r>
      <w:r>
        <w:rPr>
          <w:b/>
          <w:color w:val="000000" w:themeColor="text1"/>
          <w:sz w:val="48"/>
          <w:szCs w:val="48"/>
          <w14:textFill>
            <w14:solidFill>
              <w14:schemeClr w14:val="tx1"/>
            </w14:solidFill>
          </w14:textFill>
        </w:rPr>
        <w:t>项目竣工环境保护验收调查报告</w:t>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5264785" cy="3950335"/>
            <wp:effectExtent l="0" t="0" r="12065" b="12065"/>
            <wp:docPr id="4" name="图片 4" descr="b5801e36ed49aa1ec22a29e09cb96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b5801e36ed49aa1ec22a29e09cb960b"/>
                    <pic:cNvPicPr>
                      <a:picLocks noChangeAspect="1"/>
                    </pic:cNvPicPr>
                  </pic:nvPicPr>
                  <pic:blipFill>
                    <a:blip r:embed="rId11"/>
                    <a:stretch>
                      <a:fillRect/>
                    </a:stretch>
                  </pic:blipFill>
                  <pic:spPr>
                    <a:xfrm>
                      <a:off x="0" y="0"/>
                      <a:ext cx="5264785" cy="3950335"/>
                    </a:xfrm>
                    <a:prstGeom prst="rect">
                      <a:avLst/>
                    </a:prstGeom>
                  </pic:spPr>
                </pic:pic>
              </a:graphicData>
            </a:graphic>
          </wp:inline>
        </w:drawing>
      </w:r>
    </w:p>
    <w:p>
      <w:pPr>
        <w:rPr>
          <w:color w:val="000000" w:themeColor="text1"/>
          <w14:textFill>
            <w14:solidFill>
              <w14:schemeClr w14:val="tx1"/>
            </w14:solidFill>
          </w14:textFill>
        </w:rPr>
      </w:pPr>
    </w:p>
    <w:p>
      <w:pPr>
        <w:ind w:firstLine="1440" w:firstLineChars="450"/>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项目名称</w:t>
      </w:r>
      <w:r>
        <w:rPr>
          <w:color w:val="000000" w:themeColor="text1"/>
          <w:sz w:val="32"/>
          <w:szCs w:val="32"/>
          <w14:textFill>
            <w14:solidFill>
              <w14:schemeClr w14:val="tx1"/>
            </w14:solidFill>
          </w14:textFill>
        </w:rPr>
        <w:t>：</w:t>
      </w:r>
      <w:bookmarkStart w:id="0" w:name="_Hlk56001103"/>
      <w:r>
        <w:rPr>
          <w:rFonts w:hint="eastAsia"/>
          <w:color w:val="000000" w:themeColor="text1"/>
          <w:sz w:val="32"/>
          <w:szCs w:val="32"/>
          <w14:textFill>
            <w14:solidFill>
              <w14:schemeClr w14:val="tx1"/>
            </w14:solidFill>
          </w14:textFill>
        </w:rPr>
        <w:t>业隆沟锂辉石矿采选尾工程</w:t>
      </w:r>
    </w:p>
    <w:p>
      <w:pPr>
        <w:ind w:firstLine="2720" w:firstLineChars="850"/>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（露天开采区及配套废石场）</w:t>
      </w:r>
      <w:bookmarkEnd w:id="0"/>
    </w:p>
    <w:p>
      <w:pPr>
        <w:ind w:firstLine="1417" w:firstLineChars="443"/>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建设</w:t>
      </w:r>
      <w:r>
        <w:rPr>
          <w:color w:val="000000" w:themeColor="text1"/>
          <w:sz w:val="32"/>
          <w:szCs w:val="32"/>
          <w14:textFill>
            <w14:solidFill>
              <w14:schemeClr w14:val="tx1"/>
            </w14:solidFill>
          </w14:textFill>
        </w:rPr>
        <w:t>单位：</w:t>
      </w:r>
      <w:r>
        <w:rPr>
          <w:rFonts w:hint="eastAsia"/>
          <w:color w:val="000000" w:themeColor="text1"/>
          <w:sz w:val="32"/>
          <w:szCs w:val="32"/>
          <w14:textFill>
            <w14:solidFill>
              <w14:schemeClr w14:val="tx1"/>
            </w14:solidFill>
          </w14:textFill>
        </w:rPr>
        <w:t>金川奥伊诺矿业有限公司</w:t>
      </w:r>
    </w:p>
    <w:p>
      <w:pPr>
        <w:ind w:firstLine="1417" w:firstLineChars="443"/>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编制单位：成都创境环保工程有限公司</w:t>
      </w:r>
    </w:p>
    <w:p>
      <w:pPr>
        <w:ind w:firstLine="930" w:firstLineChars="443"/>
        <w:rPr>
          <w:color w:val="000000" w:themeColor="text1"/>
          <w:szCs w:val="32"/>
          <w14:textFill>
            <w14:solidFill>
              <w14:schemeClr w14:val="tx1"/>
            </w14:solidFill>
          </w14:textFill>
        </w:rPr>
      </w:pPr>
    </w:p>
    <w:p>
      <w:pPr>
        <w:jc w:val="center"/>
        <w:rPr>
          <w:color w:val="000000" w:themeColor="text1"/>
          <w:sz w:val="32"/>
          <w:szCs w:val="32"/>
          <w14:textFill>
            <w14:solidFill>
              <w14:schemeClr w14:val="tx1"/>
            </w14:solidFill>
          </w14:textFill>
        </w:rPr>
        <w:sectPr>
          <w:headerReference r:id="rId3" w:type="default"/>
          <w:headerReference r:id="rId4" w:type="even"/>
          <w:pgSz w:w="11906" w:h="16838"/>
          <w:pgMar w:top="1440" w:right="1800" w:bottom="1440" w:left="1800" w:header="851" w:footer="992" w:gutter="0"/>
          <w:cols w:space="425" w:num="1"/>
          <w:titlePg/>
          <w:docGrid w:type="lines" w:linePitch="312" w:charSpace="0"/>
        </w:sectPr>
      </w:pPr>
      <w:r>
        <w:rPr>
          <w:rFonts w:hint="eastAsia"/>
          <w:color w:val="000000" w:themeColor="text1"/>
          <w:sz w:val="32"/>
          <w:szCs w:val="32"/>
          <w14:textFill>
            <w14:solidFill>
              <w14:schemeClr w14:val="tx1"/>
            </w14:solidFill>
          </w14:textFill>
        </w:rPr>
        <w:t>二〇二二年</w:t>
      </w:r>
      <w:r>
        <w:rPr>
          <w:rFonts w:hint="eastAsia"/>
          <w:color w:val="000000" w:themeColor="text1"/>
          <w:sz w:val="32"/>
          <w:szCs w:val="32"/>
          <w:lang w:val="en-US" w:eastAsia="zh-CN"/>
          <w14:textFill>
            <w14:solidFill>
              <w14:schemeClr w14:val="tx1"/>
            </w14:solidFill>
          </w14:textFill>
        </w:rPr>
        <w:t>七</w:t>
      </w:r>
      <w:r>
        <w:rPr>
          <w:color w:val="000000" w:themeColor="text1"/>
          <w:sz w:val="32"/>
          <w:szCs w:val="32"/>
          <w14:textFill>
            <w14:solidFill>
              <w14:schemeClr w14:val="tx1"/>
            </w14:solidFill>
          </w14:textFill>
        </w:rPr>
        <w:t>月</w:t>
      </w:r>
    </w:p>
    <w:p>
      <w:pPr>
        <w:pStyle w:val="2"/>
        <w:rPr>
          <w:color w:val="000000" w:themeColor="text1"/>
          <w14:textFill>
            <w14:solidFill>
              <w14:schemeClr w14:val="tx1"/>
            </w14:solidFill>
          </w14:textFill>
        </w:rPr>
      </w:pPr>
      <w:bookmarkStart w:id="1" w:name="_Toc62202366"/>
      <w:r>
        <w:rPr>
          <w:color w:val="000000" w:themeColor="text1"/>
          <w14:textFill>
            <w14:solidFill>
              <w14:schemeClr w14:val="tx1"/>
            </w14:solidFill>
          </w14:textFill>
        </w:rPr>
        <w:t>前</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言</w:t>
      </w:r>
      <w:bookmarkEnd w:id="1"/>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金川奥伊诺矿业有限公司成立于2006年，经营范围为“自营和代理进出口业务、加工贸易业务、农副产品收购、矿产品的开采加工”，以资源投资，矿产品开采加工为主业。2007年5月，金川奥伊诺矿业有限公司以川探矿权招拍挂合同[2007]008号获得金川县业隆沟锂矿探矿权，于2007年7月获得四川省国土资源厅颁发的金川县业隆沟锂矿探矿权许可证。</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金川奥伊诺矿业有限公司于2018年1月取得了四川省国土资源厅出具的业隆沟锂辉石矿划定矿区范围批复（川采矿区审字[2018]002号）。其矿区开采深度由4552m至3884m标高，矿区面积约4.37km</w:t>
      </w:r>
      <w:r>
        <w:rPr>
          <w:rFonts w:hint="eastAsia" w:ascii="Times New Roman" w:hAnsi="Times New Roman" w:cs="Times New Roman"/>
          <w:color w:val="000000" w:themeColor="text1"/>
          <w:sz w:val="24"/>
          <w:szCs w:val="24"/>
          <w:vertAlign w:val="superscript"/>
          <w14:textFill>
            <w14:solidFill>
              <w14:schemeClr w14:val="tx1"/>
            </w14:solidFill>
          </w14:textFill>
        </w:rPr>
        <w:t>2</w:t>
      </w:r>
      <w:r>
        <w:rPr>
          <w:rFonts w:hint="eastAsia" w:ascii="Times New Roman" w:hAnsi="Times New Roman" w:cs="Times New Roman"/>
          <w:color w:val="000000" w:themeColor="text1"/>
          <w:sz w:val="24"/>
          <w:szCs w:val="24"/>
          <w14:textFill>
            <w14:solidFill>
              <w14:schemeClr w14:val="tx1"/>
            </w14:solidFill>
          </w14:textFill>
        </w:rPr>
        <w:t>。同年3月，金川奥伊诺矿业有限公司上报的《业隆沟锂辉石矿矿产资源开发利用方案》经四川省国土资源厅以川国土资矿开备[2018]4号文备案，矿山及配套选厂生产规模均为40.5万t/a（1500t/d）。服务年限为基建期1年，生产期17年。露天矿开采方法为台阶纵向采矿法，地下开采方法为点柱式上向分层充填法、分段空场嗣后充填法等。</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2018年5月，中环联新（北京）环境保护有限公司编制完成了《金川奥伊诺矿业有限公司业隆沟锂辉石矿采选尾工程环境影响报告书（送审稿）》。2018年7月，四川省环境保护厅（现四川省生态环境厅）以川环审批〔2018〕103号《关于金川奥伊诺矿业有限公司业隆沟锂辉石矿采选尾工程环境影响报告书的批复》对本工程环境影响报告书进行了批复。</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项目施工预计总工期为</w:t>
      </w:r>
      <w:r>
        <w:rPr>
          <w:rFonts w:ascii="Times New Roman" w:hAnsi="Times New Roman" w:cs="Times New Roman"/>
          <w:color w:val="000000" w:themeColor="text1"/>
          <w:sz w:val="24"/>
          <w:szCs w:val="24"/>
          <w14:textFill>
            <w14:solidFill>
              <w14:schemeClr w14:val="tx1"/>
            </w14:solidFill>
          </w14:textFill>
        </w:rPr>
        <w:t>24</w:t>
      </w:r>
      <w:r>
        <w:rPr>
          <w:rFonts w:hint="eastAsia" w:ascii="Times New Roman" w:hAnsi="Times New Roman" w:cs="Times New Roman"/>
          <w:color w:val="000000" w:themeColor="text1"/>
          <w:sz w:val="24"/>
          <w:szCs w:val="24"/>
          <w14:textFill>
            <w14:solidFill>
              <w14:schemeClr w14:val="tx1"/>
            </w14:solidFill>
          </w14:textFill>
        </w:rPr>
        <w:t>个月，</w:t>
      </w:r>
      <w:r>
        <w:rPr>
          <w:rFonts w:ascii="Times New Roman" w:hAnsi="Times New Roman" w:cs="Times New Roman"/>
          <w:color w:val="000000" w:themeColor="text1"/>
          <w:sz w:val="24"/>
          <w:szCs w:val="24"/>
          <w14:textFill>
            <w14:solidFill>
              <w14:schemeClr w14:val="tx1"/>
            </w14:solidFill>
          </w14:textFill>
        </w:rPr>
        <w:t>2019</w:t>
      </w:r>
      <w:r>
        <w:rPr>
          <w:rFonts w:hint="eastAsia" w:ascii="Times New Roman" w:hAnsi="Times New Roman" w:cs="Times New Roman"/>
          <w:color w:val="000000" w:themeColor="text1"/>
          <w:sz w:val="24"/>
          <w:szCs w:val="24"/>
          <w14:textFill>
            <w14:solidFill>
              <w14:schemeClr w14:val="tx1"/>
            </w14:solidFill>
          </w14:textFill>
        </w:rPr>
        <w:t>年1月开工建设，2</w:t>
      </w:r>
      <w:r>
        <w:rPr>
          <w:rFonts w:ascii="Times New Roman" w:hAnsi="Times New Roman" w:cs="Times New Roman"/>
          <w:color w:val="000000" w:themeColor="text1"/>
          <w:sz w:val="24"/>
          <w:szCs w:val="24"/>
          <w14:textFill>
            <w14:solidFill>
              <w14:schemeClr w14:val="tx1"/>
            </w14:solidFill>
          </w14:textFill>
        </w:rPr>
        <w:t>019</w:t>
      </w:r>
      <w:r>
        <w:rPr>
          <w:rFonts w:hint="eastAsia" w:ascii="Times New Roman" w:hAnsi="Times New Roman" w:cs="Times New Roman"/>
          <w:color w:val="000000" w:themeColor="text1"/>
          <w:sz w:val="24"/>
          <w:szCs w:val="24"/>
          <w14:textFill>
            <w14:solidFill>
              <w14:schemeClr w14:val="tx1"/>
            </w14:solidFill>
          </w14:textFill>
        </w:rPr>
        <w:t>年</w:t>
      </w:r>
      <w:r>
        <w:rPr>
          <w:rFonts w:ascii="Times New Roman" w:hAnsi="Times New Roman" w:cs="Times New Roman"/>
          <w:color w:val="000000" w:themeColor="text1"/>
          <w:sz w:val="24"/>
          <w:szCs w:val="24"/>
          <w14:textFill>
            <w14:solidFill>
              <w14:schemeClr w14:val="tx1"/>
            </w14:solidFill>
          </w14:textFill>
        </w:rPr>
        <w:t>10</w:t>
      </w:r>
      <w:r>
        <w:rPr>
          <w:rFonts w:hint="eastAsia" w:ascii="Times New Roman" w:hAnsi="Times New Roman" w:cs="Times New Roman"/>
          <w:color w:val="000000" w:themeColor="text1"/>
          <w:sz w:val="24"/>
          <w:szCs w:val="24"/>
          <w14:textFill>
            <w14:solidFill>
              <w14:schemeClr w14:val="tx1"/>
            </w14:solidFill>
          </w14:textFill>
        </w:rPr>
        <w:t>月项目尾矿库和选厂建设完成，地下采区和露天采区尚未完成施工建设。20</w:t>
      </w:r>
      <w:r>
        <w:rPr>
          <w:rFonts w:ascii="Times New Roman" w:hAnsi="Times New Roman" w:cs="Times New Roman"/>
          <w:color w:val="000000" w:themeColor="text1"/>
          <w:sz w:val="24"/>
          <w:szCs w:val="24"/>
          <w14:textFill>
            <w14:solidFill>
              <w14:schemeClr w14:val="tx1"/>
            </w14:solidFill>
          </w14:textFill>
        </w:rPr>
        <w:t>19</w:t>
      </w:r>
      <w:r>
        <w:rPr>
          <w:rFonts w:hint="eastAsia" w:ascii="Times New Roman" w:hAnsi="Times New Roman" w:cs="Times New Roman"/>
          <w:color w:val="000000" w:themeColor="text1"/>
          <w:sz w:val="24"/>
          <w:szCs w:val="24"/>
          <w14:textFill>
            <w14:solidFill>
              <w14:schemeClr w14:val="tx1"/>
            </w14:solidFill>
          </w14:textFill>
        </w:rPr>
        <w:t>年</w:t>
      </w:r>
      <w:r>
        <w:rPr>
          <w:rFonts w:ascii="Times New Roman" w:hAnsi="Times New Roman" w:cs="Times New Roman"/>
          <w:color w:val="000000" w:themeColor="text1"/>
          <w:sz w:val="24"/>
          <w:szCs w:val="24"/>
          <w14:textFill>
            <w14:solidFill>
              <w14:schemeClr w14:val="tx1"/>
            </w14:solidFill>
          </w14:textFill>
        </w:rPr>
        <w:t>11</w:t>
      </w:r>
      <w:r>
        <w:rPr>
          <w:rFonts w:hint="eastAsia" w:ascii="Times New Roman" w:hAnsi="Times New Roman" w:cs="Times New Roman"/>
          <w:color w:val="000000" w:themeColor="text1"/>
          <w:sz w:val="24"/>
          <w:szCs w:val="24"/>
          <w14:textFill>
            <w14:solidFill>
              <w14:schemeClr w14:val="tx1"/>
            </w14:solidFill>
          </w14:textFill>
        </w:rPr>
        <w:t>月开始进入调试，调试过程中主体工程及环保设施运行情况稳定良好，满足竣工环境保护验收的工况要求。2</w:t>
      </w:r>
      <w:r>
        <w:rPr>
          <w:rFonts w:ascii="Times New Roman" w:hAnsi="Times New Roman" w:cs="Times New Roman"/>
          <w:color w:val="000000" w:themeColor="text1"/>
          <w:sz w:val="24"/>
          <w:szCs w:val="24"/>
          <w14:textFill>
            <w14:solidFill>
              <w14:schemeClr w14:val="tx1"/>
            </w14:solidFill>
          </w14:textFill>
        </w:rPr>
        <w:t>020</w:t>
      </w:r>
      <w:r>
        <w:rPr>
          <w:rFonts w:hint="eastAsia" w:ascii="Times New Roman" w:hAnsi="Times New Roman" w:cs="Times New Roman"/>
          <w:color w:val="000000" w:themeColor="text1"/>
          <w:sz w:val="24"/>
          <w:szCs w:val="24"/>
          <w14:textFill>
            <w14:solidFill>
              <w14:schemeClr w14:val="tx1"/>
            </w14:solidFill>
          </w14:textFill>
        </w:rPr>
        <w:t>年1</w:t>
      </w:r>
      <w:r>
        <w:rPr>
          <w:rFonts w:ascii="Times New Roman" w:hAnsi="Times New Roman" w:cs="Times New Roman"/>
          <w:color w:val="000000" w:themeColor="text1"/>
          <w:sz w:val="24"/>
          <w:szCs w:val="24"/>
          <w14:textFill>
            <w14:solidFill>
              <w14:schemeClr w14:val="tx1"/>
            </w14:solidFill>
          </w14:textFill>
        </w:rPr>
        <w:t>2</w:t>
      </w:r>
      <w:r>
        <w:rPr>
          <w:rFonts w:hint="eastAsia" w:ascii="Times New Roman" w:hAnsi="Times New Roman" w:cs="Times New Roman"/>
          <w:color w:val="000000" w:themeColor="text1"/>
          <w:sz w:val="24"/>
          <w:szCs w:val="24"/>
          <w14:textFill>
            <w14:solidFill>
              <w14:schemeClr w14:val="tx1"/>
            </w14:solidFill>
          </w14:textFill>
        </w:rPr>
        <w:t>月</w:t>
      </w:r>
      <w:r>
        <w:rPr>
          <w:rFonts w:ascii="Times New Roman" w:hAnsi="Times New Roman" w:cs="Times New Roman"/>
          <w:color w:val="000000" w:themeColor="text1"/>
          <w:sz w:val="24"/>
          <w:szCs w:val="24"/>
          <w14:textFill>
            <w14:solidFill>
              <w14:schemeClr w14:val="tx1"/>
            </w14:solidFill>
          </w14:textFill>
        </w:rPr>
        <w:t>30</w:t>
      </w:r>
      <w:r>
        <w:rPr>
          <w:rFonts w:hint="eastAsia" w:ascii="Times New Roman" w:hAnsi="Times New Roman" w:cs="Times New Roman"/>
          <w:color w:val="000000" w:themeColor="text1"/>
          <w:sz w:val="24"/>
          <w:szCs w:val="24"/>
          <w14:textFill>
            <w14:solidFill>
              <w14:schemeClr w14:val="tx1"/>
            </w14:solidFill>
          </w14:textFill>
        </w:rPr>
        <w:t>日，金川奥依诺矿业有限公司召开了项目选厂、尾矿库、生活区及其配套设施的竣工环境保护验收会议，项目选厂、尾矿库、生活区及其配套设施区域环境保护设施通过竣工环境保护验收。本次验收包括项目露天开采区（一采区）和配套的露天矿基建废石场、露天矿生产废石场，项目其他区域不在本次验收范围内。</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根据《中华人民共和国环境保护法》、《建设项目环境保护管理条例》、《</w:t>
      </w:r>
      <w:r>
        <w:rPr>
          <w:rFonts w:hint="eastAsia" w:ascii="Times New Roman" w:hAnsi="Times New Roman" w:cs="Times New Roman"/>
          <w:color w:val="000000" w:themeColor="text1"/>
          <w:sz w:val="24"/>
          <w:szCs w:val="24"/>
          <w14:textFill>
            <w14:solidFill>
              <w14:schemeClr w14:val="tx1"/>
            </w14:solidFill>
          </w14:textFill>
        </w:rPr>
        <w:t>金川奥伊诺矿业有限公司业隆沟锂辉石矿采选尾工程环境影响报告书</w:t>
      </w:r>
      <w:r>
        <w:rPr>
          <w:rFonts w:ascii="Times New Roman" w:hAnsi="Times New Roman" w:cs="Times New Roman"/>
          <w:color w:val="000000" w:themeColor="text1"/>
          <w:sz w:val="24"/>
          <w:szCs w:val="24"/>
          <w14:textFill>
            <w14:solidFill>
              <w14:schemeClr w14:val="tx1"/>
            </w14:solidFill>
          </w14:textFill>
        </w:rPr>
        <w:t>》及其相关批复文件的要求，参照《建设项目竣工环境保护验收暂行办法》（国环规环评[2017]4号），</w:t>
      </w:r>
      <w:r>
        <w:rPr>
          <w:rFonts w:hint="eastAsia" w:ascii="Times New Roman" w:hAnsi="Times New Roman" w:cs="Times New Roman"/>
          <w:color w:val="000000" w:themeColor="text1"/>
          <w:sz w:val="24"/>
          <w:szCs w:val="24"/>
          <w14:textFill>
            <w14:solidFill>
              <w14:schemeClr w14:val="tx1"/>
            </w14:solidFill>
          </w14:textFill>
        </w:rPr>
        <w:t>业隆沟锂辉石矿采选尾工程（露天开采区及配套废石场）</w:t>
      </w:r>
      <w:r>
        <w:rPr>
          <w:rFonts w:ascii="Times New Roman" w:hAnsi="Times New Roman" w:cs="Times New Roman"/>
          <w:color w:val="000000" w:themeColor="text1"/>
          <w:sz w:val="24"/>
          <w:szCs w:val="24"/>
          <w14:textFill>
            <w14:solidFill>
              <w14:schemeClr w14:val="tx1"/>
            </w14:solidFill>
          </w14:textFill>
        </w:rPr>
        <w:t>竣工环境保护验收调查报告的编制工作委托成都创境环保工程有限公司承担。接受委托后，我单位在</w:t>
      </w:r>
      <w:r>
        <w:rPr>
          <w:rFonts w:hint="eastAsia" w:ascii="Times New Roman" w:hAnsi="Times New Roman" w:cs="Times New Roman"/>
          <w:color w:val="000000" w:themeColor="text1"/>
          <w:sz w:val="24"/>
          <w:szCs w:val="24"/>
          <w14:textFill>
            <w14:solidFill>
              <w14:schemeClr w14:val="tx1"/>
            </w14:solidFill>
          </w14:textFill>
        </w:rPr>
        <w:t>建设</w:t>
      </w:r>
      <w:r>
        <w:rPr>
          <w:rFonts w:ascii="Times New Roman" w:hAnsi="Times New Roman" w:cs="Times New Roman"/>
          <w:color w:val="000000" w:themeColor="text1"/>
          <w:sz w:val="24"/>
          <w:szCs w:val="24"/>
          <w14:textFill>
            <w14:solidFill>
              <w14:schemeClr w14:val="tx1"/>
            </w14:solidFill>
          </w14:textFill>
        </w:rPr>
        <w:t>单位和施工单位的大力配合下，组织技术人员对该工程的环境状况进行了现场实地踏勘与调查，详细收集并认真研读本项目的环境影响评价文件、工程设计文件、工程环境管理及验收等有关资料，对工程周围环境敏感点分布情况、工程环保措施执行情况、生态影响和生态恢复状况、水土保持情况、污染治理设施运行情况等方面进行了重点调查，并制定了环境监测方案及公众意见调查方案，委托</w:t>
      </w:r>
      <w:r>
        <w:rPr>
          <w:rFonts w:hint="eastAsia" w:ascii="Times New Roman" w:hAnsi="Times New Roman" w:cs="Times New Roman"/>
          <w:color w:val="000000" w:themeColor="text1"/>
          <w:sz w:val="24"/>
          <w:szCs w:val="24"/>
          <w14:textFill>
            <w14:solidFill>
              <w14:schemeClr w14:val="tx1"/>
            </w14:solidFill>
          </w14:textFill>
        </w:rPr>
        <w:t>四川合力新创</w:t>
      </w:r>
      <w:r>
        <w:rPr>
          <w:rFonts w:ascii="Times New Roman" w:hAnsi="Times New Roman" w:cs="Times New Roman"/>
          <w:color w:val="000000" w:themeColor="text1"/>
          <w:sz w:val="24"/>
          <w:szCs w:val="24"/>
          <w14:textFill>
            <w14:solidFill>
              <w14:schemeClr w14:val="tx1"/>
            </w14:solidFill>
          </w14:textFill>
        </w:rPr>
        <w:t>环境</w:t>
      </w:r>
      <w:r>
        <w:rPr>
          <w:rFonts w:hint="eastAsia" w:ascii="Times New Roman" w:hAnsi="Times New Roman" w:cs="Times New Roman"/>
          <w:color w:val="000000" w:themeColor="text1"/>
          <w:sz w:val="24"/>
          <w:szCs w:val="24"/>
          <w14:textFill>
            <w14:solidFill>
              <w14:schemeClr w14:val="tx1"/>
            </w14:solidFill>
          </w14:textFill>
        </w:rPr>
        <w:t>监测</w:t>
      </w:r>
      <w:r>
        <w:rPr>
          <w:rFonts w:ascii="Times New Roman" w:hAnsi="Times New Roman" w:cs="Times New Roman"/>
          <w:color w:val="000000" w:themeColor="text1"/>
          <w:sz w:val="24"/>
          <w:szCs w:val="24"/>
          <w14:textFill>
            <w14:solidFill>
              <w14:schemeClr w14:val="tx1"/>
            </w14:solidFill>
          </w14:textFill>
        </w:rPr>
        <w:t>有限公司进行了</w:t>
      </w:r>
      <w:r>
        <w:rPr>
          <w:rFonts w:hint="eastAsia" w:ascii="Times New Roman" w:hAnsi="Times New Roman" w:cs="Times New Roman"/>
          <w:color w:val="000000" w:themeColor="text1"/>
          <w:sz w:val="24"/>
          <w:szCs w:val="24"/>
          <w14:textFill>
            <w14:solidFill>
              <w14:schemeClr w14:val="tx1"/>
            </w14:solidFill>
          </w14:textFill>
        </w:rPr>
        <w:t>竣工验收期</w:t>
      </w:r>
      <w:r>
        <w:rPr>
          <w:rFonts w:ascii="Times New Roman" w:hAnsi="Times New Roman" w:cs="Times New Roman"/>
          <w:color w:val="000000" w:themeColor="text1"/>
          <w:sz w:val="24"/>
          <w:szCs w:val="24"/>
          <w14:textFill>
            <w14:solidFill>
              <w14:schemeClr w14:val="tx1"/>
            </w14:solidFill>
          </w14:textFill>
        </w:rPr>
        <w:t>环境监测。建设单位进行了公众意见调查，走访了生态环境、水利、林业和草原、农牧等行政主管部门，认真听取了社会组织和当地群众的意见。</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在上述工作的基础上，按照环境保护法律、法规、规章和有关规范规定，编制完成了《</w:t>
      </w:r>
      <w:r>
        <w:rPr>
          <w:rFonts w:hint="eastAsia" w:ascii="Times New Roman" w:hAnsi="Times New Roman" w:cs="Times New Roman"/>
          <w:color w:val="000000" w:themeColor="text1"/>
          <w:sz w:val="24"/>
          <w:szCs w:val="24"/>
          <w14:textFill>
            <w14:solidFill>
              <w14:schemeClr w14:val="tx1"/>
            </w14:solidFill>
          </w14:textFill>
        </w:rPr>
        <w:t>业隆沟锂辉石矿采选尾工程（露天开采区及配套废石场）</w:t>
      </w:r>
      <w:r>
        <w:rPr>
          <w:rFonts w:ascii="Times New Roman" w:hAnsi="Times New Roman" w:cs="Times New Roman"/>
          <w:color w:val="000000" w:themeColor="text1"/>
          <w:sz w:val="24"/>
          <w:szCs w:val="24"/>
          <w14:textFill>
            <w14:solidFill>
              <w14:schemeClr w14:val="tx1"/>
            </w14:solidFill>
          </w14:textFill>
        </w:rPr>
        <w:t>竣工环境保护验收调查报告》。</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本报告编制过程中得到建设单位、专家、项目所在地周边居民、行政主管部门和社会团体的大力支持和帮助，在此一并致以诚挚的谢意！</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sectPr>
          <w:footerReference r:id="rId5" w:type="default"/>
          <w:pgSz w:w="11906" w:h="16838"/>
          <w:pgMar w:top="1440" w:right="1800" w:bottom="1440" w:left="1800" w:header="851" w:footer="992" w:gutter="0"/>
          <w:pgNumType w:fmt="upperRoman" w:start="1"/>
          <w:cols w:space="425" w:num="1"/>
          <w:docGrid w:type="lines" w:linePitch="312" w:charSpace="0"/>
        </w:sectPr>
      </w:pPr>
    </w:p>
    <w:sdt>
      <w:sdtPr>
        <w:rPr>
          <w:rFonts w:asciiTheme="minorHAnsi" w:hAnsiTheme="minorHAnsi" w:eastAsiaTheme="minorEastAsia" w:cstheme="minorBidi"/>
          <w:color w:val="000000" w:themeColor="text1"/>
          <w:kern w:val="2"/>
          <w:sz w:val="21"/>
          <w:szCs w:val="22"/>
          <w:lang w:val="zh-CN"/>
          <w14:textFill>
            <w14:solidFill>
              <w14:schemeClr w14:val="tx1"/>
            </w14:solidFill>
          </w14:textFill>
        </w:rPr>
        <w:id w:val="545726179"/>
        <w:docPartObj>
          <w:docPartGallery w:val="Table of Contents"/>
          <w:docPartUnique/>
        </w:docPartObj>
      </w:sdtPr>
      <w:sdtEndPr>
        <w:rPr>
          <w:rFonts w:asciiTheme="minorHAnsi" w:hAnsiTheme="minorHAnsi" w:eastAsiaTheme="minorEastAsia" w:cstheme="minorBidi"/>
          <w:b/>
          <w:bCs/>
          <w:color w:val="000000" w:themeColor="text1"/>
          <w:kern w:val="2"/>
          <w:sz w:val="21"/>
          <w:szCs w:val="22"/>
          <w:lang w:val="zh-CN"/>
          <w14:textFill>
            <w14:solidFill>
              <w14:schemeClr w14:val="tx1"/>
            </w14:solidFill>
          </w14:textFill>
        </w:rPr>
      </w:sdtEndPr>
      <w:sdtContent>
        <w:p>
          <w:pPr>
            <w:pStyle w:val="71"/>
            <w:jc w:val="center"/>
            <w:rPr>
              <w:b/>
              <w:color w:val="000000" w:themeColor="text1"/>
              <w:sz w:val="36"/>
              <w14:textFill>
                <w14:solidFill>
                  <w14:schemeClr w14:val="tx1"/>
                </w14:solidFill>
              </w14:textFill>
            </w:rPr>
          </w:pPr>
          <w:r>
            <w:rPr>
              <w:b/>
              <w:color w:val="000000" w:themeColor="text1"/>
              <w:sz w:val="36"/>
              <w:lang w:val="zh-CN"/>
              <w14:textFill>
                <w14:solidFill>
                  <w14:schemeClr w14:val="tx1"/>
                </w14:solidFill>
              </w14:textFill>
            </w:rPr>
            <w:t>目</w:t>
          </w:r>
          <w:r>
            <w:rPr>
              <w:rFonts w:hint="eastAsia"/>
              <w:b/>
              <w:color w:val="000000" w:themeColor="text1"/>
              <w:sz w:val="36"/>
              <w:lang w:val="zh-CN"/>
              <w14:textFill>
                <w14:solidFill>
                  <w14:schemeClr w14:val="tx1"/>
                </w14:solidFill>
              </w14:textFill>
            </w:rPr>
            <w:t xml:space="preserve"> </w:t>
          </w:r>
          <w:r>
            <w:rPr>
              <w:b/>
              <w:color w:val="000000" w:themeColor="text1"/>
              <w:sz w:val="36"/>
              <w:lang w:val="zh-CN"/>
              <w14:textFill>
                <w14:solidFill>
                  <w14:schemeClr w14:val="tx1"/>
                </w14:solidFill>
              </w14:textFill>
            </w:rPr>
            <w:t xml:space="preserve">   录</w:t>
          </w:r>
        </w:p>
        <w:p>
          <w:pPr>
            <w:pStyle w:val="19"/>
            <w:tabs>
              <w:tab w:val="right" w:leader="dot" w:pos="8296"/>
            </w:tabs>
            <w:spacing w:line="360" w:lineRule="auto"/>
            <w:rPr>
              <w:rFonts w:ascii="Times New Roman" w:hAnsi="Times New Roman" w:cs="Times New Roman"/>
              <w:sz w:val="24"/>
              <w:szCs w:val="24"/>
            </w:rPr>
          </w:pPr>
          <w:r>
            <w:rPr>
              <w:rFonts w:ascii="Times New Roman" w:hAnsi="Times New Roman" w:cs="Times New Roman"/>
              <w:color w:val="000000" w:themeColor="text1"/>
              <w:sz w:val="24"/>
              <w:szCs w:val="24"/>
              <w14:textFill>
                <w14:solidFill>
                  <w14:schemeClr w14:val="tx1"/>
                </w14:solidFill>
              </w14:textFill>
            </w:rPr>
            <w:fldChar w:fldCharType="begin"/>
          </w:r>
          <w:r>
            <w:rPr>
              <w:rFonts w:ascii="Times New Roman" w:hAnsi="Times New Roman" w:cs="Times New Roman"/>
              <w:color w:val="000000" w:themeColor="text1"/>
              <w:sz w:val="24"/>
              <w:szCs w:val="24"/>
              <w14:textFill>
                <w14:solidFill>
                  <w14:schemeClr w14:val="tx1"/>
                </w14:solidFill>
              </w14:textFill>
            </w:rPr>
            <w:instrText xml:space="preserve"> TOC \o "1-2" \h \z \u </w:instrText>
          </w:r>
          <w:r>
            <w:rPr>
              <w:rFonts w:ascii="Times New Roman" w:hAnsi="Times New Roman" w:cs="Times New Roman"/>
              <w:color w:val="000000" w:themeColor="text1"/>
              <w:sz w:val="24"/>
              <w:szCs w:val="24"/>
              <w14:textFill>
                <w14:solidFill>
                  <w14:schemeClr w14:val="tx1"/>
                </w14:solidFill>
              </w14:textFill>
            </w:rPr>
            <w:fldChar w:fldCharType="separate"/>
          </w:r>
          <w:r>
            <w:fldChar w:fldCharType="begin"/>
          </w:r>
          <w:r>
            <w:instrText xml:space="preserve"> HYPERLINK \l "_Toc62202366" </w:instrText>
          </w:r>
          <w:r>
            <w:fldChar w:fldCharType="separate"/>
          </w:r>
          <w:r>
            <w:rPr>
              <w:rStyle w:val="32"/>
              <w:rFonts w:ascii="Times New Roman" w:hAnsi="Times New Roman" w:cs="Times New Roman"/>
              <w:sz w:val="24"/>
              <w:szCs w:val="24"/>
            </w:rPr>
            <w:t>前  言</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_Toc62202366 \h </w:instrText>
          </w:r>
          <w:r>
            <w:rPr>
              <w:rFonts w:ascii="Times New Roman" w:hAnsi="Times New Roman" w:cs="Times New Roman"/>
              <w:sz w:val="24"/>
              <w:szCs w:val="24"/>
            </w:rPr>
            <w:fldChar w:fldCharType="separate"/>
          </w:r>
          <w:r>
            <w:rPr>
              <w:rFonts w:ascii="Times New Roman" w:hAnsi="Times New Roman" w:cs="Times New Roman"/>
              <w:sz w:val="24"/>
              <w:szCs w:val="24"/>
            </w:rPr>
            <w:t>I</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9"/>
            <w:tabs>
              <w:tab w:val="right" w:leader="dot" w:pos="8296"/>
            </w:tabs>
            <w:spacing w:line="360" w:lineRule="auto"/>
            <w:rPr>
              <w:rFonts w:ascii="Times New Roman" w:hAnsi="Times New Roman" w:cs="Times New Roman"/>
              <w:sz w:val="24"/>
              <w:szCs w:val="24"/>
            </w:rPr>
          </w:pPr>
          <w:r>
            <w:fldChar w:fldCharType="begin"/>
          </w:r>
          <w:r>
            <w:instrText xml:space="preserve"> HYPERLINK \l "_Toc62202367" </w:instrText>
          </w:r>
          <w:r>
            <w:fldChar w:fldCharType="separate"/>
          </w:r>
          <w:r>
            <w:rPr>
              <w:rStyle w:val="32"/>
              <w:rFonts w:ascii="Times New Roman" w:hAnsi="Times New Roman" w:cs="Times New Roman"/>
              <w:sz w:val="24"/>
              <w:szCs w:val="24"/>
            </w:rPr>
            <w:t>1 总论</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_Toc62202367 \h </w:instrText>
          </w:r>
          <w:r>
            <w:rPr>
              <w:rFonts w:ascii="Times New Roman" w:hAnsi="Times New Roman" w:cs="Times New Roman"/>
              <w:sz w:val="24"/>
              <w:szCs w:val="24"/>
            </w:rPr>
            <w:fldChar w:fldCharType="separate"/>
          </w:r>
          <w:r>
            <w:rPr>
              <w:rFonts w:ascii="Times New Roman" w:hAnsi="Times New Roman" w:cs="Times New Roman"/>
              <w:sz w:val="24"/>
              <w:szCs w:val="24"/>
            </w:rPr>
            <w:t>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2"/>
            <w:tabs>
              <w:tab w:val="right" w:leader="dot" w:pos="8296"/>
            </w:tabs>
            <w:spacing w:line="360" w:lineRule="auto"/>
            <w:rPr>
              <w:rFonts w:ascii="Times New Roman" w:hAnsi="Times New Roman" w:cs="Times New Roman"/>
              <w:sz w:val="24"/>
              <w:szCs w:val="24"/>
            </w:rPr>
          </w:pPr>
          <w:r>
            <w:fldChar w:fldCharType="begin"/>
          </w:r>
          <w:r>
            <w:instrText xml:space="preserve"> HYPERLINK \l "_Toc62202368" </w:instrText>
          </w:r>
          <w:r>
            <w:fldChar w:fldCharType="separate"/>
          </w:r>
          <w:r>
            <w:rPr>
              <w:rStyle w:val="32"/>
              <w:rFonts w:ascii="Times New Roman" w:hAnsi="Times New Roman" w:cs="Times New Roman"/>
              <w:sz w:val="24"/>
              <w:szCs w:val="24"/>
            </w:rPr>
            <w:t>1.1 编制依据</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_Toc62202368 \h </w:instrText>
          </w:r>
          <w:r>
            <w:rPr>
              <w:rFonts w:ascii="Times New Roman" w:hAnsi="Times New Roman" w:cs="Times New Roman"/>
              <w:sz w:val="24"/>
              <w:szCs w:val="24"/>
            </w:rPr>
            <w:fldChar w:fldCharType="separate"/>
          </w:r>
          <w:r>
            <w:rPr>
              <w:rFonts w:ascii="Times New Roman" w:hAnsi="Times New Roman" w:cs="Times New Roman"/>
              <w:sz w:val="24"/>
              <w:szCs w:val="24"/>
            </w:rPr>
            <w:t>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2"/>
            <w:tabs>
              <w:tab w:val="right" w:leader="dot" w:pos="8296"/>
            </w:tabs>
            <w:spacing w:line="360" w:lineRule="auto"/>
            <w:rPr>
              <w:rFonts w:ascii="Times New Roman" w:hAnsi="Times New Roman" w:cs="Times New Roman"/>
              <w:sz w:val="24"/>
              <w:szCs w:val="24"/>
            </w:rPr>
          </w:pPr>
          <w:r>
            <w:fldChar w:fldCharType="begin"/>
          </w:r>
          <w:r>
            <w:instrText xml:space="preserve"> HYPERLINK \l "_Toc62202369" </w:instrText>
          </w:r>
          <w:r>
            <w:fldChar w:fldCharType="separate"/>
          </w:r>
          <w:r>
            <w:rPr>
              <w:rStyle w:val="32"/>
              <w:rFonts w:ascii="Times New Roman" w:hAnsi="Times New Roman" w:cs="Times New Roman"/>
              <w:sz w:val="24"/>
              <w:szCs w:val="24"/>
            </w:rPr>
            <w:t>1.2 调查目的</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_Toc62202369 \h </w:instrText>
          </w:r>
          <w:r>
            <w:rPr>
              <w:rFonts w:ascii="Times New Roman" w:hAnsi="Times New Roman" w:cs="Times New Roman"/>
              <w:sz w:val="24"/>
              <w:szCs w:val="24"/>
            </w:rPr>
            <w:fldChar w:fldCharType="separate"/>
          </w:r>
          <w:r>
            <w:rPr>
              <w:rFonts w:ascii="Times New Roman" w:hAnsi="Times New Roman" w:cs="Times New Roman"/>
              <w:sz w:val="24"/>
              <w:szCs w:val="24"/>
            </w:rPr>
            <w:t>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2"/>
            <w:tabs>
              <w:tab w:val="right" w:leader="dot" w:pos="8296"/>
            </w:tabs>
            <w:spacing w:line="360" w:lineRule="auto"/>
            <w:rPr>
              <w:rFonts w:ascii="Times New Roman" w:hAnsi="Times New Roman" w:cs="Times New Roman"/>
              <w:sz w:val="24"/>
              <w:szCs w:val="24"/>
            </w:rPr>
          </w:pPr>
          <w:r>
            <w:fldChar w:fldCharType="begin"/>
          </w:r>
          <w:r>
            <w:instrText xml:space="preserve"> HYPERLINK \l "_Toc62202370" </w:instrText>
          </w:r>
          <w:r>
            <w:fldChar w:fldCharType="separate"/>
          </w:r>
          <w:r>
            <w:rPr>
              <w:rStyle w:val="32"/>
              <w:rFonts w:ascii="Times New Roman" w:hAnsi="Times New Roman" w:cs="Times New Roman"/>
              <w:sz w:val="24"/>
              <w:szCs w:val="24"/>
            </w:rPr>
            <w:t>1.3 调查原则</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_Toc62202370 \h </w:instrText>
          </w:r>
          <w:r>
            <w:rPr>
              <w:rFonts w:ascii="Times New Roman" w:hAnsi="Times New Roman" w:cs="Times New Roman"/>
              <w:sz w:val="24"/>
              <w:szCs w:val="24"/>
            </w:rPr>
            <w:fldChar w:fldCharType="separate"/>
          </w:r>
          <w:r>
            <w:rPr>
              <w:rFonts w:ascii="Times New Roman" w:hAnsi="Times New Roman" w:cs="Times New Roman"/>
              <w:sz w:val="24"/>
              <w:szCs w:val="24"/>
            </w:rPr>
            <w:t>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2"/>
            <w:tabs>
              <w:tab w:val="right" w:leader="dot" w:pos="8296"/>
            </w:tabs>
            <w:spacing w:line="360" w:lineRule="auto"/>
            <w:rPr>
              <w:rFonts w:ascii="Times New Roman" w:hAnsi="Times New Roman" w:cs="Times New Roman"/>
              <w:sz w:val="24"/>
              <w:szCs w:val="24"/>
            </w:rPr>
          </w:pPr>
          <w:r>
            <w:fldChar w:fldCharType="begin"/>
          </w:r>
          <w:r>
            <w:instrText xml:space="preserve"> HYPERLINK \l "_Toc62202371" </w:instrText>
          </w:r>
          <w:r>
            <w:fldChar w:fldCharType="separate"/>
          </w:r>
          <w:r>
            <w:rPr>
              <w:rStyle w:val="32"/>
              <w:rFonts w:ascii="Times New Roman" w:hAnsi="Times New Roman" w:cs="Times New Roman"/>
              <w:sz w:val="24"/>
              <w:szCs w:val="24"/>
            </w:rPr>
            <w:t>1.4 调查方法</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_Toc62202371 \h </w:instrText>
          </w:r>
          <w:r>
            <w:rPr>
              <w:rFonts w:ascii="Times New Roman" w:hAnsi="Times New Roman" w:cs="Times New Roman"/>
              <w:sz w:val="24"/>
              <w:szCs w:val="24"/>
            </w:rPr>
            <w:fldChar w:fldCharType="separate"/>
          </w:r>
          <w:r>
            <w:rPr>
              <w:rFonts w:ascii="Times New Roman" w:hAnsi="Times New Roman" w:cs="Times New Roman"/>
              <w:sz w:val="24"/>
              <w:szCs w:val="24"/>
            </w:rPr>
            <w:t>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2"/>
            <w:tabs>
              <w:tab w:val="right" w:leader="dot" w:pos="8296"/>
            </w:tabs>
            <w:spacing w:line="360" w:lineRule="auto"/>
            <w:rPr>
              <w:rFonts w:ascii="Times New Roman" w:hAnsi="Times New Roman" w:cs="Times New Roman"/>
              <w:sz w:val="24"/>
              <w:szCs w:val="24"/>
            </w:rPr>
          </w:pPr>
          <w:r>
            <w:fldChar w:fldCharType="begin"/>
          </w:r>
          <w:r>
            <w:instrText xml:space="preserve"> HYPERLINK \l "_Toc62202372" </w:instrText>
          </w:r>
          <w:r>
            <w:fldChar w:fldCharType="separate"/>
          </w:r>
          <w:r>
            <w:rPr>
              <w:rStyle w:val="32"/>
              <w:rFonts w:ascii="Times New Roman" w:hAnsi="Times New Roman" w:cs="Times New Roman"/>
              <w:sz w:val="24"/>
              <w:szCs w:val="24"/>
            </w:rPr>
            <w:t>1.5 调查范围、调查因子和时段</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_Toc62202372 \h </w:instrText>
          </w:r>
          <w:r>
            <w:rPr>
              <w:rFonts w:ascii="Times New Roman" w:hAnsi="Times New Roman" w:cs="Times New Roman"/>
              <w:sz w:val="24"/>
              <w:szCs w:val="24"/>
            </w:rPr>
            <w:fldChar w:fldCharType="separate"/>
          </w:r>
          <w:r>
            <w:rPr>
              <w:rFonts w:ascii="Times New Roman" w:hAnsi="Times New Roman" w:cs="Times New Roman"/>
              <w:sz w:val="24"/>
              <w:szCs w:val="24"/>
            </w:rPr>
            <w:t>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2"/>
            <w:tabs>
              <w:tab w:val="right" w:leader="dot" w:pos="8296"/>
            </w:tabs>
            <w:spacing w:line="360" w:lineRule="auto"/>
            <w:rPr>
              <w:rFonts w:ascii="Times New Roman" w:hAnsi="Times New Roman" w:cs="Times New Roman"/>
              <w:sz w:val="24"/>
              <w:szCs w:val="24"/>
            </w:rPr>
          </w:pPr>
          <w:r>
            <w:fldChar w:fldCharType="begin"/>
          </w:r>
          <w:r>
            <w:instrText xml:space="preserve"> HYPERLINK \l "_Toc62202373" </w:instrText>
          </w:r>
          <w:r>
            <w:fldChar w:fldCharType="separate"/>
          </w:r>
          <w:r>
            <w:rPr>
              <w:rStyle w:val="32"/>
              <w:rFonts w:ascii="Times New Roman" w:hAnsi="Times New Roman" w:cs="Times New Roman"/>
              <w:sz w:val="24"/>
              <w:szCs w:val="24"/>
            </w:rPr>
            <w:t>1.6 验收调查执行标准</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_Toc62202373 \h </w:instrText>
          </w:r>
          <w:r>
            <w:rPr>
              <w:rFonts w:ascii="Times New Roman" w:hAnsi="Times New Roman" w:cs="Times New Roman"/>
              <w:sz w:val="24"/>
              <w:szCs w:val="24"/>
            </w:rPr>
            <w:fldChar w:fldCharType="separate"/>
          </w:r>
          <w:r>
            <w:rPr>
              <w:rFonts w:ascii="Times New Roman" w:hAnsi="Times New Roman" w:cs="Times New Roman"/>
              <w:sz w:val="24"/>
              <w:szCs w:val="24"/>
            </w:rPr>
            <w:t>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2"/>
            <w:tabs>
              <w:tab w:val="right" w:leader="dot" w:pos="8296"/>
            </w:tabs>
            <w:spacing w:line="360" w:lineRule="auto"/>
            <w:rPr>
              <w:rFonts w:ascii="Times New Roman" w:hAnsi="Times New Roman" w:cs="Times New Roman"/>
              <w:sz w:val="24"/>
              <w:szCs w:val="24"/>
            </w:rPr>
          </w:pPr>
          <w:r>
            <w:fldChar w:fldCharType="begin"/>
          </w:r>
          <w:r>
            <w:instrText xml:space="preserve"> HYPERLINK \l "_Toc62202374" </w:instrText>
          </w:r>
          <w:r>
            <w:fldChar w:fldCharType="separate"/>
          </w:r>
          <w:r>
            <w:rPr>
              <w:rStyle w:val="32"/>
              <w:rFonts w:ascii="Times New Roman" w:hAnsi="Times New Roman" w:cs="Times New Roman"/>
              <w:sz w:val="24"/>
              <w:szCs w:val="24"/>
            </w:rPr>
            <w:t>1.7 调查重点</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_Toc62202374 \h </w:instrText>
          </w:r>
          <w:r>
            <w:rPr>
              <w:rFonts w:ascii="Times New Roman" w:hAnsi="Times New Roman" w:cs="Times New Roman"/>
              <w:sz w:val="24"/>
              <w:szCs w:val="24"/>
            </w:rPr>
            <w:fldChar w:fldCharType="separate"/>
          </w:r>
          <w:r>
            <w:rPr>
              <w:rFonts w:ascii="Times New Roman" w:hAnsi="Times New Roman" w:cs="Times New Roman"/>
              <w:sz w:val="24"/>
              <w:szCs w:val="24"/>
            </w:rPr>
            <w:t>10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2"/>
            <w:tabs>
              <w:tab w:val="right" w:leader="dot" w:pos="8296"/>
            </w:tabs>
            <w:spacing w:line="360" w:lineRule="auto"/>
            <w:rPr>
              <w:rFonts w:ascii="Times New Roman" w:hAnsi="Times New Roman" w:cs="Times New Roman"/>
              <w:sz w:val="24"/>
              <w:szCs w:val="24"/>
            </w:rPr>
          </w:pPr>
          <w:r>
            <w:fldChar w:fldCharType="begin"/>
          </w:r>
          <w:r>
            <w:instrText xml:space="preserve"> HYPERLINK \l "_Toc62202375" </w:instrText>
          </w:r>
          <w:r>
            <w:fldChar w:fldCharType="separate"/>
          </w:r>
          <w:r>
            <w:rPr>
              <w:rStyle w:val="32"/>
              <w:rFonts w:ascii="Times New Roman" w:hAnsi="Times New Roman" w:cs="Times New Roman"/>
              <w:sz w:val="24"/>
              <w:szCs w:val="24"/>
            </w:rPr>
            <w:t>1.8 环境保护目标</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_Toc62202375 \h </w:instrText>
          </w:r>
          <w:r>
            <w:rPr>
              <w:rFonts w:ascii="Times New Roman" w:hAnsi="Times New Roman" w:cs="Times New Roman"/>
              <w:sz w:val="24"/>
              <w:szCs w:val="24"/>
            </w:rPr>
            <w:fldChar w:fldCharType="separate"/>
          </w:r>
          <w:r>
            <w:rPr>
              <w:rFonts w:ascii="Times New Roman" w:hAnsi="Times New Roman" w:cs="Times New Roman"/>
              <w:sz w:val="24"/>
              <w:szCs w:val="24"/>
            </w:rPr>
            <w:t>10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2"/>
            <w:tabs>
              <w:tab w:val="right" w:leader="dot" w:pos="8296"/>
            </w:tabs>
            <w:spacing w:line="360" w:lineRule="auto"/>
            <w:rPr>
              <w:rFonts w:ascii="Times New Roman" w:hAnsi="Times New Roman" w:cs="Times New Roman"/>
              <w:sz w:val="24"/>
              <w:szCs w:val="24"/>
            </w:rPr>
          </w:pPr>
          <w:r>
            <w:fldChar w:fldCharType="begin"/>
          </w:r>
          <w:r>
            <w:instrText xml:space="preserve"> HYPERLINK \l "_Toc62202376" </w:instrText>
          </w:r>
          <w:r>
            <w:fldChar w:fldCharType="separate"/>
          </w:r>
          <w:r>
            <w:rPr>
              <w:rStyle w:val="32"/>
              <w:rFonts w:ascii="Times New Roman" w:hAnsi="Times New Roman" w:cs="Times New Roman"/>
              <w:sz w:val="24"/>
              <w:szCs w:val="24"/>
            </w:rPr>
            <w:t>1.9 工作程序</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_Toc62202376 \h </w:instrText>
          </w:r>
          <w:r>
            <w:rPr>
              <w:rFonts w:ascii="Times New Roman" w:hAnsi="Times New Roman" w:cs="Times New Roman"/>
              <w:sz w:val="24"/>
              <w:szCs w:val="24"/>
            </w:rPr>
            <w:fldChar w:fldCharType="separate"/>
          </w:r>
          <w:r>
            <w:rPr>
              <w:rFonts w:ascii="Times New Roman" w:hAnsi="Times New Roman" w:cs="Times New Roman"/>
              <w:sz w:val="24"/>
              <w:szCs w:val="24"/>
            </w:rPr>
            <w:t>12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9"/>
            <w:tabs>
              <w:tab w:val="right" w:leader="dot" w:pos="8296"/>
            </w:tabs>
            <w:spacing w:line="360" w:lineRule="auto"/>
            <w:rPr>
              <w:rFonts w:ascii="Times New Roman" w:hAnsi="Times New Roman" w:cs="Times New Roman"/>
              <w:sz w:val="24"/>
              <w:szCs w:val="24"/>
            </w:rPr>
          </w:pPr>
          <w:r>
            <w:fldChar w:fldCharType="begin"/>
          </w:r>
          <w:r>
            <w:instrText xml:space="preserve"> HYPERLINK \l "_Toc62202377" </w:instrText>
          </w:r>
          <w:r>
            <w:fldChar w:fldCharType="separate"/>
          </w:r>
          <w:r>
            <w:rPr>
              <w:rStyle w:val="32"/>
              <w:rFonts w:ascii="Times New Roman" w:hAnsi="Times New Roman" w:cs="Times New Roman"/>
              <w:sz w:val="24"/>
              <w:szCs w:val="24"/>
            </w:rPr>
            <w:t>2 工程调查</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_Toc62202377 \h </w:instrText>
          </w:r>
          <w:r>
            <w:rPr>
              <w:rFonts w:ascii="Times New Roman" w:hAnsi="Times New Roman" w:cs="Times New Roman"/>
              <w:sz w:val="24"/>
              <w:szCs w:val="24"/>
            </w:rPr>
            <w:fldChar w:fldCharType="separate"/>
          </w:r>
          <w:r>
            <w:rPr>
              <w:rFonts w:ascii="Times New Roman" w:hAnsi="Times New Roman" w:cs="Times New Roman"/>
              <w:sz w:val="24"/>
              <w:szCs w:val="24"/>
            </w:rPr>
            <w:t>13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2"/>
            <w:tabs>
              <w:tab w:val="right" w:leader="dot" w:pos="8296"/>
            </w:tabs>
            <w:spacing w:line="360" w:lineRule="auto"/>
            <w:rPr>
              <w:rFonts w:ascii="Times New Roman" w:hAnsi="Times New Roman" w:cs="Times New Roman"/>
              <w:sz w:val="24"/>
              <w:szCs w:val="24"/>
            </w:rPr>
          </w:pPr>
          <w:r>
            <w:fldChar w:fldCharType="begin"/>
          </w:r>
          <w:r>
            <w:instrText xml:space="preserve"> HYPERLINK \l "_Toc62202378" </w:instrText>
          </w:r>
          <w:r>
            <w:fldChar w:fldCharType="separate"/>
          </w:r>
          <w:r>
            <w:rPr>
              <w:rStyle w:val="32"/>
              <w:rFonts w:ascii="Times New Roman" w:hAnsi="Times New Roman" w:cs="Times New Roman"/>
              <w:sz w:val="24"/>
              <w:szCs w:val="24"/>
            </w:rPr>
            <w:t>2.1 建设过程回顾</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_Toc62202378 \h </w:instrText>
          </w:r>
          <w:r>
            <w:rPr>
              <w:rFonts w:ascii="Times New Roman" w:hAnsi="Times New Roman" w:cs="Times New Roman"/>
              <w:sz w:val="24"/>
              <w:szCs w:val="24"/>
            </w:rPr>
            <w:fldChar w:fldCharType="separate"/>
          </w:r>
          <w:r>
            <w:rPr>
              <w:rFonts w:ascii="Times New Roman" w:hAnsi="Times New Roman" w:cs="Times New Roman"/>
              <w:sz w:val="24"/>
              <w:szCs w:val="24"/>
            </w:rPr>
            <w:t>13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2"/>
            <w:tabs>
              <w:tab w:val="right" w:leader="dot" w:pos="8296"/>
            </w:tabs>
            <w:spacing w:line="360" w:lineRule="auto"/>
            <w:rPr>
              <w:rFonts w:ascii="Times New Roman" w:hAnsi="Times New Roman" w:cs="Times New Roman"/>
              <w:sz w:val="24"/>
              <w:szCs w:val="24"/>
            </w:rPr>
          </w:pPr>
          <w:r>
            <w:fldChar w:fldCharType="begin"/>
          </w:r>
          <w:r>
            <w:instrText xml:space="preserve"> HYPERLINK \l "_Toc62202379" </w:instrText>
          </w:r>
          <w:r>
            <w:fldChar w:fldCharType="separate"/>
          </w:r>
          <w:r>
            <w:rPr>
              <w:rStyle w:val="32"/>
              <w:rFonts w:ascii="Times New Roman" w:hAnsi="Times New Roman" w:cs="Times New Roman"/>
              <w:sz w:val="24"/>
              <w:szCs w:val="24"/>
            </w:rPr>
            <w:t>2.2 工程概况</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_Toc62202379 \h </w:instrText>
          </w:r>
          <w:r>
            <w:rPr>
              <w:rFonts w:ascii="Times New Roman" w:hAnsi="Times New Roman" w:cs="Times New Roman"/>
              <w:sz w:val="24"/>
              <w:szCs w:val="24"/>
            </w:rPr>
            <w:fldChar w:fldCharType="separate"/>
          </w:r>
          <w:r>
            <w:rPr>
              <w:rFonts w:ascii="Times New Roman" w:hAnsi="Times New Roman" w:cs="Times New Roman"/>
              <w:sz w:val="24"/>
              <w:szCs w:val="24"/>
            </w:rPr>
            <w:t>14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9"/>
            <w:tabs>
              <w:tab w:val="right" w:leader="dot" w:pos="8296"/>
            </w:tabs>
            <w:spacing w:line="360" w:lineRule="auto"/>
            <w:rPr>
              <w:rFonts w:ascii="Times New Roman" w:hAnsi="Times New Roman" w:cs="Times New Roman"/>
              <w:sz w:val="24"/>
              <w:szCs w:val="24"/>
            </w:rPr>
          </w:pPr>
          <w:r>
            <w:fldChar w:fldCharType="begin"/>
          </w:r>
          <w:r>
            <w:instrText xml:space="preserve"> HYPERLINK \l "_Toc62202380" </w:instrText>
          </w:r>
          <w:r>
            <w:fldChar w:fldCharType="separate"/>
          </w:r>
          <w:r>
            <w:rPr>
              <w:rStyle w:val="32"/>
              <w:rFonts w:ascii="Times New Roman" w:hAnsi="Times New Roman" w:cs="Times New Roman"/>
              <w:sz w:val="24"/>
              <w:szCs w:val="24"/>
            </w:rPr>
            <w:t>3 环境影响报告书回顾</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_Toc62202380 \h </w:instrText>
          </w:r>
          <w:r>
            <w:rPr>
              <w:rFonts w:ascii="Times New Roman" w:hAnsi="Times New Roman" w:cs="Times New Roman"/>
              <w:sz w:val="24"/>
              <w:szCs w:val="24"/>
            </w:rPr>
            <w:fldChar w:fldCharType="separate"/>
          </w:r>
          <w:r>
            <w:rPr>
              <w:rFonts w:ascii="Times New Roman" w:hAnsi="Times New Roman" w:cs="Times New Roman"/>
              <w:sz w:val="24"/>
              <w:szCs w:val="24"/>
            </w:rPr>
            <w:t>31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2"/>
            <w:tabs>
              <w:tab w:val="right" w:leader="dot" w:pos="8296"/>
            </w:tabs>
            <w:spacing w:line="360" w:lineRule="auto"/>
            <w:rPr>
              <w:rFonts w:ascii="Times New Roman" w:hAnsi="Times New Roman" w:cs="Times New Roman"/>
              <w:sz w:val="24"/>
              <w:szCs w:val="24"/>
            </w:rPr>
          </w:pPr>
          <w:r>
            <w:fldChar w:fldCharType="begin"/>
          </w:r>
          <w:r>
            <w:instrText xml:space="preserve"> HYPERLINK \l "_Toc62202381" </w:instrText>
          </w:r>
          <w:r>
            <w:fldChar w:fldCharType="separate"/>
          </w:r>
          <w:r>
            <w:rPr>
              <w:rStyle w:val="32"/>
              <w:rFonts w:ascii="Times New Roman" w:hAnsi="Times New Roman" w:cs="Times New Roman"/>
              <w:sz w:val="24"/>
              <w:szCs w:val="24"/>
            </w:rPr>
            <w:t>3.1 环境影响评价主要结论与建议</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_Toc62202381 \h </w:instrText>
          </w:r>
          <w:r>
            <w:rPr>
              <w:rFonts w:ascii="Times New Roman" w:hAnsi="Times New Roman" w:cs="Times New Roman"/>
              <w:sz w:val="24"/>
              <w:szCs w:val="24"/>
            </w:rPr>
            <w:fldChar w:fldCharType="separate"/>
          </w:r>
          <w:r>
            <w:rPr>
              <w:rFonts w:ascii="Times New Roman" w:hAnsi="Times New Roman" w:cs="Times New Roman"/>
              <w:sz w:val="24"/>
              <w:szCs w:val="24"/>
            </w:rPr>
            <w:t>31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2"/>
            <w:tabs>
              <w:tab w:val="right" w:leader="dot" w:pos="8296"/>
            </w:tabs>
            <w:spacing w:line="360" w:lineRule="auto"/>
            <w:rPr>
              <w:rFonts w:ascii="Times New Roman" w:hAnsi="Times New Roman" w:cs="Times New Roman"/>
              <w:sz w:val="24"/>
              <w:szCs w:val="24"/>
            </w:rPr>
          </w:pPr>
          <w:r>
            <w:fldChar w:fldCharType="begin"/>
          </w:r>
          <w:r>
            <w:instrText xml:space="preserve"> HYPERLINK \l "_Toc62202382" </w:instrText>
          </w:r>
          <w:r>
            <w:fldChar w:fldCharType="separate"/>
          </w:r>
          <w:r>
            <w:rPr>
              <w:rStyle w:val="32"/>
              <w:rFonts w:ascii="Times New Roman" w:hAnsi="Times New Roman" w:cs="Times New Roman"/>
              <w:sz w:val="24"/>
              <w:szCs w:val="24"/>
            </w:rPr>
            <w:t>3.2 环境影响评价报告书批复</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_Toc62202382 \h </w:instrText>
          </w:r>
          <w:r>
            <w:rPr>
              <w:rFonts w:ascii="Times New Roman" w:hAnsi="Times New Roman" w:cs="Times New Roman"/>
              <w:sz w:val="24"/>
              <w:szCs w:val="24"/>
            </w:rPr>
            <w:fldChar w:fldCharType="separate"/>
          </w:r>
          <w:r>
            <w:rPr>
              <w:rFonts w:ascii="Times New Roman" w:hAnsi="Times New Roman" w:cs="Times New Roman"/>
              <w:sz w:val="24"/>
              <w:szCs w:val="24"/>
            </w:rPr>
            <w:t>40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9"/>
            <w:tabs>
              <w:tab w:val="right" w:leader="dot" w:pos="8296"/>
            </w:tabs>
            <w:spacing w:line="360" w:lineRule="auto"/>
            <w:rPr>
              <w:rFonts w:ascii="Times New Roman" w:hAnsi="Times New Roman" w:cs="Times New Roman"/>
              <w:sz w:val="24"/>
              <w:szCs w:val="24"/>
            </w:rPr>
          </w:pPr>
          <w:r>
            <w:fldChar w:fldCharType="begin"/>
          </w:r>
          <w:r>
            <w:instrText xml:space="preserve"> HYPERLINK \l "_Toc62202383" </w:instrText>
          </w:r>
          <w:r>
            <w:fldChar w:fldCharType="separate"/>
          </w:r>
          <w:r>
            <w:rPr>
              <w:rStyle w:val="32"/>
              <w:rFonts w:ascii="Times New Roman" w:hAnsi="Times New Roman" w:cs="Times New Roman"/>
              <w:sz w:val="24"/>
              <w:szCs w:val="24"/>
            </w:rPr>
            <w:t>4. 环保措施落实情况调查</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_Toc62202383 \h </w:instrText>
          </w:r>
          <w:r>
            <w:rPr>
              <w:rFonts w:ascii="Times New Roman" w:hAnsi="Times New Roman" w:cs="Times New Roman"/>
              <w:sz w:val="24"/>
              <w:szCs w:val="24"/>
            </w:rPr>
            <w:fldChar w:fldCharType="separate"/>
          </w:r>
          <w:r>
            <w:rPr>
              <w:rFonts w:ascii="Times New Roman" w:hAnsi="Times New Roman" w:cs="Times New Roman"/>
              <w:sz w:val="24"/>
              <w:szCs w:val="24"/>
            </w:rPr>
            <w:t>44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2"/>
            <w:tabs>
              <w:tab w:val="right" w:leader="dot" w:pos="8296"/>
            </w:tabs>
            <w:spacing w:line="360" w:lineRule="auto"/>
            <w:rPr>
              <w:rFonts w:ascii="Times New Roman" w:hAnsi="Times New Roman" w:cs="Times New Roman"/>
              <w:sz w:val="24"/>
              <w:szCs w:val="24"/>
            </w:rPr>
          </w:pPr>
          <w:r>
            <w:fldChar w:fldCharType="begin"/>
          </w:r>
          <w:r>
            <w:instrText xml:space="preserve"> HYPERLINK \l "_Toc62202384" </w:instrText>
          </w:r>
          <w:r>
            <w:fldChar w:fldCharType="separate"/>
          </w:r>
          <w:r>
            <w:rPr>
              <w:rStyle w:val="32"/>
              <w:rFonts w:ascii="Times New Roman" w:hAnsi="Times New Roman" w:cs="Times New Roman"/>
              <w:sz w:val="24"/>
              <w:szCs w:val="24"/>
            </w:rPr>
            <w:t>4.1 环境保护措施落实情况</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_Toc62202384 \h </w:instrText>
          </w:r>
          <w:r>
            <w:rPr>
              <w:rFonts w:ascii="Times New Roman" w:hAnsi="Times New Roman" w:cs="Times New Roman"/>
              <w:sz w:val="24"/>
              <w:szCs w:val="24"/>
            </w:rPr>
            <w:fldChar w:fldCharType="separate"/>
          </w:r>
          <w:r>
            <w:rPr>
              <w:rFonts w:ascii="Times New Roman" w:hAnsi="Times New Roman" w:cs="Times New Roman"/>
              <w:sz w:val="24"/>
              <w:szCs w:val="24"/>
            </w:rPr>
            <w:t>44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2"/>
            <w:tabs>
              <w:tab w:val="right" w:leader="dot" w:pos="8296"/>
            </w:tabs>
            <w:spacing w:line="360" w:lineRule="auto"/>
            <w:rPr>
              <w:rFonts w:ascii="Times New Roman" w:hAnsi="Times New Roman" w:cs="Times New Roman"/>
              <w:sz w:val="24"/>
              <w:szCs w:val="24"/>
            </w:rPr>
          </w:pPr>
          <w:r>
            <w:fldChar w:fldCharType="begin"/>
          </w:r>
          <w:r>
            <w:instrText xml:space="preserve"> HYPERLINK \l "_Toc62202385" </w:instrText>
          </w:r>
          <w:r>
            <w:fldChar w:fldCharType="separate"/>
          </w:r>
          <w:r>
            <w:rPr>
              <w:rStyle w:val="32"/>
              <w:rFonts w:ascii="Times New Roman" w:hAnsi="Times New Roman" w:cs="Times New Roman"/>
              <w:sz w:val="24"/>
              <w:szCs w:val="24"/>
            </w:rPr>
            <w:t>4.2 环境影响评价批复要求落实情况</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_Toc62202385 \h </w:instrText>
          </w:r>
          <w:r>
            <w:rPr>
              <w:rFonts w:ascii="Times New Roman" w:hAnsi="Times New Roman" w:cs="Times New Roman"/>
              <w:sz w:val="24"/>
              <w:szCs w:val="24"/>
            </w:rPr>
            <w:fldChar w:fldCharType="separate"/>
          </w:r>
          <w:r>
            <w:rPr>
              <w:rFonts w:ascii="Times New Roman" w:hAnsi="Times New Roman" w:cs="Times New Roman"/>
              <w:sz w:val="24"/>
              <w:szCs w:val="24"/>
            </w:rPr>
            <w:t>53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9"/>
            <w:tabs>
              <w:tab w:val="right" w:leader="dot" w:pos="8296"/>
            </w:tabs>
            <w:spacing w:line="360" w:lineRule="auto"/>
            <w:rPr>
              <w:rFonts w:ascii="Times New Roman" w:hAnsi="Times New Roman" w:cs="Times New Roman"/>
              <w:sz w:val="24"/>
              <w:szCs w:val="24"/>
            </w:rPr>
          </w:pPr>
          <w:r>
            <w:fldChar w:fldCharType="begin"/>
          </w:r>
          <w:r>
            <w:instrText xml:space="preserve"> HYPERLINK \l "_Toc62202386" </w:instrText>
          </w:r>
          <w:r>
            <w:fldChar w:fldCharType="separate"/>
          </w:r>
          <w:r>
            <w:rPr>
              <w:rStyle w:val="32"/>
              <w:rFonts w:ascii="Times New Roman" w:hAnsi="Times New Roman" w:cs="Times New Roman"/>
              <w:sz w:val="24"/>
              <w:szCs w:val="24"/>
            </w:rPr>
            <w:t>5 环境影响调查</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_Toc62202386 \h </w:instrText>
          </w:r>
          <w:r>
            <w:rPr>
              <w:rFonts w:ascii="Times New Roman" w:hAnsi="Times New Roman" w:cs="Times New Roman"/>
              <w:sz w:val="24"/>
              <w:szCs w:val="24"/>
            </w:rPr>
            <w:fldChar w:fldCharType="separate"/>
          </w:r>
          <w:r>
            <w:rPr>
              <w:rFonts w:ascii="Times New Roman" w:hAnsi="Times New Roman" w:cs="Times New Roman"/>
              <w:sz w:val="24"/>
              <w:szCs w:val="24"/>
            </w:rPr>
            <w:t>56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2"/>
            <w:tabs>
              <w:tab w:val="right" w:leader="dot" w:pos="8296"/>
            </w:tabs>
            <w:spacing w:line="360" w:lineRule="auto"/>
            <w:rPr>
              <w:rFonts w:ascii="Times New Roman" w:hAnsi="Times New Roman" w:cs="Times New Roman"/>
              <w:sz w:val="24"/>
              <w:szCs w:val="24"/>
            </w:rPr>
          </w:pPr>
          <w:r>
            <w:fldChar w:fldCharType="begin"/>
          </w:r>
          <w:r>
            <w:instrText xml:space="preserve"> HYPERLINK \l "_Toc62202387" </w:instrText>
          </w:r>
          <w:r>
            <w:fldChar w:fldCharType="separate"/>
          </w:r>
          <w:r>
            <w:rPr>
              <w:rStyle w:val="32"/>
              <w:rFonts w:ascii="Times New Roman" w:hAnsi="Times New Roman" w:cs="Times New Roman"/>
              <w:sz w:val="24"/>
              <w:szCs w:val="24"/>
            </w:rPr>
            <w:t>5.1 生态影响调查</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_Toc62202387 \h </w:instrText>
          </w:r>
          <w:r>
            <w:rPr>
              <w:rFonts w:ascii="Times New Roman" w:hAnsi="Times New Roman" w:cs="Times New Roman"/>
              <w:sz w:val="24"/>
              <w:szCs w:val="24"/>
            </w:rPr>
            <w:fldChar w:fldCharType="separate"/>
          </w:r>
          <w:r>
            <w:rPr>
              <w:rFonts w:ascii="Times New Roman" w:hAnsi="Times New Roman" w:cs="Times New Roman"/>
              <w:sz w:val="24"/>
              <w:szCs w:val="24"/>
            </w:rPr>
            <w:t>56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2"/>
            <w:tabs>
              <w:tab w:val="right" w:leader="dot" w:pos="8296"/>
            </w:tabs>
            <w:spacing w:line="360" w:lineRule="auto"/>
            <w:rPr>
              <w:rFonts w:ascii="Times New Roman" w:hAnsi="Times New Roman" w:cs="Times New Roman"/>
              <w:sz w:val="24"/>
              <w:szCs w:val="24"/>
            </w:rPr>
          </w:pPr>
          <w:r>
            <w:fldChar w:fldCharType="begin"/>
          </w:r>
          <w:r>
            <w:instrText xml:space="preserve"> HYPERLINK \l "_Toc62202388" </w:instrText>
          </w:r>
          <w:r>
            <w:fldChar w:fldCharType="separate"/>
          </w:r>
          <w:r>
            <w:rPr>
              <w:rStyle w:val="32"/>
              <w:rFonts w:ascii="Times New Roman" w:hAnsi="Times New Roman" w:cs="Times New Roman"/>
              <w:sz w:val="24"/>
              <w:szCs w:val="24"/>
            </w:rPr>
            <w:t>5.2 水环境影响调查</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_Toc62202388 \h </w:instrText>
          </w:r>
          <w:r>
            <w:rPr>
              <w:rFonts w:ascii="Times New Roman" w:hAnsi="Times New Roman" w:cs="Times New Roman"/>
              <w:sz w:val="24"/>
              <w:szCs w:val="24"/>
            </w:rPr>
            <w:fldChar w:fldCharType="separate"/>
          </w:r>
          <w:r>
            <w:rPr>
              <w:rFonts w:ascii="Times New Roman" w:hAnsi="Times New Roman" w:cs="Times New Roman"/>
              <w:sz w:val="24"/>
              <w:szCs w:val="24"/>
            </w:rPr>
            <w:t>61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2"/>
            <w:tabs>
              <w:tab w:val="right" w:leader="dot" w:pos="8296"/>
            </w:tabs>
            <w:spacing w:line="360" w:lineRule="auto"/>
            <w:rPr>
              <w:rFonts w:ascii="Times New Roman" w:hAnsi="Times New Roman" w:cs="Times New Roman"/>
              <w:sz w:val="24"/>
              <w:szCs w:val="24"/>
            </w:rPr>
          </w:pPr>
          <w:r>
            <w:fldChar w:fldCharType="begin"/>
          </w:r>
          <w:r>
            <w:instrText xml:space="preserve"> HYPERLINK \l "_Toc62202389" </w:instrText>
          </w:r>
          <w:r>
            <w:fldChar w:fldCharType="separate"/>
          </w:r>
          <w:r>
            <w:rPr>
              <w:rStyle w:val="32"/>
              <w:rFonts w:ascii="Times New Roman" w:hAnsi="Times New Roman" w:cs="Times New Roman"/>
              <w:sz w:val="24"/>
              <w:szCs w:val="24"/>
            </w:rPr>
            <w:t>5.3 环境空气影响调查</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_Toc62202389 \h </w:instrText>
          </w:r>
          <w:r>
            <w:rPr>
              <w:rFonts w:ascii="Times New Roman" w:hAnsi="Times New Roman" w:cs="Times New Roman"/>
              <w:sz w:val="24"/>
              <w:szCs w:val="24"/>
            </w:rPr>
            <w:fldChar w:fldCharType="separate"/>
          </w:r>
          <w:r>
            <w:rPr>
              <w:rFonts w:ascii="Times New Roman" w:hAnsi="Times New Roman" w:cs="Times New Roman"/>
              <w:sz w:val="24"/>
              <w:szCs w:val="24"/>
            </w:rPr>
            <w:t>64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2"/>
            <w:tabs>
              <w:tab w:val="right" w:leader="dot" w:pos="8296"/>
            </w:tabs>
            <w:spacing w:line="360" w:lineRule="auto"/>
            <w:rPr>
              <w:rFonts w:ascii="Times New Roman" w:hAnsi="Times New Roman" w:cs="Times New Roman"/>
              <w:sz w:val="24"/>
              <w:szCs w:val="24"/>
            </w:rPr>
          </w:pPr>
          <w:r>
            <w:fldChar w:fldCharType="begin"/>
          </w:r>
          <w:r>
            <w:instrText xml:space="preserve"> HYPERLINK \l "_Toc62202390" </w:instrText>
          </w:r>
          <w:r>
            <w:fldChar w:fldCharType="separate"/>
          </w:r>
          <w:r>
            <w:rPr>
              <w:rStyle w:val="32"/>
              <w:rFonts w:ascii="Times New Roman" w:hAnsi="Times New Roman" w:cs="Times New Roman"/>
              <w:sz w:val="24"/>
              <w:szCs w:val="24"/>
            </w:rPr>
            <w:t>5.4 声环境影响调查</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_Toc62202390 \h </w:instrText>
          </w:r>
          <w:r>
            <w:rPr>
              <w:rFonts w:ascii="Times New Roman" w:hAnsi="Times New Roman" w:cs="Times New Roman"/>
              <w:sz w:val="24"/>
              <w:szCs w:val="24"/>
            </w:rPr>
            <w:fldChar w:fldCharType="separate"/>
          </w:r>
          <w:r>
            <w:rPr>
              <w:rFonts w:ascii="Times New Roman" w:hAnsi="Times New Roman" w:cs="Times New Roman"/>
              <w:sz w:val="24"/>
              <w:szCs w:val="24"/>
            </w:rPr>
            <w:t>65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2"/>
            <w:tabs>
              <w:tab w:val="right" w:leader="dot" w:pos="8296"/>
            </w:tabs>
            <w:spacing w:line="360" w:lineRule="auto"/>
            <w:rPr>
              <w:rFonts w:ascii="Times New Roman" w:hAnsi="Times New Roman" w:cs="Times New Roman"/>
              <w:sz w:val="24"/>
              <w:szCs w:val="24"/>
            </w:rPr>
          </w:pPr>
          <w:r>
            <w:fldChar w:fldCharType="begin"/>
          </w:r>
          <w:r>
            <w:instrText xml:space="preserve"> HYPERLINK \l "_Toc62202391" </w:instrText>
          </w:r>
          <w:r>
            <w:fldChar w:fldCharType="separate"/>
          </w:r>
          <w:r>
            <w:rPr>
              <w:rStyle w:val="32"/>
              <w:rFonts w:ascii="Times New Roman" w:hAnsi="Times New Roman" w:cs="Times New Roman"/>
              <w:sz w:val="24"/>
              <w:szCs w:val="24"/>
            </w:rPr>
            <w:t>5.5 固体废弃物环境影响调查</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_Toc62202391 \h </w:instrText>
          </w:r>
          <w:r>
            <w:rPr>
              <w:rFonts w:ascii="Times New Roman" w:hAnsi="Times New Roman" w:cs="Times New Roman"/>
              <w:sz w:val="24"/>
              <w:szCs w:val="24"/>
            </w:rPr>
            <w:fldChar w:fldCharType="separate"/>
          </w:r>
          <w:r>
            <w:rPr>
              <w:rFonts w:ascii="Times New Roman" w:hAnsi="Times New Roman" w:cs="Times New Roman"/>
              <w:sz w:val="24"/>
              <w:szCs w:val="24"/>
            </w:rPr>
            <w:t>67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2"/>
            <w:tabs>
              <w:tab w:val="right" w:leader="dot" w:pos="8296"/>
            </w:tabs>
            <w:spacing w:line="360" w:lineRule="auto"/>
            <w:rPr>
              <w:rFonts w:ascii="Times New Roman" w:hAnsi="Times New Roman" w:cs="Times New Roman"/>
              <w:sz w:val="24"/>
              <w:szCs w:val="24"/>
            </w:rPr>
          </w:pPr>
          <w:r>
            <w:fldChar w:fldCharType="begin"/>
          </w:r>
          <w:r>
            <w:instrText xml:space="preserve"> HYPERLINK \l "_Toc62202392" </w:instrText>
          </w:r>
          <w:r>
            <w:fldChar w:fldCharType="separate"/>
          </w:r>
          <w:r>
            <w:rPr>
              <w:rStyle w:val="32"/>
              <w:rFonts w:ascii="Times New Roman" w:hAnsi="Times New Roman" w:cs="Times New Roman"/>
              <w:sz w:val="24"/>
              <w:szCs w:val="24"/>
            </w:rPr>
            <w:t>5.6 社会环境影响调查</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_Toc62202392 \h </w:instrText>
          </w:r>
          <w:r>
            <w:rPr>
              <w:rFonts w:ascii="Times New Roman" w:hAnsi="Times New Roman" w:cs="Times New Roman"/>
              <w:sz w:val="24"/>
              <w:szCs w:val="24"/>
            </w:rPr>
            <w:fldChar w:fldCharType="separate"/>
          </w:r>
          <w:r>
            <w:rPr>
              <w:rFonts w:ascii="Times New Roman" w:hAnsi="Times New Roman" w:cs="Times New Roman"/>
              <w:sz w:val="24"/>
              <w:szCs w:val="24"/>
            </w:rPr>
            <w:t>67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2"/>
            <w:tabs>
              <w:tab w:val="right" w:leader="dot" w:pos="8296"/>
            </w:tabs>
            <w:spacing w:line="360" w:lineRule="auto"/>
            <w:rPr>
              <w:rFonts w:ascii="Times New Roman" w:hAnsi="Times New Roman" w:cs="Times New Roman"/>
              <w:sz w:val="24"/>
              <w:szCs w:val="24"/>
            </w:rPr>
          </w:pPr>
          <w:r>
            <w:fldChar w:fldCharType="begin"/>
          </w:r>
          <w:r>
            <w:instrText xml:space="preserve"> HYPERLINK \l "_Toc62202393" </w:instrText>
          </w:r>
          <w:r>
            <w:fldChar w:fldCharType="separate"/>
          </w:r>
          <w:r>
            <w:rPr>
              <w:rStyle w:val="32"/>
              <w:rFonts w:ascii="Times New Roman" w:hAnsi="Times New Roman" w:cs="Times New Roman"/>
              <w:sz w:val="24"/>
              <w:szCs w:val="24"/>
            </w:rPr>
            <w:t>5.7 环境影响调查结论</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_Toc62202393 \h </w:instrText>
          </w:r>
          <w:r>
            <w:rPr>
              <w:rFonts w:ascii="Times New Roman" w:hAnsi="Times New Roman" w:cs="Times New Roman"/>
              <w:sz w:val="24"/>
              <w:szCs w:val="24"/>
            </w:rPr>
            <w:fldChar w:fldCharType="separate"/>
          </w:r>
          <w:r>
            <w:rPr>
              <w:rFonts w:ascii="Times New Roman" w:hAnsi="Times New Roman" w:cs="Times New Roman"/>
              <w:sz w:val="24"/>
              <w:szCs w:val="24"/>
            </w:rPr>
            <w:t>68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9"/>
            <w:tabs>
              <w:tab w:val="right" w:leader="dot" w:pos="8296"/>
            </w:tabs>
            <w:spacing w:line="360" w:lineRule="auto"/>
            <w:rPr>
              <w:rFonts w:ascii="Times New Roman" w:hAnsi="Times New Roman" w:cs="Times New Roman"/>
              <w:sz w:val="24"/>
              <w:szCs w:val="24"/>
            </w:rPr>
          </w:pPr>
          <w:r>
            <w:fldChar w:fldCharType="begin"/>
          </w:r>
          <w:r>
            <w:instrText xml:space="preserve"> HYPERLINK \l "_Toc62202394" </w:instrText>
          </w:r>
          <w:r>
            <w:fldChar w:fldCharType="separate"/>
          </w:r>
          <w:r>
            <w:rPr>
              <w:rStyle w:val="32"/>
              <w:rFonts w:ascii="Times New Roman" w:hAnsi="Times New Roman" w:cs="Times New Roman"/>
              <w:sz w:val="24"/>
              <w:szCs w:val="24"/>
            </w:rPr>
            <w:t>6 风险事故防范及应急措施调查</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_Toc62202394 \h </w:instrText>
          </w:r>
          <w:r>
            <w:rPr>
              <w:rFonts w:ascii="Times New Roman" w:hAnsi="Times New Roman" w:cs="Times New Roman"/>
              <w:sz w:val="24"/>
              <w:szCs w:val="24"/>
            </w:rPr>
            <w:fldChar w:fldCharType="separate"/>
          </w:r>
          <w:r>
            <w:rPr>
              <w:rFonts w:ascii="Times New Roman" w:hAnsi="Times New Roman" w:cs="Times New Roman"/>
              <w:sz w:val="24"/>
              <w:szCs w:val="24"/>
            </w:rPr>
            <w:t>69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2"/>
            <w:tabs>
              <w:tab w:val="right" w:leader="dot" w:pos="8296"/>
            </w:tabs>
            <w:spacing w:line="360" w:lineRule="auto"/>
            <w:rPr>
              <w:rFonts w:ascii="Times New Roman" w:hAnsi="Times New Roman" w:cs="Times New Roman"/>
              <w:sz w:val="24"/>
              <w:szCs w:val="24"/>
            </w:rPr>
          </w:pPr>
          <w:r>
            <w:fldChar w:fldCharType="begin"/>
          </w:r>
          <w:r>
            <w:instrText xml:space="preserve"> HYPERLINK \l "_Toc62202395" </w:instrText>
          </w:r>
          <w:r>
            <w:fldChar w:fldCharType="separate"/>
          </w:r>
          <w:r>
            <w:rPr>
              <w:rStyle w:val="32"/>
              <w:rFonts w:ascii="Times New Roman" w:hAnsi="Times New Roman" w:cs="Times New Roman"/>
              <w:sz w:val="24"/>
              <w:szCs w:val="24"/>
            </w:rPr>
            <w:t>6.1 风险事故类型及应急措施调查</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_Toc62202395 \h </w:instrText>
          </w:r>
          <w:r>
            <w:rPr>
              <w:rFonts w:ascii="Times New Roman" w:hAnsi="Times New Roman" w:cs="Times New Roman"/>
              <w:sz w:val="24"/>
              <w:szCs w:val="24"/>
            </w:rPr>
            <w:fldChar w:fldCharType="separate"/>
          </w:r>
          <w:r>
            <w:rPr>
              <w:rFonts w:ascii="Times New Roman" w:hAnsi="Times New Roman" w:cs="Times New Roman"/>
              <w:sz w:val="24"/>
              <w:szCs w:val="24"/>
            </w:rPr>
            <w:t>69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2"/>
            <w:tabs>
              <w:tab w:val="right" w:leader="dot" w:pos="8296"/>
            </w:tabs>
            <w:spacing w:line="360" w:lineRule="auto"/>
            <w:rPr>
              <w:rFonts w:ascii="Times New Roman" w:hAnsi="Times New Roman" w:cs="Times New Roman"/>
              <w:sz w:val="24"/>
              <w:szCs w:val="24"/>
            </w:rPr>
          </w:pPr>
          <w:r>
            <w:fldChar w:fldCharType="begin"/>
          </w:r>
          <w:r>
            <w:instrText xml:space="preserve"> HYPERLINK \l "_Toc62202396" </w:instrText>
          </w:r>
          <w:r>
            <w:fldChar w:fldCharType="separate"/>
          </w:r>
          <w:r>
            <w:rPr>
              <w:rStyle w:val="32"/>
              <w:rFonts w:ascii="Times New Roman" w:hAnsi="Times New Roman" w:cs="Times New Roman"/>
              <w:sz w:val="24"/>
              <w:szCs w:val="24"/>
            </w:rPr>
            <w:t>6.2 环境风险事故防范与应急管理机构及制度调查</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_Toc62202396 \h </w:instrText>
          </w:r>
          <w:r>
            <w:rPr>
              <w:rFonts w:ascii="Times New Roman" w:hAnsi="Times New Roman" w:cs="Times New Roman"/>
              <w:sz w:val="24"/>
              <w:szCs w:val="24"/>
            </w:rPr>
            <w:fldChar w:fldCharType="separate"/>
          </w:r>
          <w:r>
            <w:rPr>
              <w:rFonts w:ascii="Times New Roman" w:hAnsi="Times New Roman" w:cs="Times New Roman"/>
              <w:sz w:val="24"/>
              <w:szCs w:val="24"/>
            </w:rPr>
            <w:t>70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9"/>
            <w:tabs>
              <w:tab w:val="right" w:leader="dot" w:pos="8296"/>
            </w:tabs>
            <w:spacing w:line="360" w:lineRule="auto"/>
            <w:rPr>
              <w:rFonts w:ascii="Times New Roman" w:hAnsi="Times New Roman" w:cs="Times New Roman"/>
              <w:sz w:val="24"/>
              <w:szCs w:val="24"/>
            </w:rPr>
          </w:pPr>
          <w:r>
            <w:fldChar w:fldCharType="begin"/>
          </w:r>
          <w:r>
            <w:instrText xml:space="preserve"> HYPERLINK \l "_Toc62202397" </w:instrText>
          </w:r>
          <w:r>
            <w:fldChar w:fldCharType="separate"/>
          </w:r>
          <w:r>
            <w:rPr>
              <w:rStyle w:val="32"/>
              <w:rFonts w:ascii="Times New Roman" w:hAnsi="Times New Roman" w:cs="Times New Roman"/>
              <w:sz w:val="24"/>
              <w:szCs w:val="24"/>
            </w:rPr>
            <w:t>7 环境管理调查及监测计划落实情况调查</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_Toc62202397 \h </w:instrText>
          </w:r>
          <w:r>
            <w:rPr>
              <w:rFonts w:ascii="Times New Roman" w:hAnsi="Times New Roman" w:cs="Times New Roman"/>
              <w:sz w:val="24"/>
              <w:szCs w:val="24"/>
            </w:rPr>
            <w:fldChar w:fldCharType="separate"/>
          </w:r>
          <w:r>
            <w:rPr>
              <w:rFonts w:ascii="Times New Roman" w:hAnsi="Times New Roman" w:cs="Times New Roman"/>
              <w:sz w:val="24"/>
              <w:szCs w:val="24"/>
            </w:rPr>
            <w:t>73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2"/>
            <w:tabs>
              <w:tab w:val="right" w:leader="dot" w:pos="8296"/>
            </w:tabs>
            <w:spacing w:line="360" w:lineRule="auto"/>
            <w:rPr>
              <w:rFonts w:ascii="Times New Roman" w:hAnsi="Times New Roman" w:cs="Times New Roman"/>
              <w:sz w:val="24"/>
              <w:szCs w:val="24"/>
            </w:rPr>
          </w:pPr>
          <w:r>
            <w:fldChar w:fldCharType="begin"/>
          </w:r>
          <w:r>
            <w:instrText xml:space="preserve"> HYPERLINK \l "_Toc62202398" </w:instrText>
          </w:r>
          <w:r>
            <w:fldChar w:fldCharType="separate"/>
          </w:r>
          <w:r>
            <w:rPr>
              <w:rStyle w:val="32"/>
              <w:rFonts w:ascii="Times New Roman" w:hAnsi="Times New Roman" w:cs="Times New Roman"/>
              <w:sz w:val="24"/>
              <w:szCs w:val="24"/>
            </w:rPr>
            <w:t>7.1 环境管理机构调查</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_Toc62202398 \h </w:instrText>
          </w:r>
          <w:r>
            <w:rPr>
              <w:rFonts w:ascii="Times New Roman" w:hAnsi="Times New Roman" w:cs="Times New Roman"/>
              <w:sz w:val="24"/>
              <w:szCs w:val="24"/>
            </w:rPr>
            <w:fldChar w:fldCharType="separate"/>
          </w:r>
          <w:r>
            <w:rPr>
              <w:rFonts w:ascii="Times New Roman" w:hAnsi="Times New Roman" w:cs="Times New Roman"/>
              <w:sz w:val="24"/>
              <w:szCs w:val="24"/>
            </w:rPr>
            <w:t>73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2"/>
            <w:tabs>
              <w:tab w:val="right" w:leader="dot" w:pos="8296"/>
            </w:tabs>
            <w:spacing w:line="360" w:lineRule="auto"/>
            <w:rPr>
              <w:rFonts w:ascii="Times New Roman" w:hAnsi="Times New Roman" w:cs="Times New Roman"/>
              <w:sz w:val="24"/>
              <w:szCs w:val="24"/>
            </w:rPr>
          </w:pPr>
          <w:r>
            <w:fldChar w:fldCharType="begin"/>
          </w:r>
          <w:r>
            <w:instrText xml:space="preserve"> HYPERLINK \l "_Toc62202399" </w:instrText>
          </w:r>
          <w:r>
            <w:fldChar w:fldCharType="separate"/>
          </w:r>
          <w:r>
            <w:rPr>
              <w:rStyle w:val="32"/>
              <w:rFonts w:ascii="Times New Roman" w:hAnsi="Times New Roman" w:cs="Times New Roman"/>
              <w:sz w:val="24"/>
              <w:szCs w:val="24"/>
            </w:rPr>
            <w:t>7.2 环境管理情况</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_Toc62202399 \h </w:instrText>
          </w:r>
          <w:r>
            <w:rPr>
              <w:rFonts w:ascii="Times New Roman" w:hAnsi="Times New Roman" w:cs="Times New Roman"/>
              <w:sz w:val="24"/>
              <w:szCs w:val="24"/>
            </w:rPr>
            <w:fldChar w:fldCharType="separate"/>
          </w:r>
          <w:r>
            <w:rPr>
              <w:rFonts w:ascii="Times New Roman" w:hAnsi="Times New Roman" w:cs="Times New Roman"/>
              <w:sz w:val="24"/>
              <w:szCs w:val="24"/>
            </w:rPr>
            <w:t>73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2"/>
            <w:tabs>
              <w:tab w:val="right" w:leader="dot" w:pos="8296"/>
            </w:tabs>
            <w:spacing w:line="360" w:lineRule="auto"/>
            <w:rPr>
              <w:rFonts w:ascii="Times New Roman" w:hAnsi="Times New Roman" w:cs="Times New Roman"/>
              <w:sz w:val="24"/>
              <w:szCs w:val="24"/>
            </w:rPr>
          </w:pPr>
          <w:r>
            <w:fldChar w:fldCharType="begin"/>
          </w:r>
          <w:r>
            <w:instrText xml:space="preserve"> HYPERLINK \l "_Toc62202400" </w:instrText>
          </w:r>
          <w:r>
            <w:fldChar w:fldCharType="separate"/>
          </w:r>
          <w:r>
            <w:rPr>
              <w:rStyle w:val="32"/>
              <w:rFonts w:ascii="Times New Roman" w:hAnsi="Times New Roman" w:cs="Times New Roman"/>
              <w:sz w:val="24"/>
              <w:szCs w:val="24"/>
            </w:rPr>
            <w:t>7.3 监测计划实施情况调查</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_Toc62202400 \h </w:instrText>
          </w:r>
          <w:r>
            <w:rPr>
              <w:rFonts w:ascii="Times New Roman" w:hAnsi="Times New Roman" w:cs="Times New Roman"/>
              <w:sz w:val="24"/>
              <w:szCs w:val="24"/>
            </w:rPr>
            <w:fldChar w:fldCharType="separate"/>
          </w:r>
          <w:r>
            <w:rPr>
              <w:rFonts w:ascii="Times New Roman" w:hAnsi="Times New Roman" w:cs="Times New Roman"/>
              <w:sz w:val="24"/>
              <w:szCs w:val="24"/>
            </w:rPr>
            <w:t>75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2"/>
            <w:tabs>
              <w:tab w:val="right" w:leader="dot" w:pos="8296"/>
            </w:tabs>
            <w:spacing w:line="360" w:lineRule="auto"/>
            <w:rPr>
              <w:rFonts w:ascii="Times New Roman" w:hAnsi="Times New Roman" w:cs="Times New Roman"/>
              <w:sz w:val="24"/>
              <w:szCs w:val="24"/>
            </w:rPr>
          </w:pPr>
          <w:r>
            <w:fldChar w:fldCharType="begin"/>
          </w:r>
          <w:r>
            <w:instrText xml:space="preserve"> HYPERLINK \l "_Toc62202401" </w:instrText>
          </w:r>
          <w:r>
            <w:fldChar w:fldCharType="separate"/>
          </w:r>
          <w:r>
            <w:rPr>
              <w:rStyle w:val="32"/>
              <w:rFonts w:ascii="Times New Roman" w:hAnsi="Times New Roman" w:cs="Times New Roman"/>
              <w:sz w:val="24"/>
              <w:szCs w:val="24"/>
            </w:rPr>
            <w:t>7.4 环境监理实施情况调查</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_Toc62202401 \h </w:instrText>
          </w:r>
          <w:r>
            <w:rPr>
              <w:rFonts w:ascii="Times New Roman" w:hAnsi="Times New Roman" w:cs="Times New Roman"/>
              <w:sz w:val="24"/>
              <w:szCs w:val="24"/>
            </w:rPr>
            <w:fldChar w:fldCharType="separate"/>
          </w:r>
          <w:r>
            <w:rPr>
              <w:rFonts w:ascii="Times New Roman" w:hAnsi="Times New Roman" w:cs="Times New Roman"/>
              <w:sz w:val="24"/>
              <w:szCs w:val="24"/>
            </w:rPr>
            <w:t>75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2"/>
            <w:tabs>
              <w:tab w:val="right" w:leader="dot" w:pos="8296"/>
            </w:tabs>
            <w:spacing w:line="360" w:lineRule="auto"/>
            <w:rPr>
              <w:rFonts w:ascii="Times New Roman" w:hAnsi="Times New Roman" w:cs="Times New Roman"/>
              <w:sz w:val="24"/>
              <w:szCs w:val="24"/>
            </w:rPr>
          </w:pPr>
          <w:r>
            <w:fldChar w:fldCharType="begin"/>
          </w:r>
          <w:r>
            <w:instrText xml:space="preserve"> HYPERLINK \l "_Toc62202402" </w:instrText>
          </w:r>
          <w:r>
            <w:fldChar w:fldCharType="separate"/>
          </w:r>
          <w:r>
            <w:rPr>
              <w:rStyle w:val="32"/>
              <w:rFonts w:ascii="Times New Roman" w:hAnsi="Times New Roman" w:cs="Times New Roman"/>
              <w:sz w:val="24"/>
              <w:szCs w:val="24"/>
            </w:rPr>
            <w:t>7.5 “三同时”落实情况调查</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_Toc62202402 \h </w:instrText>
          </w:r>
          <w:r>
            <w:rPr>
              <w:rFonts w:ascii="Times New Roman" w:hAnsi="Times New Roman" w:cs="Times New Roman"/>
              <w:sz w:val="24"/>
              <w:szCs w:val="24"/>
            </w:rPr>
            <w:fldChar w:fldCharType="separate"/>
          </w:r>
          <w:r>
            <w:rPr>
              <w:rFonts w:ascii="Times New Roman" w:hAnsi="Times New Roman" w:cs="Times New Roman"/>
              <w:sz w:val="24"/>
              <w:szCs w:val="24"/>
            </w:rPr>
            <w:t>76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9"/>
            <w:tabs>
              <w:tab w:val="right" w:leader="dot" w:pos="8296"/>
            </w:tabs>
            <w:spacing w:line="360" w:lineRule="auto"/>
            <w:rPr>
              <w:rFonts w:ascii="Times New Roman" w:hAnsi="Times New Roman" w:cs="Times New Roman"/>
              <w:sz w:val="24"/>
              <w:szCs w:val="24"/>
            </w:rPr>
          </w:pPr>
          <w:r>
            <w:fldChar w:fldCharType="begin"/>
          </w:r>
          <w:r>
            <w:instrText xml:space="preserve"> HYPERLINK \l "_Toc62202403" </w:instrText>
          </w:r>
          <w:r>
            <w:fldChar w:fldCharType="separate"/>
          </w:r>
          <w:r>
            <w:rPr>
              <w:rStyle w:val="32"/>
              <w:rFonts w:ascii="Times New Roman" w:hAnsi="Times New Roman" w:cs="Times New Roman"/>
              <w:sz w:val="24"/>
              <w:szCs w:val="24"/>
            </w:rPr>
            <w:t>8 公众意见调查</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_Toc62202403 \h </w:instrText>
          </w:r>
          <w:r>
            <w:rPr>
              <w:rFonts w:ascii="Times New Roman" w:hAnsi="Times New Roman" w:cs="Times New Roman"/>
              <w:sz w:val="24"/>
              <w:szCs w:val="24"/>
            </w:rPr>
            <w:fldChar w:fldCharType="separate"/>
          </w:r>
          <w:r>
            <w:rPr>
              <w:rFonts w:ascii="Times New Roman" w:hAnsi="Times New Roman" w:cs="Times New Roman"/>
              <w:sz w:val="24"/>
              <w:szCs w:val="24"/>
            </w:rPr>
            <w:t>78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2"/>
            <w:tabs>
              <w:tab w:val="right" w:leader="dot" w:pos="8296"/>
            </w:tabs>
            <w:spacing w:line="360" w:lineRule="auto"/>
            <w:rPr>
              <w:rFonts w:ascii="Times New Roman" w:hAnsi="Times New Roman" w:cs="Times New Roman"/>
              <w:sz w:val="24"/>
              <w:szCs w:val="24"/>
            </w:rPr>
          </w:pPr>
          <w:r>
            <w:fldChar w:fldCharType="begin"/>
          </w:r>
          <w:r>
            <w:instrText xml:space="preserve"> HYPERLINK \l "_Toc62202404" </w:instrText>
          </w:r>
          <w:r>
            <w:fldChar w:fldCharType="separate"/>
          </w:r>
          <w:r>
            <w:rPr>
              <w:rStyle w:val="32"/>
              <w:rFonts w:ascii="Times New Roman" w:hAnsi="Times New Roman" w:cs="Times New Roman"/>
              <w:sz w:val="24"/>
              <w:szCs w:val="24"/>
            </w:rPr>
            <w:t>8.1 公众意见调查的目的</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_Toc62202404 \h </w:instrText>
          </w:r>
          <w:r>
            <w:rPr>
              <w:rFonts w:ascii="Times New Roman" w:hAnsi="Times New Roman" w:cs="Times New Roman"/>
              <w:sz w:val="24"/>
              <w:szCs w:val="24"/>
            </w:rPr>
            <w:fldChar w:fldCharType="separate"/>
          </w:r>
          <w:r>
            <w:rPr>
              <w:rFonts w:ascii="Times New Roman" w:hAnsi="Times New Roman" w:cs="Times New Roman"/>
              <w:sz w:val="24"/>
              <w:szCs w:val="24"/>
            </w:rPr>
            <w:t>78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2"/>
            <w:tabs>
              <w:tab w:val="right" w:leader="dot" w:pos="8296"/>
            </w:tabs>
            <w:spacing w:line="360" w:lineRule="auto"/>
            <w:rPr>
              <w:rFonts w:ascii="Times New Roman" w:hAnsi="Times New Roman" w:cs="Times New Roman"/>
              <w:sz w:val="24"/>
              <w:szCs w:val="24"/>
            </w:rPr>
          </w:pPr>
          <w:r>
            <w:fldChar w:fldCharType="begin"/>
          </w:r>
          <w:r>
            <w:instrText xml:space="preserve"> HYPERLINK \l "_Toc62202405" </w:instrText>
          </w:r>
          <w:r>
            <w:fldChar w:fldCharType="separate"/>
          </w:r>
          <w:r>
            <w:rPr>
              <w:rStyle w:val="32"/>
              <w:rFonts w:ascii="Times New Roman" w:hAnsi="Times New Roman" w:cs="Times New Roman"/>
              <w:sz w:val="24"/>
              <w:szCs w:val="24"/>
            </w:rPr>
            <w:t>8.2 调查对象和方法</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_Toc62202405 \h </w:instrText>
          </w:r>
          <w:r>
            <w:rPr>
              <w:rFonts w:ascii="Times New Roman" w:hAnsi="Times New Roman" w:cs="Times New Roman"/>
              <w:sz w:val="24"/>
              <w:szCs w:val="24"/>
            </w:rPr>
            <w:fldChar w:fldCharType="separate"/>
          </w:r>
          <w:r>
            <w:rPr>
              <w:rFonts w:ascii="Times New Roman" w:hAnsi="Times New Roman" w:cs="Times New Roman"/>
              <w:sz w:val="24"/>
              <w:szCs w:val="24"/>
            </w:rPr>
            <w:t>78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2"/>
            <w:tabs>
              <w:tab w:val="right" w:leader="dot" w:pos="8296"/>
            </w:tabs>
            <w:spacing w:line="360" w:lineRule="auto"/>
            <w:rPr>
              <w:rFonts w:ascii="Times New Roman" w:hAnsi="Times New Roman" w:cs="Times New Roman"/>
              <w:sz w:val="24"/>
              <w:szCs w:val="24"/>
            </w:rPr>
          </w:pPr>
          <w:r>
            <w:fldChar w:fldCharType="begin"/>
          </w:r>
          <w:r>
            <w:instrText xml:space="preserve"> HYPERLINK \l "_Toc62202406" </w:instrText>
          </w:r>
          <w:r>
            <w:fldChar w:fldCharType="separate"/>
          </w:r>
          <w:r>
            <w:rPr>
              <w:rStyle w:val="32"/>
              <w:rFonts w:ascii="Times New Roman" w:hAnsi="Times New Roman" w:cs="Times New Roman"/>
              <w:sz w:val="24"/>
              <w:szCs w:val="24"/>
            </w:rPr>
            <w:t>8.3 公众意见调查结果分析</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_Toc62202406 \h </w:instrText>
          </w:r>
          <w:r>
            <w:rPr>
              <w:rFonts w:ascii="Times New Roman" w:hAnsi="Times New Roman" w:cs="Times New Roman"/>
              <w:sz w:val="24"/>
              <w:szCs w:val="24"/>
            </w:rPr>
            <w:fldChar w:fldCharType="separate"/>
          </w:r>
          <w:r>
            <w:rPr>
              <w:rFonts w:ascii="Times New Roman" w:hAnsi="Times New Roman" w:cs="Times New Roman"/>
              <w:sz w:val="24"/>
              <w:szCs w:val="24"/>
            </w:rPr>
            <w:t>78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2"/>
            <w:tabs>
              <w:tab w:val="right" w:leader="dot" w:pos="8296"/>
            </w:tabs>
            <w:spacing w:line="360" w:lineRule="auto"/>
            <w:rPr>
              <w:rFonts w:ascii="Times New Roman" w:hAnsi="Times New Roman" w:cs="Times New Roman"/>
              <w:sz w:val="24"/>
              <w:szCs w:val="24"/>
            </w:rPr>
          </w:pPr>
          <w:r>
            <w:fldChar w:fldCharType="begin"/>
          </w:r>
          <w:r>
            <w:instrText xml:space="preserve"> HYPERLINK \l "_Toc62202407" </w:instrText>
          </w:r>
          <w:r>
            <w:fldChar w:fldCharType="separate"/>
          </w:r>
          <w:r>
            <w:rPr>
              <w:rStyle w:val="32"/>
              <w:rFonts w:ascii="Times New Roman" w:hAnsi="Times New Roman" w:cs="Times New Roman"/>
              <w:sz w:val="24"/>
              <w:szCs w:val="24"/>
            </w:rPr>
            <w:t>8.4 公众意见调查结论</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_Toc62202407 \h </w:instrText>
          </w:r>
          <w:r>
            <w:rPr>
              <w:rFonts w:ascii="Times New Roman" w:hAnsi="Times New Roman" w:cs="Times New Roman"/>
              <w:sz w:val="24"/>
              <w:szCs w:val="24"/>
            </w:rPr>
            <w:fldChar w:fldCharType="separate"/>
          </w:r>
          <w:r>
            <w:rPr>
              <w:rFonts w:ascii="Times New Roman" w:hAnsi="Times New Roman" w:cs="Times New Roman"/>
              <w:sz w:val="24"/>
              <w:szCs w:val="24"/>
            </w:rPr>
            <w:t>80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9"/>
            <w:tabs>
              <w:tab w:val="right" w:leader="dot" w:pos="8296"/>
            </w:tabs>
            <w:spacing w:line="360" w:lineRule="auto"/>
            <w:rPr>
              <w:rFonts w:ascii="Times New Roman" w:hAnsi="Times New Roman" w:cs="Times New Roman"/>
              <w:sz w:val="24"/>
              <w:szCs w:val="24"/>
            </w:rPr>
          </w:pPr>
          <w:r>
            <w:fldChar w:fldCharType="begin"/>
          </w:r>
          <w:r>
            <w:instrText xml:space="preserve"> HYPERLINK \l "_Toc62202408" </w:instrText>
          </w:r>
          <w:r>
            <w:fldChar w:fldCharType="separate"/>
          </w:r>
          <w:r>
            <w:rPr>
              <w:rStyle w:val="32"/>
              <w:rFonts w:ascii="Times New Roman" w:hAnsi="Times New Roman" w:cs="Times New Roman"/>
              <w:sz w:val="24"/>
              <w:szCs w:val="24"/>
            </w:rPr>
            <w:t>9 调查结论与建议</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_Toc62202408 \h </w:instrText>
          </w:r>
          <w:r>
            <w:rPr>
              <w:rFonts w:ascii="Times New Roman" w:hAnsi="Times New Roman" w:cs="Times New Roman"/>
              <w:sz w:val="24"/>
              <w:szCs w:val="24"/>
            </w:rPr>
            <w:fldChar w:fldCharType="separate"/>
          </w:r>
          <w:r>
            <w:rPr>
              <w:rFonts w:ascii="Times New Roman" w:hAnsi="Times New Roman" w:cs="Times New Roman"/>
              <w:sz w:val="24"/>
              <w:szCs w:val="24"/>
            </w:rPr>
            <w:t>81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2"/>
            <w:tabs>
              <w:tab w:val="right" w:leader="dot" w:pos="8296"/>
            </w:tabs>
            <w:spacing w:line="360" w:lineRule="auto"/>
            <w:rPr>
              <w:rFonts w:ascii="Times New Roman" w:hAnsi="Times New Roman" w:cs="Times New Roman"/>
              <w:sz w:val="24"/>
              <w:szCs w:val="24"/>
            </w:rPr>
          </w:pPr>
          <w:r>
            <w:fldChar w:fldCharType="begin"/>
          </w:r>
          <w:r>
            <w:instrText xml:space="preserve"> HYPERLINK \l "_Toc62202409" </w:instrText>
          </w:r>
          <w:r>
            <w:fldChar w:fldCharType="separate"/>
          </w:r>
          <w:r>
            <w:rPr>
              <w:rStyle w:val="32"/>
              <w:rFonts w:ascii="Times New Roman" w:hAnsi="Times New Roman" w:cs="Times New Roman"/>
              <w:sz w:val="24"/>
              <w:szCs w:val="24"/>
            </w:rPr>
            <w:t>9.1 调查结论</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_Toc62202409 \h </w:instrText>
          </w:r>
          <w:r>
            <w:rPr>
              <w:rFonts w:ascii="Times New Roman" w:hAnsi="Times New Roman" w:cs="Times New Roman"/>
              <w:sz w:val="24"/>
              <w:szCs w:val="24"/>
            </w:rPr>
            <w:fldChar w:fldCharType="separate"/>
          </w:r>
          <w:r>
            <w:rPr>
              <w:rFonts w:ascii="Times New Roman" w:hAnsi="Times New Roman" w:cs="Times New Roman"/>
              <w:sz w:val="24"/>
              <w:szCs w:val="24"/>
            </w:rPr>
            <w:t>81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2"/>
            <w:tabs>
              <w:tab w:val="right" w:leader="dot" w:pos="8296"/>
            </w:tabs>
            <w:spacing w:line="360" w:lineRule="auto"/>
            <w:rPr>
              <w:rFonts w:ascii="Times New Roman" w:hAnsi="Times New Roman" w:cs="Times New Roman"/>
              <w:sz w:val="24"/>
              <w:szCs w:val="24"/>
            </w:rPr>
          </w:pPr>
          <w:r>
            <w:fldChar w:fldCharType="begin"/>
          </w:r>
          <w:r>
            <w:instrText xml:space="preserve"> HYPERLINK \l "_Toc62202410" </w:instrText>
          </w:r>
          <w:r>
            <w:fldChar w:fldCharType="separate"/>
          </w:r>
          <w:r>
            <w:rPr>
              <w:rStyle w:val="32"/>
              <w:rFonts w:ascii="Times New Roman" w:hAnsi="Times New Roman" w:cs="Times New Roman"/>
              <w:sz w:val="24"/>
              <w:szCs w:val="24"/>
            </w:rPr>
            <w:t>9.2 建议</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_Toc62202410 \h </w:instrText>
          </w:r>
          <w:r>
            <w:rPr>
              <w:rFonts w:ascii="Times New Roman" w:hAnsi="Times New Roman" w:cs="Times New Roman"/>
              <w:sz w:val="24"/>
              <w:szCs w:val="24"/>
            </w:rPr>
            <w:fldChar w:fldCharType="separate"/>
          </w:r>
          <w:r>
            <w:rPr>
              <w:rFonts w:ascii="Times New Roman" w:hAnsi="Times New Roman" w:cs="Times New Roman"/>
              <w:sz w:val="24"/>
              <w:szCs w:val="24"/>
            </w:rPr>
            <w:t>83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spacing w:line="360" w:lineRule="auto"/>
            <w:rPr>
              <w:color w:val="000000" w:themeColor="text1"/>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fldChar w:fldCharType="end"/>
          </w:r>
        </w:p>
      </w:sdtContent>
    </w:sdt>
    <w:p>
      <w:pPr>
        <w:spacing w:line="360" w:lineRule="auto"/>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附件</w:t>
      </w:r>
      <w:r>
        <w:rPr>
          <w:rFonts w:hint="eastAsia" w:ascii="Times New Roman" w:hAnsi="Times New Roman" w:cs="Times New Roman"/>
          <w:b/>
          <w:color w:val="000000" w:themeColor="text1"/>
          <w:sz w:val="24"/>
          <w:szCs w:val="24"/>
          <w14:textFill>
            <w14:solidFill>
              <w14:schemeClr w14:val="tx1"/>
            </w14:solidFill>
          </w14:textFill>
        </w:rPr>
        <w:t>：</w:t>
      </w:r>
    </w:p>
    <w:p>
      <w:pPr>
        <w:spacing w:line="360" w:lineRule="auto"/>
        <w:ind w:firstLine="482"/>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1、项目环境影响评价报告书批复</w:t>
      </w:r>
    </w:p>
    <w:p>
      <w:pPr>
        <w:spacing w:line="360" w:lineRule="auto"/>
        <w:ind w:firstLine="482"/>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2、</w:t>
      </w:r>
      <w:r>
        <w:rPr>
          <w:rFonts w:ascii="Times New Roman" w:hAnsi="Times New Roman" w:cs="Times New Roman"/>
          <w:color w:val="000000" w:themeColor="text1"/>
          <w:sz w:val="24"/>
          <w:szCs w:val="24"/>
          <w14:textFill>
            <w14:solidFill>
              <w14:schemeClr w14:val="tx1"/>
            </w14:solidFill>
          </w14:textFill>
        </w:rPr>
        <w:t>环境影响评价报告变更备案</w:t>
      </w:r>
      <w:r>
        <w:rPr>
          <w:rFonts w:hint="eastAsia" w:ascii="Times New Roman" w:hAnsi="Times New Roman" w:cs="Times New Roman"/>
          <w:color w:val="000000" w:themeColor="text1"/>
          <w:sz w:val="24"/>
          <w:szCs w:val="24"/>
          <w14:textFill>
            <w14:solidFill>
              <w14:schemeClr w14:val="tx1"/>
            </w14:solidFill>
          </w14:textFill>
        </w:rPr>
        <w:t>及</w:t>
      </w:r>
      <w:r>
        <w:rPr>
          <w:rFonts w:ascii="Times New Roman" w:hAnsi="Times New Roman" w:cs="Times New Roman"/>
          <w:color w:val="000000" w:themeColor="text1"/>
          <w:sz w:val="24"/>
          <w:szCs w:val="24"/>
          <w14:textFill>
            <w14:solidFill>
              <w14:schemeClr w14:val="tx1"/>
            </w14:solidFill>
          </w14:textFill>
        </w:rPr>
        <w:t>专家技术论证</w:t>
      </w:r>
    </w:p>
    <w:p>
      <w:pPr>
        <w:spacing w:line="360" w:lineRule="auto"/>
        <w:ind w:firstLine="482"/>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3、</w:t>
      </w:r>
      <w:r>
        <w:rPr>
          <w:rFonts w:ascii="Times New Roman" w:hAnsi="Times New Roman" w:cs="Times New Roman"/>
          <w:color w:val="000000" w:themeColor="text1"/>
          <w:sz w:val="24"/>
          <w:szCs w:val="24"/>
          <w14:textFill>
            <w14:solidFill>
              <w14:schemeClr w14:val="tx1"/>
            </w14:solidFill>
          </w14:textFill>
        </w:rPr>
        <w:t>排污许可登记</w:t>
      </w:r>
      <w:r>
        <w:rPr>
          <w:rFonts w:hint="eastAsia" w:ascii="Times New Roman" w:hAnsi="Times New Roman" w:cs="Times New Roman"/>
          <w:color w:val="000000" w:themeColor="text1"/>
          <w:sz w:val="24"/>
          <w:szCs w:val="24"/>
          <w14:textFill>
            <w14:solidFill>
              <w14:schemeClr w14:val="tx1"/>
            </w14:solidFill>
          </w14:textFill>
        </w:rPr>
        <w:t>回执</w:t>
      </w:r>
    </w:p>
    <w:p>
      <w:pPr>
        <w:spacing w:line="360" w:lineRule="auto"/>
        <w:ind w:firstLine="482"/>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4</w:t>
      </w: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安全生产</w:t>
      </w:r>
      <w:r>
        <w:rPr>
          <w:rFonts w:hint="eastAsia" w:ascii="Times New Roman" w:hAnsi="Times New Roman" w:cs="Times New Roman"/>
          <w:color w:val="000000" w:themeColor="text1"/>
          <w:sz w:val="24"/>
          <w:szCs w:val="24"/>
          <w14:textFill>
            <w14:solidFill>
              <w14:schemeClr w14:val="tx1"/>
            </w14:solidFill>
          </w14:textFill>
        </w:rPr>
        <w:t>许可证</w:t>
      </w:r>
    </w:p>
    <w:p>
      <w:pPr>
        <w:spacing w:line="360" w:lineRule="auto"/>
        <w:ind w:firstLine="482"/>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5</w:t>
      </w:r>
      <w:r>
        <w:rPr>
          <w:rFonts w:hint="eastAsia" w:ascii="Times New Roman" w:hAnsi="Times New Roman" w:cs="Times New Roman"/>
          <w:color w:val="000000" w:themeColor="text1"/>
          <w:sz w:val="24"/>
          <w:szCs w:val="24"/>
          <w14:textFill>
            <w14:solidFill>
              <w14:schemeClr w14:val="tx1"/>
            </w14:solidFill>
          </w14:textFill>
        </w:rPr>
        <w:t>、矿产资源开发利用方案备案表</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6</w:t>
      </w:r>
      <w:r>
        <w:rPr>
          <w:rFonts w:hint="eastAsia" w:ascii="Times New Roman" w:hAnsi="Times New Roman" w:cs="Times New Roman"/>
          <w:color w:val="000000" w:themeColor="text1"/>
          <w:sz w:val="24"/>
          <w:szCs w:val="24"/>
          <w14:textFill>
            <w14:solidFill>
              <w14:schemeClr w14:val="tx1"/>
            </w14:solidFill>
          </w14:textFill>
        </w:rPr>
        <w:t>、压覆矿产资源情况说明</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7</w:t>
      </w:r>
      <w:r>
        <w:rPr>
          <w:rFonts w:hint="eastAsia" w:ascii="Times New Roman" w:hAnsi="Times New Roman" w:cs="Times New Roman"/>
          <w:color w:val="000000" w:themeColor="text1"/>
          <w:sz w:val="24"/>
          <w:szCs w:val="24"/>
          <w14:textFill>
            <w14:solidFill>
              <w14:schemeClr w14:val="tx1"/>
            </w14:solidFill>
          </w14:textFill>
        </w:rPr>
        <w:t>、环境影响评价执行标准的函及补充说明的函</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8</w:t>
      </w:r>
      <w:r>
        <w:rPr>
          <w:rFonts w:hint="eastAsia" w:ascii="Times New Roman" w:hAnsi="Times New Roman" w:cs="Times New Roman"/>
          <w:color w:val="000000" w:themeColor="text1"/>
          <w:sz w:val="24"/>
          <w:szCs w:val="24"/>
          <w14:textFill>
            <w14:solidFill>
              <w14:schemeClr w14:val="tx1"/>
            </w14:solidFill>
          </w14:textFill>
        </w:rPr>
        <w:t>、项目与各类保护区关系情况证明文件</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9</w:t>
      </w:r>
      <w:r>
        <w:rPr>
          <w:rFonts w:hint="eastAsia" w:ascii="Times New Roman" w:hAnsi="Times New Roman" w:cs="Times New Roman"/>
          <w:color w:val="000000" w:themeColor="text1"/>
          <w:sz w:val="24"/>
          <w:szCs w:val="24"/>
          <w14:textFill>
            <w14:solidFill>
              <w14:schemeClr w14:val="tx1"/>
            </w14:solidFill>
          </w14:textFill>
        </w:rPr>
        <w:t>、项目占用草原情况证明</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w:t>
      </w:r>
      <w:r>
        <w:rPr>
          <w:rFonts w:hint="eastAsia" w:ascii="Times New Roman" w:hAnsi="Times New Roman" w:cs="Times New Roman"/>
          <w:color w:val="000000" w:themeColor="text1"/>
          <w:sz w:val="24"/>
          <w:szCs w:val="24"/>
          <w:lang w:val="en-US" w:eastAsia="zh-CN"/>
          <w14:textFill>
            <w14:solidFill>
              <w14:schemeClr w14:val="tx1"/>
            </w14:solidFill>
          </w14:textFill>
        </w:rPr>
        <w:t>0</w:t>
      </w:r>
      <w:r>
        <w:rPr>
          <w:rFonts w:ascii="Times New Roman" w:hAnsi="Times New Roman" w:cs="Times New Roman"/>
          <w:color w:val="000000" w:themeColor="text1"/>
          <w:sz w:val="24"/>
          <w:szCs w:val="24"/>
          <w14:textFill>
            <w14:solidFill>
              <w14:schemeClr w14:val="tx1"/>
            </w14:solidFill>
          </w14:textFill>
        </w:rPr>
        <w:t>、项目不涉及国家生态保护红线和农村集中式饮用水源保护区的情况说明</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w:t>
      </w:r>
      <w:r>
        <w:rPr>
          <w:rFonts w:hint="eastAsia" w:ascii="Times New Roman" w:hAnsi="Times New Roman" w:cs="Times New Roman"/>
          <w:color w:val="000000" w:themeColor="text1"/>
          <w:sz w:val="24"/>
          <w:szCs w:val="24"/>
          <w:lang w:val="en-US" w:eastAsia="zh-CN"/>
          <w14:textFill>
            <w14:solidFill>
              <w14:schemeClr w14:val="tx1"/>
            </w14:solidFill>
          </w14:textFill>
        </w:rPr>
        <w:t>1</w:t>
      </w:r>
      <w:r>
        <w:rPr>
          <w:rFonts w:ascii="Times New Roman" w:hAnsi="Times New Roman" w:cs="Times New Roman"/>
          <w:color w:val="000000" w:themeColor="text1"/>
          <w:sz w:val="24"/>
          <w:szCs w:val="24"/>
          <w14:textFill>
            <w14:solidFill>
              <w14:schemeClr w14:val="tx1"/>
            </w14:solidFill>
          </w14:textFill>
        </w:rPr>
        <w:t>、项目调出生态红线外的说明</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1</w:t>
      </w:r>
      <w:r>
        <w:rPr>
          <w:rFonts w:hint="eastAsia" w:ascii="Times New Roman" w:hAnsi="Times New Roman" w:cs="Times New Roman"/>
          <w:color w:val="000000" w:themeColor="text1"/>
          <w:sz w:val="24"/>
          <w:szCs w:val="24"/>
          <w:lang w:val="en-US" w:eastAsia="zh-CN"/>
          <w14:textFill>
            <w14:solidFill>
              <w14:schemeClr w14:val="tx1"/>
            </w14:solidFill>
          </w14:textFill>
        </w:rPr>
        <w:t>2</w:t>
      </w: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危险废物处置委托协议</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w:t>
      </w:r>
      <w:r>
        <w:rPr>
          <w:rFonts w:hint="eastAsia" w:ascii="Times New Roman" w:hAnsi="Times New Roman" w:cs="Times New Roman"/>
          <w:color w:val="000000" w:themeColor="text1"/>
          <w:sz w:val="24"/>
          <w:szCs w:val="24"/>
          <w:lang w:val="en-US" w:eastAsia="zh-CN"/>
          <w14:textFill>
            <w14:solidFill>
              <w14:schemeClr w14:val="tx1"/>
            </w14:solidFill>
          </w14:textFill>
        </w:rPr>
        <w:t>3</w:t>
      </w: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生活垃圾清运填埋协议</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w:t>
      </w:r>
      <w:r>
        <w:rPr>
          <w:rFonts w:hint="eastAsia" w:ascii="Times New Roman" w:hAnsi="Times New Roman" w:cs="Times New Roman"/>
          <w:color w:val="000000" w:themeColor="text1"/>
          <w:sz w:val="24"/>
          <w:szCs w:val="24"/>
          <w:lang w:val="en-US" w:eastAsia="zh-CN"/>
          <w14:textFill>
            <w14:solidFill>
              <w14:schemeClr w14:val="tx1"/>
            </w14:solidFill>
          </w14:textFill>
        </w:rPr>
        <w:t>4</w:t>
      </w:r>
      <w:r>
        <w:rPr>
          <w:rFonts w:ascii="Times New Roman" w:hAnsi="Times New Roman" w:cs="Times New Roman"/>
          <w:color w:val="000000" w:themeColor="text1"/>
          <w:sz w:val="24"/>
          <w:szCs w:val="24"/>
          <w14:textFill>
            <w14:solidFill>
              <w14:schemeClr w14:val="tx1"/>
            </w14:solidFill>
          </w14:textFill>
        </w:rPr>
        <w:t>、公众参与调查表</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1</w:t>
      </w:r>
      <w:r>
        <w:rPr>
          <w:rFonts w:hint="eastAsia" w:ascii="Times New Roman" w:hAnsi="Times New Roman" w:cs="Times New Roman"/>
          <w:color w:val="000000" w:themeColor="text1"/>
          <w:sz w:val="24"/>
          <w:szCs w:val="24"/>
          <w:lang w:val="en-US" w:eastAsia="zh-CN"/>
          <w14:textFill>
            <w14:solidFill>
              <w14:schemeClr w14:val="tx1"/>
            </w14:solidFill>
          </w14:textFill>
        </w:rPr>
        <w:t>5</w:t>
      </w:r>
      <w:r>
        <w:rPr>
          <w:rFonts w:hint="eastAsia" w:ascii="Times New Roman" w:hAnsi="Times New Roman" w:cs="Times New Roman"/>
          <w:color w:val="000000" w:themeColor="text1"/>
          <w:sz w:val="24"/>
          <w:szCs w:val="24"/>
          <w14:textFill>
            <w14:solidFill>
              <w14:schemeClr w14:val="tx1"/>
            </w14:solidFill>
          </w14:textFill>
        </w:rPr>
        <w:t>、建设期环境监理总结报告（结论）</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16</w:t>
      </w:r>
      <w:r>
        <w:rPr>
          <w:rFonts w:hint="eastAsia" w:ascii="Times New Roman" w:hAnsi="Times New Roman" w:cs="Times New Roman"/>
          <w:color w:val="000000" w:themeColor="text1"/>
          <w:sz w:val="24"/>
          <w:szCs w:val="24"/>
          <w14:textFill>
            <w14:solidFill>
              <w14:schemeClr w14:val="tx1"/>
            </w14:solidFill>
          </w14:textFill>
        </w:rPr>
        <w:t>、验收环境质量</w:t>
      </w:r>
      <w:r>
        <w:rPr>
          <w:rFonts w:ascii="Times New Roman" w:hAnsi="Times New Roman" w:cs="Times New Roman"/>
          <w:color w:val="000000" w:themeColor="text1"/>
          <w:sz w:val="24"/>
          <w:szCs w:val="24"/>
          <w14:textFill>
            <w14:solidFill>
              <w14:schemeClr w14:val="tx1"/>
            </w14:solidFill>
          </w14:textFill>
        </w:rPr>
        <w:t>监测报告</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17</w:t>
      </w:r>
      <w:r>
        <w:rPr>
          <w:rFonts w:hint="eastAsia" w:ascii="Times New Roman" w:hAnsi="Times New Roman" w:cs="Times New Roman"/>
          <w:color w:val="000000" w:themeColor="text1"/>
          <w:sz w:val="24"/>
          <w:szCs w:val="24"/>
          <w14:textFill>
            <w14:solidFill>
              <w14:schemeClr w14:val="tx1"/>
            </w14:solidFill>
          </w14:textFill>
        </w:rPr>
        <w:t>、“三同时”验收登记表</w:t>
      </w:r>
    </w:p>
    <w:p>
      <w:pPr>
        <w:spacing w:line="360" w:lineRule="auto"/>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附图</w:t>
      </w:r>
      <w:r>
        <w:rPr>
          <w:rFonts w:hint="eastAsia" w:ascii="Times New Roman" w:hAnsi="Times New Roman" w:cs="Times New Roman"/>
          <w:b/>
          <w:color w:val="000000" w:themeColor="text1"/>
          <w:sz w:val="24"/>
          <w:szCs w:val="24"/>
          <w14:textFill>
            <w14:solidFill>
              <w14:schemeClr w14:val="tx1"/>
            </w14:solidFill>
          </w14:textFill>
        </w:rPr>
        <w:t>：</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1</w:t>
      </w:r>
      <w:r>
        <w:rPr>
          <w:rFonts w:ascii="Times New Roman" w:hAnsi="Times New Roman" w:cs="Times New Roman"/>
          <w:color w:val="000000" w:themeColor="text1"/>
          <w:sz w:val="24"/>
          <w:szCs w:val="24"/>
          <w14:textFill>
            <w14:solidFill>
              <w14:schemeClr w14:val="tx1"/>
            </w14:solidFill>
          </w14:textFill>
        </w:rPr>
        <w:t>、项目地理位置图</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2</w:t>
      </w:r>
      <w:r>
        <w:rPr>
          <w:rFonts w:ascii="Times New Roman" w:hAnsi="Times New Roman" w:cs="Times New Roman"/>
          <w:color w:val="000000" w:themeColor="text1"/>
          <w:sz w:val="24"/>
          <w:szCs w:val="24"/>
          <w14:textFill>
            <w14:solidFill>
              <w14:schemeClr w14:val="tx1"/>
            </w14:solidFill>
          </w14:textFill>
        </w:rPr>
        <w:t>、项目所在区域外环境关系图</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3</w:t>
      </w:r>
      <w:r>
        <w:rPr>
          <w:rFonts w:ascii="Times New Roman" w:hAnsi="Times New Roman" w:cs="Times New Roman"/>
          <w:color w:val="000000" w:themeColor="text1"/>
          <w:sz w:val="24"/>
          <w:szCs w:val="24"/>
          <w14:textFill>
            <w14:solidFill>
              <w14:schemeClr w14:val="tx1"/>
            </w14:solidFill>
          </w14:textFill>
        </w:rPr>
        <w:t>、矿区总体布置图</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4、露天矿生产废石场平面图</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5、露天矿基建废石场、露天工业场地平面布置图</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6、一采区露天开采终了平面布置图</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7、露天工业场地防渗分区图</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8、给水路线图</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9、项目所在区域地表水系图</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10、物料运输路线图</w:t>
      </w:r>
    </w:p>
    <w:p>
      <w:pPr>
        <w:spacing w:line="360" w:lineRule="auto"/>
        <w:rPr>
          <w:rFonts w:ascii="Times New Roman" w:hAnsi="Times New Roman" w:cs="Times New Roman"/>
          <w:color w:val="000000" w:themeColor="text1"/>
          <w:sz w:val="24"/>
          <w:szCs w:val="24"/>
          <w14:textFill>
            <w14:solidFill>
              <w14:schemeClr w14:val="tx1"/>
            </w14:solidFill>
          </w14:textFill>
        </w:rPr>
      </w:pP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sectPr>
          <w:footerReference r:id="rId6" w:type="default"/>
          <w:pgSz w:w="11906" w:h="16838"/>
          <w:pgMar w:top="1440" w:right="1800" w:bottom="1440" w:left="1800" w:header="851" w:footer="992" w:gutter="0"/>
          <w:pgNumType w:fmt="lowerRoman" w:start="1"/>
          <w:cols w:space="425" w:num="1"/>
          <w:docGrid w:type="lines" w:linePitch="312" w:charSpace="0"/>
        </w:sectPr>
      </w:pPr>
    </w:p>
    <w:p>
      <w:pPr>
        <w:pStyle w:val="2"/>
        <w:rPr>
          <w:color w:val="000000" w:themeColor="text1"/>
          <w14:textFill>
            <w14:solidFill>
              <w14:schemeClr w14:val="tx1"/>
            </w14:solidFill>
          </w14:textFill>
        </w:rPr>
      </w:pPr>
      <w:bookmarkStart w:id="2" w:name="_Toc62202367"/>
      <w:r>
        <w:rPr>
          <w:color w:val="000000" w:themeColor="text1"/>
          <w14:textFill>
            <w14:solidFill>
              <w14:schemeClr w14:val="tx1"/>
            </w14:solidFill>
          </w14:textFill>
        </w:rPr>
        <w:t>1 总论</w:t>
      </w:r>
      <w:bookmarkEnd w:id="2"/>
    </w:p>
    <w:p>
      <w:pPr>
        <w:pStyle w:val="3"/>
        <w:rPr>
          <w:color w:val="000000" w:themeColor="text1"/>
          <w14:textFill>
            <w14:solidFill>
              <w14:schemeClr w14:val="tx1"/>
            </w14:solidFill>
          </w14:textFill>
        </w:rPr>
      </w:pPr>
      <w:bookmarkStart w:id="3" w:name="_Toc62202368"/>
      <w:r>
        <w:rPr>
          <w:rFonts w:hint="eastAsia"/>
          <w:color w:val="000000" w:themeColor="text1"/>
          <w14:textFill>
            <w14:solidFill>
              <w14:schemeClr w14:val="tx1"/>
            </w14:solidFill>
          </w14:textFill>
        </w:rPr>
        <w:t>1</w:t>
      </w:r>
      <w:r>
        <w:rPr>
          <w:color w:val="000000" w:themeColor="text1"/>
          <w14:textFill>
            <w14:solidFill>
              <w14:schemeClr w14:val="tx1"/>
            </w14:solidFill>
          </w14:textFill>
        </w:rPr>
        <w:t>.1 编制依据</w:t>
      </w:r>
      <w:bookmarkEnd w:id="3"/>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.1.1 法律法规</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（1）《中华人民共和国环境保护法》（2014年4月24日修订，2015年1月1日施行）；</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（2）《中华人民共和国环境影响评价法》（2</w:t>
      </w:r>
      <w:r>
        <w:rPr>
          <w:rFonts w:ascii="Times New Roman" w:hAnsi="Times New Roman" w:cs="Times New Roman"/>
          <w:color w:val="000000" w:themeColor="text1"/>
          <w:sz w:val="24"/>
          <w:szCs w:val="24"/>
          <w14:textFill>
            <w14:solidFill>
              <w14:schemeClr w14:val="tx1"/>
            </w14:solidFill>
          </w14:textFill>
        </w:rPr>
        <w:t>018年</w:t>
      </w:r>
      <w:r>
        <w:rPr>
          <w:rFonts w:hint="eastAsia" w:ascii="Times New Roman" w:hAnsi="Times New Roman" w:cs="Times New Roman"/>
          <w:color w:val="000000" w:themeColor="text1"/>
          <w:sz w:val="24"/>
          <w:szCs w:val="24"/>
          <w14:textFill>
            <w14:solidFill>
              <w14:schemeClr w14:val="tx1"/>
            </w14:solidFill>
          </w14:textFill>
        </w:rPr>
        <w:t>1</w:t>
      </w:r>
      <w:r>
        <w:rPr>
          <w:rFonts w:ascii="Times New Roman" w:hAnsi="Times New Roman" w:cs="Times New Roman"/>
          <w:color w:val="000000" w:themeColor="text1"/>
          <w:sz w:val="24"/>
          <w:szCs w:val="24"/>
          <w14:textFill>
            <w14:solidFill>
              <w14:schemeClr w14:val="tx1"/>
            </w14:solidFill>
          </w14:textFill>
        </w:rPr>
        <w:t>2月</w:t>
      </w:r>
      <w:r>
        <w:rPr>
          <w:rFonts w:hint="eastAsia" w:ascii="Times New Roman" w:hAnsi="Times New Roman" w:cs="Times New Roman"/>
          <w:color w:val="000000" w:themeColor="text1"/>
          <w:sz w:val="24"/>
          <w:szCs w:val="24"/>
          <w14:textFill>
            <w14:solidFill>
              <w14:schemeClr w14:val="tx1"/>
            </w14:solidFill>
          </w14:textFill>
        </w:rPr>
        <w:t>9日修订）；</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3</w:t>
      </w:r>
      <w:r>
        <w:rPr>
          <w:rFonts w:hint="eastAsia" w:ascii="Times New Roman" w:hAnsi="Times New Roman" w:cs="Times New Roman"/>
          <w:color w:val="000000" w:themeColor="text1"/>
          <w:sz w:val="24"/>
          <w:szCs w:val="24"/>
          <w14:textFill>
            <w14:solidFill>
              <w14:schemeClr w14:val="tx1"/>
            </w14:solidFill>
          </w14:textFill>
        </w:rPr>
        <w:t>）《中华人民共和国野生动物保护法》（2</w:t>
      </w:r>
      <w:r>
        <w:rPr>
          <w:rFonts w:ascii="Times New Roman" w:hAnsi="Times New Roman" w:cs="Times New Roman"/>
          <w:color w:val="000000" w:themeColor="text1"/>
          <w:sz w:val="24"/>
          <w:szCs w:val="24"/>
          <w14:textFill>
            <w14:solidFill>
              <w14:schemeClr w14:val="tx1"/>
            </w14:solidFill>
          </w14:textFill>
        </w:rPr>
        <w:t>018年</w:t>
      </w:r>
      <w:r>
        <w:rPr>
          <w:rFonts w:hint="eastAsia" w:ascii="Times New Roman" w:hAnsi="Times New Roman" w:cs="Times New Roman"/>
          <w:color w:val="000000" w:themeColor="text1"/>
          <w:sz w:val="24"/>
          <w:szCs w:val="24"/>
          <w14:textFill>
            <w14:solidFill>
              <w14:schemeClr w14:val="tx1"/>
            </w14:solidFill>
          </w14:textFill>
        </w:rPr>
        <w:t>1</w:t>
      </w:r>
      <w:r>
        <w:rPr>
          <w:rFonts w:ascii="Times New Roman" w:hAnsi="Times New Roman" w:cs="Times New Roman"/>
          <w:color w:val="000000" w:themeColor="text1"/>
          <w:sz w:val="24"/>
          <w:szCs w:val="24"/>
          <w14:textFill>
            <w14:solidFill>
              <w14:schemeClr w14:val="tx1"/>
            </w14:solidFill>
          </w14:textFill>
        </w:rPr>
        <w:t>0月26日修订</w:t>
      </w:r>
      <w:r>
        <w:rPr>
          <w:rFonts w:hint="eastAsia" w:ascii="Times New Roman" w:hAnsi="Times New Roman" w:cs="Times New Roman"/>
          <w:color w:val="000000" w:themeColor="text1"/>
          <w:sz w:val="24"/>
          <w:szCs w:val="24"/>
          <w14:textFill>
            <w14:solidFill>
              <w14:schemeClr w14:val="tx1"/>
            </w14:solidFill>
          </w14:textFill>
        </w:rPr>
        <w:t>）；</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4</w:t>
      </w:r>
      <w:r>
        <w:rPr>
          <w:rFonts w:hint="eastAsia" w:ascii="Times New Roman" w:hAnsi="Times New Roman" w:cs="Times New Roman"/>
          <w:color w:val="000000" w:themeColor="text1"/>
          <w:sz w:val="24"/>
          <w:szCs w:val="24"/>
          <w14:textFill>
            <w14:solidFill>
              <w14:schemeClr w14:val="tx1"/>
            </w14:solidFill>
          </w14:textFill>
        </w:rPr>
        <w:t>）《中华人民共和国水污染防治法》（2017年6月27日修订）；</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5</w:t>
      </w:r>
      <w:r>
        <w:rPr>
          <w:rFonts w:hint="eastAsia" w:ascii="Times New Roman" w:hAnsi="Times New Roman" w:cs="Times New Roman"/>
          <w:color w:val="000000" w:themeColor="text1"/>
          <w:sz w:val="24"/>
          <w:szCs w:val="24"/>
          <w14:textFill>
            <w14:solidFill>
              <w14:schemeClr w14:val="tx1"/>
            </w14:solidFill>
          </w14:textFill>
        </w:rPr>
        <w:t>）《中华人民共和国大气污染防治法》（2018年10月26日修订）；</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6</w:t>
      </w:r>
      <w:r>
        <w:rPr>
          <w:rFonts w:hint="eastAsia" w:ascii="Times New Roman" w:hAnsi="Times New Roman" w:cs="Times New Roman"/>
          <w:color w:val="000000" w:themeColor="text1"/>
          <w:sz w:val="24"/>
          <w:szCs w:val="24"/>
          <w14:textFill>
            <w14:solidFill>
              <w14:schemeClr w14:val="tx1"/>
            </w14:solidFill>
          </w14:textFill>
        </w:rPr>
        <w:t>）《中华人民共和国环境噪声污染防治法》（20</w:t>
      </w:r>
      <w:r>
        <w:rPr>
          <w:rFonts w:ascii="Times New Roman" w:hAnsi="Times New Roman" w:cs="Times New Roman"/>
          <w:color w:val="000000" w:themeColor="text1"/>
          <w:sz w:val="24"/>
          <w:szCs w:val="24"/>
          <w14:textFill>
            <w14:solidFill>
              <w14:schemeClr w14:val="tx1"/>
            </w14:solidFill>
          </w14:textFill>
        </w:rPr>
        <w:t>21</w:t>
      </w:r>
      <w:r>
        <w:rPr>
          <w:rFonts w:hint="eastAsia" w:ascii="Times New Roman" w:hAnsi="Times New Roman" w:cs="Times New Roman"/>
          <w:color w:val="000000" w:themeColor="text1"/>
          <w:sz w:val="24"/>
          <w:szCs w:val="24"/>
          <w14:textFill>
            <w14:solidFill>
              <w14:schemeClr w14:val="tx1"/>
            </w14:solidFill>
          </w14:textFill>
        </w:rPr>
        <w:t>年1</w:t>
      </w:r>
      <w:r>
        <w:rPr>
          <w:rFonts w:ascii="Times New Roman" w:hAnsi="Times New Roman" w:cs="Times New Roman"/>
          <w:color w:val="000000" w:themeColor="text1"/>
          <w:sz w:val="24"/>
          <w:szCs w:val="24"/>
          <w14:textFill>
            <w14:solidFill>
              <w14:schemeClr w14:val="tx1"/>
            </w14:solidFill>
          </w14:textFill>
        </w:rPr>
        <w:t>2</w:t>
      </w:r>
      <w:r>
        <w:rPr>
          <w:rFonts w:hint="eastAsia" w:ascii="Times New Roman" w:hAnsi="Times New Roman" w:cs="Times New Roman"/>
          <w:color w:val="000000" w:themeColor="text1"/>
          <w:sz w:val="24"/>
          <w:szCs w:val="24"/>
          <w14:textFill>
            <w14:solidFill>
              <w14:schemeClr w14:val="tx1"/>
            </w14:solidFill>
          </w14:textFill>
        </w:rPr>
        <w:t>月2</w:t>
      </w:r>
      <w:r>
        <w:rPr>
          <w:rFonts w:ascii="Times New Roman" w:hAnsi="Times New Roman" w:cs="Times New Roman"/>
          <w:color w:val="000000" w:themeColor="text1"/>
          <w:sz w:val="24"/>
          <w:szCs w:val="24"/>
          <w14:textFill>
            <w14:solidFill>
              <w14:schemeClr w14:val="tx1"/>
            </w14:solidFill>
          </w14:textFill>
        </w:rPr>
        <w:t>4</w:t>
      </w:r>
      <w:r>
        <w:rPr>
          <w:rFonts w:hint="eastAsia" w:ascii="Times New Roman" w:hAnsi="Times New Roman" w:cs="Times New Roman"/>
          <w:color w:val="000000" w:themeColor="text1"/>
          <w:sz w:val="24"/>
          <w:szCs w:val="24"/>
          <w14:textFill>
            <w14:solidFill>
              <w14:schemeClr w14:val="tx1"/>
            </w14:solidFill>
          </w14:textFill>
        </w:rPr>
        <w:t>日修订）；</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7</w:t>
      </w:r>
      <w:r>
        <w:rPr>
          <w:rFonts w:hint="eastAsia" w:ascii="Times New Roman" w:hAnsi="Times New Roman" w:cs="Times New Roman"/>
          <w:color w:val="000000" w:themeColor="text1"/>
          <w:sz w:val="24"/>
          <w:szCs w:val="24"/>
          <w14:textFill>
            <w14:solidFill>
              <w14:schemeClr w14:val="tx1"/>
            </w14:solidFill>
          </w14:textFill>
        </w:rPr>
        <w:t>）《中华人民共和国固体废物污染环境防治法》（20</w:t>
      </w:r>
      <w:r>
        <w:rPr>
          <w:rFonts w:ascii="Times New Roman" w:hAnsi="Times New Roman" w:cs="Times New Roman"/>
          <w:color w:val="000000" w:themeColor="text1"/>
          <w:sz w:val="24"/>
          <w:szCs w:val="24"/>
          <w14:textFill>
            <w14:solidFill>
              <w14:schemeClr w14:val="tx1"/>
            </w14:solidFill>
          </w14:textFill>
        </w:rPr>
        <w:t>20</w:t>
      </w:r>
      <w:r>
        <w:rPr>
          <w:rFonts w:hint="eastAsia" w:ascii="Times New Roman" w:hAnsi="Times New Roman" w:cs="Times New Roman"/>
          <w:color w:val="000000" w:themeColor="text1"/>
          <w:sz w:val="24"/>
          <w:szCs w:val="24"/>
          <w14:textFill>
            <w14:solidFill>
              <w14:schemeClr w14:val="tx1"/>
            </w14:solidFill>
          </w14:textFill>
        </w:rPr>
        <w:t>年4月9日修订）；</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8</w:t>
      </w:r>
      <w:r>
        <w:rPr>
          <w:rFonts w:hint="eastAsia" w:ascii="Times New Roman" w:hAnsi="Times New Roman" w:cs="Times New Roman"/>
          <w:color w:val="000000" w:themeColor="text1"/>
          <w:sz w:val="24"/>
          <w:szCs w:val="24"/>
          <w14:textFill>
            <w14:solidFill>
              <w14:schemeClr w14:val="tx1"/>
            </w14:solidFill>
          </w14:textFill>
        </w:rPr>
        <w:t>）《中华人民共和国水法》（2016年7月2日）；</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（9）《建设项目环境保护管理条例》（2</w:t>
      </w:r>
      <w:r>
        <w:rPr>
          <w:rFonts w:ascii="Times New Roman" w:hAnsi="Times New Roman" w:cs="Times New Roman"/>
          <w:color w:val="000000" w:themeColor="text1"/>
          <w:sz w:val="24"/>
          <w:szCs w:val="24"/>
          <w14:textFill>
            <w14:solidFill>
              <w14:schemeClr w14:val="tx1"/>
            </w14:solidFill>
          </w14:textFill>
        </w:rPr>
        <w:t>017年7月修订</w:t>
      </w:r>
      <w:r>
        <w:rPr>
          <w:rFonts w:hint="eastAsia" w:ascii="Times New Roman" w:hAnsi="Times New Roman" w:cs="Times New Roman"/>
          <w:color w:val="000000" w:themeColor="text1"/>
          <w:sz w:val="24"/>
          <w:szCs w:val="24"/>
          <w14:textFill>
            <w14:solidFill>
              <w14:schemeClr w14:val="tx1"/>
            </w14:solidFill>
          </w14:textFill>
        </w:rPr>
        <w:t>）；</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10</w:t>
      </w:r>
      <w:r>
        <w:rPr>
          <w:rFonts w:hint="eastAsia" w:ascii="Times New Roman" w:hAnsi="Times New Roman" w:cs="Times New Roman"/>
          <w:color w:val="000000" w:themeColor="text1"/>
          <w:sz w:val="24"/>
          <w:szCs w:val="24"/>
          <w14:textFill>
            <w14:solidFill>
              <w14:schemeClr w14:val="tx1"/>
            </w14:solidFill>
          </w14:textFill>
        </w:rPr>
        <w:t>）《中华人民共和国水土保持法实施条例》（2</w:t>
      </w:r>
      <w:r>
        <w:rPr>
          <w:rFonts w:ascii="Times New Roman" w:hAnsi="Times New Roman" w:cs="Times New Roman"/>
          <w:color w:val="000000" w:themeColor="text1"/>
          <w:sz w:val="24"/>
          <w:szCs w:val="24"/>
          <w14:textFill>
            <w14:solidFill>
              <w14:schemeClr w14:val="tx1"/>
            </w14:solidFill>
          </w14:textFill>
        </w:rPr>
        <w:t>011年</w:t>
      </w:r>
      <w:r>
        <w:rPr>
          <w:rFonts w:hint="eastAsia" w:ascii="Times New Roman" w:hAnsi="Times New Roman" w:cs="Times New Roman"/>
          <w:color w:val="000000" w:themeColor="text1"/>
          <w:sz w:val="24"/>
          <w:szCs w:val="24"/>
          <w14:textFill>
            <w14:solidFill>
              <w14:schemeClr w14:val="tx1"/>
            </w14:solidFill>
          </w14:textFill>
        </w:rPr>
        <w:t>1月8日）；</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11</w:t>
      </w:r>
      <w:r>
        <w:rPr>
          <w:rFonts w:hint="eastAsia" w:ascii="Times New Roman" w:hAnsi="Times New Roman" w:cs="Times New Roman"/>
          <w:color w:val="000000" w:themeColor="text1"/>
          <w:sz w:val="24"/>
          <w:szCs w:val="24"/>
          <w14:textFill>
            <w14:solidFill>
              <w14:schemeClr w14:val="tx1"/>
            </w14:solidFill>
          </w14:textFill>
        </w:rPr>
        <w:t>）《中华人民共和国土地管理法》（2</w:t>
      </w:r>
      <w:r>
        <w:rPr>
          <w:rFonts w:ascii="Times New Roman" w:hAnsi="Times New Roman" w:cs="Times New Roman"/>
          <w:color w:val="000000" w:themeColor="text1"/>
          <w:sz w:val="24"/>
          <w:szCs w:val="24"/>
          <w14:textFill>
            <w14:solidFill>
              <w14:schemeClr w14:val="tx1"/>
            </w14:solidFill>
          </w14:textFill>
        </w:rPr>
        <w:t>020年</w:t>
      </w:r>
      <w:r>
        <w:rPr>
          <w:rFonts w:hint="eastAsia" w:ascii="Times New Roman" w:hAnsi="Times New Roman" w:cs="Times New Roman"/>
          <w:color w:val="000000" w:themeColor="text1"/>
          <w:sz w:val="24"/>
          <w:szCs w:val="24"/>
          <w14:textFill>
            <w14:solidFill>
              <w14:schemeClr w14:val="tx1"/>
            </w14:solidFill>
          </w14:textFill>
        </w:rPr>
        <w:t>1月1日实施）；</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12</w:t>
      </w:r>
      <w:r>
        <w:rPr>
          <w:rFonts w:hint="eastAsia" w:ascii="Times New Roman" w:hAnsi="Times New Roman" w:cs="Times New Roman"/>
          <w:color w:val="000000" w:themeColor="text1"/>
          <w:sz w:val="24"/>
          <w:szCs w:val="24"/>
          <w14:textFill>
            <w14:solidFill>
              <w14:schemeClr w14:val="tx1"/>
            </w14:solidFill>
          </w14:textFill>
        </w:rPr>
        <w:t>）《中华人民共和国森林法》（2</w:t>
      </w:r>
      <w:r>
        <w:rPr>
          <w:rFonts w:ascii="Times New Roman" w:hAnsi="Times New Roman" w:cs="Times New Roman"/>
          <w:color w:val="000000" w:themeColor="text1"/>
          <w:sz w:val="24"/>
          <w:szCs w:val="24"/>
          <w14:textFill>
            <w14:solidFill>
              <w14:schemeClr w14:val="tx1"/>
            </w14:solidFill>
          </w14:textFill>
        </w:rPr>
        <w:t>019年</w:t>
      </w:r>
      <w:r>
        <w:rPr>
          <w:rFonts w:hint="eastAsia" w:ascii="Times New Roman" w:hAnsi="Times New Roman" w:cs="Times New Roman"/>
          <w:color w:val="000000" w:themeColor="text1"/>
          <w:sz w:val="24"/>
          <w:szCs w:val="24"/>
          <w14:textFill>
            <w14:solidFill>
              <w14:schemeClr w14:val="tx1"/>
            </w14:solidFill>
          </w14:textFill>
        </w:rPr>
        <w:t>1</w:t>
      </w:r>
      <w:r>
        <w:rPr>
          <w:rFonts w:ascii="Times New Roman" w:hAnsi="Times New Roman" w:cs="Times New Roman"/>
          <w:color w:val="000000" w:themeColor="text1"/>
          <w:sz w:val="24"/>
          <w:szCs w:val="24"/>
          <w14:textFill>
            <w14:solidFill>
              <w14:schemeClr w14:val="tx1"/>
            </w14:solidFill>
          </w14:textFill>
        </w:rPr>
        <w:t>2月</w:t>
      </w:r>
      <w:r>
        <w:rPr>
          <w:rFonts w:hint="eastAsia" w:ascii="Times New Roman" w:hAnsi="Times New Roman" w:cs="Times New Roman"/>
          <w:color w:val="000000" w:themeColor="text1"/>
          <w:sz w:val="24"/>
          <w:szCs w:val="24"/>
          <w14:textFill>
            <w14:solidFill>
              <w14:schemeClr w14:val="tx1"/>
            </w14:solidFill>
          </w14:textFill>
        </w:rPr>
        <w:t>2</w:t>
      </w:r>
      <w:r>
        <w:rPr>
          <w:rFonts w:ascii="Times New Roman" w:hAnsi="Times New Roman" w:cs="Times New Roman"/>
          <w:color w:val="000000" w:themeColor="text1"/>
          <w:sz w:val="24"/>
          <w:szCs w:val="24"/>
          <w14:textFill>
            <w14:solidFill>
              <w14:schemeClr w14:val="tx1"/>
            </w14:solidFill>
          </w14:textFill>
        </w:rPr>
        <w:t>8日修订</w:t>
      </w:r>
      <w:r>
        <w:rPr>
          <w:rFonts w:hint="eastAsia" w:ascii="Times New Roman" w:hAnsi="Times New Roman" w:cs="Times New Roman"/>
          <w:color w:val="000000" w:themeColor="text1"/>
          <w:sz w:val="24"/>
          <w:szCs w:val="24"/>
          <w14:textFill>
            <w14:solidFill>
              <w14:schemeClr w14:val="tx1"/>
            </w14:solidFill>
          </w14:textFill>
        </w:rPr>
        <w:t>）；</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（1</w:t>
      </w:r>
      <w:r>
        <w:rPr>
          <w:rFonts w:ascii="Times New Roman" w:hAnsi="Times New Roman" w:cs="Times New Roman"/>
          <w:color w:val="000000" w:themeColor="text1"/>
          <w:sz w:val="24"/>
          <w:szCs w:val="24"/>
          <w14:textFill>
            <w14:solidFill>
              <w14:schemeClr w14:val="tx1"/>
            </w14:solidFill>
          </w14:textFill>
        </w:rPr>
        <w:t>3</w:t>
      </w:r>
      <w:r>
        <w:rPr>
          <w:rFonts w:hint="eastAsia" w:ascii="Times New Roman" w:hAnsi="Times New Roman" w:cs="Times New Roman"/>
          <w:color w:val="000000" w:themeColor="text1"/>
          <w:sz w:val="24"/>
          <w:szCs w:val="24"/>
          <w14:textFill>
            <w14:solidFill>
              <w14:schemeClr w14:val="tx1"/>
            </w14:solidFill>
          </w14:textFill>
        </w:rPr>
        <w:t>）《建设项目环境保护管理条例》（国务院（2017）第682号令）；</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（1</w:t>
      </w:r>
      <w:r>
        <w:rPr>
          <w:rFonts w:ascii="Times New Roman" w:hAnsi="Times New Roman" w:cs="Times New Roman"/>
          <w:color w:val="000000" w:themeColor="text1"/>
          <w:sz w:val="24"/>
          <w:szCs w:val="24"/>
          <w14:textFill>
            <w14:solidFill>
              <w14:schemeClr w14:val="tx1"/>
            </w14:solidFill>
          </w14:textFill>
        </w:rPr>
        <w:t>4</w:t>
      </w:r>
      <w:r>
        <w:rPr>
          <w:rFonts w:hint="eastAsia" w:ascii="Times New Roman" w:hAnsi="Times New Roman" w:cs="Times New Roman"/>
          <w:color w:val="000000" w:themeColor="text1"/>
          <w:sz w:val="24"/>
          <w:szCs w:val="24"/>
          <w14:textFill>
            <w14:solidFill>
              <w14:schemeClr w14:val="tx1"/>
            </w14:solidFill>
          </w14:textFill>
        </w:rPr>
        <w:t>）《中华人民共和国野生植物保护条例》（国务院（2017）第687号令）；</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（1</w:t>
      </w:r>
      <w:r>
        <w:rPr>
          <w:rFonts w:ascii="Times New Roman" w:hAnsi="Times New Roman" w:cs="Times New Roman"/>
          <w:color w:val="000000" w:themeColor="text1"/>
          <w:sz w:val="24"/>
          <w:szCs w:val="24"/>
          <w14:textFill>
            <w14:solidFill>
              <w14:schemeClr w14:val="tx1"/>
            </w14:solidFill>
          </w14:textFill>
        </w:rPr>
        <w:t>5</w:t>
      </w:r>
      <w:r>
        <w:rPr>
          <w:rFonts w:hint="eastAsia" w:ascii="Times New Roman" w:hAnsi="Times New Roman" w:cs="Times New Roman"/>
          <w:color w:val="000000" w:themeColor="text1"/>
          <w:sz w:val="24"/>
          <w:szCs w:val="24"/>
          <w14:textFill>
            <w14:solidFill>
              <w14:schemeClr w14:val="tx1"/>
            </w14:solidFill>
          </w14:textFill>
        </w:rPr>
        <w:t>）《中华人民共和国野生植物保护条例》（2017年10月7日）。</w: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.1.2 部门规章</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（1）《四川省环境保护条例》(2017年9月22日)；</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（2）《建设项目竣工环境保护验收暂行办法》(2017年11月22日)；</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（3）《关于发布&lt;矿山生态环境保护与污染防治技术政策&gt;的通知》（环发〔2005〕109号），2</w:t>
      </w:r>
      <w:r>
        <w:rPr>
          <w:rFonts w:ascii="Times New Roman" w:hAnsi="Times New Roman" w:cs="Times New Roman"/>
          <w:color w:val="000000" w:themeColor="text1"/>
          <w:sz w:val="24"/>
          <w:szCs w:val="24"/>
          <w14:textFill>
            <w14:solidFill>
              <w14:schemeClr w14:val="tx1"/>
            </w14:solidFill>
          </w14:textFill>
        </w:rPr>
        <w:t>005</w:t>
      </w:r>
      <w:r>
        <w:rPr>
          <w:rFonts w:hint="eastAsia" w:ascii="Times New Roman" w:hAnsi="Times New Roman" w:cs="Times New Roman"/>
          <w:color w:val="000000" w:themeColor="text1"/>
          <w:sz w:val="24"/>
          <w:szCs w:val="24"/>
          <w14:textFill>
            <w14:solidFill>
              <w14:schemeClr w14:val="tx1"/>
            </w14:solidFill>
          </w14:textFill>
        </w:rPr>
        <w:t>年</w:t>
      </w:r>
      <w:r>
        <w:rPr>
          <w:rFonts w:ascii="Times New Roman" w:hAnsi="Times New Roman" w:cs="Times New Roman"/>
          <w:color w:val="000000" w:themeColor="text1"/>
          <w:sz w:val="24"/>
          <w:szCs w:val="24"/>
          <w14:textFill>
            <w14:solidFill>
              <w14:schemeClr w14:val="tx1"/>
            </w14:solidFill>
          </w14:textFill>
        </w:rPr>
        <w:t>9</w:t>
      </w:r>
      <w:r>
        <w:rPr>
          <w:rFonts w:hint="eastAsia" w:ascii="Times New Roman" w:hAnsi="Times New Roman" w:cs="Times New Roman"/>
          <w:color w:val="000000" w:themeColor="text1"/>
          <w:sz w:val="24"/>
          <w:szCs w:val="24"/>
          <w14:textFill>
            <w14:solidFill>
              <w14:schemeClr w14:val="tx1"/>
            </w14:solidFill>
          </w14:textFill>
        </w:rPr>
        <w:t>月7日；</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4</w:t>
      </w:r>
      <w:r>
        <w:rPr>
          <w:rFonts w:hint="eastAsia" w:ascii="Times New Roman" w:hAnsi="Times New Roman" w:cs="Times New Roman"/>
          <w:color w:val="000000" w:themeColor="text1"/>
          <w:sz w:val="24"/>
          <w:szCs w:val="24"/>
          <w14:textFill>
            <w14:solidFill>
              <w14:schemeClr w14:val="tx1"/>
            </w14:solidFill>
          </w14:textFill>
        </w:rPr>
        <w:t>）《国务院关于加强环境保护重点工作的意见》，国务院国发[2011]35号，2011年10月20日；</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5</w:t>
      </w:r>
      <w:r>
        <w:rPr>
          <w:rFonts w:hint="eastAsia" w:ascii="Times New Roman" w:hAnsi="Times New Roman" w:cs="Times New Roman"/>
          <w:color w:val="000000" w:themeColor="text1"/>
          <w:sz w:val="24"/>
          <w:szCs w:val="24"/>
          <w14:textFill>
            <w14:solidFill>
              <w14:schemeClr w14:val="tx1"/>
            </w14:solidFill>
          </w14:textFill>
        </w:rPr>
        <w:t>）《国务院办公厅转发环境保护部等部门关于推进大气污染联防联控工作改善区域空气质量指导意见的通知》，环境保护部、发展改革委、科技部、工业和信息化部、财政部、住房城乡建设部、交通运输部、商务部、能源局国发办[2010]33号，2010年5月13日；</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（6）《阿坝藏族羌族自治州土地利用总体规划（2</w:t>
      </w:r>
      <w:r>
        <w:rPr>
          <w:rFonts w:ascii="Times New Roman" w:hAnsi="Times New Roman" w:cs="Times New Roman"/>
          <w:color w:val="000000" w:themeColor="text1"/>
          <w:sz w:val="24"/>
          <w:szCs w:val="24"/>
          <w14:textFill>
            <w14:solidFill>
              <w14:schemeClr w14:val="tx1"/>
            </w14:solidFill>
          </w14:textFill>
        </w:rPr>
        <w:t>006-2020</w:t>
      </w:r>
      <w:r>
        <w:rPr>
          <w:rFonts w:hint="eastAsia" w:ascii="Times New Roman" w:hAnsi="Times New Roman" w:cs="Times New Roman"/>
          <w:color w:val="000000" w:themeColor="text1"/>
          <w:sz w:val="24"/>
          <w:szCs w:val="24"/>
          <w14:textFill>
            <w14:solidFill>
              <w14:schemeClr w14:val="tx1"/>
            </w14:solidFill>
          </w14:textFill>
        </w:rPr>
        <w:t>年）调整完善方案》（原阿坝州国土局，2</w:t>
      </w:r>
      <w:r>
        <w:rPr>
          <w:rFonts w:ascii="Times New Roman" w:hAnsi="Times New Roman" w:cs="Times New Roman"/>
          <w:color w:val="000000" w:themeColor="text1"/>
          <w:sz w:val="24"/>
          <w:szCs w:val="24"/>
          <w14:textFill>
            <w14:solidFill>
              <w14:schemeClr w14:val="tx1"/>
            </w14:solidFill>
          </w14:textFill>
        </w:rPr>
        <w:t>017</w:t>
      </w:r>
      <w:r>
        <w:rPr>
          <w:rFonts w:hint="eastAsia" w:ascii="Times New Roman" w:hAnsi="Times New Roman" w:cs="Times New Roman"/>
          <w:color w:val="000000" w:themeColor="text1"/>
          <w:sz w:val="24"/>
          <w:szCs w:val="24"/>
          <w14:textFill>
            <w14:solidFill>
              <w14:schemeClr w14:val="tx1"/>
            </w14:solidFill>
          </w14:textFill>
        </w:rPr>
        <w:t>年7月）；</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（7）《四川省矿产资源管理条例》（四川省第八届人民代表大会常务委员会第2</w:t>
      </w:r>
      <w:r>
        <w:rPr>
          <w:rFonts w:ascii="Times New Roman" w:hAnsi="Times New Roman" w:cs="Times New Roman"/>
          <w:color w:val="000000" w:themeColor="text1"/>
          <w:sz w:val="24"/>
          <w:szCs w:val="24"/>
          <w14:textFill>
            <w14:solidFill>
              <w14:schemeClr w14:val="tx1"/>
            </w14:solidFill>
          </w14:textFill>
        </w:rPr>
        <w:t>9</w:t>
      </w:r>
      <w:r>
        <w:rPr>
          <w:rFonts w:hint="eastAsia" w:ascii="Times New Roman" w:hAnsi="Times New Roman" w:cs="Times New Roman"/>
          <w:color w:val="000000" w:themeColor="text1"/>
          <w:sz w:val="24"/>
          <w:szCs w:val="24"/>
          <w14:textFill>
            <w14:solidFill>
              <w14:schemeClr w14:val="tx1"/>
            </w14:solidFill>
          </w14:textFill>
        </w:rPr>
        <w:t>次会议通过，1</w:t>
      </w:r>
      <w:r>
        <w:rPr>
          <w:rFonts w:ascii="Times New Roman" w:hAnsi="Times New Roman" w:cs="Times New Roman"/>
          <w:color w:val="000000" w:themeColor="text1"/>
          <w:sz w:val="24"/>
          <w:szCs w:val="24"/>
          <w14:textFill>
            <w14:solidFill>
              <w14:schemeClr w14:val="tx1"/>
            </w14:solidFill>
          </w14:textFill>
        </w:rPr>
        <w:t>998</w:t>
      </w:r>
      <w:r>
        <w:rPr>
          <w:rFonts w:hint="eastAsia" w:ascii="Times New Roman" w:hAnsi="Times New Roman" w:cs="Times New Roman"/>
          <w:color w:val="000000" w:themeColor="text1"/>
          <w:sz w:val="24"/>
          <w:szCs w:val="24"/>
          <w14:textFill>
            <w14:solidFill>
              <w14:schemeClr w14:val="tx1"/>
            </w14:solidFill>
          </w14:textFill>
        </w:rPr>
        <w:t>年1月1日起施行）；</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（8）《四川省矿产资源总体规划（2</w:t>
      </w:r>
      <w:r>
        <w:rPr>
          <w:rFonts w:ascii="Times New Roman" w:hAnsi="Times New Roman" w:cs="Times New Roman"/>
          <w:color w:val="000000" w:themeColor="text1"/>
          <w:sz w:val="24"/>
          <w:szCs w:val="24"/>
          <w14:textFill>
            <w14:solidFill>
              <w14:schemeClr w14:val="tx1"/>
            </w14:solidFill>
          </w14:textFill>
        </w:rPr>
        <w:t>016-2020</w:t>
      </w:r>
      <w:r>
        <w:rPr>
          <w:rFonts w:hint="eastAsia" w:ascii="Times New Roman" w:hAnsi="Times New Roman" w:cs="Times New Roman"/>
          <w:color w:val="000000" w:themeColor="text1"/>
          <w:sz w:val="24"/>
          <w:szCs w:val="24"/>
          <w14:textFill>
            <w14:solidFill>
              <w14:schemeClr w14:val="tx1"/>
            </w14:solidFill>
          </w14:textFill>
        </w:rPr>
        <w:t>年）》。</w: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.1.3 技术标准及规范性文件</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 xml:space="preserve">（1）《建设项目竣工环境保护验收技术规范 </w:t>
      </w:r>
      <w:r>
        <w:rPr>
          <w:rFonts w:ascii="Times New Roman" w:hAnsi="Times New Roman" w:cs="Times New Roman"/>
          <w:color w:val="000000" w:themeColor="text1"/>
          <w:sz w:val="24"/>
          <w:szCs w:val="24"/>
          <w14:textFill>
            <w14:solidFill>
              <w14:schemeClr w14:val="tx1"/>
            </w14:solidFill>
          </w14:textFill>
        </w:rPr>
        <w:t xml:space="preserve"> </w:t>
      </w:r>
      <w:r>
        <w:rPr>
          <w:rFonts w:hint="eastAsia" w:ascii="Times New Roman" w:hAnsi="Times New Roman" w:cs="Times New Roman"/>
          <w:color w:val="000000" w:themeColor="text1"/>
          <w:sz w:val="24"/>
          <w:szCs w:val="24"/>
          <w14:textFill>
            <w14:solidFill>
              <w14:schemeClr w14:val="tx1"/>
            </w14:solidFill>
          </w14:textFill>
        </w:rPr>
        <w:t>生态影响类》</w:t>
      </w:r>
      <w:r>
        <w:rPr>
          <w:rFonts w:hint="eastAsia" w:cs="Times New Roman" w:asciiTheme="minorEastAsia" w:hAnsiTheme="minorEastAsia"/>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HJ</w:t>
      </w:r>
      <w:r>
        <w:rPr>
          <w:rFonts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T</w:t>
      </w:r>
      <w:r>
        <w:rPr>
          <w:rFonts w:ascii="Times New Roman" w:hAnsi="Times New Roman" w:cs="Times New Roman"/>
          <w:color w:val="000000" w:themeColor="text1"/>
          <w:sz w:val="24"/>
          <w:szCs w:val="24"/>
          <w14:textFill>
            <w14:solidFill>
              <w14:schemeClr w14:val="tx1"/>
            </w14:solidFill>
          </w14:textFill>
        </w:rPr>
        <w:t xml:space="preserve"> 394</w:t>
      </w:r>
      <w:r>
        <w:rPr>
          <w:rFonts w:hint="eastAsia" w:ascii="Times New Roman" w:hAnsi="Times New Roman" w:cs="Times New Roman"/>
          <w:color w:val="000000" w:themeColor="text1"/>
          <w:sz w:val="24"/>
          <w:szCs w:val="24"/>
          <w14:textFill>
            <w14:solidFill>
              <w14:schemeClr w14:val="tx1"/>
            </w14:solidFill>
          </w14:textFill>
        </w:rPr>
        <w:t>-200</w:t>
      </w:r>
      <w:r>
        <w:rPr>
          <w:rFonts w:ascii="Times New Roman" w:hAnsi="Times New Roman" w:cs="Times New Roman"/>
          <w:color w:val="000000" w:themeColor="text1"/>
          <w:sz w:val="24"/>
          <w:szCs w:val="24"/>
          <w14:textFill>
            <w14:solidFill>
              <w14:schemeClr w14:val="tx1"/>
            </w14:solidFill>
          </w14:textFill>
        </w:rPr>
        <w:t>7</w:t>
      </w:r>
      <w:r>
        <w:rPr>
          <w:rFonts w:hint="eastAsia" w:cs="Times New Roman" w:asciiTheme="minorEastAsia" w:hAnsiTheme="minorEastAsia"/>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2</w:t>
      </w:r>
      <w:r>
        <w:rPr>
          <w:rFonts w:hint="eastAsia" w:ascii="Times New Roman" w:hAnsi="Times New Roman" w:cs="Times New Roman"/>
          <w:color w:val="000000" w:themeColor="text1"/>
          <w:sz w:val="24"/>
          <w:szCs w:val="24"/>
          <w14:textFill>
            <w14:solidFill>
              <w14:schemeClr w14:val="tx1"/>
            </w14:solidFill>
          </w14:textFill>
        </w:rPr>
        <w:t>）《水土保持综合治理技术规范》</w:t>
      </w:r>
      <w:r>
        <w:rPr>
          <w:rFonts w:hint="eastAsia" w:cs="Times New Roman" w:asciiTheme="minorEastAsia" w:hAnsiTheme="minorEastAsia"/>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GB/T16543.1～16453.6－1996</w:t>
      </w:r>
      <w:r>
        <w:rPr>
          <w:rFonts w:hint="eastAsia" w:cs="Times New Roman" w:asciiTheme="minorEastAsia" w:hAnsiTheme="minorEastAsia"/>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3</w:t>
      </w:r>
      <w:r>
        <w:rPr>
          <w:rFonts w:hint="eastAsia" w:ascii="Times New Roman" w:hAnsi="Times New Roman" w:cs="Times New Roman"/>
          <w:color w:val="000000" w:themeColor="text1"/>
          <w:sz w:val="24"/>
          <w:szCs w:val="24"/>
          <w14:textFill>
            <w14:solidFill>
              <w14:schemeClr w14:val="tx1"/>
            </w14:solidFill>
          </w14:textFill>
        </w:rPr>
        <w:t>）《环境空气质量标准》</w:t>
      </w:r>
      <w:r>
        <w:rPr>
          <w:rFonts w:hint="eastAsia" w:cs="Times New Roman" w:asciiTheme="minorEastAsia" w:hAnsiTheme="minorEastAsia"/>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GB3095-2012</w:t>
      </w:r>
      <w:r>
        <w:rPr>
          <w:rFonts w:hint="eastAsia" w:cs="Times New Roman" w:asciiTheme="minorEastAsia" w:hAnsiTheme="minorEastAsia"/>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4</w:t>
      </w:r>
      <w:r>
        <w:rPr>
          <w:rFonts w:hint="eastAsia" w:ascii="Times New Roman" w:hAnsi="Times New Roman" w:cs="Times New Roman"/>
          <w:color w:val="000000" w:themeColor="text1"/>
          <w:sz w:val="24"/>
          <w:szCs w:val="24"/>
          <w14:textFill>
            <w14:solidFill>
              <w14:schemeClr w14:val="tx1"/>
            </w14:solidFill>
          </w14:textFill>
        </w:rPr>
        <w:t>）《地表水环境质量标准》</w:t>
      </w:r>
      <w:r>
        <w:rPr>
          <w:rFonts w:hint="eastAsia" w:cs="Times New Roman" w:asciiTheme="minorEastAsia" w:hAnsiTheme="minorEastAsia"/>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GB3838-2002</w:t>
      </w:r>
      <w:r>
        <w:rPr>
          <w:rFonts w:hint="eastAsia" w:cs="Times New Roman" w:asciiTheme="minorEastAsia" w:hAnsiTheme="minorEastAsia"/>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4</w:t>
      </w:r>
      <w:r>
        <w:rPr>
          <w:rFonts w:hint="eastAsia" w:ascii="Times New Roman" w:hAnsi="Times New Roman" w:cs="Times New Roman"/>
          <w:color w:val="000000" w:themeColor="text1"/>
          <w:sz w:val="24"/>
          <w:szCs w:val="24"/>
          <w14:textFill>
            <w14:solidFill>
              <w14:schemeClr w14:val="tx1"/>
            </w14:solidFill>
          </w14:textFill>
        </w:rPr>
        <w:t>）《声环境质量标准》</w:t>
      </w:r>
      <w:r>
        <w:rPr>
          <w:rFonts w:hint="eastAsia" w:cs="Times New Roman" w:asciiTheme="minorEastAsia" w:hAnsiTheme="minorEastAsia"/>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GB3096-2008</w:t>
      </w:r>
      <w:r>
        <w:rPr>
          <w:rFonts w:hint="eastAsia" w:cs="Times New Roman" w:asciiTheme="minorEastAsia" w:hAnsiTheme="minorEastAsia"/>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5</w:t>
      </w:r>
      <w:r>
        <w:rPr>
          <w:rFonts w:hint="eastAsia" w:ascii="Times New Roman" w:hAnsi="Times New Roman" w:cs="Times New Roman"/>
          <w:color w:val="000000" w:themeColor="text1"/>
          <w:sz w:val="24"/>
          <w:szCs w:val="24"/>
          <w14:textFill>
            <w14:solidFill>
              <w14:schemeClr w14:val="tx1"/>
            </w14:solidFill>
          </w14:textFill>
        </w:rPr>
        <w:t>）《大气污染物综合排放标准》</w:t>
      </w:r>
      <w:r>
        <w:rPr>
          <w:rFonts w:hint="eastAsia" w:cs="Times New Roman" w:asciiTheme="minorEastAsia" w:hAnsiTheme="minorEastAsia"/>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GB16297-1996</w:t>
      </w:r>
      <w:r>
        <w:rPr>
          <w:rFonts w:hint="eastAsia" w:cs="Times New Roman" w:asciiTheme="minorEastAsia" w:hAnsiTheme="minorEastAsia"/>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7</w:t>
      </w:r>
      <w:r>
        <w:rPr>
          <w:rFonts w:hint="eastAsia" w:ascii="Times New Roman" w:hAnsi="Times New Roman" w:cs="Times New Roman"/>
          <w:color w:val="000000" w:themeColor="text1"/>
          <w:sz w:val="24"/>
          <w:szCs w:val="24"/>
          <w14:textFill>
            <w14:solidFill>
              <w14:schemeClr w14:val="tx1"/>
            </w14:solidFill>
          </w14:textFill>
        </w:rPr>
        <w:t>）《污水综合排放标准》</w:t>
      </w:r>
      <w:r>
        <w:rPr>
          <w:rFonts w:hint="eastAsia" w:cs="Times New Roman" w:asciiTheme="minorEastAsia" w:hAnsiTheme="minorEastAsia"/>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GB8978-1996</w:t>
      </w:r>
      <w:r>
        <w:rPr>
          <w:rFonts w:hint="eastAsia" w:cs="Times New Roman" w:asciiTheme="minorEastAsia" w:hAnsiTheme="minorEastAsia"/>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8</w:t>
      </w:r>
      <w:r>
        <w:rPr>
          <w:rFonts w:hint="eastAsia" w:ascii="Times New Roman" w:hAnsi="Times New Roman" w:cs="Times New Roman"/>
          <w:color w:val="000000" w:themeColor="text1"/>
          <w:sz w:val="24"/>
          <w:szCs w:val="24"/>
          <w14:textFill>
            <w14:solidFill>
              <w14:schemeClr w14:val="tx1"/>
            </w14:solidFill>
          </w14:textFill>
        </w:rPr>
        <w:t>）《建筑施工场界环境噪声排放标准》</w:t>
      </w:r>
      <w:r>
        <w:rPr>
          <w:rFonts w:hint="eastAsia" w:cs="Times New Roman" w:asciiTheme="minorEastAsia" w:hAnsiTheme="minorEastAsia"/>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GB12523-2011</w:t>
      </w:r>
      <w:r>
        <w:rPr>
          <w:rFonts w:hint="eastAsia" w:cs="Times New Roman" w:asciiTheme="minorEastAsia" w:hAnsiTheme="minorEastAsia"/>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9</w:t>
      </w:r>
      <w:r>
        <w:rPr>
          <w:rFonts w:hint="eastAsia" w:ascii="Times New Roman" w:hAnsi="Times New Roman" w:cs="Times New Roman"/>
          <w:color w:val="000000" w:themeColor="text1"/>
          <w:sz w:val="24"/>
          <w:szCs w:val="24"/>
          <w14:textFill>
            <w14:solidFill>
              <w14:schemeClr w14:val="tx1"/>
            </w14:solidFill>
          </w14:textFill>
        </w:rPr>
        <w:t>）《工业企业厂界环境噪声排放标准》（GB12348-2008）；</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（1</w:t>
      </w:r>
      <w:r>
        <w:rPr>
          <w:rFonts w:hint="eastAsia" w:ascii="Times New Roman" w:hAnsi="Times New Roman" w:cs="Times New Roman"/>
          <w:color w:val="000000" w:themeColor="text1"/>
          <w:sz w:val="24"/>
          <w:szCs w:val="24"/>
          <w:lang w:val="en-US" w:eastAsia="zh-CN"/>
          <w14:textFill>
            <w14:solidFill>
              <w14:schemeClr w14:val="tx1"/>
            </w14:solidFill>
          </w14:textFill>
        </w:rPr>
        <w:t>0</w:t>
      </w:r>
      <w:r>
        <w:rPr>
          <w:rFonts w:hint="eastAsia" w:ascii="Times New Roman" w:hAnsi="Times New Roman" w:cs="Times New Roman"/>
          <w:color w:val="000000" w:themeColor="text1"/>
          <w:sz w:val="24"/>
          <w:szCs w:val="24"/>
          <w14:textFill>
            <w14:solidFill>
              <w14:schemeClr w14:val="tx1"/>
            </w14:solidFill>
          </w14:textFill>
        </w:rPr>
        <w:t>）《一般工业固体废物贮存和填埋污染控制标准》（GB 18599-2020）；</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（1</w:t>
      </w:r>
      <w:r>
        <w:rPr>
          <w:rFonts w:hint="eastAsia" w:ascii="Times New Roman" w:hAnsi="Times New Roman" w:cs="Times New Roman"/>
          <w:color w:val="000000" w:themeColor="text1"/>
          <w:sz w:val="24"/>
          <w:szCs w:val="24"/>
          <w:lang w:val="en-US" w:eastAsia="zh-CN"/>
          <w14:textFill>
            <w14:solidFill>
              <w14:schemeClr w14:val="tx1"/>
            </w14:solidFill>
          </w14:textFill>
        </w:rPr>
        <w:t>1</w:t>
      </w:r>
      <w:r>
        <w:rPr>
          <w:rFonts w:hint="eastAsia" w:ascii="Times New Roman" w:hAnsi="Times New Roman" w:cs="Times New Roman"/>
          <w:color w:val="000000" w:themeColor="text1"/>
          <w:sz w:val="24"/>
          <w:szCs w:val="24"/>
          <w14:textFill>
            <w14:solidFill>
              <w14:schemeClr w14:val="tx1"/>
            </w14:solidFill>
          </w14:textFill>
        </w:rPr>
        <w:t>）《危险废物贮存污染控制标准》（GB18597-2001）；</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（1</w:t>
      </w:r>
      <w:r>
        <w:rPr>
          <w:rFonts w:hint="eastAsia" w:ascii="Times New Roman" w:hAnsi="Times New Roman" w:cs="Times New Roman"/>
          <w:color w:val="000000" w:themeColor="text1"/>
          <w:sz w:val="24"/>
          <w:szCs w:val="24"/>
          <w:lang w:val="en-US" w:eastAsia="zh-CN"/>
          <w14:textFill>
            <w14:solidFill>
              <w14:schemeClr w14:val="tx1"/>
            </w14:solidFill>
          </w14:textFill>
        </w:rPr>
        <w:t>2</w:t>
      </w:r>
      <w:r>
        <w:rPr>
          <w:rFonts w:hint="eastAsia" w:ascii="Times New Roman" w:hAnsi="Times New Roman" w:cs="Times New Roman"/>
          <w:color w:val="000000" w:themeColor="text1"/>
          <w:sz w:val="24"/>
          <w:szCs w:val="24"/>
          <w14:textFill>
            <w14:solidFill>
              <w14:schemeClr w14:val="tx1"/>
            </w14:solidFill>
          </w14:textFill>
        </w:rPr>
        <w:t>）《环境影响评价公众参与办法》(2019.1.1)；</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（1</w:t>
      </w:r>
      <w:r>
        <w:rPr>
          <w:rFonts w:hint="eastAsia" w:ascii="Times New Roman" w:hAnsi="Times New Roman" w:cs="Times New Roman"/>
          <w:color w:val="000000" w:themeColor="text1"/>
          <w:sz w:val="24"/>
          <w:szCs w:val="24"/>
          <w:lang w:val="en-US" w:eastAsia="zh-CN"/>
          <w14:textFill>
            <w14:solidFill>
              <w14:schemeClr w14:val="tx1"/>
            </w14:solidFill>
          </w14:textFill>
        </w:rPr>
        <w:t>3</w:t>
      </w:r>
      <w:r>
        <w:rPr>
          <w:rFonts w:hint="eastAsia" w:ascii="Times New Roman" w:hAnsi="Times New Roman" w:cs="Times New Roman"/>
          <w:color w:val="000000" w:themeColor="text1"/>
          <w:sz w:val="24"/>
          <w:szCs w:val="24"/>
          <w14:textFill>
            <w14:solidFill>
              <w14:schemeClr w14:val="tx1"/>
            </w14:solidFill>
          </w14:textFill>
        </w:rPr>
        <w:t>）《矿山生态环境保护与恢复治理技术规范（试行）》（HJ</w:t>
      </w:r>
      <w:r>
        <w:rPr>
          <w:rFonts w:ascii="Times New Roman" w:hAnsi="Times New Roman" w:cs="Times New Roman"/>
          <w:color w:val="000000" w:themeColor="text1"/>
          <w:sz w:val="24"/>
          <w:szCs w:val="24"/>
          <w14:textFill>
            <w14:solidFill>
              <w14:schemeClr w14:val="tx1"/>
            </w14:solidFill>
          </w14:textFill>
        </w:rPr>
        <w:t>651-2013</w:t>
      </w:r>
      <w:r>
        <w:rPr>
          <w:rFonts w:hint="eastAsia" w:ascii="Times New Roman" w:hAnsi="Times New Roman" w:cs="Times New Roman"/>
          <w:color w:val="000000" w:themeColor="text1"/>
          <w:sz w:val="24"/>
          <w:szCs w:val="24"/>
          <w14:textFill>
            <w14:solidFill>
              <w14:schemeClr w14:val="tx1"/>
            </w14:solidFill>
          </w14:textFill>
        </w:rPr>
        <w:t>）；</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（1</w:t>
      </w:r>
      <w:r>
        <w:rPr>
          <w:rFonts w:hint="eastAsia" w:ascii="Times New Roman" w:hAnsi="Times New Roman" w:cs="Times New Roman"/>
          <w:color w:val="000000" w:themeColor="text1"/>
          <w:sz w:val="24"/>
          <w:szCs w:val="24"/>
          <w:lang w:val="en-US" w:eastAsia="zh-CN"/>
          <w14:textFill>
            <w14:solidFill>
              <w14:schemeClr w14:val="tx1"/>
            </w14:solidFill>
          </w14:textFill>
        </w:rPr>
        <w:t>4</w:t>
      </w:r>
      <w:r>
        <w:rPr>
          <w:rFonts w:hint="eastAsia" w:ascii="Times New Roman" w:hAnsi="Times New Roman" w:cs="Times New Roman"/>
          <w:color w:val="000000" w:themeColor="text1"/>
          <w:sz w:val="24"/>
          <w:szCs w:val="24"/>
          <w14:textFill>
            <w14:solidFill>
              <w14:schemeClr w14:val="tx1"/>
            </w14:solidFill>
          </w14:textFill>
        </w:rPr>
        <w:t>）《矿山生态环境保护与恢复治理方案（规划）编制规范（试行）》（HJ</w:t>
      </w:r>
      <w:r>
        <w:rPr>
          <w:rFonts w:ascii="Times New Roman" w:hAnsi="Times New Roman" w:cs="Times New Roman"/>
          <w:color w:val="000000" w:themeColor="text1"/>
          <w:sz w:val="24"/>
          <w:szCs w:val="24"/>
          <w14:textFill>
            <w14:solidFill>
              <w14:schemeClr w14:val="tx1"/>
            </w14:solidFill>
          </w14:textFill>
        </w:rPr>
        <w:t>652-2013</w:t>
      </w:r>
      <w:r>
        <w:rPr>
          <w:rFonts w:hint="eastAsia" w:ascii="Times New Roman" w:hAnsi="Times New Roman" w:cs="Times New Roman"/>
          <w:color w:val="000000" w:themeColor="text1"/>
          <w:sz w:val="24"/>
          <w:szCs w:val="24"/>
          <w14:textFill>
            <w14:solidFill>
              <w14:schemeClr w14:val="tx1"/>
            </w14:solidFill>
          </w14:textFill>
        </w:rPr>
        <w:t>）；</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1</w:t>
      </w:r>
      <w:r>
        <w:rPr>
          <w:rFonts w:hint="eastAsia" w:ascii="Times New Roman" w:hAnsi="Times New Roman" w:cs="Times New Roman"/>
          <w:color w:val="000000" w:themeColor="text1"/>
          <w:sz w:val="24"/>
          <w:szCs w:val="24"/>
          <w:lang w:val="en-US" w:eastAsia="zh-CN"/>
          <w14:textFill>
            <w14:solidFill>
              <w14:schemeClr w14:val="tx1"/>
            </w14:solidFill>
          </w14:textFill>
        </w:rPr>
        <w:t>5</w:t>
      </w:r>
      <w:r>
        <w:rPr>
          <w:rFonts w:hint="eastAsia" w:ascii="Times New Roman" w:hAnsi="Times New Roman" w:cs="Times New Roman"/>
          <w:color w:val="000000" w:themeColor="text1"/>
          <w:sz w:val="24"/>
          <w:szCs w:val="24"/>
          <w14:textFill>
            <w14:solidFill>
              <w14:schemeClr w14:val="tx1"/>
            </w14:solidFill>
          </w14:textFill>
        </w:rPr>
        <w:t>）《金属非金属矿山废石场安全技术规范》（DB</w:t>
      </w:r>
      <w:r>
        <w:rPr>
          <w:rFonts w:ascii="Times New Roman" w:hAnsi="Times New Roman" w:cs="Times New Roman"/>
          <w:color w:val="000000" w:themeColor="text1"/>
          <w:sz w:val="24"/>
          <w:szCs w:val="24"/>
          <w14:textFill>
            <w14:solidFill>
              <w14:schemeClr w14:val="tx1"/>
            </w14:solidFill>
          </w14:textFill>
        </w:rPr>
        <w:t>41/</w:t>
      </w:r>
      <w:r>
        <w:rPr>
          <w:rFonts w:hint="eastAsia" w:ascii="Times New Roman" w:hAnsi="Times New Roman" w:cs="Times New Roman"/>
          <w:color w:val="000000" w:themeColor="text1"/>
          <w:sz w:val="24"/>
          <w:szCs w:val="24"/>
          <w14:textFill>
            <w14:solidFill>
              <w14:schemeClr w14:val="tx1"/>
            </w14:solidFill>
          </w14:textFill>
        </w:rPr>
        <w:t>T</w:t>
      </w:r>
      <w:r>
        <w:rPr>
          <w:rFonts w:ascii="Times New Roman" w:hAnsi="Times New Roman" w:cs="Times New Roman"/>
          <w:color w:val="000000" w:themeColor="text1"/>
          <w:sz w:val="24"/>
          <w:szCs w:val="24"/>
          <w14:textFill>
            <w14:solidFill>
              <w14:schemeClr w14:val="tx1"/>
            </w14:solidFill>
          </w14:textFill>
        </w:rPr>
        <w:t>1267-2016</w:t>
      </w:r>
      <w:r>
        <w:rPr>
          <w:rFonts w:hint="eastAsia" w:ascii="Times New Roman" w:hAnsi="Times New Roman" w:cs="Times New Roman"/>
          <w:color w:val="000000" w:themeColor="text1"/>
          <w:sz w:val="24"/>
          <w:szCs w:val="24"/>
          <w14:textFill>
            <w14:solidFill>
              <w14:schemeClr w14:val="tx1"/>
            </w14:solidFill>
          </w14:textFill>
        </w:rPr>
        <w:t>）；</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1</w:t>
      </w:r>
      <w:r>
        <w:rPr>
          <w:rFonts w:hint="eastAsia" w:ascii="Times New Roman" w:hAnsi="Times New Roman" w:cs="Times New Roman"/>
          <w:color w:val="000000" w:themeColor="text1"/>
          <w:sz w:val="24"/>
          <w:szCs w:val="24"/>
          <w:lang w:val="en-US" w:eastAsia="zh-CN"/>
          <w14:textFill>
            <w14:solidFill>
              <w14:schemeClr w14:val="tx1"/>
            </w14:solidFill>
          </w14:textFill>
        </w:rPr>
        <w:t>6</w:t>
      </w:r>
      <w:r>
        <w:rPr>
          <w:rFonts w:hint="eastAsia" w:ascii="Times New Roman" w:hAnsi="Times New Roman" w:cs="Times New Roman"/>
          <w:color w:val="000000" w:themeColor="text1"/>
          <w:sz w:val="24"/>
          <w:szCs w:val="24"/>
          <w14:textFill>
            <w14:solidFill>
              <w14:schemeClr w14:val="tx1"/>
            </w14:solidFill>
          </w14:textFill>
        </w:rPr>
        <w:t>）《关于认真做好建设项目竣工环境保护验收监测工作的通知》(川环发[2003]001号)；</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1</w:t>
      </w:r>
      <w:r>
        <w:rPr>
          <w:rFonts w:hint="eastAsia" w:ascii="Times New Roman" w:hAnsi="Times New Roman" w:cs="Times New Roman"/>
          <w:color w:val="000000" w:themeColor="text1"/>
          <w:sz w:val="24"/>
          <w:szCs w:val="24"/>
          <w:lang w:val="en-US" w:eastAsia="zh-CN"/>
          <w14:textFill>
            <w14:solidFill>
              <w14:schemeClr w14:val="tx1"/>
            </w14:solidFill>
          </w14:textFill>
        </w:rPr>
        <w:t>7</w:t>
      </w:r>
      <w:r>
        <w:rPr>
          <w:rFonts w:hint="eastAsia" w:ascii="Times New Roman" w:hAnsi="Times New Roman" w:cs="Times New Roman"/>
          <w:color w:val="000000" w:themeColor="text1"/>
          <w:sz w:val="24"/>
          <w:szCs w:val="24"/>
          <w14:textFill>
            <w14:solidFill>
              <w14:schemeClr w14:val="tx1"/>
            </w14:solidFill>
          </w14:textFill>
        </w:rPr>
        <w:t>）《四川省环境保护局关于进一步加强建设项目竣工环境保护验收监测(调查)工作的通知》（川环发[2006]61号）；</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1</w:t>
      </w:r>
      <w:r>
        <w:rPr>
          <w:rFonts w:hint="eastAsia" w:ascii="Times New Roman" w:hAnsi="Times New Roman" w:cs="Times New Roman"/>
          <w:color w:val="000000" w:themeColor="text1"/>
          <w:sz w:val="24"/>
          <w:szCs w:val="24"/>
          <w:lang w:val="en-US" w:eastAsia="zh-CN"/>
          <w14:textFill>
            <w14:solidFill>
              <w14:schemeClr w14:val="tx1"/>
            </w14:solidFill>
          </w14:textFill>
        </w:rPr>
        <w:t>8</w:t>
      </w:r>
      <w:r>
        <w:rPr>
          <w:rFonts w:hint="eastAsia" w:ascii="Times New Roman" w:hAnsi="Times New Roman" w:cs="Times New Roman"/>
          <w:color w:val="000000" w:themeColor="text1"/>
          <w:sz w:val="24"/>
          <w:szCs w:val="24"/>
          <w14:textFill>
            <w14:solidFill>
              <w14:schemeClr w14:val="tx1"/>
            </w14:solidFill>
          </w14:textFill>
        </w:rPr>
        <w:t>）《关于进一步加强建设项目环境影响评价工作管理的通知》（川环发[2001]248号）；</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19</w:t>
      </w:r>
      <w:r>
        <w:rPr>
          <w:rFonts w:hint="eastAsia" w:ascii="Times New Roman" w:hAnsi="Times New Roman" w:cs="Times New Roman"/>
          <w:color w:val="000000" w:themeColor="text1"/>
          <w:sz w:val="24"/>
          <w:szCs w:val="24"/>
          <w14:textFill>
            <w14:solidFill>
              <w14:schemeClr w14:val="tx1"/>
            </w14:solidFill>
          </w14:textFill>
        </w:rPr>
        <w:t>）《关于规范建设项目竣工环境保护验收工作的通知》（四川省环保局，川环发[2003]56号）；</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2</w:t>
      </w:r>
      <w:r>
        <w:rPr>
          <w:rFonts w:hint="eastAsia" w:ascii="Times New Roman" w:hAnsi="Times New Roman" w:cs="Times New Roman"/>
          <w:color w:val="000000" w:themeColor="text1"/>
          <w:sz w:val="24"/>
          <w:szCs w:val="24"/>
          <w:lang w:val="en-US" w:eastAsia="zh-CN"/>
          <w14:textFill>
            <w14:solidFill>
              <w14:schemeClr w14:val="tx1"/>
            </w14:solidFill>
          </w14:textFill>
        </w:rPr>
        <w:t>0</w:t>
      </w:r>
      <w:r>
        <w:rPr>
          <w:rFonts w:hint="eastAsia" w:ascii="Times New Roman" w:hAnsi="Times New Roman" w:cs="Times New Roman"/>
          <w:color w:val="000000" w:themeColor="text1"/>
          <w:sz w:val="24"/>
          <w:szCs w:val="24"/>
          <w14:textFill>
            <w14:solidFill>
              <w14:schemeClr w14:val="tx1"/>
            </w14:solidFill>
          </w14:textFill>
        </w:rPr>
        <w:t>）《关于进一步加强环境影响评价管理防范风险的通知》（环发[2012]77号）。</w: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.4 其他文件资料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（1）《金川奥伊诺矿业有限公司业隆沟锂辉石矿采选尾工程可行性研究报告》，昆明有色冶金设计研究院股份公司，2017年2月；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（2）《金川奥伊诺矿业有限公司业隆沟锂辉石矿矿产资源开发利用方案》，四川省冶金设计研究院，2018年2月；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（3）《金川奥伊诺矿业有限公司业隆沟锂辉石矿矿产资源开发利用方案备案表》，四川省国土资源厅，川国土资矿开备[2018]4号；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（4）《金川奥伊诺矿业有限公司业隆沟锂辉石矿矿产资源开发利用方案审查意见》，四川省矿业协会，川矿协矿开审[2018]007号；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（5）《四川省金川县业隆沟矿区锂矿勘探报告》，四川省地质矿产勘查开发局化探队、四川星辰矿业股份有限公司，2016年10月；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（6）《四川省金川县业隆沟矿区锂矿勘探报告评审意见书》，四川省矿产资源储量评审中心，川评审[2016]159号；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（7）《金川县业隆沟锂辉石矿尾水循环利用技术研究报告》，中国地质科学院矿产综合利用研究所，2017年2月；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（8）《四川省金川县业隆沟矿区锂矿扩大连续试验报告》，中国地质科学院矿产综合利用研究所，2016年12月；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（9）《金川奥伊诺矿业有限公司四川省金川县业隆沟锂辉石矿（扩大范围）详查项目环境影响备案报告》，四川华睿川协管理咨询有限责任公司，2016年6月；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（1</w:t>
      </w:r>
      <w:r>
        <w:rPr>
          <w:rFonts w:ascii="Times New Roman" w:hAnsi="Times New Roman" w:cs="Times New Roman"/>
          <w:color w:val="000000" w:themeColor="text1"/>
          <w:sz w:val="24"/>
          <w:szCs w:val="24"/>
          <w14:textFill>
            <w14:solidFill>
              <w14:schemeClr w14:val="tx1"/>
            </w14:solidFill>
          </w14:textFill>
        </w:rPr>
        <w:t>0</w:t>
      </w:r>
      <w:r>
        <w:rPr>
          <w:rFonts w:hint="eastAsia" w:ascii="Times New Roman" w:hAnsi="Times New Roman" w:cs="Times New Roman"/>
          <w:color w:val="000000" w:themeColor="text1"/>
          <w:sz w:val="24"/>
          <w:szCs w:val="24"/>
          <w14:textFill>
            <w14:solidFill>
              <w14:schemeClr w14:val="tx1"/>
            </w14:solidFill>
          </w14:textFill>
        </w:rPr>
        <w:t>）《四川省金川县业隆沟矿区锂矿矿山地质灾害危险性评估报告》，四川省华地建设工程有限责任公司，2017年3月；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（1</w:t>
      </w:r>
      <w:r>
        <w:rPr>
          <w:rFonts w:ascii="Times New Roman" w:hAnsi="Times New Roman" w:cs="Times New Roman"/>
          <w:color w:val="000000" w:themeColor="text1"/>
          <w:sz w:val="24"/>
          <w:szCs w:val="24"/>
          <w14:textFill>
            <w14:solidFill>
              <w14:schemeClr w14:val="tx1"/>
            </w14:solidFill>
          </w14:textFill>
        </w:rPr>
        <w:t>1</w:t>
      </w:r>
      <w:r>
        <w:rPr>
          <w:rFonts w:hint="eastAsia" w:ascii="Times New Roman" w:hAnsi="Times New Roman" w:cs="Times New Roman"/>
          <w:color w:val="000000" w:themeColor="text1"/>
          <w:sz w:val="24"/>
          <w:szCs w:val="24"/>
          <w14:textFill>
            <w14:solidFill>
              <w14:schemeClr w14:val="tx1"/>
            </w14:solidFill>
          </w14:textFill>
        </w:rPr>
        <w:t>）《金川奥伊诺矿业有限公司业隆沟锂辉石矿采选尾工程水土保持方案报告书》，成都南岩环境工程有限责任公司，2018年3月；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1</w:t>
      </w:r>
      <w:r>
        <w:rPr>
          <w:rFonts w:hint="eastAsia" w:ascii="Times New Roman" w:hAnsi="Times New Roman" w:cs="Times New Roman"/>
          <w:color w:val="000000" w:themeColor="text1"/>
          <w:sz w:val="24"/>
          <w:szCs w:val="24"/>
          <w14:textFill>
            <w14:solidFill>
              <w14:schemeClr w14:val="tx1"/>
            </w14:solidFill>
          </w14:textFill>
        </w:rPr>
        <w:t>2）《金川县环境保护和林业局关于金川奥伊诺矿业有限公司业隆沟锂辉石矿采选尾工程项目环境影响评价执行标准的请示》，金川县环境保护和林业局，金环林[2017]46号；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1</w:t>
      </w:r>
      <w:r>
        <w:rPr>
          <w:rFonts w:hint="eastAsia" w:ascii="Times New Roman" w:hAnsi="Times New Roman" w:cs="Times New Roman"/>
          <w:color w:val="000000" w:themeColor="text1"/>
          <w:sz w:val="24"/>
          <w:szCs w:val="24"/>
          <w14:textFill>
            <w14:solidFill>
              <w14:schemeClr w14:val="tx1"/>
            </w14:solidFill>
          </w14:textFill>
        </w:rPr>
        <w:t>3）《阿坝州环境保护局关于对金川奥伊诺矿业有限公司业隆沟锂辉石矿采选尾工程项目环境影响评价执行标准的函》，阿坝藏族羌族自治州环境保护局，阿州环建函[2017]5号；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（1</w:t>
      </w:r>
      <w:r>
        <w:rPr>
          <w:rFonts w:ascii="Times New Roman" w:hAnsi="Times New Roman" w:cs="Times New Roman"/>
          <w:color w:val="000000" w:themeColor="text1"/>
          <w:sz w:val="24"/>
          <w:szCs w:val="24"/>
          <w14:textFill>
            <w14:solidFill>
              <w14:schemeClr w14:val="tx1"/>
            </w14:solidFill>
          </w14:textFill>
        </w:rPr>
        <w:t>4</w:t>
      </w:r>
      <w:r>
        <w:rPr>
          <w:rFonts w:hint="eastAsia" w:ascii="Times New Roman" w:hAnsi="Times New Roman" w:cs="Times New Roman"/>
          <w:color w:val="000000" w:themeColor="text1"/>
          <w:sz w:val="24"/>
          <w:szCs w:val="24"/>
          <w14:textFill>
            <w14:solidFill>
              <w14:schemeClr w14:val="tx1"/>
            </w14:solidFill>
          </w14:textFill>
        </w:rPr>
        <w:t>）《金川奥伊诺矿业有限公司业隆沟锂辉石矿采选尾工程建设期环境监理总结报告》。</w:t>
      </w:r>
    </w:p>
    <w:p>
      <w:pPr>
        <w:pStyle w:val="3"/>
        <w:rPr>
          <w:color w:val="000000" w:themeColor="text1"/>
          <w14:textFill>
            <w14:solidFill>
              <w14:schemeClr w14:val="tx1"/>
            </w14:solidFill>
          </w14:textFill>
        </w:rPr>
      </w:pPr>
      <w:bookmarkStart w:id="4" w:name="_Toc62202369"/>
      <w:r>
        <w:rPr>
          <w:rFonts w:hint="eastAsia"/>
          <w:color w:val="000000" w:themeColor="text1"/>
          <w14:textFill>
            <w14:solidFill>
              <w14:schemeClr w14:val="tx1"/>
            </w14:solidFill>
          </w14:textFill>
        </w:rPr>
        <w:t>1</w:t>
      </w:r>
      <w:r>
        <w:rPr>
          <w:color w:val="000000" w:themeColor="text1"/>
          <w14:textFill>
            <w14:solidFill>
              <w14:schemeClr w14:val="tx1"/>
            </w14:solidFill>
          </w14:textFill>
        </w:rPr>
        <w:t>.2 调查目的</w:t>
      </w:r>
      <w:bookmarkEnd w:id="4"/>
    </w:p>
    <w:p>
      <w:pPr>
        <w:spacing w:line="360" w:lineRule="auto"/>
        <w:ind w:firstLine="480" w:firstLineChars="200"/>
        <w:rPr>
          <w:rFonts w:hint="eastAsia" w:ascii="Times New Roman" w:hAnsi="Times New Roman" w:cs="Times New Roman"/>
          <w:color w:val="000000" w:themeColor="text1"/>
          <w:sz w:val="24"/>
          <w:szCs w:val="24"/>
          <w14:textFill>
            <w14:solidFill>
              <w14:schemeClr w14:val="tx1"/>
            </w14:solidFill>
          </w14:textFill>
        </w:rPr>
      </w:pP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（1）调查工程前期环境保护审查、审批手续的完备性，技术资料与环境保护档案的齐全性；</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（2）调查工程施工期对环境影响报告书及其批复文件、工程设计中环境保护措施的落实情况；</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（3）调查工程已采取的环境保护措施，并结合工程所在区域环境状况，分析已采取环保措施的有效性；</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（4）调查工程建设后环境要素变化情况，初步验证环评结论的有效性；</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（5）调查分析工程已产生的实际环境问题及可能存在的潜在环境影响，提出切实可行的补救措施和应急措施，对已实施但尚不完善的措施提出改进意见；</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（6）调查公众意见，针对公众的合理要求提出解决建议；</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（7）总结工程环保经验与教训，为工程调试期间环境保护及环境管理工作提出意见和建议；</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（8）根据调查结果，从技术角度客观公正地为工程竣工环境保护验收提供验收决策依据和建议。</w:t>
      </w:r>
    </w:p>
    <w:p>
      <w:pPr>
        <w:pStyle w:val="3"/>
        <w:rPr>
          <w:color w:val="000000" w:themeColor="text1"/>
          <w14:textFill>
            <w14:solidFill>
              <w14:schemeClr w14:val="tx1"/>
            </w14:solidFill>
          </w14:textFill>
        </w:rPr>
      </w:pPr>
      <w:bookmarkStart w:id="5" w:name="_Toc62202370"/>
      <w:r>
        <w:rPr>
          <w:rFonts w:hint="eastAsia"/>
          <w:color w:val="000000" w:themeColor="text1"/>
          <w14:textFill>
            <w14:solidFill>
              <w14:schemeClr w14:val="tx1"/>
            </w14:solidFill>
          </w14:textFill>
        </w:rPr>
        <w:t>1</w:t>
      </w:r>
      <w:r>
        <w:rPr>
          <w:color w:val="000000" w:themeColor="text1"/>
          <w14:textFill>
            <w14:solidFill>
              <w14:schemeClr w14:val="tx1"/>
            </w14:solidFill>
          </w14:textFill>
        </w:rPr>
        <w:t>.3 调查原则</w:t>
      </w:r>
      <w:bookmarkEnd w:id="5"/>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（1）认真贯彻国家和地方的环境保护法律、法规及其规定。</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（2）坚持污染防治与生态保护并重的原则。</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（3）坚持客观、公正、科学、实用的原则。</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（4）坚持充分利用已有资料，并与实地踏勘、现场调研、现状监测相结合的原则。</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（5）坚持对工程建设前期、施工期、调试期环境影响进行全过程调查的原则，根据项目特征，突出重点、兼顾一般。</w:t>
      </w:r>
    </w:p>
    <w:p>
      <w:pPr>
        <w:pStyle w:val="3"/>
        <w:rPr>
          <w:color w:val="000000" w:themeColor="text1"/>
          <w14:textFill>
            <w14:solidFill>
              <w14:schemeClr w14:val="tx1"/>
            </w14:solidFill>
          </w14:textFill>
        </w:rPr>
      </w:pPr>
      <w:bookmarkStart w:id="6" w:name="_Toc62202371"/>
      <w:r>
        <w:rPr>
          <w:color w:val="000000" w:themeColor="text1"/>
          <w14:textFill>
            <w14:solidFill>
              <w14:schemeClr w14:val="tx1"/>
            </w14:solidFill>
          </w14:textFill>
        </w:rPr>
        <w:t>1.4 调查方法</w:t>
      </w:r>
      <w:bookmarkEnd w:id="6"/>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（1）验收调查方法满足《建设项目竣工环境保护验收暂行办法》(国环规环评[2017]4号)、《建设项目竣工环境保护验收技术规范  生态影响类》(HJ/T 394—2007)、《建设项目竣工环境保护验收技术指南  污染影响类》（生态环境部，公告2</w:t>
      </w:r>
      <w:r>
        <w:rPr>
          <w:rFonts w:ascii="Times New Roman" w:hAnsi="Times New Roman" w:cs="Times New Roman"/>
          <w:color w:val="000000" w:themeColor="text1"/>
          <w:sz w:val="24"/>
          <w:szCs w:val="24"/>
          <w14:textFill>
            <w14:solidFill>
              <w14:schemeClr w14:val="tx1"/>
            </w14:solidFill>
          </w14:textFill>
        </w:rPr>
        <w:t>018</w:t>
      </w:r>
      <w:r>
        <w:rPr>
          <w:rFonts w:hint="eastAsia" w:ascii="Times New Roman" w:hAnsi="Times New Roman" w:cs="Times New Roman"/>
          <w:color w:val="000000" w:themeColor="text1"/>
          <w:sz w:val="24"/>
          <w:szCs w:val="24"/>
          <w14:textFill>
            <w14:solidFill>
              <w14:schemeClr w14:val="tx1"/>
            </w14:solidFill>
          </w14:textFill>
        </w:rPr>
        <w:t>年第9号）的要求。</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2）采用现场调查、现场监测、公众意见调查，以及已有资料分析相结合的方法。其中工程建设期情况调查以资料分析和公众意见调查为主，调试期情况调查以资料分析、现场调查、现场监测和公众意见调查为主。</w:t>
      </w:r>
    </w:p>
    <w:p>
      <w:pPr>
        <w:pStyle w:val="3"/>
        <w:rPr>
          <w:color w:val="000000" w:themeColor="text1"/>
          <w14:textFill>
            <w14:solidFill>
              <w14:schemeClr w14:val="tx1"/>
            </w14:solidFill>
          </w14:textFill>
        </w:rPr>
      </w:pPr>
      <w:bookmarkStart w:id="7" w:name="_Toc62202372"/>
      <w:r>
        <w:rPr>
          <w:rFonts w:hint="eastAsia"/>
          <w:color w:val="000000" w:themeColor="text1"/>
          <w14:textFill>
            <w14:solidFill>
              <w14:schemeClr w14:val="tx1"/>
            </w14:solidFill>
          </w14:textFill>
        </w:rPr>
        <w:t>1</w:t>
      </w:r>
      <w:r>
        <w:rPr>
          <w:color w:val="000000" w:themeColor="text1"/>
          <w14:textFill>
            <w14:solidFill>
              <w14:schemeClr w14:val="tx1"/>
            </w14:solidFill>
          </w14:textFill>
        </w:rPr>
        <w:t>.5 调查范围</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调查因子和时段</w:t>
      </w:r>
      <w:bookmarkEnd w:id="7"/>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.5.1 调查范围</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本次验收为项目露天开采区（一采区）和配套的露天矿基建废石场、露天矿生产废石场。环境保护验收调查范围与本工程环境影响评价中该区域评价时的范围一致，详见下表。</w:t>
      </w:r>
    </w:p>
    <w:p>
      <w:pPr>
        <w:spacing w:line="360" w:lineRule="auto"/>
        <w:jc w:val="center"/>
        <w:rPr>
          <w:rFonts w:ascii="Times New Roman" w:hAnsi="Times New Roman" w:cs="Times New Roman"/>
          <w:b/>
          <w:color w:val="000000" w:themeColor="text1"/>
          <w:szCs w:val="24"/>
          <w14:textFill>
            <w14:solidFill>
              <w14:schemeClr w14:val="tx1"/>
            </w14:solidFill>
          </w14:textFill>
        </w:rPr>
      </w:pPr>
      <w:r>
        <w:rPr>
          <w:rFonts w:hint="eastAsia" w:ascii="Times New Roman" w:hAnsi="Times New Roman" w:cs="Times New Roman"/>
          <w:b/>
          <w:color w:val="000000" w:themeColor="text1"/>
          <w:szCs w:val="24"/>
          <w14:textFill>
            <w14:solidFill>
              <w14:schemeClr w14:val="tx1"/>
            </w14:solidFill>
          </w14:textFill>
        </w:rPr>
        <w:t>表1.5</w:t>
      </w:r>
      <w:r>
        <w:rPr>
          <w:rFonts w:ascii="Times New Roman" w:hAnsi="Times New Roman" w:cs="Times New Roman"/>
          <w:b/>
          <w:color w:val="000000" w:themeColor="text1"/>
          <w:szCs w:val="24"/>
          <w14:textFill>
            <w14:solidFill>
              <w14:schemeClr w14:val="tx1"/>
            </w14:solidFill>
          </w14:textFill>
        </w:rPr>
        <w:t xml:space="preserve">-1  </w:t>
      </w:r>
      <w:r>
        <w:rPr>
          <w:rFonts w:hint="eastAsia" w:ascii="Times New Roman" w:hAnsi="Times New Roman" w:cs="Times New Roman"/>
          <w:b/>
          <w:color w:val="000000" w:themeColor="text1"/>
          <w:szCs w:val="24"/>
          <w14:textFill>
            <w14:solidFill>
              <w14:schemeClr w14:val="tx1"/>
            </w14:solidFill>
          </w14:textFill>
        </w:rPr>
        <w:t>验收调查范围表</w:t>
      </w:r>
    </w:p>
    <w:tbl>
      <w:tblPr>
        <w:tblStyle w:val="29"/>
        <w:tblW w:w="822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5529"/>
        <w:gridCol w:w="155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tcBorders>
              <w:tl2br w:val="nil"/>
              <w:tr2bl w:val="nil"/>
            </w:tcBorders>
            <w:vAlign w:val="center"/>
          </w:tcPr>
          <w:p>
            <w:pPr>
              <w:widowControl/>
              <w:adjustRightInd w:val="0"/>
              <w:snapToGrid w:val="0"/>
              <w:jc w:val="center"/>
              <w:rPr>
                <w:rFonts w:ascii="Calibri" w:hAnsi="Calibri" w:cs="Times New Roman"/>
                <w:b/>
                <w:bCs/>
                <w:color w:val="000000" w:themeColor="text1"/>
                <w:kern w:val="0"/>
                <w:szCs w:val="21"/>
                <w14:textFill>
                  <w14:solidFill>
                    <w14:schemeClr w14:val="tx1"/>
                  </w14:solidFill>
                </w14:textFill>
              </w:rPr>
            </w:pPr>
            <w:r>
              <w:rPr>
                <w:rFonts w:hint="eastAsia" w:ascii="Calibri" w:hAnsi="Calibri" w:cs="Times New Roman"/>
                <w:b/>
                <w:bCs/>
                <w:color w:val="000000" w:themeColor="text1"/>
                <w:kern w:val="0"/>
                <w:szCs w:val="21"/>
                <w14:textFill>
                  <w14:solidFill>
                    <w14:schemeClr w14:val="tx1"/>
                  </w14:solidFill>
                </w14:textFill>
              </w:rPr>
              <w:t>环境要素</w:t>
            </w:r>
          </w:p>
        </w:tc>
        <w:tc>
          <w:tcPr>
            <w:tcW w:w="5529" w:type="dxa"/>
            <w:tcBorders>
              <w:tl2br w:val="nil"/>
              <w:tr2bl w:val="nil"/>
            </w:tcBorders>
            <w:vAlign w:val="center"/>
          </w:tcPr>
          <w:p>
            <w:pPr>
              <w:widowControl/>
              <w:adjustRightInd w:val="0"/>
              <w:snapToGrid w:val="0"/>
              <w:jc w:val="center"/>
              <w:rPr>
                <w:rFonts w:ascii="Calibri" w:hAnsi="Calibri" w:cs="Times New Roman"/>
                <w:b/>
                <w:bCs/>
                <w:color w:val="000000" w:themeColor="text1"/>
                <w:kern w:val="0"/>
                <w:szCs w:val="21"/>
                <w14:textFill>
                  <w14:solidFill>
                    <w14:schemeClr w14:val="tx1"/>
                  </w14:solidFill>
                </w14:textFill>
              </w:rPr>
            </w:pPr>
            <w:r>
              <w:rPr>
                <w:rFonts w:hint="eastAsia" w:ascii="Calibri" w:hAnsi="Calibri" w:cs="Times New Roman"/>
                <w:b/>
                <w:bCs/>
                <w:color w:val="000000" w:themeColor="text1"/>
                <w:kern w:val="0"/>
                <w:szCs w:val="21"/>
                <w14:textFill>
                  <w14:solidFill>
                    <w14:schemeClr w14:val="tx1"/>
                  </w14:solidFill>
                </w14:textFill>
              </w:rPr>
              <w:t>环境影响评价范围</w:t>
            </w:r>
          </w:p>
        </w:tc>
        <w:tc>
          <w:tcPr>
            <w:tcW w:w="1559" w:type="dxa"/>
            <w:tcBorders>
              <w:tl2br w:val="nil"/>
              <w:tr2bl w:val="nil"/>
            </w:tcBorders>
            <w:vAlign w:val="center"/>
          </w:tcPr>
          <w:p>
            <w:pPr>
              <w:widowControl/>
              <w:adjustRightInd w:val="0"/>
              <w:snapToGrid w:val="0"/>
              <w:jc w:val="center"/>
              <w:rPr>
                <w:rFonts w:ascii="Calibri" w:hAnsi="Calibri" w:cs="Times New Roman"/>
                <w:b/>
                <w:bCs/>
                <w:color w:val="000000" w:themeColor="text1"/>
                <w:kern w:val="0"/>
                <w:szCs w:val="21"/>
                <w14:textFill>
                  <w14:solidFill>
                    <w14:schemeClr w14:val="tx1"/>
                  </w14:solidFill>
                </w14:textFill>
              </w:rPr>
            </w:pPr>
            <w:r>
              <w:rPr>
                <w:rFonts w:hint="eastAsia" w:ascii="Calibri" w:hAnsi="Calibri" w:cs="Times New Roman"/>
                <w:b/>
                <w:bCs/>
                <w:color w:val="000000" w:themeColor="text1"/>
                <w:kern w:val="0"/>
                <w:szCs w:val="21"/>
                <w14:textFill>
                  <w14:solidFill>
                    <w14:schemeClr w14:val="tx1"/>
                  </w14:solidFill>
                </w14:textFill>
              </w:rPr>
              <w:t>验收调查范围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1134" w:type="dxa"/>
            <w:tcBorders>
              <w:tl2br w:val="nil"/>
              <w:tr2bl w:val="nil"/>
            </w:tcBorders>
            <w:vAlign w:val="center"/>
          </w:tcPr>
          <w:p>
            <w:pPr>
              <w:widowControl/>
              <w:adjustRightInd w:val="0"/>
              <w:snapToGrid w:val="0"/>
              <w:jc w:val="center"/>
              <w:rPr>
                <w:rFonts w:ascii="Calibri" w:hAnsi="Calibri" w:cs="Times New Roman"/>
                <w:color w:val="000000" w:themeColor="text1"/>
                <w:kern w:val="0"/>
                <w:szCs w:val="21"/>
                <w14:textFill>
                  <w14:solidFill>
                    <w14:schemeClr w14:val="tx1"/>
                  </w14:solidFill>
                </w14:textFill>
              </w:rPr>
            </w:pPr>
            <w:r>
              <w:rPr>
                <w:rFonts w:hint="eastAsia" w:ascii="Calibri" w:hAnsi="Calibri" w:cs="Times New Roman"/>
                <w:color w:val="000000" w:themeColor="text1"/>
                <w:kern w:val="0"/>
                <w:szCs w:val="21"/>
                <w14:textFill>
                  <w14:solidFill>
                    <w14:schemeClr w14:val="tx1"/>
                  </w14:solidFill>
                </w14:textFill>
              </w:rPr>
              <w:t>生态环境</w:t>
            </w:r>
          </w:p>
        </w:tc>
        <w:tc>
          <w:tcPr>
            <w:tcW w:w="5529" w:type="dxa"/>
            <w:tcBorders>
              <w:tl2br w:val="nil"/>
              <w:tr2bl w:val="nil"/>
            </w:tcBorders>
            <w:vAlign w:val="center"/>
          </w:tcPr>
          <w:p>
            <w:pPr>
              <w:widowControl/>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工程占地区域外围3</w:t>
            </w:r>
            <w:r>
              <w:rPr>
                <w:rFonts w:ascii="Times New Roman" w:hAnsi="Times New Roman" w:cs="Times New Roman"/>
                <w:color w:val="000000" w:themeColor="text1"/>
                <w:kern w:val="0"/>
                <w:szCs w:val="21"/>
                <w14:textFill>
                  <w14:solidFill>
                    <w14:schemeClr w14:val="tx1"/>
                  </w14:solidFill>
                </w14:textFill>
              </w:rPr>
              <w:t>00</w:t>
            </w:r>
            <w:r>
              <w:rPr>
                <w:rFonts w:hint="eastAsia" w:ascii="Times New Roman" w:hAnsi="Times New Roman" w:cs="Times New Roman"/>
                <w:color w:val="000000" w:themeColor="text1"/>
                <w:kern w:val="0"/>
                <w:szCs w:val="21"/>
                <w14:textFill>
                  <w14:solidFill>
                    <w14:schemeClr w14:val="tx1"/>
                  </w14:solidFill>
                </w14:textFill>
              </w:rPr>
              <w:t>m的范围</w:t>
            </w:r>
          </w:p>
        </w:tc>
        <w:tc>
          <w:tcPr>
            <w:tcW w:w="1559" w:type="dxa"/>
            <w:tcBorders>
              <w:tl2br w:val="nil"/>
              <w:tr2bl w:val="nil"/>
            </w:tcBorders>
            <w:vAlign w:val="center"/>
          </w:tcPr>
          <w:p>
            <w:pPr>
              <w:widowControl/>
              <w:adjustRightInd w:val="0"/>
              <w:snapToGrid w:val="0"/>
              <w:jc w:val="center"/>
              <w:rPr>
                <w:rFonts w:ascii="Calibri" w:hAnsi="Calibri" w:cs="Times New Roman"/>
                <w:color w:val="000000" w:themeColor="text1"/>
                <w:kern w:val="0"/>
                <w:szCs w:val="21"/>
                <w14:textFill>
                  <w14:solidFill>
                    <w14:schemeClr w14:val="tx1"/>
                  </w14:solidFill>
                </w14:textFill>
              </w:rPr>
            </w:pPr>
            <w:r>
              <w:rPr>
                <w:rFonts w:hint="eastAsia" w:ascii="Calibri" w:hAnsi="Calibri" w:cs="Times New Roman"/>
                <w:color w:val="000000" w:themeColor="text1"/>
                <w:kern w:val="0"/>
                <w:szCs w:val="21"/>
                <w14:textFill>
                  <w14:solidFill>
                    <w14:schemeClr w14:val="tx1"/>
                  </w14:solidFill>
                </w14:textFill>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tcBorders>
              <w:tl2br w:val="nil"/>
              <w:tr2bl w:val="nil"/>
            </w:tcBorders>
            <w:vAlign w:val="center"/>
          </w:tcPr>
          <w:p>
            <w:pPr>
              <w:widowControl/>
              <w:adjustRightInd w:val="0"/>
              <w:snapToGrid w:val="0"/>
              <w:jc w:val="center"/>
              <w:rPr>
                <w:rFonts w:ascii="Calibri" w:hAnsi="Calibri" w:cs="Times New Roman"/>
                <w:color w:val="000000" w:themeColor="text1"/>
                <w:kern w:val="0"/>
                <w:szCs w:val="21"/>
                <w14:textFill>
                  <w14:solidFill>
                    <w14:schemeClr w14:val="tx1"/>
                  </w14:solidFill>
                </w14:textFill>
              </w:rPr>
            </w:pPr>
            <w:r>
              <w:rPr>
                <w:rFonts w:hint="eastAsia" w:ascii="Calibri" w:hAnsi="Calibri" w:cs="Times New Roman"/>
                <w:color w:val="000000" w:themeColor="text1"/>
                <w:kern w:val="0"/>
                <w:szCs w:val="21"/>
                <w14:textFill>
                  <w14:solidFill>
                    <w14:schemeClr w14:val="tx1"/>
                  </w14:solidFill>
                </w14:textFill>
              </w:rPr>
              <w:t>大气环境</w:t>
            </w:r>
          </w:p>
        </w:tc>
        <w:tc>
          <w:tcPr>
            <w:tcW w:w="5529" w:type="dxa"/>
            <w:tcBorders>
              <w:tl2br w:val="nil"/>
              <w:tr2bl w:val="nil"/>
            </w:tcBorders>
            <w:vAlign w:val="center"/>
          </w:tcPr>
          <w:p>
            <w:pPr>
              <w:widowControl/>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露天开采区、露天矿基建废石场、露天矿生产废石场等场地区域边界外推2</w:t>
            </w:r>
            <w:r>
              <w:rPr>
                <w:rFonts w:ascii="Times New Roman" w:hAnsi="Times New Roman" w:cs="Times New Roman"/>
                <w:color w:val="000000" w:themeColor="text1"/>
                <w:kern w:val="0"/>
                <w:szCs w:val="21"/>
                <w14:textFill>
                  <w14:solidFill>
                    <w14:schemeClr w14:val="tx1"/>
                  </w14:solidFill>
                </w14:textFill>
              </w:rPr>
              <w:t>.5</w:t>
            </w:r>
            <w:r>
              <w:rPr>
                <w:rFonts w:hint="eastAsia" w:ascii="Times New Roman" w:hAnsi="Times New Roman" w:cs="Times New Roman"/>
                <w:color w:val="000000" w:themeColor="text1"/>
                <w:kern w:val="0"/>
                <w:szCs w:val="21"/>
                <w14:textFill>
                  <w14:solidFill>
                    <w14:schemeClr w14:val="tx1"/>
                  </w14:solidFill>
                </w14:textFill>
              </w:rPr>
              <w:t>km范围</w:t>
            </w:r>
            <w:r>
              <w:rPr>
                <w:rFonts w:ascii="Times New Roman" w:hAnsi="Times New Roman" w:cs="Times New Roman"/>
                <w:color w:val="000000" w:themeColor="text1"/>
                <w:kern w:val="0"/>
                <w:szCs w:val="21"/>
                <w14:textFill>
                  <w14:solidFill>
                    <w14:schemeClr w14:val="tx1"/>
                  </w14:solidFill>
                </w14:textFill>
              </w:rPr>
              <w:t xml:space="preserve"> </w:t>
            </w:r>
          </w:p>
        </w:tc>
        <w:tc>
          <w:tcPr>
            <w:tcW w:w="1559" w:type="dxa"/>
            <w:tcBorders>
              <w:tl2br w:val="nil"/>
              <w:tr2bl w:val="nil"/>
            </w:tcBorders>
            <w:vAlign w:val="center"/>
          </w:tcPr>
          <w:p>
            <w:pPr>
              <w:widowControl/>
              <w:adjustRightInd w:val="0"/>
              <w:snapToGrid w:val="0"/>
              <w:jc w:val="center"/>
              <w:rPr>
                <w:rFonts w:ascii="Calibri" w:hAnsi="Calibri" w:cs="Times New Roman"/>
                <w:color w:val="000000" w:themeColor="text1"/>
                <w:kern w:val="0"/>
                <w:szCs w:val="21"/>
                <w14:textFill>
                  <w14:solidFill>
                    <w14:schemeClr w14:val="tx1"/>
                  </w14:solidFill>
                </w14:textFill>
              </w:rPr>
            </w:pPr>
            <w:r>
              <w:rPr>
                <w:rFonts w:hint="eastAsia" w:ascii="Calibri" w:hAnsi="Calibri" w:cs="Times New Roman"/>
                <w:color w:val="000000" w:themeColor="text1"/>
                <w:kern w:val="0"/>
                <w:szCs w:val="21"/>
                <w14:textFill>
                  <w14:solidFill>
                    <w14:schemeClr w14:val="tx1"/>
                  </w14:solidFill>
                </w14:textFill>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tcBorders>
              <w:tl2br w:val="nil"/>
              <w:tr2bl w:val="nil"/>
            </w:tcBorders>
            <w:vAlign w:val="center"/>
          </w:tcPr>
          <w:p>
            <w:pPr>
              <w:widowControl/>
              <w:adjustRightInd w:val="0"/>
              <w:snapToGrid w:val="0"/>
              <w:jc w:val="center"/>
              <w:rPr>
                <w:rFonts w:ascii="Calibri" w:hAnsi="Calibri" w:cs="Times New Roman"/>
                <w:color w:val="000000" w:themeColor="text1"/>
                <w:kern w:val="0"/>
                <w:szCs w:val="21"/>
                <w14:textFill>
                  <w14:solidFill>
                    <w14:schemeClr w14:val="tx1"/>
                  </w14:solidFill>
                </w14:textFill>
              </w:rPr>
            </w:pPr>
            <w:r>
              <w:rPr>
                <w:rFonts w:hint="eastAsia" w:ascii="Calibri" w:hAnsi="Calibri" w:cs="Times New Roman"/>
                <w:color w:val="000000" w:themeColor="text1"/>
                <w:kern w:val="0"/>
                <w:szCs w:val="21"/>
                <w14:textFill>
                  <w14:solidFill>
                    <w14:schemeClr w14:val="tx1"/>
                  </w14:solidFill>
                </w14:textFill>
              </w:rPr>
              <w:t>水环境</w:t>
            </w:r>
          </w:p>
        </w:tc>
        <w:tc>
          <w:tcPr>
            <w:tcW w:w="5529" w:type="dxa"/>
            <w:tcBorders>
              <w:tl2br w:val="nil"/>
              <w:tr2bl w:val="nil"/>
            </w:tcBorders>
            <w:vAlign w:val="center"/>
          </w:tcPr>
          <w:p>
            <w:pPr>
              <w:widowControl/>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周边水体非受纳水体，验收期间地表水对业隆沟水质现状进行调查；地下水范围1</w:t>
            </w:r>
            <w:r>
              <w:rPr>
                <w:rFonts w:ascii="Times New Roman" w:hAnsi="Times New Roman" w:cs="Times New Roman"/>
                <w:color w:val="000000" w:themeColor="text1"/>
                <w:kern w:val="0"/>
                <w:szCs w:val="21"/>
                <w14:textFill>
                  <w14:solidFill>
                    <w14:schemeClr w14:val="tx1"/>
                  </w14:solidFill>
                </w14:textFill>
              </w:rPr>
              <w:t>5.8</w:t>
            </w:r>
            <w:r>
              <w:rPr>
                <w:rFonts w:hint="eastAsia" w:ascii="Times New Roman" w:hAnsi="Times New Roman" w:cs="Times New Roman"/>
                <w:color w:val="000000" w:themeColor="text1"/>
                <w:kern w:val="0"/>
                <w:szCs w:val="21"/>
                <w14:textFill>
                  <w14:solidFill>
                    <w14:schemeClr w14:val="tx1"/>
                  </w14:solidFill>
                </w14:textFill>
              </w:rPr>
              <w:t>km</w:t>
            </w:r>
            <w:r>
              <w:rPr>
                <w:rFonts w:ascii="Times New Roman" w:hAnsi="Times New Roman" w:cs="Times New Roman"/>
                <w:color w:val="000000" w:themeColor="text1"/>
                <w:kern w:val="0"/>
                <w:szCs w:val="21"/>
                <w:vertAlign w:val="superscript"/>
                <w14:textFill>
                  <w14:solidFill>
                    <w14:schemeClr w14:val="tx1"/>
                  </w14:solidFill>
                </w14:textFill>
              </w:rPr>
              <w:t>2</w:t>
            </w:r>
            <w:r>
              <w:rPr>
                <w:rFonts w:hint="eastAsia" w:ascii="Times New Roman" w:hAnsi="Times New Roman" w:cs="Times New Roman"/>
                <w:color w:val="000000" w:themeColor="text1"/>
                <w:kern w:val="0"/>
                <w:szCs w:val="21"/>
                <w14:textFill>
                  <w14:solidFill>
                    <w14:schemeClr w14:val="tx1"/>
                  </w14:solidFill>
                </w14:textFill>
              </w:rPr>
              <w:t>，以业隆沟为界，南、东、北侧以山脊线与溪沟为界。</w:t>
            </w:r>
          </w:p>
        </w:tc>
        <w:tc>
          <w:tcPr>
            <w:tcW w:w="1559" w:type="dxa"/>
            <w:tcBorders>
              <w:tl2br w:val="nil"/>
              <w:tr2bl w:val="nil"/>
            </w:tcBorders>
            <w:vAlign w:val="center"/>
          </w:tcPr>
          <w:p>
            <w:pPr>
              <w:widowControl/>
              <w:adjustRightInd w:val="0"/>
              <w:snapToGrid w:val="0"/>
              <w:jc w:val="center"/>
              <w:rPr>
                <w:rFonts w:ascii="Calibri" w:hAnsi="Calibri" w:cs="Times New Roman"/>
                <w:color w:val="000000" w:themeColor="text1"/>
                <w:kern w:val="0"/>
                <w:szCs w:val="21"/>
                <w14:textFill>
                  <w14:solidFill>
                    <w14:schemeClr w14:val="tx1"/>
                  </w14:solidFill>
                </w14:textFill>
              </w:rPr>
            </w:pPr>
            <w:r>
              <w:rPr>
                <w:rFonts w:hint="eastAsia" w:ascii="Calibri" w:hAnsi="Calibri" w:cs="Times New Roman"/>
                <w:color w:val="000000" w:themeColor="text1"/>
                <w:kern w:val="0"/>
                <w:szCs w:val="21"/>
                <w14:textFill>
                  <w14:solidFill>
                    <w14:schemeClr w14:val="tx1"/>
                  </w14:solidFill>
                </w14:textFill>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tcBorders>
              <w:tl2br w:val="nil"/>
              <w:tr2bl w:val="nil"/>
            </w:tcBorders>
            <w:vAlign w:val="center"/>
          </w:tcPr>
          <w:p>
            <w:pPr>
              <w:widowControl/>
              <w:adjustRightInd w:val="0"/>
              <w:snapToGrid w:val="0"/>
              <w:jc w:val="center"/>
              <w:rPr>
                <w:rFonts w:ascii="Calibri" w:hAnsi="Calibri" w:cs="Times New Roman"/>
                <w:color w:val="000000" w:themeColor="text1"/>
                <w:kern w:val="0"/>
                <w:szCs w:val="21"/>
                <w14:textFill>
                  <w14:solidFill>
                    <w14:schemeClr w14:val="tx1"/>
                  </w14:solidFill>
                </w14:textFill>
              </w:rPr>
            </w:pPr>
            <w:r>
              <w:rPr>
                <w:rFonts w:hint="eastAsia" w:ascii="Calibri" w:hAnsi="Calibri" w:cs="Times New Roman"/>
                <w:color w:val="000000" w:themeColor="text1"/>
                <w:kern w:val="0"/>
                <w:szCs w:val="21"/>
                <w14:textFill>
                  <w14:solidFill>
                    <w14:schemeClr w14:val="tx1"/>
                  </w14:solidFill>
                </w14:textFill>
              </w:rPr>
              <w:t>声环境</w:t>
            </w:r>
          </w:p>
        </w:tc>
        <w:tc>
          <w:tcPr>
            <w:tcW w:w="5529" w:type="dxa"/>
            <w:tcBorders>
              <w:tl2br w:val="nil"/>
              <w:tr2bl w:val="nil"/>
            </w:tcBorders>
            <w:vAlign w:val="center"/>
          </w:tcPr>
          <w:p>
            <w:pPr>
              <w:widowControl/>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露天开采区、露天矿基建废石场、露天矿生产废石场等区域边界外2</w:t>
            </w:r>
            <w:r>
              <w:rPr>
                <w:rFonts w:ascii="Times New Roman" w:hAnsi="Times New Roman" w:cs="Times New Roman"/>
                <w:color w:val="000000" w:themeColor="text1"/>
                <w:kern w:val="0"/>
                <w:szCs w:val="21"/>
                <w14:textFill>
                  <w14:solidFill>
                    <w14:schemeClr w14:val="tx1"/>
                  </w14:solidFill>
                </w14:textFill>
              </w:rPr>
              <w:t>00</w:t>
            </w:r>
            <w:r>
              <w:rPr>
                <w:rFonts w:hint="eastAsia" w:ascii="Times New Roman" w:hAnsi="Times New Roman" w:cs="Times New Roman"/>
                <w:color w:val="000000" w:themeColor="text1"/>
                <w:kern w:val="0"/>
                <w:szCs w:val="21"/>
                <w14:textFill>
                  <w14:solidFill>
                    <w14:schemeClr w14:val="tx1"/>
                  </w14:solidFill>
                </w14:textFill>
              </w:rPr>
              <w:t>m范围。</w:t>
            </w:r>
          </w:p>
        </w:tc>
        <w:tc>
          <w:tcPr>
            <w:tcW w:w="1559" w:type="dxa"/>
            <w:tcBorders>
              <w:tl2br w:val="nil"/>
              <w:tr2bl w:val="nil"/>
            </w:tcBorders>
            <w:vAlign w:val="center"/>
          </w:tcPr>
          <w:p>
            <w:pPr>
              <w:widowControl/>
              <w:adjustRightInd w:val="0"/>
              <w:snapToGrid w:val="0"/>
              <w:jc w:val="center"/>
              <w:rPr>
                <w:rFonts w:ascii="Calibri" w:hAnsi="Calibri" w:cs="Times New Roman"/>
                <w:color w:val="000000" w:themeColor="text1"/>
                <w:kern w:val="0"/>
                <w:szCs w:val="21"/>
                <w14:textFill>
                  <w14:solidFill>
                    <w14:schemeClr w14:val="tx1"/>
                  </w14:solidFill>
                </w14:textFill>
              </w:rPr>
            </w:pPr>
            <w:r>
              <w:rPr>
                <w:rFonts w:hint="eastAsia" w:ascii="Calibri" w:hAnsi="Calibri" w:cs="Times New Roman"/>
                <w:color w:val="000000" w:themeColor="text1"/>
                <w:kern w:val="0"/>
                <w:szCs w:val="21"/>
                <w14:textFill>
                  <w14:solidFill>
                    <w14:schemeClr w14:val="tx1"/>
                  </w14:solidFill>
                </w14:textFill>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tcBorders>
              <w:tl2br w:val="nil"/>
              <w:tr2bl w:val="nil"/>
            </w:tcBorders>
            <w:vAlign w:val="center"/>
          </w:tcPr>
          <w:p>
            <w:pPr>
              <w:widowControl/>
              <w:adjustRightInd w:val="0"/>
              <w:snapToGrid w:val="0"/>
              <w:jc w:val="center"/>
              <w:rPr>
                <w:rFonts w:ascii="Calibri" w:hAnsi="Calibri" w:cs="Times New Roman"/>
                <w:color w:val="000000" w:themeColor="text1"/>
                <w:kern w:val="0"/>
                <w:szCs w:val="21"/>
                <w14:textFill>
                  <w14:solidFill>
                    <w14:schemeClr w14:val="tx1"/>
                  </w14:solidFill>
                </w14:textFill>
              </w:rPr>
            </w:pPr>
            <w:r>
              <w:rPr>
                <w:rFonts w:hint="eastAsia" w:ascii="Calibri" w:hAnsi="Calibri" w:cs="Times New Roman"/>
                <w:color w:val="000000" w:themeColor="text1"/>
                <w:kern w:val="0"/>
                <w:szCs w:val="21"/>
                <w14:textFill>
                  <w14:solidFill>
                    <w14:schemeClr w14:val="tx1"/>
                  </w14:solidFill>
                </w14:textFill>
              </w:rPr>
              <w:t>公众参与</w:t>
            </w:r>
          </w:p>
        </w:tc>
        <w:tc>
          <w:tcPr>
            <w:tcW w:w="5529" w:type="dxa"/>
            <w:tcBorders>
              <w:tl2br w:val="nil"/>
              <w:tr2bl w:val="nil"/>
            </w:tcBorders>
            <w:vAlign w:val="center"/>
          </w:tcPr>
          <w:p>
            <w:pPr>
              <w:widowControl/>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直接受工程影响的居民、地方相关部门、社会团体等。</w:t>
            </w:r>
          </w:p>
        </w:tc>
        <w:tc>
          <w:tcPr>
            <w:tcW w:w="1559" w:type="dxa"/>
            <w:tcBorders>
              <w:tl2br w:val="nil"/>
              <w:tr2bl w:val="nil"/>
            </w:tcBorders>
            <w:vAlign w:val="center"/>
          </w:tcPr>
          <w:p>
            <w:pPr>
              <w:widowControl/>
              <w:adjustRightInd w:val="0"/>
              <w:snapToGrid w:val="0"/>
              <w:jc w:val="center"/>
              <w:rPr>
                <w:rFonts w:ascii="Calibri" w:hAnsi="Calibri" w:cs="Times New Roman"/>
                <w:color w:val="000000" w:themeColor="text1"/>
                <w:kern w:val="0"/>
                <w:szCs w:val="21"/>
                <w14:textFill>
                  <w14:solidFill>
                    <w14:schemeClr w14:val="tx1"/>
                  </w14:solidFill>
                </w14:textFill>
              </w:rPr>
            </w:pPr>
            <w:r>
              <w:rPr>
                <w:rFonts w:hint="eastAsia" w:ascii="Calibri" w:hAnsi="Calibri" w:cs="Times New Roman"/>
                <w:color w:val="000000" w:themeColor="text1"/>
                <w:kern w:val="0"/>
                <w:szCs w:val="21"/>
                <w14:textFill>
                  <w14:solidFill>
                    <w14:schemeClr w14:val="tx1"/>
                  </w14:solidFill>
                </w14:textFill>
              </w:rPr>
              <w:t>与</w:t>
            </w:r>
            <w:r>
              <w:rPr>
                <w:rFonts w:ascii="Calibri" w:hAnsi="Calibri" w:cs="Times New Roman"/>
                <w:color w:val="000000" w:themeColor="text1"/>
                <w:kern w:val="0"/>
                <w:szCs w:val="21"/>
                <w14:textFill>
                  <w14:solidFill>
                    <w14:schemeClr w14:val="tx1"/>
                  </w14:solidFill>
                </w14:textFill>
              </w:rPr>
              <w:t>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tcBorders>
              <w:tl2br w:val="nil"/>
              <w:tr2bl w:val="nil"/>
            </w:tcBorders>
            <w:vAlign w:val="center"/>
          </w:tcPr>
          <w:p>
            <w:pPr>
              <w:widowControl/>
              <w:adjustRightInd w:val="0"/>
              <w:snapToGrid w:val="0"/>
              <w:jc w:val="center"/>
              <w:rPr>
                <w:rFonts w:ascii="Calibri" w:hAnsi="Calibri" w:cs="Times New Roman"/>
                <w:color w:val="000000" w:themeColor="text1"/>
                <w:kern w:val="0"/>
                <w:szCs w:val="21"/>
                <w14:textFill>
                  <w14:solidFill>
                    <w14:schemeClr w14:val="tx1"/>
                  </w14:solidFill>
                </w14:textFill>
              </w:rPr>
            </w:pPr>
            <w:r>
              <w:rPr>
                <w:rFonts w:hint="eastAsia" w:ascii="Calibri" w:hAnsi="Calibri" w:cs="Times New Roman"/>
                <w:color w:val="000000" w:themeColor="text1"/>
                <w:kern w:val="0"/>
                <w:szCs w:val="21"/>
                <w14:textFill>
                  <w14:solidFill>
                    <w14:schemeClr w14:val="tx1"/>
                  </w14:solidFill>
                </w14:textFill>
              </w:rPr>
              <w:t>环境风险</w:t>
            </w:r>
          </w:p>
        </w:tc>
        <w:tc>
          <w:tcPr>
            <w:tcW w:w="5529" w:type="dxa"/>
            <w:tcBorders>
              <w:tl2br w:val="nil"/>
              <w:tr2bl w:val="nil"/>
            </w:tcBorders>
            <w:vAlign w:val="center"/>
          </w:tcPr>
          <w:p>
            <w:pPr>
              <w:widowControl/>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尾矿库下游至业隆沟1</w:t>
            </w:r>
            <w:r>
              <w:rPr>
                <w:rFonts w:ascii="Times New Roman" w:hAnsi="Times New Roman" w:cs="Times New Roman"/>
                <w:color w:val="000000" w:themeColor="text1"/>
                <w:kern w:val="0"/>
                <w:szCs w:val="21"/>
                <w14:textFill>
                  <w14:solidFill>
                    <w14:schemeClr w14:val="tx1"/>
                  </w14:solidFill>
                </w14:textFill>
              </w:rPr>
              <w:t>.5</w:t>
            </w:r>
            <w:r>
              <w:rPr>
                <w:rFonts w:hint="eastAsia" w:ascii="Times New Roman" w:hAnsi="Times New Roman" w:cs="Times New Roman"/>
                <w:color w:val="000000" w:themeColor="text1"/>
                <w:kern w:val="0"/>
                <w:szCs w:val="21"/>
                <w14:textFill>
                  <w14:solidFill>
                    <w14:schemeClr w14:val="tx1"/>
                  </w14:solidFill>
                </w14:textFill>
              </w:rPr>
              <w:t>km范围，业隆沟下游至亚斯达8km的范围。</w:t>
            </w:r>
          </w:p>
        </w:tc>
        <w:tc>
          <w:tcPr>
            <w:tcW w:w="1559" w:type="dxa"/>
            <w:tcBorders>
              <w:tl2br w:val="nil"/>
              <w:tr2bl w:val="nil"/>
            </w:tcBorders>
            <w:vAlign w:val="center"/>
          </w:tcPr>
          <w:p>
            <w:pPr>
              <w:widowControl/>
              <w:adjustRightInd w:val="0"/>
              <w:snapToGrid w:val="0"/>
              <w:jc w:val="center"/>
              <w:rPr>
                <w:rFonts w:ascii="Calibri" w:hAnsi="Calibri" w:cs="Times New Roman"/>
                <w:color w:val="000000" w:themeColor="text1"/>
                <w:kern w:val="0"/>
                <w:szCs w:val="21"/>
                <w14:textFill>
                  <w14:solidFill>
                    <w14:schemeClr w14:val="tx1"/>
                  </w14:solidFill>
                </w14:textFill>
              </w:rPr>
            </w:pPr>
            <w:r>
              <w:rPr>
                <w:rFonts w:hint="eastAsia" w:ascii="Calibri" w:hAnsi="Calibri" w:cs="Times New Roman"/>
                <w:color w:val="000000" w:themeColor="text1"/>
                <w:kern w:val="0"/>
                <w:szCs w:val="21"/>
                <w14:textFill>
                  <w14:solidFill>
                    <w14:schemeClr w14:val="tx1"/>
                  </w14:solidFill>
                </w14:textFill>
              </w:rPr>
              <w:t>与环评一致</w:t>
            </w:r>
          </w:p>
        </w:tc>
      </w:tr>
    </w:tbl>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 xml:space="preserve">.5.2 </w:t>
      </w:r>
      <w:r>
        <w:rPr>
          <w:rFonts w:hint="eastAsia"/>
          <w:color w:val="000000" w:themeColor="text1"/>
          <w14:textFill>
            <w14:solidFill>
              <w14:schemeClr w14:val="tx1"/>
            </w14:solidFill>
          </w14:textFill>
        </w:rPr>
        <w:t>调查因子</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1、生态环境</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工程占地情况（永久占地、临时占地的占地面积和类型）；工程建设对土地利用、植被、陆生动物、土壤以及景观格局等方面的影响；工程建设过程中对生态保护或减缓生态影响所采取的措施及效果；生态恢复措施及效果。</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2、水环境</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地下水：</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pH值、氨氮、耗氧量、铅（Pb）、铜（Cu）、镉（Cd）、铬（Cr</w:t>
      </w:r>
      <w:r>
        <w:rPr>
          <w:rFonts w:hint="eastAsia" w:ascii="Times New Roman" w:hAnsi="Times New Roman" w:cs="Times New Roman"/>
          <w:color w:val="000000" w:themeColor="text1"/>
          <w:sz w:val="24"/>
          <w:szCs w:val="24"/>
          <w:vertAlign w:val="superscript"/>
          <w14:textFill>
            <w14:solidFill>
              <w14:schemeClr w14:val="tx1"/>
            </w14:solidFill>
          </w14:textFill>
        </w:rPr>
        <w:t>6+</w:t>
      </w:r>
      <w:r>
        <w:rPr>
          <w:rFonts w:hint="eastAsia" w:ascii="Times New Roman" w:hAnsi="Times New Roman" w:cs="Times New Roman"/>
          <w:color w:val="000000" w:themeColor="text1"/>
          <w:sz w:val="24"/>
          <w:szCs w:val="24"/>
          <w14:textFill>
            <w14:solidFill>
              <w14:schemeClr w14:val="tx1"/>
            </w14:solidFill>
          </w14:textFill>
        </w:rPr>
        <w:t>）、水位、流量、石油类、Li、氟化物、Zn、As、Hg。</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地表水：pH值、COD、BOD</w:t>
      </w:r>
      <w:r>
        <w:rPr>
          <w:rFonts w:ascii="Times New Roman" w:hAnsi="Times New Roman" w:cs="Times New Roman"/>
          <w:color w:val="000000" w:themeColor="text1"/>
          <w:sz w:val="24"/>
          <w:szCs w:val="24"/>
          <w:vertAlign w:val="subscript"/>
          <w14:textFill>
            <w14:solidFill>
              <w14:schemeClr w14:val="tx1"/>
            </w14:solidFill>
          </w14:textFill>
        </w:rPr>
        <w:t>5</w:t>
      </w:r>
      <w:r>
        <w:rPr>
          <w:rFonts w:hint="eastAsia" w:ascii="Times New Roman" w:hAnsi="Times New Roman" w:cs="Times New Roman"/>
          <w:color w:val="000000" w:themeColor="text1"/>
          <w:sz w:val="24"/>
          <w:szCs w:val="24"/>
          <w14:textFill>
            <w14:solidFill>
              <w14:schemeClr w14:val="tx1"/>
            </w14:solidFill>
          </w14:textFill>
        </w:rPr>
        <w:t>、氨氮、铜、锌、氟化物、砷、汞、镉、六价铬、铅、氰化物、挥发酚、石油类、硫化物、铁、锰、镍、锂。</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3</w:t>
      </w:r>
      <w:r>
        <w:rPr>
          <w:rFonts w:hint="eastAsia" w:ascii="Times New Roman" w:hAnsi="Times New Roman" w:cs="Times New Roman"/>
          <w:color w:val="000000" w:themeColor="text1"/>
          <w:sz w:val="24"/>
          <w:szCs w:val="24"/>
          <w14:textFill>
            <w14:solidFill>
              <w14:schemeClr w14:val="tx1"/>
            </w14:solidFill>
          </w14:textFill>
        </w:rPr>
        <w:t>、大气环境</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TSP。</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4、声环境</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厂界声环境等效连续声级L</w:t>
      </w:r>
      <w:r>
        <w:rPr>
          <w:rFonts w:hint="eastAsia" w:ascii="Times New Roman" w:hAnsi="Times New Roman" w:cs="Times New Roman"/>
          <w:color w:val="000000" w:themeColor="text1"/>
          <w:sz w:val="24"/>
          <w:szCs w:val="24"/>
          <w:vertAlign w:val="subscript"/>
          <w14:textFill>
            <w14:solidFill>
              <w14:schemeClr w14:val="tx1"/>
            </w14:solidFill>
          </w14:textFill>
        </w:rPr>
        <w:t>Aeq</w:t>
      </w:r>
      <w:r>
        <w:rPr>
          <w:rFonts w:hint="eastAsia" w:ascii="Times New Roman" w:hAnsi="Times New Roman" w:cs="Times New Roman"/>
          <w:color w:val="000000" w:themeColor="text1"/>
          <w:sz w:val="24"/>
          <w:szCs w:val="24"/>
          <w14:textFill>
            <w14:solidFill>
              <w14:schemeClr w14:val="tx1"/>
            </w14:solidFill>
          </w14:textFill>
        </w:rPr>
        <w:t>。</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5、固体废物</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废石、含油固废、生活垃圾等。</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6、土壤</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露天矿生产废石场：pH值、镉、汞、砷、铜、铅、铬、锌、镍、锂、钽、铌、铍。</w: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.5.3 调查时段</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本次验收调查时段分为工程前期、施工期和竣工环境保护验收期。</w:t>
      </w:r>
    </w:p>
    <w:p>
      <w:pPr>
        <w:pStyle w:val="3"/>
        <w:rPr>
          <w:color w:val="000000" w:themeColor="text1"/>
          <w14:textFill>
            <w14:solidFill>
              <w14:schemeClr w14:val="tx1"/>
            </w14:solidFill>
          </w14:textFill>
        </w:rPr>
      </w:pPr>
      <w:bookmarkStart w:id="8" w:name="_Toc62202373"/>
      <w:r>
        <w:rPr>
          <w:rFonts w:hint="eastAsia"/>
          <w:color w:val="000000" w:themeColor="text1"/>
          <w14:textFill>
            <w14:solidFill>
              <w14:schemeClr w14:val="tx1"/>
            </w14:solidFill>
          </w14:textFill>
        </w:rPr>
        <w:t>1</w:t>
      </w:r>
      <w:r>
        <w:rPr>
          <w:color w:val="000000" w:themeColor="text1"/>
          <w14:textFill>
            <w14:solidFill>
              <w14:schemeClr w14:val="tx1"/>
            </w14:solidFill>
          </w14:textFill>
        </w:rPr>
        <w:t>.6 验收调查执行标准</w:t>
      </w:r>
      <w:bookmarkEnd w:id="8"/>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本次验收调查原则上采用本项目环境影响评价阶段经生态环境主管部门确认的环境保护标准，对已修订新颁布的环境保护标准则按照新标准进行达标校核。</w: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.6.1 环境质量标准</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（1）环境空气</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环境空气质量标准验收期与环评阶段一致。项目所在区域执行《环境空气质量标准》(GB3095-2012)中的二级标准。相应标准限值见下表。</w:t>
      </w:r>
    </w:p>
    <w:p>
      <w:pPr>
        <w:spacing w:line="360" w:lineRule="auto"/>
        <w:jc w:val="center"/>
        <w:rPr>
          <w:rFonts w:ascii="Times New Roman" w:hAnsi="Times New Roman" w:cs="Times New Roman"/>
          <w:b/>
          <w:color w:val="000000" w:themeColor="text1"/>
          <w:szCs w:val="24"/>
          <w14:textFill>
            <w14:solidFill>
              <w14:schemeClr w14:val="tx1"/>
            </w14:solidFill>
          </w14:textFill>
        </w:rPr>
      </w:pPr>
      <w:r>
        <w:rPr>
          <w:rFonts w:hint="eastAsia" w:ascii="Times New Roman" w:hAnsi="Times New Roman" w:cs="Times New Roman"/>
          <w:b/>
          <w:color w:val="000000" w:themeColor="text1"/>
          <w:szCs w:val="24"/>
          <w14:textFill>
            <w14:solidFill>
              <w14:schemeClr w14:val="tx1"/>
            </w14:solidFill>
          </w14:textFill>
        </w:rPr>
        <w:t>表1.6</w:t>
      </w:r>
      <w:r>
        <w:rPr>
          <w:rFonts w:ascii="Times New Roman" w:hAnsi="Times New Roman" w:cs="Times New Roman"/>
          <w:b/>
          <w:color w:val="000000" w:themeColor="text1"/>
          <w:szCs w:val="24"/>
          <w14:textFill>
            <w14:solidFill>
              <w14:schemeClr w14:val="tx1"/>
            </w14:solidFill>
          </w14:textFill>
        </w:rPr>
        <w:t xml:space="preserve">-1  </w:t>
      </w:r>
      <w:r>
        <w:rPr>
          <w:rFonts w:hint="eastAsia" w:ascii="Times New Roman" w:hAnsi="Times New Roman" w:cs="Times New Roman"/>
          <w:b/>
          <w:color w:val="000000" w:themeColor="text1"/>
          <w:szCs w:val="24"/>
          <w14:textFill>
            <w14:solidFill>
              <w14:schemeClr w14:val="tx1"/>
            </w14:solidFill>
          </w14:textFill>
        </w:rPr>
        <w:t>环境空气</w:t>
      </w:r>
      <w:r>
        <w:rPr>
          <w:rFonts w:ascii="Times New Roman" w:hAnsi="Times New Roman" w:cs="Times New Roman"/>
          <w:b/>
          <w:color w:val="000000" w:themeColor="text1"/>
          <w:szCs w:val="24"/>
          <w14:textFill>
            <w14:solidFill>
              <w14:schemeClr w14:val="tx1"/>
            </w14:solidFill>
          </w14:textFill>
        </w:rPr>
        <w:t>质量标准</w:t>
      </w:r>
      <w:r>
        <w:rPr>
          <w:rFonts w:hint="eastAsia" w:ascii="Times New Roman" w:hAnsi="Times New Roman" w:cs="Times New Roman"/>
          <w:b/>
          <w:color w:val="000000" w:themeColor="text1"/>
          <w:szCs w:val="24"/>
          <w14:textFill>
            <w14:solidFill>
              <w14:schemeClr w14:val="tx1"/>
            </w14:solidFill>
          </w14:textFill>
        </w:rPr>
        <w:t xml:space="preserve">        </w:t>
      </w:r>
      <w:r>
        <w:rPr>
          <w:rFonts w:ascii="Times New Roman" w:hAnsi="Times New Roman" w:cs="Times New Roman"/>
          <w:b/>
          <w:color w:val="000000" w:themeColor="text1"/>
          <w:szCs w:val="24"/>
          <w14:textFill>
            <w14:solidFill>
              <w14:schemeClr w14:val="tx1"/>
            </w14:solidFill>
          </w14:textFill>
        </w:rPr>
        <w:t xml:space="preserve"> </w:t>
      </w:r>
      <w:r>
        <w:rPr>
          <w:rFonts w:hint="eastAsia" w:ascii="Times New Roman" w:hAnsi="Times New Roman" w:cs="Times New Roman"/>
          <w:b/>
          <w:color w:val="000000" w:themeColor="text1"/>
          <w:szCs w:val="24"/>
          <w14:textFill>
            <w14:solidFill>
              <w14:schemeClr w14:val="tx1"/>
            </w14:solidFill>
          </w14:textFill>
        </w:rPr>
        <w:t xml:space="preserve"> 单位</w:t>
      </w:r>
      <w:r>
        <w:rPr>
          <w:rFonts w:ascii="Times New Roman" w:hAnsi="Times New Roman" w:cs="Times New Roman"/>
          <w:b/>
          <w:color w:val="000000" w:themeColor="text1"/>
          <w:szCs w:val="24"/>
          <w14:textFill>
            <w14:solidFill>
              <w14:schemeClr w14:val="tx1"/>
            </w14:solidFill>
          </w14:textFill>
        </w:rPr>
        <w:t>：μ</w:t>
      </w:r>
      <w:r>
        <w:rPr>
          <w:rFonts w:hint="eastAsia" w:ascii="Times New Roman" w:hAnsi="Times New Roman" w:cs="Times New Roman"/>
          <w:b/>
          <w:color w:val="000000" w:themeColor="text1"/>
          <w:szCs w:val="24"/>
          <w14:textFill>
            <w14:solidFill>
              <w14:schemeClr w14:val="tx1"/>
            </w14:solidFill>
          </w14:textFill>
        </w:rPr>
        <w:t>g/m</w:t>
      </w:r>
      <w:r>
        <w:rPr>
          <w:rFonts w:ascii="Times New Roman" w:hAnsi="Times New Roman" w:cs="Times New Roman"/>
          <w:b/>
          <w:color w:val="000000" w:themeColor="text1"/>
          <w:szCs w:val="24"/>
          <w:vertAlign w:val="superscript"/>
          <w14:textFill>
            <w14:solidFill>
              <w14:schemeClr w14:val="tx1"/>
            </w14:solidFill>
          </w14:textFill>
        </w:rPr>
        <w:t>3</w:t>
      </w:r>
    </w:p>
    <w:tbl>
      <w:tblPr>
        <w:tblStyle w:val="28"/>
        <w:tblW w:w="826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97"/>
        <w:gridCol w:w="1174"/>
        <w:gridCol w:w="988"/>
        <w:gridCol w:w="1309"/>
        <w:gridCol w:w="1250"/>
        <w:gridCol w:w="12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5" w:hRule="atLeast"/>
          <w:jc w:val="center"/>
        </w:trPr>
        <w:tc>
          <w:tcPr>
            <w:tcW w:w="2297" w:type="dxa"/>
            <w:vAlign w:val="center"/>
          </w:tcPr>
          <w:p>
            <w:pPr>
              <w:widowControl/>
              <w:adjustRightInd w:val="0"/>
              <w:snapToGrid w:val="0"/>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因  子</w:t>
            </w:r>
          </w:p>
        </w:tc>
        <w:tc>
          <w:tcPr>
            <w:tcW w:w="1174" w:type="dxa"/>
            <w:tcMar>
              <w:left w:w="28" w:type="dxa"/>
              <w:right w:w="28" w:type="dxa"/>
            </w:tcMar>
            <w:vAlign w:val="center"/>
          </w:tcPr>
          <w:p>
            <w:pPr>
              <w:widowControl/>
              <w:adjustRightInd w:val="0"/>
              <w:snapToGrid w:val="0"/>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PM</w:t>
            </w:r>
            <w:r>
              <w:rPr>
                <w:rFonts w:ascii="Times New Roman" w:hAnsi="Times New Roman" w:cs="Times New Roman"/>
                <w:b/>
                <w:color w:val="000000" w:themeColor="text1"/>
                <w:szCs w:val="21"/>
                <w:vertAlign w:val="subscript"/>
                <w14:textFill>
                  <w14:solidFill>
                    <w14:schemeClr w14:val="tx1"/>
                  </w14:solidFill>
                </w14:textFill>
              </w:rPr>
              <w:t>10</w:t>
            </w:r>
          </w:p>
        </w:tc>
        <w:tc>
          <w:tcPr>
            <w:tcW w:w="988" w:type="dxa"/>
            <w:tcMar>
              <w:left w:w="28" w:type="dxa"/>
              <w:right w:w="28" w:type="dxa"/>
            </w:tcMar>
            <w:vAlign w:val="center"/>
          </w:tcPr>
          <w:p>
            <w:pPr>
              <w:widowControl/>
              <w:adjustRightInd w:val="0"/>
              <w:snapToGrid w:val="0"/>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NO</w:t>
            </w:r>
            <w:r>
              <w:rPr>
                <w:rFonts w:ascii="Times New Roman" w:hAnsi="Times New Roman" w:cs="Times New Roman"/>
                <w:b/>
                <w:color w:val="000000" w:themeColor="text1"/>
                <w:szCs w:val="21"/>
                <w:vertAlign w:val="subscript"/>
                <w14:textFill>
                  <w14:solidFill>
                    <w14:schemeClr w14:val="tx1"/>
                  </w14:solidFill>
                </w14:textFill>
              </w:rPr>
              <w:t>2</w:t>
            </w:r>
          </w:p>
        </w:tc>
        <w:tc>
          <w:tcPr>
            <w:tcW w:w="1309" w:type="dxa"/>
            <w:vAlign w:val="center"/>
          </w:tcPr>
          <w:p>
            <w:pPr>
              <w:widowControl/>
              <w:adjustRightInd w:val="0"/>
              <w:snapToGrid w:val="0"/>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SO</w:t>
            </w:r>
            <w:r>
              <w:rPr>
                <w:rFonts w:ascii="Times New Roman" w:hAnsi="Times New Roman" w:cs="Times New Roman"/>
                <w:b/>
                <w:color w:val="000000" w:themeColor="text1"/>
                <w:szCs w:val="21"/>
                <w:vertAlign w:val="subscript"/>
                <w14:textFill>
                  <w14:solidFill>
                    <w14:schemeClr w14:val="tx1"/>
                  </w14:solidFill>
                </w14:textFill>
              </w:rPr>
              <w:t>2</w:t>
            </w:r>
          </w:p>
        </w:tc>
        <w:tc>
          <w:tcPr>
            <w:tcW w:w="1250" w:type="dxa"/>
            <w:tcMar>
              <w:left w:w="28" w:type="dxa"/>
              <w:right w:w="28" w:type="dxa"/>
            </w:tcMar>
            <w:vAlign w:val="center"/>
          </w:tcPr>
          <w:p>
            <w:pPr>
              <w:widowControl/>
              <w:adjustRightInd w:val="0"/>
              <w:snapToGrid w:val="0"/>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PM</w:t>
            </w:r>
            <w:r>
              <w:rPr>
                <w:rFonts w:ascii="Times New Roman" w:hAnsi="Times New Roman" w:cs="Times New Roman"/>
                <w:b/>
                <w:color w:val="000000" w:themeColor="text1"/>
                <w:szCs w:val="21"/>
                <w:vertAlign w:val="subscript"/>
                <w14:textFill>
                  <w14:solidFill>
                    <w14:schemeClr w14:val="tx1"/>
                  </w14:solidFill>
                </w14:textFill>
              </w:rPr>
              <w:t>2.5</w:t>
            </w:r>
          </w:p>
        </w:tc>
        <w:tc>
          <w:tcPr>
            <w:tcW w:w="1250" w:type="dxa"/>
            <w:tcMar>
              <w:left w:w="28" w:type="dxa"/>
              <w:right w:w="28" w:type="dxa"/>
            </w:tcMar>
            <w:vAlign w:val="center"/>
          </w:tcPr>
          <w:p>
            <w:pPr>
              <w:widowControl/>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TSP</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64" w:hRule="atLeast"/>
          <w:jc w:val="center"/>
        </w:trPr>
        <w:tc>
          <w:tcPr>
            <w:tcW w:w="2297" w:type="dxa"/>
            <w:vAlign w:val="center"/>
          </w:tcPr>
          <w:p>
            <w:pPr>
              <w:widowControl/>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年均值</w:t>
            </w:r>
          </w:p>
        </w:tc>
        <w:tc>
          <w:tcPr>
            <w:tcW w:w="1174" w:type="dxa"/>
            <w:tcMar>
              <w:left w:w="28" w:type="dxa"/>
              <w:right w:w="28" w:type="dxa"/>
            </w:tcMar>
            <w:vAlign w:val="center"/>
          </w:tcPr>
          <w:p>
            <w:pPr>
              <w:widowControl/>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70</w:t>
            </w:r>
          </w:p>
        </w:tc>
        <w:tc>
          <w:tcPr>
            <w:tcW w:w="988" w:type="dxa"/>
            <w:tcMar>
              <w:left w:w="28" w:type="dxa"/>
              <w:right w:w="28" w:type="dxa"/>
            </w:tcMar>
            <w:vAlign w:val="center"/>
          </w:tcPr>
          <w:p>
            <w:pPr>
              <w:widowControl/>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40</w:t>
            </w:r>
          </w:p>
        </w:tc>
        <w:tc>
          <w:tcPr>
            <w:tcW w:w="1309" w:type="dxa"/>
            <w:vAlign w:val="center"/>
          </w:tcPr>
          <w:p>
            <w:pPr>
              <w:widowControl/>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60</w:t>
            </w:r>
          </w:p>
        </w:tc>
        <w:tc>
          <w:tcPr>
            <w:tcW w:w="1250" w:type="dxa"/>
            <w:tcMar>
              <w:left w:w="28" w:type="dxa"/>
              <w:right w:w="28" w:type="dxa"/>
            </w:tcMar>
            <w:vAlign w:val="center"/>
          </w:tcPr>
          <w:p>
            <w:pPr>
              <w:widowControl/>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35</w:t>
            </w:r>
          </w:p>
        </w:tc>
        <w:tc>
          <w:tcPr>
            <w:tcW w:w="1250" w:type="dxa"/>
            <w:tcMar>
              <w:left w:w="28" w:type="dxa"/>
              <w:right w:w="28" w:type="dxa"/>
            </w:tcMar>
            <w:vAlign w:val="center"/>
          </w:tcPr>
          <w:p>
            <w:pPr>
              <w:widowControl/>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0" w:hRule="atLeast"/>
          <w:jc w:val="center"/>
        </w:trPr>
        <w:tc>
          <w:tcPr>
            <w:tcW w:w="2297" w:type="dxa"/>
            <w:vAlign w:val="center"/>
          </w:tcPr>
          <w:p>
            <w:pPr>
              <w:widowControl/>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日均值</w:t>
            </w:r>
          </w:p>
        </w:tc>
        <w:tc>
          <w:tcPr>
            <w:tcW w:w="1174" w:type="dxa"/>
            <w:tcMar>
              <w:left w:w="28" w:type="dxa"/>
              <w:right w:w="28" w:type="dxa"/>
            </w:tcMar>
            <w:vAlign w:val="center"/>
          </w:tcPr>
          <w:p>
            <w:pPr>
              <w:widowControl/>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150</w:t>
            </w:r>
          </w:p>
        </w:tc>
        <w:tc>
          <w:tcPr>
            <w:tcW w:w="988" w:type="dxa"/>
            <w:tcMar>
              <w:left w:w="28" w:type="dxa"/>
              <w:right w:w="28" w:type="dxa"/>
            </w:tcMar>
            <w:vAlign w:val="center"/>
          </w:tcPr>
          <w:p>
            <w:pPr>
              <w:widowControl/>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80</w:t>
            </w:r>
          </w:p>
        </w:tc>
        <w:tc>
          <w:tcPr>
            <w:tcW w:w="1309" w:type="dxa"/>
            <w:vAlign w:val="center"/>
          </w:tcPr>
          <w:p>
            <w:pPr>
              <w:widowControl/>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150</w:t>
            </w:r>
          </w:p>
        </w:tc>
        <w:tc>
          <w:tcPr>
            <w:tcW w:w="1250" w:type="dxa"/>
            <w:tcMar>
              <w:left w:w="28" w:type="dxa"/>
              <w:right w:w="28" w:type="dxa"/>
            </w:tcMar>
            <w:vAlign w:val="center"/>
          </w:tcPr>
          <w:p>
            <w:pPr>
              <w:widowControl/>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75</w:t>
            </w:r>
          </w:p>
        </w:tc>
        <w:tc>
          <w:tcPr>
            <w:tcW w:w="1250" w:type="dxa"/>
            <w:tcMar>
              <w:left w:w="28" w:type="dxa"/>
              <w:right w:w="28" w:type="dxa"/>
            </w:tcMar>
            <w:vAlign w:val="center"/>
          </w:tcPr>
          <w:p>
            <w:pPr>
              <w:widowControl/>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0" w:hRule="atLeast"/>
          <w:jc w:val="center"/>
        </w:trPr>
        <w:tc>
          <w:tcPr>
            <w:tcW w:w="2297" w:type="dxa"/>
            <w:vAlign w:val="center"/>
          </w:tcPr>
          <w:p>
            <w:pPr>
              <w:widowControl/>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1小时平均</w:t>
            </w:r>
          </w:p>
        </w:tc>
        <w:tc>
          <w:tcPr>
            <w:tcW w:w="1174" w:type="dxa"/>
            <w:tcMar>
              <w:left w:w="28" w:type="dxa"/>
              <w:right w:w="28" w:type="dxa"/>
            </w:tcMar>
            <w:vAlign w:val="center"/>
          </w:tcPr>
          <w:p>
            <w:pPr>
              <w:widowControl/>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88" w:type="dxa"/>
            <w:tcMar>
              <w:left w:w="28" w:type="dxa"/>
              <w:right w:w="28" w:type="dxa"/>
            </w:tcMar>
            <w:vAlign w:val="center"/>
          </w:tcPr>
          <w:p>
            <w:pPr>
              <w:widowControl/>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200</w:t>
            </w:r>
          </w:p>
        </w:tc>
        <w:tc>
          <w:tcPr>
            <w:tcW w:w="1309" w:type="dxa"/>
            <w:vAlign w:val="center"/>
          </w:tcPr>
          <w:p>
            <w:pPr>
              <w:widowControl/>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500</w:t>
            </w:r>
          </w:p>
        </w:tc>
        <w:tc>
          <w:tcPr>
            <w:tcW w:w="1250" w:type="dxa"/>
            <w:tcMar>
              <w:left w:w="28" w:type="dxa"/>
              <w:right w:w="28" w:type="dxa"/>
            </w:tcMar>
            <w:vAlign w:val="center"/>
          </w:tcPr>
          <w:p>
            <w:pPr>
              <w:widowControl/>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1250" w:type="dxa"/>
            <w:tcMar>
              <w:left w:w="28" w:type="dxa"/>
              <w:right w:w="28" w:type="dxa"/>
            </w:tcMar>
            <w:vAlign w:val="center"/>
          </w:tcPr>
          <w:p>
            <w:pPr>
              <w:widowControl/>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r>
    </w:tbl>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（2）</w:t>
      </w:r>
      <w:r>
        <w:rPr>
          <w:rFonts w:ascii="Times New Roman" w:hAnsi="Times New Roman" w:cs="Times New Roman"/>
          <w:color w:val="000000" w:themeColor="text1"/>
          <w:sz w:val="24"/>
          <w:szCs w:val="24"/>
          <w14:textFill>
            <w14:solidFill>
              <w14:schemeClr w14:val="tx1"/>
            </w14:solidFill>
          </w14:textFill>
        </w:rPr>
        <w:t>地表水环境</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地表水环境质量标准验收期与环评阶段一致。项目所在区域地表水执行《地表水环境质量标准》(GB3838-2002)Ⅲ类标准，其中原项目环境影响评价报告文件中双海子、孔雀湖执行《地表水环境质量标准》(GB3838-2002)Ⅰ类标准的敏感点，不在本次验收区域影响范围内。相应标准限值见下表。</w:t>
      </w:r>
    </w:p>
    <w:p>
      <w:pPr>
        <w:spacing w:line="360" w:lineRule="auto"/>
        <w:jc w:val="center"/>
        <w:rPr>
          <w:rFonts w:ascii="Times New Roman" w:hAnsi="Times New Roman" w:cs="Times New Roman"/>
          <w:b/>
          <w:color w:val="000000" w:themeColor="text1"/>
          <w:szCs w:val="24"/>
          <w14:textFill>
            <w14:solidFill>
              <w14:schemeClr w14:val="tx1"/>
            </w14:solidFill>
          </w14:textFill>
        </w:rPr>
      </w:pPr>
      <w:r>
        <w:rPr>
          <w:rFonts w:hint="eastAsia" w:ascii="Times New Roman" w:hAnsi="Times New Roman" w:cs="Times New Roman"/>
          <w:b/>
          <w:color w:val="000000" w:themeColor="text1"/>
          <w:szCs w:val="24"/>
          <w14:textFill>
            <w14:solidFill>
              <w14:schemeClr w14:val="tx1"/>
            </w14:solidFill>
          </w14:textFill>
        </w:rPr>
        <w:t>表1.6</w:t>
      </w:r>
      <w:r>
        <w:rPr>
          <w:rFonts w:ascii="Times New Roman" w:hAnsi="Times New Roman" w:cs="Times New Roman"/>
          <w:b/>
          <w:color w:val="000000" w:themeColor="text1"/>
          <w:szCs w:val="24"/>
          <w14:textFill>
            <w14:solidFill>
              <w14:schemeClr w14:val="tx1"/>
            </w14:solidFill>
          </w14:textFill>
        </w:rPr>
        <w:t>-</w:t>
      </w:r>
      <w:r>
        <w:rPr>
          <w:rFonts w:hint="eastAsia" w:ascii="Times New Roman" w:hAnsi="Times New Roman" w:cs="Times New Roman"/>
          <w:b/>
          <w:color w:val="000000" w:themeColor="text1"/>
          <w:szCs w:val="24"/>
          <w14:textFill>
            <w14:solidFill>
              <w14:schemeClr w14:val="tx1"/>
            </w14:solidFill>
          </w14:textFill>
        </w:rPr>
        <w:t>2  地表水</w:t>
      </w:r>
      <w:r>
        <w:rPr>
          <w:rFonts w:ascii="Times New Roman" w:hAnsi="Times New Roman" w:cs="Times New Roman"/>
          <w:b/>
          <w:color w:val="000000" w:themeColor="text1"/>
          <w:szCs w:val="24"/>
          <w14:textFill>
            <w14:solidFill>
              <w14:schemeClr w14:val="tx1"/>
            </w14:solidFill>
          </w14:textFill>
        </w:rPr>
        <w:t>质量标准</w:t>
      </w:r>
      <w:r>
        <w:rPr>
          <w:rFonts w:hint="eastAsia" w:ascii="Times New Roman" w:hAnsi="Times New Roman" w:cs="Times New Roman"/>
          <w:b/>
          <w:color w:val="000000" w:themeColor="text1"/>
          <w:szCs w:val="24"/>
          <w14:textFill>
            <w14:solidFill>
              <w14:schemeClr w14:val="tx1"/>
            </w14:solidFill>
          </w14:textFill>
        </w:rPr>
        <w:t xml:space="preserve">  </w:t>
      </w:r>
      <w:r>
        <w:rPr>
          <w:rFonts w:ascii="Times New Roman" w:hAnsi="Times New Roman" w:cs="Times New Roman"/>
          <w:b/>
          <w:color w:val="000000" w:themeColor="text1"/>
          <w:szCs w:val="24"/>
          <w14:textFill>
            <w14:solidFill>
              <w14:schemeClr w14:val="tx1"/>
            </w14:solidFill>
          </w14:textFill>
        </w:rPr>
        <w:t xml:space="preserve">     </w:t>
      </w:r>
      <w:r>
        <w:rPr>
          <w:rFonts w:hint="eastAsia" w:ascii="Times New Roman" w:hAnsi="Times New Roman" w:cs="Times New Roman"/>
          <w:b/>
          <w:color w:val="000000" w:themeColor="text1"/>
          <w:szCs w:val="24"/>
          <w14:textFill>
            <w14:solidFill>
              <w14:schemeClr w14:val="tx1"/>
            </w14:solidFill>
          </w14:textFill>
        </w:rPr>
        <w:t xml:space="preserve">  单位：mg/L</w:t>
      </w:r>
      <w:r>
        <w:rPr>
          <w:rFonts w:ascii="Times New Roman" w:hAnsi="Times New Roman" w:cs="Times New Roman"/>
          <w:b/>
          <w:color w:val="000000" w:themeColor="text1"/>
          <w:szCs w:val="24"/>
          <w14:textFill>
            <w14:solidFill>
              <w14:schemeClr w14:val="tx1"/>
            </w14:solidFill>
          </w14:textFill>
        </w:rPr>
        <w:t>，pH除外</w:t>
      </w:r>
    </w:p>
    <w:tbl>
      <w:tblPr>
        <w:tblStyle w:val="28"/>
        <w:tblW w:w="832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694"/>
        <w:gridCol w:w="1470"/>
        <w:gridCol w:w="2081"/>
        <w:gridCol w:w="208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94" w:type="dxa"/>
            <w:vAlign w:val="center"/>
          </w:tcPr>
          <w:p>
            <w:pPr>
              <w:widowControl/>
              <w:adjustRightInd w:val="0"/>
              <w:snapToGrid w:val="0"/>
              <w:jc w:val="center"/>
              <w:rPr>
                <w:rFonts w:ascii="Times New Roman" w:hAnsi="Times New Roman" w:eastAsia="宋体" w:cs="Times New Roman"/>
                <w:b/>
                <w:bCs/>
                <w:color w:val="000000" w:themeColor="text1"/>
                <w:szCs w:val="21"/>
                <w14:textFill>
                  <w14:solidFill>
                    <w14:schemeClr w14:val="tx1"/>
                  </w14:solidFill>
                </w14:textFill>
              </w:rPr>
            </w:pPr>
            <w:r>
              <w:rPr>
                <w:rFonts w:hint="eastAsia" w:ascii="Times New Roman" w:hAnsi="Times New Roman" w:eastAsia="宋体" w:cs="Times New Roman"/>
                <w:b/>
                <w:bCs/>
                <w:color w:val="000000" w:themeColor="text1"/>
                <w:szCs w:val="21"/>
                <w14:textFill>
                  <w14:solidFill>
                    <w14:schemeClr w14:val="tx1"/>
                  </w14:solidFill>
                </w14:textFill>
              </w:rPr>
              <w:t>项目</w:t>
            </w:r>
          </w:p>
        </w:tc>
        <w:tc>
          <w:tcPr>
            <w:tcW w:w="1470" w:type="dxa"/>
            <w:vAlign w:val="center"/>
          </w:tcPr>
          <w:p>
            <w:pPr>
              <w:widowControl/>
              <w:adjustRightInd w:val="0"/>
              <w:snapToGrid w:val="0"/>
              <w:jc w:val="center"/>
              <w:rPr>
                <w:rFonts w:ascii="Times New Roman" w:hAnsi="Times New Roman" w:eastAsia="宋体" w:cs="Times New Roman"/>
                <w:b/>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标准值</w:t>
            </w:r>
          </w:p>
        </w:tc>
        <w:tc>
          <w:tcPr>
            <w:tcW w:w="2081" w:type="dxa"/>
            <w:vAlign w:val="center"/>
          </w:tcPr>
          <w:p>
            <w:pPr>
              <w:widowControl/>
              <w:adjustRightInd w:val="0"/>
              <w:snapToGrid w:val="0"/>
              <w:jc w:val="center"/>
              <w:rPr>
                <w:rFonts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项目</w:t>
            </w:r>
          </w:p>
        </w:tc>
        <w:tc>
          <w:tcPr>
            <w:tcW w:w="2081" w:type="dxa"/>
            <w:vAlign w:val="center"/>
          </w:tcPr>
          <w:p>
            <w:pPr>
              <w:widowControl/>
              <w:adjustRightInd w:val="0"/>
              <w:snapToGrid w:val="0"/>
              <w:jc w:val="center"/>
              <w:rPr>
                <w:rFonts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标准值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94" w:type="dxa"/>
            <w:vAlign w:val="center"/>
          </w:tcPr>
          <w:p>
            <w:pPr>
              <w:widowControl/>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pH</w:t>
            </w:r>
            <w:r>
              <w:rPr>
                <w:rFonts w:ascii="Times New Roman" w:hAnsi="Times New Roman" w:cs="Times New Roman"/>
                <w:color w:val="000000" w:themeColor="text1"/>
                <w:szCs w:val="21"/>
                <w14:textFill>
                  <w14:solidFill>
                    <w14:schemeClr w14:val="tx1"/>
                  </w14:solidFill>
                </w14:textFill>
              </w:rPr>
              <w:t>（无量纲）</w:t>
            </w:r>
          </w:p>
        </w:tc>
        <w:tc>
          <w:tcPr>
            <w:tcW w:w="1470" w:type="dxa"/>
            <w:vAlign w:val="center"/>
          </w:tcPr>
          <w:p>
            <w:pPr>
              <w:widowControl/>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6～9</w:t>
            </w:r>
          </w:p>
        </w:tc>
        <w:tc>
          <w:tcPr>
            <w:tcW w:w="2081" w:type="dxa"/>
            <w:vAlign w:val="center"/>
          </w:tcPr>
          <w:p>
            <w:pPr>
              <w:widowControl/>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氟化物</w:t>
            </w:r>
            <w:r>
              <w:rPr>
                <w:rFonts w:ascii="Times New Roman" w:hAnsi="Times New Roman" w:eastAsia="宋体" w:cs="Times New Roman"/>
                <w:color w:val="000000" w:themeColor="text1"/>
                <w:szCs w:val="21"/>
                <w14:textFill>
                  <w14:solidFill>
                    <w14:schemeClr w14:val="tx1"/>
                  </w14:solidFill>
                </w14:textFill>
              </w:rPr>
              <w:t>≤</w:t>
            </w:r>
          </w:p>
        </w:tc>
        <w:tc>
          <w:tcPr>
            <w:tcW w:w="2081" w:type="dxa"/>
            <w:vAlign w:val="center"/>
          </w:tcPr>
          <w:p>
            <w:pPr>
              <w:widowControl/>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w:t>
            </w:r>
            <w:r>
              <w:rPr>
                <w:rFonts w:ascii="Times New Roman" w:hAnsi="Times New Roman" w:cs="Times New Roman"/>
                <w:color w:val="000000" w:themeColor="text1"/>
                <w:szCs w:val="21"/>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94" w:type="dxa"/>
            <w:vAlign w:val="center"/>
          </w:tcPr>
          <w:p>
            <w:pPr>
              <w:widowControl/>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化学需氧量≤</w:t>
            </w:r>
          </w:p>
        </w:tc>
        <w:tc>
          <w:tcPr>
            <w:tcW w:w="1470" w:type="dxa"/>
            <w:vAlign w:val="center"/>
          </w:tcPr>
          <w:p>
            <w:pPr>
              <w:widowControl/>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20</w:t>
            </w:r>
          </w:p>
        </w:tc>
        <w:tc>
          <w:tcPr>
            <w:tcW w:w="2081" w:type="dxa"/>
            <w:vAlign w:val="center"/>
          </w:tcPr>
          <w:p>
            <w:pPr>
              <w:widowControl/>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砷</w:t>
            </w:r>
            <w:r>
              <w:rPr>
                <w:rFonts w:ascii="Times New Roman" w:hAnsi="Times New Roman" w:eastAsia="宋体" w:cs="Times New Roman"/>
                <w:color w:val="000000" w:themeColor="text1"/>
                <w:szCs w:val="21"/>
                <w14:textFill>
                  <w14:solidFill>
                    <w14:schemeClr w14:val="tx1"/>
                  </w14:solidFill>
                </w14:textFill>
              </w:rPr>
              <w:t>≤</w:t>
            </w:r>
          </w:p>
        </w:tc>
        <w:tc>
          <w:tcPr>
            <w:tcW w:w="2081" w:type="dxa"/>
            <w:vAlign w:val="center"/>
          </w:tcPr>
          <w:p>
            <w:pPr>
              <w:widowControl/>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0</w:t>
            </w:r>
            <w:r>
              <w:rPr>
                <w:rFonts w:ascii="Times New Roman" w:hAnsi="Times New Roman" w:cs="Times New Roman"/>
                <w:color w:val="000000" w:themeColor="text1"/>
                <w:szCs w:val="21"/>
                <w14:textFill>
                  <w14:solidFill>
                    <w14:schemeClr w14:val="tx1"/>
                  </w14:solidFill>
                </w14:textFill>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94" w:type="dxa"/>
            <w:vAlign w:val="center"/>
          </w:tcPr>
          <w:p>
            <w:pPr>
              <w:widowControl/>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生化需氧量≤</w:t>
            </w:r>
          </w:p>
        </w:tc>
        <w:tc>
          <w:tcPr>
            <w:tcW w:w="1470" w:type="dxa"/>
            <w:vAlign w:val="center"/>
          </w:tcPr>
          <w:p>
            <w:pPr>
              <w:widowControl/>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4</w:t>
            </w:r>
          </w:p>
        </w:tc>
        <w:tc>
          <w:tcPr>
            <w:tcW w:w="2081" w:type="dxa"/>
            <w:vAlign w:val="center"/>
          </w:tcPr>
          <w:p>
            <w:pPr>
              <w:widowControl/>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汞</w:t>
            </w:r>
            <w:r>
              <w:rPr>
                <w:rFonts w:ascii="Times New Roman" w:hAnsi="Times New Roman" w:eastAsia="宋体" w:cs="Times New Roman"/>
                <w:color w:val="000000" w:themeColor="text1"/>
                <w:szCs w:val="21"/>
                <w14:textFill>
                  <w14:solidFill>
                    <w14:schemeClr w14:val="tx1"/>
                  </w14:solidFill>
                </w14:textFill>
              </w:rPr>
              <w:t>≤</w:t>
            </w:r>
          </w:p>
        </w:tc>
        <w:tc>
          <w:tcPr>
            <w:tcW w:w="2081" w:type="dxa"/>
            <w:vAlign w:val="center"/>
          </w:tcPr>
          <w:p>
            <w:pPr>
              <w:widowControl/>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0</w:t>
            </w:r>
            <w:r>
              <w:rPr>
                <w:rFonts w:ascii="Times New Roman" w:hAnsi="Times New Roman" w:cs="Times New Roman"/>
                <w:color w:val="000000" w:themeColor="text1"/>
                <w:szCs w:val="21"/>
                <w14:textFill>
                  <w14:solidFill>
                    <w14:schemeClr w14:val="tx1"/>
                  </w14:solidFill>
                </w14:textFill>
              </w:rPr>
              <w:t>.0001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94" w:type="dxa"/>
            <w:vAlign w:val="center"/>
          </w:tcPr>
          <w:p>
            <w:pPr>
              <w:widowControl/>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悬浮物</w:t>
            </w:r>
          </w:p>
        </w:tc>
        <w:tc>
          <w:tcPr>
            <w:tcW w:w="1470" w:type="dxa"/>
            <w:vAlign w:val="center"/>
          </w:tcPr>
          <w:p>
            <w:pPr>
              <w:widowControl/>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2081" w:type="dxa"/>
            <w:vAlign w:val="center"/>
          </w:tcPr>
          <w:p>
            <w:pPr>
              <w:widowControl/>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镉</w:t>
            </w:r>
            <w:r>
              <w:rPr>
                <w:rFonts w:ascii="Times New Roman" w:hAnsi="Times New Roman" w:eastAsia="宋体" w:cs="Times New Roman"/>
                <w:color w:val="000000" w:themeColor="text1"/>
                <w:szCs w:val="21"/>
                <w14:textFill>
                  <w14:solidFill>
                    <w14:schemeClr w14:val="tx1"/>
                  </w14:solidFill>
                </w14:textFill>
              </w:rPr>
              <w:t>≤</w:t>
            </w:r>
          </w:p>
        </w:tc>
        <w:tc>
          <w:tcPr>
            <w:tcW w:w="2081" w:type="dxa"/>
            <w:vAlign w:val="center"/>
          </w:tcPr>
          <w:p>
            <w:pPr>
              <w:widowControl/>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0</w:t>
            </w:r>
            <w:r>
              <w:rPr>
                <w:rFonts w:ascii="Times New Roman" w:hAnsi="Times New Roman" w:cs="Times New Roman"/>
                <w:color w:val="000000" w:themeColor="text1"/>
                <w:szCs w:val="21"/>
                <w14:textFill>
                  <w14:solidFill>
                    <w14:schemeClr w14:val="tx1"/>
                  </w14:solidFill>
                </w14:textFill>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94" w:type="dxa"/>
            <w:vAlign w:val="center"/>
          </w:tcPr>
          <w:p>
            <w:pPr>
              <w:widowControl/>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氨氮≤</w:t>
            </w:r>
          </w:p>
        </w:tc>
        <w:tc>
          <w:tcPr>
            <w:tcW w:w="1470" w:type="dxa"/>
            <w:vAlign w:val="center"/>
          </w:tcPr>
          <w:p>
            <w:pPr>
              <w:widowControl/>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1.0</w:t>
            </w:r>
          </w:p>
        </w:tc>
        <w:tc>
          <w:tcPr>
            <w:tcW w:w="2081" w:type="dxa"/>
            <w:vAlign w:val="center"/>
          </w:tcPr>
          <w:p>
            <w:pPr>
              <w:widowControl/>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六价铬</w:t>
            </w:r>
            <w:r>
              <w:rPr>
                <w:rFonts w:ascii="Times New Roman" w:hAnsi="Times New Roman" w:eastAsia="宋体" w:cs="Times New Roman"/>
                <w:color w:val="000000" w:themeColor="text1"/>
                <w:szCs w:val="21"/>
                <w14:textFill>
                  <w14:solidFill>
                    <w14:schemeClr w14:val="tx1"/>
                  </w14:solidFill>
                </w14:textFill>
              </w:rPr>
              <w:t>≤</w:t>
            </w:r>
          </w:p>
        </w:tc>
        <w:tc>
          <w:tcPr>
            <w:tcW w:w="2081" w:type="dxa"/>
            <w:vAlign w:val="center"/>
          </w:tcPr>
          <w:p>
            <w:pPr>
              <w:widowControl/>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0</w:t>
            </w:r>
            <w:r>
              <w:rPr>
                <w:rFonts w:ascii="Times New Roman" w:hAnsi="Times New Roman" w:cs="Times New Roman"/>
                <w:color w:val="000000" w:themeColor="text1"/>
                <w:szCs w:val="21"/>
                <w14:textFill>
                  <w14:solidFill>
                    <w14:schemeClr w14:val="tx1"/>
                  </w14:solidFill>
                </w14:textFill>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94" w:type="dxa"/>
            <w:vAlign w:val="center"/>
          </w:tcPr>
          <w:p>
            <w:pPr>
              <w:widowControl/>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石油类≤</w:t>
            </w:r>
          </w:p>
        </w:tc>
        <w:tc>
          <w:tcPr>
            <w:tcW w:w="1470" w:type="dxa"/>
            <w:vAlign w:val="center"/>
          </w:tcPr>
          <w:p>
            <w:pPr>
              <w:widowControl/>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0.05</w:t>
            </w:r>
          </w:p>
        </w:tc>
        <w:tc>
          <w:tcPr>
            <w:tcW w:w="2081" w:type="dxa"/>
            <w:vAlign w:val="center"/>
          </w:tcPr>
          <w:p>
            <w:pPr>
              <w:widowControl/>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铅</w:t>
            </w:r>
            <w:r>
              <w:rPr>
                <w:rFonts w:ascii="Times New Roman" w:hAnsi="Times New Roman" w:eastAsia="宋体" w:cs="Times New Roman"/>
                <w:color w:val="000000" w:themeColor="text1"/>
                <w:szCs w:val="21"/>
                <w14:textFill>
                  <w14:solidFill>
                    <w14:schemeClr w14:val="tx1"/>
                  </w14:solidFill>
                </w14:textFill>
              </w:rPr>
              <w:t>≤</w:t>
            </w:r>
          </w:p>
        </w:tc>
        <w:tc>
          <w:tcPr>
            <w:tcW w:w="2081" w:type="dxa"/>
            <w:vAlign w:val="center"/>
          </w:tcPr>
          <w:p>
            <w:pPr>
              <w:widowControl/>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0</w:t>
            </w:r>
            <w:r>
              <w:rPr>
                <w:rFonts w:ascii="Times New Roman" w:hAnsi="Times New Roman" w:cs="Times New Roman"/>
                <w:color w:val="000000" w:themeColor="text1"/>
                <w:szCs w:val="21"/>
                <w14:textFill>
                  <w14:solidFill>
                    <w14:schemeClr w14:val="tx1"/>
                  </w14:solidFill>
                </w14:textFill>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94" w:type="dxa"/>
            <w:vAlign w:val="center"/>
          </w:tcPr>
          <w:p>
            <w:pPr>
              <w:widowControl/>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总磷</w:t>
            </w:r>
            <w:r>
              <w:rPr>
                <w:rFonts w:ascii="Times New Roman" w:hAnsi="Times New Roman" w:eastAsia="宋体" w:cs="Times New Roman"/>
                <w:color w:val="000000" w:themeColor="text1"/>
                <w:szCs w:val="21"/>
                <w14:textFill>
                  <w14:solidFill>
                    <w14:schemeClr w14:val="tx1"/>
                  </w14:solidFill>
                </w14:textFill>
              </w:rPr>
              <w:t>≤</w:t>
            </w:r>
          </w:p>
        </w:tc>
        <w:tc>
          <w:tcPr>
            <w:tcW w:w="1470" w:type="dxa"/>
            <w:vAlign w:val="center"/>
          </w:tcPr>
          <w:p>
            <w:pPr>
              <w:widowControl/>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0.2</w:t>
            </w:r>
          </w:p>
        </w:tc>
        <w:tc>
          <w:tcPr>
            <w:tcW w:w="2081" w:type="dxa"/>
            <w:vAlign w:val="center"/>
          </w:tcPr>
          <w:p>
            <w:pPr>
              <w:widowControl/>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氰化物</w:t>
            </w:r>
            <w:r>
              <w:rPr>
                <w:rFonts w:ascii="Times New Roman" w:hAnsi="Times New Roman" w:eastAsia="宋体" w:cs="Times New Roman"/>
                <w:color w:val="000000" w:themeColor="text1"/>
                <w:szCs w:val="21"/>
                <w14:textFill>
                  <w14:solidFill>
                    <w14:schemeClr w14:val="tx1"/>
                  </w14:solidFill>
                </w14:textFill>
              </w:rPr>
              <w:t>≤</w:t>
            </w:r>
          </w:p>
        </w:tc>
        <w:tc>
          <w:tcPr>
            <w:tcW w:w="2081" w:type="dxa"/>
            <w:vAlign w:val="center"/>
          </w:tcPr>
          <w:p>
            <w:pPr>
              <w:widowControl/>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0</w:t>
            </w:r>
            <w:r>
              <w:rPr>
                <w:rFonts w:ascii="Times New Roman" w:hAnsi="Times New Roman" w:cs="Times New Roman"/>
                <w:color w:val="000000" w:themeColor="text1"/>
                <w:szCs w:val="21"/>
                <w14:textFill>
                  <w14:solidFill>
                    <w14:schemeClr w14:val="tx1"/>
                  </w14:solidFill>
                </w14:textFill>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94" w:type="dxa"/>
            <w:vAlign w:val="center"/>
          </w:tcPr>
          <w:p>
            <w:pPr>
              <w:widowControl/>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总氮</w:t>
            </w:r>
            <w:r>
              <w:rPr>
                <w:rFonts w:ascii="Times New Roman" w:hAnsi="Times New Roman" w:eastAsia="宋体" w:cs="Times New Roman"/>
                <w:color w:val="000000" w:themeColor="text1"/>
                <w:szCs w:val="21"/>
                <w14:textFill>
                  <w14:solidFill>
                    <w14:schemeClr w14:val="tx1"/>
                  </w14:solidFill>
                </w14:textFill>
              </w:rPr>
              <w:t>≤</w:t>
            </w:r>
          </w:p>
        </w:tc>
        <w:tc>
          <w:tcPr>
            <w:tcW w:w="1470" w:type="dxa"/>
            <w:vAlign w:val="center"/>
          </w:tcPr>
          <w:p>
            <w:pPr>
              <w:widowControl/>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1.0</w:t>
            </w:r>
          </w:p>
        </w:tc>
        <w:tc>
          <w:tcPr>
            <w:tcW w:w="2081" w:type="dxa"/>
            <w:vAlign w:val="center"/>
          </w:tcPr>
          <w:p>
            <w:pPr>
              <w:widowControl/>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挥发酚</w:t>
            </w:r>
            <w:r>
              <w:rPr>
                <w:rFonts w:ascii="Times New Roman" w:hAnsi="Times New Roman" w:eastAsia="宋体" w:cs="Times New Roman"/>
                <w:color w:val="000000" w:themeColor="text1"/>
                <w:szCs w:val="21"/>
                <w14:textFill>
                  <w14:solidFill>
                    <w14:schemeClr w14:val="tx1"/>
                  </w14:solidFill>
                </w14:textFill>
              </w:rPr>
              <w:t>≤</w:t>
            </w:r>
          </w:p>
        </w:tc>
        <w:tc>
          <w:tcPr>
            <w:tcW w:w="2081" w:type="dxa"/>
            <w:vAlign w:val="center"/>
          </w:tcPr>
          <w:p>
            <w:pPr>
              <w:widowControl/>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0</w:t>
            </w:r>
            <w:r>
              <w:rPr>
                <w:rFonts w:ascii="Times New Roman" w:hAnsi="Times New Roman" w:cs="Times New Roman"/>
                <w:color w:val="000000" w:themeColor="text1"/>
                <w:szCs w:val="21"/>
                <w14:textFill>
                  <w14:solidFill>
                    <w14:schemeClr w14:val="tx1"/>
                  </w14:solidFill>
                </w14:textFill>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94" w:type="dxa"/>
            <w:vAlign w:val="center"/>
          </w:tcPr>
          <w:p>
            <w:pPr>
              <w:widowControl/>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粪大肠菌群数</w:t>
            </w:r>
            <w:r>
              <w:rPr>
                <w:rFonts w:hint="eastAsia" w:ascii="Times New Roman" w:hAnsi="Times New Roman" w:cs="Times New Roman"/>
                <w:color w:val="000000" w:themeColor="text1"/>
                <w:szCs w:val="21"/>
                <w14:textFill>
                  <w14:solidFill>
                    <w14:schemeClr w14:val="tx1"/>
                  </w14:solidFill>
                </w14:textFill>
              </w:rPr>
              <w:t>（个/</w:t>
            </w:r>
            <w:r>
              <w:rPr>
                <w:rFonts w:ascii="Times New Roman" w:hAnsi="Times New Roman" w:cs="Times New Roman"/>
                <w:color w:val="000000" w:themeColor="text1"/>
                <w:szCs w:val="21"/>
                <w14:textFill>
                  <w14:solidFill>
                    <w14:schemeClr w14:val="tx1"/>
                  </w14:solidFill>
                </w14:textFill>
              </w:rPr>
              <w:t>L</w:t>
            </w:r>
            <w:r>
              <w:rPr>
                <w:rFonts w:hint="eastAsia" w:ascii="Times New Roman" w:hAnsi="Times New Roman" w:cs="Times New Roman"/>
                <w:color w:val="000000" w:themeColor="text1"/>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w:t>
            </w:r>
          </w:p>
        </w:tc>
        <w:tc>
          <w:tcPr>
            <w:tcW w:w="1470" w:type="dxa"/>
            <w:vAlign w:val="center"/>
          </w:tcPr>
          <w:p>
            <w:pPr>
              <w:widowControl/>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10000</w:t>
            </w:r>
          </w:p>
        </w:tc>
        <w:tc>
          <w:tcPr>
            <w:tcW w:w="2081" w:type="dxa"/>
            <w:vAlign w:val="center"/>
          </w:tcPr>
          <w:p>
            <w:pPr>
              <w:widowControl/>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镍</w:t>
            </w:r>
            <w:r>
              <w:rPr>
                <w:rFonts w:ascii="Times New Roman" w:hAnsi="Times New Roman" w:eastAsia="宋体" w:cs="Times New Roman"/>
                <w:color w:val="000000" w:themeColor="text1"/>
                <w:szCs w:val="21"/>
                <w14:textFill>
                  <w14:solidFill>
                    <w14:schemeClr w14:val="tx1"/>
                  </w14:solidFill>
                </w14:textFill>
              </w:rPr>
              <w:t>≤</w:t>
            </w:r>
          </w:p>
        </w:tc>
        <w:tc>
          <w:tcPr>
            <w:tcW w:w="2081" w:type="dxa"/>
            <w:vAlign w:val="center"/>
          </w:tcPr>
          <w:p>
            <w:pPr>
              <w:widowControl/>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0</w:t>
            </w:r>
            <w:r>
              <w:rPr>
                <w:rFonts w:ascii="Times New Roman" w:hAnsi="Times New Roman" w:cs="Times New Roman"/>
                <w:color w:val="000000" w:themeColor="text1"/>
                <w:szCs w:val="21"/>
                <w14:textFill>
                  <w14:solidFill>
                    <w14:schemeClr w14:val="tx1"/>
                  </w14:solidFill>
                </w14:textFill>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94" w:type="dxa"/>
            <w:vAlign w:val="center"/>
          </w:tcPr>
          <w:p>
            <w:pPr>
              <w:widowControl/>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溶解氧</w:t>
            </w:r>
            <w:r>
              <w:rPr>
                <w:rFonts w:ascii="Times New Roman" w:hAnsi="Times New Roman" w:eastAsia="宋体" w:cs="Times New Roman"/>
                <w:color w:val="000000" w:themeColor="text1"/>
                <w:szCs w:val="21"/>
                <w14:textFill>
                  <w14:solidFill>
                    <w14:schemeClr w14:val="tx1"/>
                  </w14:solidFill>
                </w14:textFill>
              </w:rPr>
              <w:t>≤</w:t>
            </w:r>
          </w:p>
        </w:tc>
        <w:tc>
          <w:tcPr>
            <w:tcW w:w="1470" w:type="dxa"/>
            <w:vAlign w:val="center"/>
          </w:tcPr>
          <w:p>
            <w:pPr>
              <w:widowControl/>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5</w:t>
            </w:r>
          </w:p>
        </w:tc>
        <w:tc>
          <w:tcPr>
            <w:tcW w:w="2081" w:type="dxa"/>
            <w:vAlign w:val="center"/>
          </w:tcPr>
          <w:p>
            <w:pPr>
              <w:widowControl/>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硫化物</w:t>
            </w:r>
            <w:r>
              <w:rPr>
                <w:rFonts w:ascii="Times New Roman" w:hAnsi="Times New Roman" w:eastAsia="宋体" w:cs="Times New Roman"/>
                <w:color w:val="000000" w:themeColor="text1"/>
                <w:szCs w:val="21"/>
                <w14:textFill>
                  <w14:solidFill>
                    <w14:schemeClr w14:val="tx1"/>
                  </w14:solidFill>
                </w14:textFill>
              </w:rPr>
              <w:t>≤</w:t>
            </w:r>
          </w:p>
        </w:tc>
        <w:tc>
          <w:tcPr>
            <w:tcW w:w="2081" w:type="dxa"/>
            <w:vAlign w:val="center"/>
          </w:tcPr>
          <w:p>
            <w:pPr>
              <w:widowControl/>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0</w:t>
            </w:r>
            <w:r>
              <w:rPr>
                <w:rFonts w:ascii="Times New Roman" w:hAnsi="Times New Roman" w:cs="Times New Roman"/>
                <w:color w:val="000000" w:themeColor="text1"/>
                <w:szCs w:val="21"/>
                <w14:textFill>
                  <w14:solidFill>
                    <w14:schemeClr w14:val="tx1"/>
                  </w14:solidFill>
                </w14:textFill>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94" w:type="dxa"/>
            <w:vAlign w:val="center"/>
          </w:tcPr>
          <w:p>
            <w:pPr>
              <w:widowControl/>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铜</w:t>
            </w:r>
            <w:r>
              <w:rPr>
                <w:rFonts w:ascii="Times New Roman" w:hAnsi="Times New Roman" w:eastAsia="宋体" w:cs="Times New Roman"/>
                <w:color w:val="000000" w:themeColor="text1"/>
                <w:szCs w:val="21"/>
                <w14:textFill>
                  <w14:solidFill>
                    <w14:schemeClr w14:val="tx1"/>
                  </w14:solidFill>
                </w14:textFill>
              </w:rPr>
              <w:t>≤</w:t>
            </w:r>
          </w:p>
        </w:tc>
        <w:tc>
          <w:tcPr>
            <w:tcW w:w="1470" w:type="dxa"/>
            <w:vAlign w:val="center"/>
          </w:tcPr>
          <w:p>
            <w:pPr>
              <w:widowControl/>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w:t>
            </w:r>
            <w:r>
              <w:rPr>
                <w:rFonts w:ascii="Times New Roman" w:hAnsi="Times New Roman" w:cs="Times New Roman"/>
                <w:color w:val="000000" w:themeColor="text1"/>
                <w:szCs w:val="21"/>
                <w14:textFill>
                  <w14:solidFill>
                    <w14:schemeClr w14:val="tx1"/>
                  </w14:solidFill>
                </w14:textFill>
              </w:rPr>
              <w:t>.0</w:t>
            </w:r>
          </w:p>
        </w:tc>
        <w:tc>
          <w:tcPr>
            <w:tcW w:w="2081" w:type="dxa"/>
            <w:vAlign w:val="center"/>
          </w:tcPr>
          <w:p>
            <w:pPr>
              <w:widowControl/>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铁</w:t>
            </w:r>
            <w:r>
              <w:rPr>
                <w:rFonts w:ascii="Times New Roman" w:hAnsi="Times New Roman" w:eastAsia="宋体" w:cs="Times New Roman"/>
                <w:color w:val="000000" w:themeColor="text1"/>
                <w:szCs w:val="21"/>
                <w14:textFill>
                  <w14:solidFill>
                    <w14:schemeClr w14:val="tx1"/>
                  </w14:solidFill>
                </w14:textFill>
              </w:rPr>
              <w:t>≤</w:t>
            </w:r>
          </w:p>
        </w:tc>
        <w:tc>
          <w:tcPr>
            <w:tcW w:w="2081" w:type="dxa"/>
            <w:vAlign w:val="center"/>
          </w:tcPr>
          <w:p>
            <w:pPr>
              <w:widowControl/>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0</w:t>
            </w:r>
            <w:r>
              <w:rPr>
                <w:rFonts w:ascii="Times New Roman" w:hAnsi="Times New Roman" w:cs="Times New Roman"/>
                <w:color w:val="000000" w:themeColor="text1"/>
                <w:szCs w:val="21"/>
                <w14:textFill>
                  <w14:solidFill>
                    <w14:schemeClr w14:val="tx1"/>
                  </w14:solidFill>
                </w14:textFill>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94" w:type="dxa"/>
            <w:vAlign w:val="center"/>
          </w:tcPr>
          <w:p>
            <w:pPr>
              <w:widowControl/>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锌</w:t>
            </w:r>
            <w:r>
              <w:rPr>
                <w:rFonts w:ascii="Times New Roman" w:hAnsi="Times New Roman" w:eastAsia="宋体" w:cs="Times New Roman"/>
                <w:color w:val="000000" w:themeColor="text1"/>
                <w:szCs w:val="21"/>
                <w14:textFill>
                  <w14:solidFill>
                    <w14:schemeClr w14:val="tx1"/>
                  </w14:solidFill>
                </w14:textFill>
              </w:rPr>
              <w:t>≤</w:t>
            </w:r>
          </w:p>
        </w:tc>
        <w:tc>
          <w:tcPr>
            <w:tcW w:w="1470" w:type="dxa"/>
            <w:vAlign w:val="center"/>
          </w:tcPr>
          <w:p>
            <w:pPr>
              <w:widowControl/>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w:t>
            </w:r>
            <w:r>
              <w:rPr>
                <w:rFonts w:ascii="Times New Roman" w:hAnsi="Times New Roman" w:cs="Times New Roman"/>
                <w:color w:val="000000" w:themeColor="text1"/>
                <w:szCs w:val="21"/>
                <w14:textFill>
                  <w14:solidFill>
                    <w14:schemeClr w14:val="tx1"/>
                  </w14:solidFill>
                </w14:textFill>
              </w:rPr>
              <w:t>.0</w:t>
            </w:r>
          </w:p>
        </w:tc>
        <w:tc>
          <w:tcPr>
            <w:tcW w:w="2081" w:type="dxa"/>
            <w:vAlign w:val="center"/>
          </w:tcPr>
          <w:p>
            <w:pPr>
              <w:widowControl/>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锰</w:t>
            </w:r>
            <w:r>
              <w:rPr>
                <w:rFonts w:ascii="Times New Roman" w:hAnsi="Times New Roman" w:eastAsia="宋体" w:cs="Times New Roman"/>
                <w:color w:val="000000" w:themeColor="text1"/>
                <w:szCs w:val="21"/>
                <w14:textFill>
                  <w14:solidFill>
                    <w14:schemeClr w14:val="tx1"/>
                  </w14:solidFill>
                </w14:textFill>
              </w:rPr>
              <w:t>≤</w:t>
            </w:r>
          </w:p>
        </w:tc>
        <w:tc>
          <w:tcPr>
            <w:tcW w:w="2081" w:type="dxa"/>
            <w:vAlign w:val="center"/>
          </w:tcPr>
          <w:p>
            <w:pPr>
              <w:widowControl/>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0</w:t>
            </w:r>
            <w:r>
              <w:rPr>
                <w:rFonts w:ascii="Times New Roman" w:hAnsi="Times New Roman" w:cs="Times New Roman"/>
                <w:color w:val="000000" w:themeColor="text1"/>
                <w:szCs w:val="21"/>
                <w14:textFill>
                  <w14:solidFill>
                    <w14:schemeClr w14:val="tx1"/>
                  </w14:solidFill>
                </w14:textFill>
              </w:rPr>
              <w:t>.1</w:t>
            </w:r>
          </w:p>
        </w:tc>
      </w:tr>
    </w:tbl>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3</w:t>
      </w: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地</w:t>
      </w:r>
      <w:r>
        <w:rPr>
          <w:rFonts w:hint="eastAsia" w:ascii="Times New Roman" w:hAnsi="Times New Roman" w:cs="Times New Roman"/>
          <w:color w:val="000000" w:themeColor="text1"/>
          <w:sz w:val="24"/>
          <w:szCs w:val="24"/>
          <w14:textFill>
            <w14:solidFill>
              <w14:schemeClr w14:val="tx1"/>
            </w14:solidFill>
          </w14:textFill>
        </w:rPr>
        <w:t>下</w:t>
      </w:r>
      <w:r>
        <w:rPr>
          <w:rFonts w:ascii="Times New Roman" w:hAnsi="Times New Roman" w:cs="Times New Roman"/>
          <w:color w:val="000000" w:themeColor="text1"/>
          <w:sz w:val="24"/>
          <w:szCs w:val="24"/>
          <w14:textFill>
            <w14:solidFill>
              <w14:schemeClr w14:val="tx1"/>
            </w14:solidFill>
          </w14:textFill>
        </w:rPr>
        <w:t>水环境</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地下水环境质量标准验收期与环评阶段一致。项目所在区域地下水执行《地下水环境质量标准》(GB</w:t>
      </w:r>
      <w:r>
        <w:rPr>
          <w:rFonts w:ascii="Times New Roman" w:hAnsi="Times New Roman" w:cs="Times New Roman"/>
          <w:color w:val="000000" w:themeColor="text1"/>
          <w:sz w:val="24"/>
          <w:szCs w:val="24"/>
          <w14:textFill>
            <w14:solidFill>
              <w14:schemeClr w14:val="tx1"/>
            </w14:solidFill>
          </w14:textFill>
        </w:rPr>
        <w:t>/T14848</w:t>
      </w:r>
      <w:r>
        <w:rPr>
          <w:rFonts w:hint="eastAsia" w:ascii="Times New Roman" w:hAnsi="Times New Roman" w:cs="Times New Roman"/>
          <w:color w:val="000000" w:themeColor="text1"/>
          <w:sz w:val="24"/>
          <w:szCs w:val="24"/>
          <w14:textFill>
            <w14:solidFill>
              <w14:schemeClr w14:val="tx1"/>
            </w14:solidFill>
          </w14:textFill>
        </w:rPr>
        <w:t>-20</w:t>
      </w:r>
      <w:r>
        <w:rPr>
          <w:rFonts w:ascii="Times New Roman" w:hAnsi="Times New Roman" w:cs="Times New Roman"/>
          <w:color w:val="000000" w:themeColor="text1"/>
          <w:sz w:val="24"/>
          <w:szCs w:val="24"/>
          <w14:textFill>
            <w14:solidFill>
              <w14:schemeClr w14:val="tx1"/>
            </w14:solidFill>
          </w14:textFill>
        </w:rPr>
        <w:t>17</w:t>
      </w:r>
      <w:r>
        <w:rPr>
          <w:rFonts w:hint="eastAsia" w:ascii="Times New Roman" w:hAnsi="Times New Roman" w:cs="Times New Roman"/>
          <w:color w:val="000000" w:themeColor="text1"/>
          <w:sz w:val="24"/>
          <w:szCs w:val="24"/>
          <w14:textFill>
            <w14:solidFill>
              <w14:schemeClr w14:val="tx1"/>
            </w14:solidFill>
          </w14:textFill>
        </w:rPr>
        <w:t>)Ⅲ类标准。相应标准限值见下表。</w:t>
      </w:r>
    </w:p>
    <w:p>
      <w:pPr>
        <w:spacing w:line="360" w:lineRule="auto"/>
        <w:jc w:val="center"/>
        <w:rPr>
          <w:rFonts w:ascii="Times New Roman" w:hAnsi="Times New Roman" w:cs="Times New Roman"/>
          <w:b/>
          <w:color w:val="000000" w:themeColor="text1"/>
          <w:szCs w:val="24"/>
          <w14:textFill>
            <w14:solidFill>
              <w14:schemeClr w14:val="tx1"/>
            </w14:solidFill>
          </w14:textFill>
        </w:rPr>
      </w:pPr>
      <w:r>
        <w:rPr>
          <w:rFonts w:hint="eastAsia" w:ascii="Times New Roman" w:hAnsi="Times New Roman" w:cs="Times New Roman"/>
          <w:b/>
          <w:color w:val="000000" w:themeColor="text1"/>
          <w:szCs w:val="24"/>
          <w14:textFill>
            <w14:solidFill>
              <w14:schemeClr w14:val="tx1"/>
            </w14:solidFill>
          </w14:textFill>
        </w:rPr>
        <w:t>表1.6</w:t>
      </w:r>
      <w:r>
        <w:rPr>
          <w:rFonts w:ascii="Times New Roman" w:hAnsi="Times New Roman" w:cs="Times New Roman"/>
          <w:b/>
          <w:color w:val="000000" w:themeColor="text1"/>
          <w:szCs w:val="24"/>
          <w14:textFill>
            <w14:solidFill>
              <w14:schemeClr w14:val="tx1"/>
            </w14:solidFill>
          </w14:textFill>
        </w:rPr>
        <w:t>-3</w:t>
      </w:r>
      <w:r>
        <w:rPr>
          <w:rFonts w:hint="eastAsia" w:ascii="Times New Roman" w:hAnsi="Times New Roman" w:cs="Times New Roman"/>
          <w:b/>
          <w:color w:val="000000" w:themeColor="text1"/>
          <w:szCs w:val="24"/>
          <w14:textFill>
            <w14:solidFill>
              <w14:schemeClr w14:val="tx1"/>
            </w14:solidFill>
          </w14:textFill>
        </w:rPr>
        <w:t xml:space="preserve">  地下水环境质量标准  </w:t>
      </w:r>
      <w:r>
        <w:rPr>
          <w:rFonts w:ascii="Times New Roman" w:hAnsi="Times New Roman" w:cs="Times New Roman"/>
          <w:b/>
          <w:color w:val="000000" w:themeColor="text1"/>
          <w:szCs w:val="24"/>
          <w14:textFill>
            <w14:solidFill>
              <w14:schemeClr w14:val="tx1"/>
            </w14:solidFill>
          </w14:textFill>
        </w:rPr>
        <w:t xml:space="preserve">     </w:t>
      </w:r>
      <w:r>
        <w:rPr>
          <w:rFonts w:hint="eastAsia" w:ascii="Times New Roman" w:hAnsi="Times New Roman" w:cs="Times New Roman"/>
          <w:b/>
          <w:color w:val="000000" w:themeColor="text1"/>
          <w:szCs w:val="24"/>
          <w14:textFill>
            <w14:solidFill>
              <w14:schemeClr w14:val="tx1"/>
            </w14:solidFill>
          </w14:textFill>
        </w:rPr>
        <w:t xml:space="preserve">  单位：mg/L</w:t>
      </w:r>
      <w:r>
        <w:rPr>
          <w:rFonts w:ascii="Times New Roman" w:hAnsi="Times New Roman" w:cs="Times New Roman"/>
          <w:b/>
          <w:color w:val="000000" w:themeColor="text1"/>
          <w:szCs w:val="24"/>
          <w14:textFill>
            <w14:solidFill>
              <w14:schemeClr w14:val="tx1"/>
            </w14:solidFill>
          </w14:textFill>
        </w:rPr>
        <w:t>，pH除外</w:t>
      </w:r>
    </w:p>
    <w:tbl>
      <w:tblPr>
        <w:tblStyle w:val="28"/>
        <w:tblW w:w="832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1701"/>
        <w:gridCol w:w="2268"/>
        <w:gridCol w:w="20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68" w:type="dxa"/>
            <w:vAlign w:val="center"/>
          </w:tcPr>
          <w:p>
            <w:pPr>
              <w:widowControl/>
              <w:adjustRightInd w:val="0"/>
              <w:snapToGrid w:val="0"/>
              <w:jc w:val="center"/>
              <w:rPr>
                <w:rFonts w:ascii="Times New Roman" w:hAnsi="Times New Roman" w:eastAsia="宋体" w:cs="Times New Roman"/>
                <w:b/>
                <w:bCs/>
                <w:color w:val="000000" w:themeColor="text1"/>
                <w:szCs w:val="21"/>
                <w14:textFill>
                  <w14:solidFill>
                    <w14:schemeClr w14:val="tx1"/>
                  </w14:solidFill>
                </w14:textFill>
              </w:rPr>
            </w:pPr>
            <w:r>
              <w:rPr>
                <w:rFonts w:hint="eastAsia" w:ascii="Times New Roman" w:hAnsi="Times New Roman" w:eastAsia="宋体" w:cs="Times New Roman"/>
                <w:b/>
                <w:bCs/>
                <w:color w:val="000000" w:themeColor="text1"/>
                <w:szCs w:val="21"/>
                <w14:textFill>
                  <w14:solidFill>
                    <w14:schemeClr w14:val="tx1"/>
                  </w14:solidFill>
                </w14:textFill>
              </w:rPr>
              <w:t>项目</w:t>
            </w:r>
          </w:p>
        </w:tc>
        <w:tc>
          <w:tcPr>
            <w:tcW w:w="1701" w:type="dxa"/>
            <w:vAlign w:val="center"/>
          </w:tcPr>
          <w:p>
            <w:pPr>
              <w:widowControl/>
              <w:adjustRightInd w:val="0"/>
              <w:snapToGrid w:val="0"/>
              <w:jc w:val="center"/>
              <w:rPr>
                <w:rFonts w:ascii="Times New Roman" w:hAnsi="Times New Roman" w:eastAsia="宋体" w:cs="Times New Roman"/>
                <w:b/>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标准值</w:t>
            </w:r>
          </w:p>
        </w:tc>
        <w:tc>
          <w:tcPr>
            <w:tcW w:w="2268" w:type="dxa"/>
            <w:vAlign w:val="center"/>
          </w:tcPr>
          <w:p>
            <w:pPr>
              <w:widowControl/>
              <w:adjustRightInd w:val="0"/>
              <w:snapToGrid w:val="0"/>
              <w:jc w:val="center"/>
              <w:rPr>
                <w:rFonts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项目</w:t>
            </w:r>
          </w:p>
        </w:tc>
        <w:tc>
          <w:tcPr>
            <w:tcW w:w="2089" w:type="dxa"/>
            <w:vAlign w:val="center"/>
          </w:tcPr>
          <w:p>
            <w:pPr>
              <w:widowControl/>
              <w:adjustRightInd w:val="0"/>
              <w:snapToGrid w:val="0"/>
              <w:jc w:val="center"/>
              <w:rPr>
                <w:rFonts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标准值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68" w:type="dxa"/>
            <w:vAlign w:val="center"/>
          </w:tcPr>
          <w:p>
            <w:pPr>
              <w:widowControl/>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pH</w:t>
            </w:r>
          </w:p>
        </w:tc>
        <w:tc>
          <w:tcPr>
            <w:tcW w:w="1701" w:type="dxa"/>
            <w:vAlign w:val="center"/>
          </w:tcPr>
          <w:p>
            <w:pPr>
              <w:widowControl/>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6</w:t>
            </w:r>
            <w:r>
              <w:rPr>
                <w:rFonts w:ascii="Times New Roman" w:hAnsi="Times New Roman" w:eastAsia="宋体" w:cs="Times New Roman"/>
                <w:color w:val="000000" w:themeColor="text1"/>
                <w:szCs w:val="21"/>
                <w14:textFill>
                  <w14:solidFill>
                    <w14:schemeClr w14:val="tx1"/>
                  </w14:solidFill>
                </w14:textFill>
              </w:rPr>
              <w:t>.5</w:t>
            </w:r>
            <w:r>
              <w:rPr>
                <w:rFonts w:hint="eastAsia"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8.5</w:t>
            </w:r>
          </w:p>
        </w:tc>
        <w:tc>
          <w:tcPr>
            <w:tcW w:w="2268" w:type="dxa"/>
            <w:vAlign w:val="center"/>
          </w:tcPr>
          <w:p>
            <w:pPr>
              <w:widowControl/>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铁</w:t>
            </w:r>
          </w:p>
        </w:tc>
        <w:tc>
          <w:tcPr>
            <w:tcW w:w="2089" w:type="dxa"/>
            <w:vAlign w:val="center"/>
          </w:tcPr>
          <w:p>
            <w:pPr>
              <w:widowControl/>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68" w:type="dxa"/>
            <w:vAlign w:val="center"/>
          </w:tcPr>
          <w:p>
            <w:pPr>
              <w:widowControl/>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总硬度</w:t>
            </w:r>
          </w:p>
        </w:tc>
        <w:tc>
          <w:tcPr>
            <w:tcW w:w="1701" w:type="dxa"/>
            <w:vAlign w:val="center"/>
          </w:tcPr>
          <w:p>
            <w:pPr>
              <w:widowControl/>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450</w:t>
            </w:r>
          </w:p>
        </w:tc>
        <w:tc>
          <w:tcPr>
            <w:tcW w:w="2268" w:type="dxa"/>
            <w:vAlign w:val="center"/>
          </w:tcPr>
          <w:p>
            <w:pPr>
              <w:widowControl/>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锰</w:t>
            </w:r>
          </w:p>
        </w:tc>
        <w:tc>
          <w:tcPr>
            <w:tcW w:w="2089" w:type="dxa"/>
            <w:vAlign w:val="center"/>
          </w:tcPr>
          <w:p>
            <w:pPr>
              <w:widowControl/>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≤0</w:t>
            </w:r>
            <w:r>
              <w:rPr>
                <w:rFonts w:ascii="Times New Roman" w:hAnsi="Times New Roman" w:eastAsia="宋体" w:cs="Times New Roman"/>
                <w:color w:val="000000" w:themeColor="text1"/>
                <w:szCs w:val="21"/>
                <w14:textFill>
                  <w14:solidFill>
                    <w14:schemeClr w14:val="tx1"/>
                  </w14:solidFill>
                </w14:textFill>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68" w:type="dxa"/>
            <w:vAlign w:val="center"/>
          </w:tcPr>
          <w:p>
            <w:pPr>
              <w:widowControl/>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溶解性总固体</w:t>
            </w:r>
          </w:p>
        </w:tc>
        <w:tc>
          <w:tcPr>
            <w:tcW w:w="1701" w:type="dxa"/>
            <w:vAlign w:val="center"/>
          </w:tcPr>
          <w:p>
            <w:pPr>
              <w:widowControl/>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w:t>
            </w:r>
            <w:r>
              <w:rPr>
                <w:rFonts w:ascii="Times New Roman" w:hAnsi="Times New Roman" w:eastAsia="宋体" w:cs="Times New Roman"/>
                <w:color w:val="000000" w:themeColor="text1"/>
                <w:szCs w:val="21"/>
                <w14:textFill>
                  <w14:solidFill>
                    <w14:schemeClr w14:val="tx1"/>
                  </w14:solidFill>
                </w14:textFill>
              </w:rPr>
              <w:t>000</w:t>
            </w:r>
          </w:p>
        </w:tc>
        <w:tc>
          <w:tcPr>
            <w:tcW w:w="2268" w:type="dxa"/>
            <w:vAlign w:val="center"/>
          </w:tcPr>
          <w:p>
            <w:pPr>
              <w:widowControl/>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钼</w:t>
            </w:r>
          </w:p>
        </w:tc>
        <w:tc>
          <w:tcPr>
            <w:tcW w:w="2089" w:type="dxa"/>
            <w:vAlign w:val="center"/>
          </w:tcPr>
          <w:p>
            <w:pPr>
              <w:widowControl/>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≤0</w:t>
            </w:r>
            <w:r>
              <w:rPr>
                <w:rFonts w:ascii="Times New Roman" w:hAnsi="Times New Roman" w:eastAsia="宋体" w:cs="Times New Roman"/>
                <w:color w:val="000000" w:themeColor="text1"/>
                <w:szCs w:val="21"/>
                <w14:textFill>
                  <w14:solidFill>
                    <w14:schemeClr w14:val="tx1"/>
                  </w14:solidFill>
                </w14:textFill>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68" w:type="dxa"/>
            <w:vAlign w:val="center"/>
          </w:tcPr>
          <w:p>
            <w:pPr>
              <w:widowControl/>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耗氧量</w:t>
            </w:r>
          </w:p>
        </w:tc>
        <w:tc>
          <w:tcPr>
            <w:tcW w:w="1701" w:type="dxa"/>
            <w:vAlign w:val="center"/>
          </w:tcPr>
          <w:p>
            <w:pPr>
              <w:widowControl/>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≤3</w:t>
            </w:r>
            <w:r>
              <w:rPr>
                <w:rFonts w:ascii="Times New Roman" w:hAnsi="Times New Roman" w:eastAsia="宋体" w:cs="Times New Roman"/>
                <w:color w:val="000000" w:themeColor="text1"/>
                <w:szCs w:val="21"/>
                <w14:textFill>
                  <w14:solidFill>
                    <w14:schemeClr w14:val="tx1"/>
                  </w14:solidFill>
                </w14:textFill>
              </w:rPr>
              <w:t>.0</w:t>
            </w:r>
          </w:p>
        </w:tc>
        <w:tc>
          <w:tcPr>
            <w:tcW w:w="2268" w:type="dxa"/>
            <w:vAlign w:val="center"/>
          </w:tcPr>
          <w:p>
            <w:pPr>
              <w:widowControl/>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钴</w:t>
            </w:r>
          </w:p>
        </w:tc>
        <w:tc>
          <w:tcPr>
            <w:tcW w:w="2089" w:type="dxa"/>
            <w:vAlign w:val="center"/>
          </w:tcPr>
          <w:p>
            <w:pPr>
              <w:widowControl/>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≤0</w:t>
            </w:r>
            <w:r>
              <w:rPr>
                <w:rFonts w:ascii="Times New Roman" w:hAnsi="Times New Roman" w:eastAsia="宋体" w:cs="Times New Roman"/>
                <w:color w:val="000000" w:themeColor="text1"/>
                <w:szCs w:val="21"/>
                <w14:textFill>
                  <w14:solidFill>
                    <w14:schemeClr w14:val="tx1"/>
                  </w14:solidFill>
                </w14:textFill>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68" w:type="dxa"/>
            <w:vAlign w:val="center"/>
          </w:tcPr>
          <w:p>
            <w:pPr>
              <w:widowControl/>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氨氮</w:t>
            </w:r>
          </w:p>
        </w:tc>
        <w:tc>
          <w:tcPr>
            <w:tcW w:w="1701" w:type="dxa"/>
            <w:vAlign w:val="center"/>
          </w:tcPr>
          <w:p>
            <w:pPr>
              <w:widowControl/>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≤0</w:t>
            </w:r>
            <w:r>
              <w:rPr>
                <w:rFonts w:ascii="Times New Roman" w:hAnsi="Times New Roman" w:eastAsia="宋体" w:cs="Times New Roman"/>
                <w:color w:val="000000" w:themeColor="text1"/>
                <w:szCs w:val="21"/>
                <w14:textFill>
                  <w14:solidFill>
                    <w14:schemeClr w14:val="tx1"/>
                  </w14:solidFill>
                </w14:textFill>
              </w:rPr>
              <w:t>.50</w:t>
            </w:r>
          </w:p>
        </w:tc>
        <w:tc>
          <w:tcPr>
            <w:tcW w:w="2268" w:type="dxa"/>
            <w:vAlign w:val="center"/>
          </w:tcPr>
          <w:p>
            <w:pPr>
              <w:widowControl/>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钡</w:t>
            </w:r>
          </w:p>
        </w:tc>
        <w:tc>
          <w:tcPr>
            <w:tcW w:w="2089" w:type="dxa"/>
            <w:vAlign w:val="center"/>
          </w:tcPr>
          <w:p>
            <w:pPr>
              <w:widowControl/>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≤0</w:t>
            </w:r>
            <w:r>
              <w:rPr>
                <w:rFonts w:ascii="Times New Roman" w:hAnsi="Times New Roman" w:eastAsia="宋体" w:cs="Times New Roman"/>
                <w:color w:val="000000" w:themeColor="text1"/>
                <w:szCs w:val="21"/>
                <w14:textFill>
                  <w14:solidFill>
                    <w14:schemeClr w14:val="tx1"/>
                  </w14:solidFill>
                </w14:textFill>
              </w:rPr>
              <w:t>.70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68" w:type="dxa"/>
            <w:vAlign w:val="center"/>
          </w:tcPr>
          <w:p>
            <w:pPr>
              <w:widowControl/>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总磷</w:t>
            </w:r>
          </w:p>
        </w:tc>
        <w:tc>
          <w:tcPr>
            <w:tcW w:w="1701" w:type="dxa"/>
            <w:vAlign w:val="center"/>
          </w:tcPr>
          <w:p>
            <w:pPr>
              <w:widowControl/>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w:t>
            </w:r>
          </w:p>
        </w:tc>
        <w:tc>
          <w:tcPr>
            <w:tcW w:w="2268" w:type="dxa"/>
            <w:vAlign w:val="center"/>
          </w:tcPr>
          <w:p>
            <w:pPr>
              <w:widowControl/>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镍</w:t>
            </w:r>
          </w:p>
        </w:tc>
        <w:tc>
          <w:tcPr>
            <w:tcW w:w="2089" w:type="dxa"/>
            <w:vAlign w:val="center"/>
          </w:tcPr>
          <w:p>
            <w:pPr>
              <w:widowControl/>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≤0</w:t>
            </w:r>
            <w:r>
              <w:rPr>
                <w:rFonts w:ascii="Times New Roman" w:hAnsi="Times New Roman" w:eastAsia="宋体" w:cs="Times New Roman"/>
                <w:color w:val="000000" w:themeColor="text1"/>
                <w:szCs w:val="21"/>
                <w14:textFill>
                  <w14:solidFill>
                    <w14:schemeClr w14:val="tx1"/>
                  </w14:solidFill>
                </w14:textFill>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68" w:type="dxa"/>
            <w:vAlign w:val="center"/>
          </w:tcPr>
          <w:p>
            <w:pPr>
              <w:widowControl/>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挥发酚</w:t>
            </w:r>
          </w:p>
        </w:tc>
        <w:tc>
          <w:tcPr>
            <w:tcW w:w="1701" w:type="dxa"/>
            <w:vAlign w:val="center"/>
          </w:tcPr>
          <w:p>
            <w:pPr>
              <w:widowControl/>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≤0</w:t>
            </w:r>
            <w:r>
              <w:rPr>
                <w:rFonts w:ascii="Times New Roman" w:hAnsi="Times New Roman" w:eastAsia="宋体" w:cs="Times New Roman"/>
                <w:color w:val="000000" w:themeColor="text1"/>
                <w:szCs w:val="21"/>
                <w14:textFill>
                  <w14:solidFill>
                    <w14:schemeClr w14:val="tx1"/>
                  </w14:solidFill>
                </w14:textFill>
              </w:rPr>
              <w:t>.002</w:t>
            </w:r>
          </w:p>
        </w:tc>
        <w:tc>
          <w:tcPr>
            <w:tcW w:w="2268" w:type="dxa"/>
            <w:vAlign w:val="center"/>
          </w:tcPr>
          <w:p>
            <w:pPr>
              <w:widowControl/>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锂</w:t>
            </w:r>
          </w:p>
        </w:tc>
        <w:tc>
          <w:tcPr>
            <w:tcW w:w="2089" w:type="dxa"/>
            <w:vAlign w:val="center"/>
          </w:tcPr>
          <w:p>
            <w:pPr>
              <w:widowControl/>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68" w:type="dxa"/>
            <w:vAlign w:val="center"/>
          </w:tcPr>
          <w:p>
            <w:pPr>
              <w:widowControl/>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六价铬</w:t>
            </w:r>
          </w:p>
        </w:tc>
        <w:tc>
          <w:tcPr>
            <w:tcW w:w="1701" w:type="dxa"/>
            <w:vAlign w:val="center"/>
          </w:tcPr>
          <w:p>
            <w:pPr>
              <w:widowControl/>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≤0</w:t>
            </w:r>
            <w:r>
              <w:rPr>
                <w:rFonts w:ascii="Times New Roman" w:hAnsi="Times New Roman" w:eastAsia="宋体" w:cs="Times New Roman"/>
                <w:color w:val="000000" w:themeColor="text1"/>
                <w:szCs w:val="21"/>
                <w14:textFill>
                  <w14:solidFill>
                    <w14:schemeClr w14:val="tx1"/>
                  </w14:solidFill>
                </w14:textFill>
              </w:rPr>
              <w:t>.05</w:t>
            </w:r>
          </w:p>
        </w:tc>
        <w:tc>
          <w:tcPr>
            <w:tcW w:w="2268" w:type="dxa"/>
            <w:vAlign w:val="center"/>
          </w:tcPr>
          <w:p>
            <w:pPr>
              <w:widowControl/>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铅</w:t>
            </w:r>
          </w:p>
        </w:tc>
        <w:tc>
          <w:tcPr>
            <w:tcW w:w="2089" w:type="dxa"/>
            <w:vAlign w:val="center"/>
          </w:tcPr>
          <w:p>
            <w:pPr>
              <w:widowControl/>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≤0</w:t>
            </w:r>
            <w:r>
              <w:rPr>
                <w:rFonts w:ascii="Times New Roman" w:hAnsi="Times New Roman" w:eastAsia="宋体" w:cs="Times New Roman"/>
                <w:color w:val="000000" w:themeColor="text1"/>
                <w:szCs w:val="21"/>
                <w14:textFill>
                  <w14:solidFill>
                    <w14:schemeClr w14:val="tx1"/>
                  </w14:solidFill>
                </w14:textFill>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68" w:type="dxa"/>
            <w:vAlign w:val="center"/>
          </w:tcPr>
          <w:p>
            <w:pPr>
              <w:widowControl/>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氰化物</w:t>
            </w:r>
          </w:p>
        </w:tc>
        <w:tc>
          <w:tcPr>
            <w:tcW w:w="1701" w:type="dxa"/>
            <w:vAlign w:val="center"/>
          </w:tcPr>
          <w:p>
            <w:pPr>
              <w:widowControl/>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≤0</w:t>
            </w:r>
            <w:r>
              <w:rPr>
                <w:rFonts w:ascii="Times New Roman" w:hAnsi="Times New Roman" w:cs="Times New Roman"/>
                <w:color w:val="000000" w:themeColor="text1"/>
                <w:szCs w:val="21"/>
                <w14:textFill>
                  <w14:solidFill>
                    <w14:schemeClr w14:val="tx1"/>
                  </w14:solidFill>
                </w14:textFill>
              </w:rPr>
              <w:t>.05</w:t>
            </w:r>
          </w:p>
        </w:tc>
        <w:tc>
          <w:tcPr>
            <w:tcW w:w="2268" w:type="dxa"/>
            <w:vAlign w:val="center"/>
          </w:tcPr>
          <w:p>
            <w:pPr>
              <w:widowControl/>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镉</w:t>
            </w:r>
          </w:p>
        </w:tc>
        <w:tc>
          <w:tcPr>
            <w:tcW w:w="2089" w:type="dxa"/>
            <w:vAlign w:val="center"/>
          </w:tcPr>
          <w:p>
            <w:pPr>
              <w:widowControl/>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≤0</w:t>
            </w:r>
            <w:r>
              <w:rPr>
                <w:rFonts w:ascii="Times New Roman" w:hAnsi="Times New Roman" w:eastAsia="宋体" w:cs="Times New Roman"/>
                <w:color w:val="000000" w:themeColor="text1"/>
                <w:szCs w:val="21"/>
                <w14:textFill>
                  <w14:solidFill>
                    <w14:schemeClr w14:val="tx1"/>
                  </w14:solidFill>
                </w14:textFill>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68" w:type="dxa"/>
            <w:vAlign w:val="center"/>
          </w:tcPr>
          <w:p>
            <w:pPr>
              <w:widowControl/>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氯化物</w:t>
            </w:r>
          </w:p>
        </w:tc>
        <w:tc>
          <w:tcPr>
            <w:tcW w:w="1701" w:type="dxa"/>
            <w:vAlign w:val="center"/>
          </w:tcPr>
          <w:p>
            <w:pPr>
              <w:widowControl/>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≤2</w:t>
            </w:r>
            <w:r>
              <w:rPr>
                <w:rFonts w:ascii="Times New Roman" w:hAnsi="Times New Roman" w:eastAsia="宋体" w:cs="Times New Roman"/>
                <w:color w:val="000000" w:themeColor="text1"/>
                <w:szCs w:val="21"/>
                <w14:textFill>
                  <w14:solidFill>
                    <w14:schemeClr w14:val="tx1"/>
                  </w14:solidFill>
                </w14:textFill>
              </w:rPr>
              <w:t>50</w:t>
            </w:r>
          </w:p>
        </w:tc>
        <w:tc>
          <w:tcPr>
            <w:tcW w:w="2268" w:type="dxa"/>
            <w:vAlign w:val="center"/>
          </w:tcPr>
          <w:p>
            <w:pPr>
              <w:widowControl/>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汞</w:t>
            </w:r>
          </w:p>
        </w:tc>
        <w:tc>
          <w:tcPr>
            <w:tcW w:w="2089" w:type="dxa"/>
            <w:vAlign w:val="center"/>
          </w:tcPr>
          <w:p>
            <w:pPr>
              <w:widowControl/>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≤0</w:t>
            </w:r>
            <w:r>
              <w:rPr>
                <w:rFonts w:ascii="Times New Roman" w:hAnsi="Times New Roman" w:eastAsia="宋体" w:cs="Times New Roman"/>
                <w:color w:val="000000" w:themeColor="text1"/>
                <w:szCs w:val="21"/>
                <w14:textFill>
                  <w14:solidFill>
                    <w14:schemeClr w14:val="tx1"/>
                  </w14:solidFill>
                </w14:textFill>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68" w:type="dxa"/>
            <w:vAlign w:val="center"/>
          </w:tcPr>
          <w:p>
            <w:pPr>
              <w:widowControl/>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硝酸盐（以氮计）</w:t>
            </w:r>
          </w:p>
        </w:tc>
        <w:tc>
          <w:tcPr>
            <w:tcW w:w="1701" w:type="dxa"/>
            <w:vAlign w:val="center"/>
          </w:tcPr>
          <w:p>
            <w:pPr>
              <w:widowControl/>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≤2</w:t>
            </w:r>
            <w:r>
              <w:rPr>
                <w:rFonts w:ascii="Times New Roman" w:hAnsi="Times New Roman" w:eastAsia="宋体" w:cs="Times New Roman"/>
                <w:color w:val="000000" w:themeColor="text1"/>
                <w:szCs w:val="21"/>
                <w14:textFill>
                  <w14:solidFill>
                    <w14:schemeClr w14:val="tx1"/>
                  </w14:solidFill>
                </w14:textFill>
              </w:rPr>
              <w:t>0.0</w:t>
            </w:r>
          </w:p>
        </w:tc>
        <w:tc>
          <w:tcPr>
            <w:tcW w:w="2268" w:type="dxa"/>
            <w:vAlign w:val="center"/>
          </w:tcPr>
          <w:p>
            <w:pPr>
              <w:widowControl/>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砷</w:t>
            </w:r>
          </w:p>
        </w:tc>
        <w:tc>
          <w:tcPr>
            <w:tcW w:w="2089" w:type="dxa"/>
            <w:vAlign w:val="center"/>
          </w:tcPr>
          <w:p>
            <w:pPr>
              <w:widowControl/>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≤0</w:t>
            </w:r>
            <w:r>
              <w:rPr>
                <w:rFonts w:ascii="Times New Roman" w:hAnsi="Times New Roman" w:eastAsia="宋体" w:cs="Times New Roman"/>
                <w:color w:val="000000" w:themeColor="text1"/>
                <w:szCs w:val="21"/>
                <w14:textFill>
                  <w14:solidFill>
                    <w14:schemeClr w14:val="tx1"/>
                  </w14:solidFill>
                </w14:textFill>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68" w:type="dxa"/>
            <w:vAlign w:val="center"/>
          </w:tcPr>
          <w:p>
            <w:pPr>
              <w:widowControl/>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亚硝酸盐（以氮计）</w:t>
            </w:r>
          </w:p>
        </w:tc>
        <w:tc>
          <w:tcPr>
            <w:tcW w:w="1701" w:type="dxa"/>
            <w:vAlign w:val="center"/>
          </w:tcPr>
          <w:p>
            <w:pPr>
              <w:widowControl/>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w:t>
            </w:r>
            <w:r>
              <w:rPr>
                <w:rFonts w:ascii="Times New Roman" w:hAnsi="Times New Roman" w:eastAsia="宋体" w:cs="Times New Roman"/>
                <w:color w:val="000000" w:themeColor="text1"/>
                <w:szCs w:val="21"/>
                <w14:textFill>
                  <w14:solidFill>
                    <w14:schemeClr w14:val="tx1"/>
                  </w14:solidFill>
                </w14:textFill>
              </w:rPr>
              <w:t>.00</w:t>
            </w:r>
          </w:p>
        </w:tc>
        <w:tc>
          <w:tcPr>
            <w:tcW w:w="2268" w:type="dxa"/>
            <w:vAlign w:val="center"/>
          </w:tcPr>
          <w:p>
            <w:pPr>
              <w:widowControl/>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铍</w:t>
            </w:r>
          </w:p>
        </w:tc>
        <w:tc>
          <w:tcPr>
            <w:tcW w:w="2089" w:type="dxa"/>
            <w:vAlign w:val="center"/>
          </w:tcPr>
          <w:p>
            <w:pPr>
              <w:widowControl/>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≤0</w:t>
            </w:r>
            <w:r>
              <w:rPr>
                <w:rFonts w:ascii="Times New Roman" w:hAnsi="Times New Roman" w:eastAsia="宋体" w:cs="Times New Roman"/>
                <w:color w:val="000000" w:themeColor="text1"/>
                <w:szCs w:val="21"/>
                <w14:textFill>
                  <w14:solidFill>
                    <w14:schemeClr w14:val="tx1"/>
                  </w14:solidFill>
                </w14:textFill>
              </w:rPr>
              <w:t>.002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68" w:type="dxa"/>
            <w:vAlign w:val="center"/>
          </w:tcPr>
          <w:p>
            <w:pPr>
              <w:widowControl/>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氟化物</w:t>
            </w:r>
          </w:p>
        </w:tc>
        <w:tc>
          <w:tcPr>
            <w:tcW w:w="1701" w:type="dxa"/>
            <w:vAlign w:val="center"/>
          </w:tcPr>
          <w:p>
            <w:pPr>
              <w:widowControl/>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w:t>
            </w:r>
            <w:r>
              <w:rPr>
                <w:rFonts w:ascii="Times New Roman" w:hAnsi="Times New Roman" w:eastAsia="宋体" w:cs="Times New Roman"/>
                <w:color w:val="000000" w:themeColor="text1"/>
                <w:szCs w:val="21"/>
                <w14:textFill>
                  <w14:solidFill>
                    <w14:schemeClr w14:val="tx1"/>
                  </w14:solidFill>
                </w14:textFill>
              </w:rPr>
              <w:t>.0</w:t>
            </w:r>
          </w:p>
        </w:tc>
        <w:tc>
          <w:tcPr>
            <w:tcW w:w="2268" w:type="dxa"/>
            <w:vAlign w:val="center"/>
          </w:tcPr>
          <w:p>
            <w:pPr>
              <w:widowControl/>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总</w:t>
            </w:r>
            <w:r>
              <w:rPr>
                <w:rFonts w:ascii="Times New Roman" w:hAnsi="Times New Roman" w:cs="Times New Roman"/>
                <w:color w:val="000000" w:themeColor="text1"/>
                <w:szCs w:val="21"/>
                <w14:textFill>
                  <w14:solidFill>
                    <w14:schemeClr w14:val="tx1"/>
                  </w14:solidFill>
                </w14:textFill>
              </w:rPr>
              <w:t>α</w:t>
            </w:r>
            <w:r>
              <w:rPr>
                <w:rFonts w:hint="eastAsia" w:ascii="Times New Roman" w:hAnsi="Times New Roman" w:cs="Times New Roman"/>
                <w:color w:val="000000" w:themeColor="text1"/>
                <w:szCs w:val="21"/>
                <w14:textFill>
                  <w14:solidFill>
                    <w14:schemeClr w14:val="tx1"/>
                  </w14:solidFill>
                </w14:textFill>
              </w:rPr>
              <w:t>放射性</w:t>
            </w:r>
          </w:p>
        </w:tc>
        <w:tc>
          <w:tcPr>
            <w:tcW w:w="2089" w:type="dxa"/>
            <w:vAlign w:val="center"/>
          </w:tcPr>
          <w:p>
            <w:pPr>
              <w:widowControl/>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≤0</w:t>
            </w:r>
            <w:r>
              <w:rPr>
                <w:rFonts w:ascii="Times New Roman" w:hAnsi="Times New Roman" w:eastAsia="宋体" w:cs="Times New Roman"/>
                <w:color w:val="000000" w:themeColor="text1"/>
                <w:szCs w:val="21"/>
                <w14:textFill>
                  <w14:solidFill>
                    <w14:schemeClr w14:val="tx1"/>
                  </w14:solidFill>
                </w14:textFill>
              </w:rPr>
              <w:t>.5</w:t>
            </w:r>
            <w:r>
              <w:rPr>
                <w:rFonts w:hint="eastAsia" w:ascii="Times New Roman" w:hAnsi="Times New Roman" w:eastAsia="宋体" w:cs="Times New Roman"/>
                <w:color w:val="000000" w:themeColor="text1"/>
                <w:szCs w:val="21"/>
                <w14:textFill>
                  <w14:solidFill>
                    <w14:schemeClr w14:val="tx1"/>
                  </w14:solidFill>
                </w14:textFill>
              </w:rPr>
              <w:t>（Bq</w:t>
            </w:r>
            <w:r>
              <w:rPr>
                <w:rFonts w:ascii="Times New Roman" w:hAnsi="Times New Roman" w:eastAsia="宋体" w:cs="Times New Roman"/>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szCs w:val="21"/>
                <w14:textFill>
                  <w14:solidFill>
                    <w14:schemeClr w14:val="tx1"/>
                  </w14:solidFill>
                </w14:textFill>
              </w:rPr>
              <w:t>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68" w:type="dxa"/>
            <w:vAlign w:val="center"/>
          </w:tcPr>
          <w:p>
            <w:pPr>
              <w:widowControl/>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硫酸盐</w:t>
            </w:r>
          </w:p>
        </w:tc>
        <w:tc>
          <w:tcPr>
            <w:tcW w:w="1701" w:type="dxa"/>
            <w:vAlign w:val="center"/>
          </w:tcPr>
          <w:p>
            <w:pPr>
              <w:widowControl/>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≤2</w:t>
            </w:r>
            <w:r>
              <w:rPr>
                <w:rFonts w:ascii="Times New Roman" w:hAnsi="Times New Roman" w:eastAsia="宋体" w:cs="Times New Roman"/>
                <w:color w:val="000000" w:themeColor="text1"/>
                <w:szCs w:val="21"/>
                <w14:textFill>
                  <w14:solidFill>
                    <w14:schemeClr w14:val="tx1"/>
                  </w14:solidFill>
                </w14:textFill>
              </w:rPr>
              <w:t>50</w:t>
            </w:r>
          </w:p>
        </w:tc>
        <w:tc>
          <w:tcPr>
            <w:tcW w:w="2268" w:type="dxa"/>
            <w:vAlign w:val="center"/>
          </w:tcPr>
          <w:p>
            <w:pPr>
              <w:widowControl/>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总</w:t>
            </w:r>
            <w:r>
              <w:rPr>
                <w:rFonts w:ascii="Times New Roman" w:hAnsi="Times New Roman" w:cs="Times New Roman"/>
                <w:color w:val="000000" w:themeColor="text1"/>
                <w:szCs w:val="21"/>
                <w14:textFill>
                  <w14:solidFill>
                    <w14:schemeClr w14:val="tx1"/>
                  </w14:solidFill>
                </w14:textFill>
              </w:rPr>
              <w:t>β</w:t>
            </w:r>
            <w:r>
              <w:rPr>
                <w:rFonts w:hint="eastAsia" w:ascii="Times New Roman" w:hAnsi="Times New Roman" w:cs="Times New Roman"/>
                <w:color w:val="000000" w:themeColor="text1"/>
                <w:szCs w:val="21"/>
                <w14:textFill>
                  <w14:solidFill>
                    <w14:schemeClr w14:val="tx1"/>
                  </w14:solidFill>
                </w14:textFill>
              </w:rPr>
              <w:t>放射性</w:t>
            </w:r>
          </w:p>
        </w:tc>
        <w:tc>
          <w:tcPr>
            <w:tcW w:w="2089" w:type="dxa"/>
            <w:vAlign w:val="center"/>
          </w:tcPr>
          <w:p>
            <w:pPr>
              <w:widowControl/>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w:t>
            </w:r>
            <w:r>
              <w:rPr>
                <w:rFonts w:ascii="Times New Roman" w:hAnsi="Times New Roman" w:eastAsia="宋体" w:cs="Times New Roman"/>
                <w:color w:val="000000" w:themeColor="text1"/>
                <w:szCs w:val="21"/>
                <w14:textFill>
                  <w14:solidFill>
                    <w14:schemeClr w14:val="tx1"/>
                  </w14:solidFill>
                </w14:textFill>
              </w:rPr>
              <w:t>.0</w:t>
            </w:r>
            <w:r>
              <w:rPr>
                <w:rFonts w:hint="eastAsia" w:ascii="Times New Roman" w:hAnsi="Times New Roman" w:eastAsia="宋体" w:cs="Times New Roman"/>
                <w:color w:val="000000" w:themeColor="text1"/>
                <w:szCs w:val="21"/>
                <w14:textFill>
                  <w14:solidFill>
                    <w14:schemeClr w14:val="tx1"/>
                  </w14:solidFill>
                </w14:textFill>
              </w:rPr>
              <w:t>（Bq/L）</w:t>
            </w:r>
          </w:p>
        </w:tc>
      </w:tr>
    </w:tbl>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4</w:t>
      </w: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声环境</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声环境质量标准验收期与环评阶段一致。项目区域执行《声环境质量标准》（GB3096-2008）2类标准。相应标准限值详见下表。</w:t>
      </w:r>
    </w:p>
    <w:p>
      <w:pPr>
        <w:spacing w:line="360" w:lineRule="auto"/>
        <w:jc w:val="center"/>
        <w:rPr>
          <w:rFonts w:ascii="Times New Roman" w:hAnsi="Times New Roman" w:cs="Times New Roman"/>
          <w:b/>
          <w:color w:val="000000" w:themeColor="text1"/>
          <w:szCs w:val="24"/>
          <w14:textFill>
            <w14:solidFill>
              <w14:schemeClr w14:val="tx1"/>
            </w14:solidFill>
          </w14:textFill>
        </w:rPr>
      </w:pPr>
      <w:r>
        <w:rPr>
          <w:rFonts w:hint="eastAsia" w:ascii="Times New Roman" w:hAnsi="Times New Roman" w:cs="Times New Roman"/>
          <w:b/>
          <w:color w:val="000000" w:themeColor="text1"/>
          <w:szCs w:val="24"/>
          <w14:textFill>
            <w14:solidFill>
              <w14:schemeClr w14:val="tx1"/>
            </w14:solidFill>
          </w14:textFill>
        </w:rPr>
        <w:t>表1.6</w:t>
      </w:r>
      <w:r>
        <w:rPr>
          <w:rFonts w:ascii="Times New Roman" w:hAnsi="Times New Roman" w:cs="Times New Roman"/>
          <w:b/>
          <w:color w:val="000000" w:themeColor="text1"/>
          <w:szCs w:val="24"/>
          <w14:textFill>
            <w14:solidFill>
              <w14:schemeClr w14:val="tx1"/>
            </w14:solidFill>
          </w14:textFill>
        </w:rPr>
        <w:t xml:space="preserve">-4  </w:t>
      </w:r>
      <w:r>
        <w:rPr>
          <w:rFonts w:hint="eastAsia" w:ascii="Times New Roman" w:hAnsi="Times New Roman" w:cs="Times New Roman"/>
          <w:b/>
          <w:color w:val="000000" w:themeColor="text1"/>
          <w:szCs w:val="24"/>
          <w14:textFill>
            <w14:solidFill>
              <w14:schemeClr w14:val="tx1"/>
            </w14:solidFill>
          </w14:textFill>
        </w:rPr>
        <w:t xml:space="preserve">声环境质量标准   </w:t>
      </w:r>
      <w:r>
        <w:rPr>
          <w:rFonts w:ascii="Times New Roman" w:hAnsi="Times New Roman" w:cs="Times New Roman"/>
          <w:b/>
          <w:color w:val="000000" w:themeColor="text1"/>
          <w:szCs w:val="24"/>
          <w14:textFill>
            <w14:solidFill>
              <w14:schemeClr w14:val="tx1"/>
            </w14:solidFill>
          </w14:textFill>
        </w:rPr>
        <w:t xml:space="preserve">    </w:t>
      </w:r>
      <w:r>
        <w:rPr>
          <w:rFonts w:hint="eastAsia" w:ascii="Times New Roman" w:hAnsi="Times New Roman" w:cs="Times New Roman"/>
          <w:b/>
          <w:color w:val="000000" w:themeColor="text1"/>
          <w:szCs w:val="24"/>
          <w14:textFill>
            <w14:solidFill>
              <w14:schemeClr w14:val="tx1"/>
            </w14:solidFill>
          </w14:textFill>
        </w:rPr>
        <w:t>单位</w:t>
      </w:r>
      <w:r>
        <w:rPr>
          <w:rFonts w:ascii="Times New Roman" w:hAnsi="Times New Roman" w:cs="Times New Roman"/>
          <w:b/>
          <w:color w:val="000000" w:themeColor="text1"/>
          <w:szCs w:val="24"/>
          <w14:textFill>
            <w14:solidFill>
              <w14:schemeClr w14:val="tx1"/>
            </w14:solidFill>
          </w14:textFill>
        </w:rPr>
        <w:t>：</w:t>
      </w:r>
      <w:r>
        <w:rPr>
          <w:rFonts w:hint="eastAsia" w:ascii="Times New Roman" w:hAnsi="Times New Roman" w:cs="Times New Roman"/>
          <w:b/>
          <w:color w:val="000000" w:themeColor="text1"/>
          <w:szCs w:val="24"/>
          <w14:textFill>
            <w14:solidFill>
              <w14:schemeClr w14:val="tx1"/>
            </w14:solidFill>
          </w14:textFill>
        </w:rPr>
        <w:t>dB</w:t>
      </w:r>
      <w:r>
        <w:rPr>
          <w:rFonts w:ascii="Times New Roman" w:hAnsi="Times New Roman" w:cs="Times New Roman"/>
          <w:b/>
          <w:color w:val="000000" w:themeColor="text1"/>
          <w:szCs w:val="24"/>
          <w14:textFill>
            <w14:solidFill>
              <w14:schemeClr w14:val="tx1"/>
            </w14:solidFill>
          </w14:textFill>
        </w:rPr>
        <w:t>（</w:t>
      </w:r>
      <w:r>
        <w:rPr>
          <w:rFonts w:hint="eastAsia" w:ascii="Times New Roman" w:hAnsi="Times New Roman" w:cs="Times New Roman"/>
          <w:b/>
          <w:color w:val="000000" w:themeColor="text1"/>
          <w:szCs w:val="24"/>
          <w14:textFill>
            <w14:solidFill>
              <w14:schemeClr w14:val="tx1"/>
            </w14:solidFill>
          </w14:textFill>
        </w:rPr>
        <w:t>A</w:t>
      </w:r>
      <w:r>
        <w:rPr>
          <w:rFonts w:ascii="Times New Roman" w:hAnsi="Times New Roman" w:cs="Times New Roman"/>
          <w:b/>
          <w:color w:val="000000" w:themeColor="text1"/>
          <w:szCs w:val="24"/>
          <w14:textFill>
            <w14:solidFill>
              <w14:schemeClr w14:val="tx1"/>
            </w14:solidFill>
          </w14:textFill>
        </w:rPr>
        <w:t>）</w:t>
      </w:r>
    </w:p>
    <w:tbl>
      <w:tblPr>
        <w:tblStyle w:val="28"/>
        <w:tblW w:w="878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2996"/>
        <w:gridCol w:w="2996"/>
        <w:gridCol w:w="27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996" w:type="dxa"/>
            <w:vAlign w:val="center"/>
          </w:tcPr>
          <w:p>
            <w:pPr>
              <w:widowControl/>
              <w:adjustRightInd w:val="0"/>
              <w:snapToGrid w:val="0"/>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标准等级</w:t>
            </w:r>
          </w:p>
        </w:tc>
        <w:tc>
          <w:tcPr>
            <w:tcW w:w="2996" w:type="dxa"/>
            <w:vAlign w:val="center"/>
          </w:tcPr>
          <w:p>
            <w:pPr>
              <w:widowControl/>
              <w:adjustRightInd w:val="0"/>
              <w:snapToGrid w:val="0"/>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昼间</w:t>
            </w:r>
          </w:p>
        </w:tc>
        <w:tc>
          <w:tcPr>
            <w:tcW w:w="2792" w:type="dxa"/>
            <w:vAlign w:val="center"/>
          </w:tcPr>
          <w:p>
            <w:pPr>
              <w:widowControl/>
              <w:adjustRightInd w:val="0"/>
              <w:snapToGrid w:val="0"/>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996" w:type="dxa"/>
            <w:vAlign w:val="center"/>
          </w:tcPr>
          <w:p>
            <w:pPr>
              <w:widowControl/>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w:t>
            </w:r>
            <w:r>
              <w:rPr>
                <w:rFonts w:hint="eastAsia" w:ascii="Times New Roman" w:hAnsi="Times New Roman" w:eastAsia="宋体" w:cs="Times New Roman"/>
                <w:color w:val="000000" w:themeColor="text1"/>
                <w:szCs w:val="21"/>
                <w14:textFill>
                  <w14:solidFill>
                    <w14:schemeClr w14:val="tx1"/>
                  </w14:solidFill>
                </w14:textFill>
              </w:rPr>
              <w:t>类</w:t>
            </w:r>
          </w:p>
        </w:tc>
        <w:tc>
          <w:tcPr>
            <w:tcW w:w="2996" w:type="dxa"/>
            <w:vAlign w:val="center"/>
          </w:tcPr>
          <w:p>
            <w:pPr>
              <w:widowControl/>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60</w:t>
            </w:r>
          </w:p>
        </w:tc>
        <w:tc>
          <w:tcPr>
            <w:tcW w:w="2792" w:type="dxa"/>
            <w:vAlign w:val="center"/>
          </w:tcPr>
          <w:p>
            <w:pPr>
              <w:widowControl/>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50</w:t>
            </w:r>
          </w:p>
        </w:tc>
      </w:tr>
    </w:tbl>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5</w:t>
      </w:r>
      <w:r>
        <w:rPr>
          <w:rFonts w:hint="eastAsia" w:ascii="Times New Roman" w:hAnsi="Times New Roman" w:cs="Times New Roman"/>
          <w:color w:val="000000" w:themeColor="text1"/>
          <w:sz w:val="24"/>
          <w:szCs w:val="24"/>
          <w14:textFill>
            <w14:solidFill>
              <w14:schemeClr w14:val="tx1"/>
            </w14:solidFill>
          </w14:textFill>
        </w:rPr>
        <w:t>）土壤环境</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土壤环境质量标准验收期与环评阶段一致。环评阶段项目区域执行《土壤质量标准》（GB</w:t>
      </w:r>
      <w:r>
        <w:rPr>
          <w:rFonts w:ascii="Times New Roman" w:hAnsi="Times New Roman" w:cs="Times New Roman"/>
          <w:color w:val="000000" w:themeColor="text1"/>
          <w:sz w:val="24"/>
          <w:szCs w:val="24"/>
          <w14:textFill>
            <w14:solidFill>
              <w14:schemeClr w14:val="tx1"/>
            </w14:solidFill>
          </w14:textFill>
        </w:rPr>
        <w:t>15618</w:t>
      </w: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1995</w:t>
      </w:r>
      <w:r>
        <w:rPr>
          <w:rFonts w:hint="eastAsia" w:ascii="Times New Roman" w:hAnsi="Times New Roman" w:cs="Times New Roman"/>
          <w:color w:val="000000" w:themeColor="text1"/>
          <w:sz w:val="24"/>
          <w:szCs w:val="24"/>
          <w14:textFill>
            <w14:solidFill>
              <w14:schemeClr w14:val="tx1"/>
            </w14:solidFill>
          </w14:textFill>
        </w:rPr>
        <w:t>）中的三级标准，根据《中华人民共和国生态环境部公告》（2</w:t>
      </w:r>
      <w:r>
        <w:rPr>
          <w:rFonts w:ascii="Times New Roman" w:hAnsi="Times New Roman" w:cs="Times New Roman"/>
          <w:color w:val="000000" w:themeColor="text1"/>
          <w:sz w:val="24"/>
          <w:szCs w:val="24"/>
          <w14:textFill>
            <w14:solidFill>
              <w14:schemeClr w14:val="tx1"/>
            </w14:solidFill>
          </w14:textFill>
        </w:rPr>
        <w:t>018</w:t>
      </w:r>
      <w:r>
        <w:rPr>
          <w:rFonts w:hint="eastAsia" w:ascii="Times New Roman" w:hAnsi="Times New Roman" w:cs="Times New Roman"/>
          <w:color w:val="000000" w:themeColor="text1"/>
          <w:sz w:val="24"/>
          <w:szCs w:val="24"/>
          <w14:textFill>
            <w14:solidFill>
              <w14:schemeClr w14:val="tx1"/>
            </w14:solidFill>
          </w14:textFill>
        </w:rPr>
        <w:t>年第1</w:t>
      </w:r>
      <w:r>
        <w:rPr>
          <w:rFonts w:ascii="Times New Roman" w:hAnsi="Times New Roman" w:cs="Times New Roman"/>
          <w:color w:val="000000" w:themeColor="text1"/>
          <w:sz w:val="24"/>
          <w:szCs w:val="24"/>
          <w14:textFill>
            <w14:solidFill>
              <w14:schemeClr w14:val="tx1"/>
            </w14:solidFill>
          </w14:textFill>
        </w:rPr>
        <w:t>3</w:t>
      </w:r>
      <w:r>
        <w:rPr>
          <w:rFonts w:hint="eastAsia" w:ascii="Times New Roman" w:hAnsi="Times New Roman" w:cs="Times New Roman"/>
          <w:color w:val="000000" w:themeColor="text1"/>
          <w:sz w:val="24"/>
          <w:szCs w:val="24"/>
          <w14:textFill>
            <w14:solidFill>
              <w14:schemeClr w14:val="tx1"/>
            </w14:solidFill>
          </w14:textFill>
        </w:rPr>
        <w:t>号），2</w:t>
      </w:r>
      <w:r>
        <w:rPr>
          <w:rFonts w:ascii="Times New Roman" w:hAnsi="Times New Roman" w:cs="Times New Roman"/>
          <w:color w:val="000000" w:themeColor="text1"/>
          <w:sz w:val="24"/>
          <w:szCs w:val="24"/>
          <w14:textFill>
            <w14:solidFill>
              <w14:schemeClr w14:val="tx1"/>
            </w14:solidFill>
          </w14:textFill>
        </w:rPr>
        <w:t>018</w:t>
      </w:r>
      <w:r>
        <w:rPr>
          <w:rFonts w:hint="eastAsia" w:ascii="Times New Roman" w:hAnsi="Times New Roman" w:cs="Times New Roman"/>
          <w:color w:val="000000" w:themeColor="text1"/>
          <w:sz w:val="24"/>
          <w:szCs w:val="24"/>
          <w14:textFill>
            <w14:solidFill>
              <w14:schemeClr w14:val="tx1"/>
            </w14:solidFill>
          </w14:textFill>
        </w:rPr>
        <w:t>年8月1日起，《土壤环境质量标准》（GB</w:t>
      </w:r>
      <w:r>
        <w:rPr>
          <w:rFonts w:ascii="Times New Roman" w:hAnsi="Times New Roman" w:cs="Times New Roman"/>
          <w:color w:val="000000" w:themeColor="text1"/>
          <w:sz w:val="24"/>
          <w:szCs w:val="24"/>
          <w14:textFill>
            <w14:solidFill>
              <w14:schemeClr w14:val="tx1"/>
            </w14:solidFill>
          </w14:textFill>
        </w:rPr>
        <w:t>15618-1995</w:t>
      </w:r>
      <w:r>
        <w:rPr>
          <w:rFonts w:hint="eastAsia" w:ascii="Times New Roman" w:hAnsi="Times New Roman" w:cs="Times New Roman"/>
          <w:color w:val="000000" w:themeColor="text1"/>
          <w:sz w:val="24"/>
          <w:szCs w:val="24"/>
          <w14:textFill>
            <w14:solidFill>
              <w14:schemeClr w14:val="tx1"/>
            </w14:solidFill>
          </w14:textFill>
        </w:rPr>
        <w:t>）废止。结合项目区域用地情况，验收期间以《土壤环境质量——建设用地土壤污染风险管控标准（试行）》（GB</w:t>
      </w:r>
      <w:r>
        <w:rPr>
          <w:rFonts w:ascii="Times New Roman" w:hAnsi="Times New Roman" w:cs="Times New Roman"/>
          <w:color w:val="000000" w:themeColor="text1"/>
          <w:sz w:val="24"/>
          <w:szCs w:val="24"/>
          <w14:textFill>
            <w14:solidFill>
              <w14:schemeClr w14:val="tx1"/>
            </w14:solidFill>
          </w14:textFill>
        </w:rPr>
        <w:t>36600-2018</w:t>
      </w:r>
      <w:r>
        <w:rPr>
          <w:rFonts w:hint="eastAsia" w:ascii="Times New Roman" w:hAnsi="Times New Roman" w:cs="Times New Roman"/>
          <w:color w:val="000000" w:themeColor="text1"/>
          <w:sz w:val="24"/>
          <w:szCs w:val="24"/>
          <w14:textFill>
            <w14:solidFill>
              <w14:schemeClr w14:val="tx1"/>
            </w14:solidFill>
          </w14:textFill>
        </w:rPr>
        <w:t>）中第二类用地筛选值作为土壤现状环境质量标准。相应标准限值详见下表。</w:t>
      </w:r>
    </w:p>
    <w:p>
      <w:pPr>
        <w:spacing w:line="360" w:lineRule="auto"/>
        <w:jc w:val="center"/>
        <w:rPr>
          <w:rFonts w:ascii="Times New Roman" w:hAnsi="Times New Roman" w:cs="Times New Roman"/>
          <w:b/>
          <w:color w:val="000000" w:themeColor="text1"/>
          <w:szCs w:val="24"/>
          <w14:textFill>
            <w14:solidFill>
              <w14:schemeClr w14:val="tx1"/>
            </w14:solidFill>
          </w14:textFill>
        </w:rPr>
      </w:pPr>
      <w:r>
        <w:rPr>
          <w:rFonts w:hint="eastAsia" w:ascii="Times New Roman" w:hAnsi="Times New Roman" w:cs="Times New Roman"/>
          <w:b/>
          <w:color w:val="000000" w:themeColor="text1"/>
          <w:szCs w:val="24"/>
          <w14:textFill>
            <w14:solidFill>
              <w14:schemeClr w14:val="tx1"/>
            </w14:solidFill>
          </w14:textFill>
        </w:rPr>
        <w:t>表1.6</w:t>
      </w:r>
      <w:r>
        <w:rPr>
          <w:rFonts w:ascii="Times New Roman" w:hAnsi="Times New Roman" w:cs="Times New Roman"/>
          <w:b/>
          <w:color w:val="000000" w:themeColor="text1"/>
          <w:szCs w:val="24"/>
          <w14:textFill>
            <w14:solidFill>
              <w14:schemeClr w14:val="tx1"/>
            </w14:solidFill>
          </w14:textFill>
        </w:rPr>
        <w:t xml:space="preserve">-5  </w:t>
      </w:r>
      <w:r>
        <w:rPr>
          <w:rFonts w:hint="eastAsia" w:ascii="Times New Roman" w:hAnsi="Times New Roman" w:cs="Times New Roman"/>
          <w:b/>
          <w:color w:val="000000" w:themeColor="text1"/>
          <w:szCs w:val="24"/>
          <w14:textFill>
            <w14:solidFill>
              <w14:schemeClr w14:val="tx1"/>
            </w14:solidFill>
          </w14:textFill>
        </w:rPr>
        <w:t xml:space="preserve">土壤环境质量标准   </w:t>
      </w:r>
      <w:r>
        <w:rPr>
          <w:rFonts w:ascii="Times New Roman" w:hAnsi="Times New Roman" w:cs="Times New Roman"/>
          <w:b/>
          <w:color w:val="000000" w:themeColor="text1"/>
          <w:szCs w:val="24"/>
          <w14:textFill>
            <w14:solidFill>
              <w14:schemeClr w14:val="tx1"/>
            </w14:solidFill>
          </w14:textFill>
        </w:rPr>
        <w:t xml:space="preserve">    </w:t>
      </w:r>
      <w:r>
        <w:rPr>
          <w:rFonts w:hint="eastAsia" w:ascii="Times New Roman" w:hAnsi="Times New Roman" w:cs="Times New Roman"/>
          <w:b/>
          <w:color w:val="000000" w:themeColor="text1"/>
          <w:szCs w:val="24"/>
          <w14:textFill>
            <w14:solidFill>
              <w14:schemeClr w14:val="tx1"/>
            </w14:solidFill>
          </w14:textFill>
        </w:rPr>
        <w:t>单位</w:t>
      </w:r>
      <w:r>
        <w:rPr>
          <w:rFonts w:ascii="Times New Roman" w:hAnsi="Times New Roman" w:cs="Times New Roman"/>
          <w:b/>
          <w:color w:val="000000" w:themeColor="text1"/>
          <w:szCs w:val="24"/>
          <w14:textFill>
            <w14:solidFill>
              <w14:schemeClr w14:val="tx1"/>
            </w14:solidFill>
          </w14:textFill>
        </w:rPr>
        <w:t>：</w:t>
      </w:r>
      <w:r>
        <w:rPr>
          <w:rFonts w:hint="eastAsia" w:ascii="Times New Roman" w:hAnsi="Times New Roman" w:cs="Times New Roman"/>
          <w:b/>
          <w:color w:val="000000" w:themeColor="text1"/>
          <w:szCs w:val="24"/>
          <w14:textFill>
            <w14:solidFill>
              <w14:schemeClr w14:val="tx1"/>
            </w14:solidFill>
          </w14:textFill>
        </w:rPr>
        <w:t>mg/kg</w:t>
      </w:r>
    </w:p>
    <w:tbl>
      <w:tblPr>
        <w:tblStyle w:val="28"/>
        <w:tblW w:w="819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367"/>
        <w:gridCol w:w="1614"/>
        <w:gridCol w:w="2609"/>
        <w:gridCol w:w="260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9" w:hRule="atLeast"/>
          <w:jc w:val="center"/>
        </w:trPr>
        <w:tc>
          <w:tcPr>
            <w:tcW w:w="1367" w:type="dxa"/>
            <w:vAlign w:val="center"/>
          </w:tcPr>
          <w:p>
            <w:pPr>
              <w:widowControl/>
              <w:adjustRightInd w:val="0"/>
              <w:snapToGrid w:val="0"/>
              <w:jc w:val="center"/>
              <w:rPr>
                <w:rFonts w:ascii="Times New Roman" w:hAnsi="Times New Roman" w:eastAsia="宋体" w:cs="Times New Roman"/>
                <w:b/>
                <w:bCs/>
                <w:color w:val="000000" w:themeColor="text1"/>
                <w:szCs w:val="21"/>
                <w14:textFill>
                  <w14:solidFill>
                    <w14:schemeClr w14:val="tx1"/>
                  </w14:solidFill>
                </w14:textFill>
              </w:rPr>
            </w:pPr>
            <w:r>
              <w:rPr>
                <w:rFonts w:hint="eastAsia" w:ascii="Times New Roman" w:hAnsi="Times New Roman" w:eastAsia="宋体" w:cs="Times New Roman"/>
                <w:b/>
                <w:bCs/>
                <w:color w:val="000000" w:themeColor="text1"/>
                <w:szCs w:val="21"/>
                <w14:textFill>
                  <w14:solidFill>
                    <w14:schemeClr w14:val="tx1"/>
                  </w14:solidFill>
                </w14:textFill>
              </w:rPr>
              <w:t>序号</w:t>
            </w:r>
          </w:p>
        </w:tc>
        <w:tc>
          <w:tcPr>
            <w:tcW w:w="1614" w:type="dxa"/>
            <w:vAlign w:val="center"/>
          </w:tcPr>
          <w:p>
            <w:pPr>
              <w:widowControl/>
              <w:adjustRightInd w:val="0"/>
              <w:snapToGrid w:val="0"/>
              <w:jc w:val="center"/>
              <w:rPr>
                <w:rFonts w:ascii="Times New Roman" w:hAnsi="Times New Roman" w:eastAsia="宋体" w:cs="Times New Roman"/>
                <w:b/>
                <w:bCs/>
                <w:color w:val="000000" w:themeColor="text1"/>
                <w:szCs w:val="21"/>
                <w14:textFill>
                  <w14:solidFill>
                    <w14:schemeClr w14:val="tx1"/>
                  </w14:solidFill>
                </w14:textFill>
              </w:rPr>
            </w:pPr>
            <w:r>
              <w:rPr>
                <w:rFonts w:hint="eastAsia" w:ascii="Times New Roman" w:hAnsi="Times New Roman" w:eastAsia="宋体" w:cs="Times New Roman"/>
                <w:b/>
                <w:bCs/>
                <w:color w:val="000000" w:themeColor="text1"/>
                <w:szCs w:val="21"/>
                <w14:textFill>
                  <w14:solidFill>
                    <w14:schemeClr w14:val="tx1"/>
                  </w14:solidFill>
                </w14:textFill>
              </w:rPr>
              <w:t>项目</w:t>
            </w:r>
          </w:p>
        </w:tc>
        <w:tc>
          <w:tcPr>
            <w:tcW w:w="2609" w:type="dxa"/>
            <w:vAlign w:val="center"/>
          </w:tcPr>
          <w:p>
            <w:pPr>
              <w:widowControl/>
              <w:adjustRightInd w:val="0"/>
              <w:snapToGrid w:val="0"/>
              <w:jc w:val="center"/>
              <w:rPr>
                <w:rFonts w:ascii="Times New Roman" w:hAnsi="Times New Roman" w:eastAsia="宋体" w:cs="Times New Roman"/>
                <w:b/>
                <w:bCs/>
                <w:color w:val="000000" w:themeColor="text1"/>
                <w:szCs w:val="21"/>
                <w14:textFill>
                  <w14:solidFill>
                    <w14:schemeClr w14:val="tx1"/>
                  </w14:solidFill>
                </w14:textFill>
              </w:rPr>
            </w:pPr>
            <w:r>
              <w:rPr>
                <w:rFonts w:hint="eastAsia" w:ascii="Times New Roman" w:hAnsi="Times New Roman" w:eastAsia="宋体" w:cs="Times New Roman"/>
                <w:b/>
                <w:bCs/>
                <w:color w:val="000000" w:themeColor="text1"/>
                <w:szCs w:val="21"/>
                <w14:textFill>
                  <w14:solidFill>
                    <w14:schemeClr w14:val="tx1"/>
                  </w14:solidFill>
                </w14:textFill>
              </w:rPr>
              <w:t>筛选值（第二类用地）</w:t>
            </w:r>
          </w:p>
        </w:tc>
        <w:tc>
          <w:tcPr>
            <w:tcW w:w="2609" w:type="dxa"/>
          </w:tcPr>
          <w:p>
            <w:pPr>
              <w:widowControl/>
              <w:adjustRightInd w:val="0"/>
              <w:snapToGrid w:val="0"/>
              <w:jc w:val="center"/>
              <w:rPr>
                <w:rFonts w:ascii="Times New Roman" w:hAnsi="Times New Roman" w:eastAsia="宋体" w:cs="Times New Roman"/>
                <w:b/>
                <w:bCs/>
                <w:color w:val="000000" w:themeColor="text1"/>
                <w:szCs w:val="21"/>
                <w14:textFill>
                  <w14:solidFill>
                    <w14:schemeClr w14:val="tx1"/>
                  </w14:solidFill>
                </w14:textFill>
              </w:rPr>
            </w:pPr>
            <w:r>
              <w:rPr>
                <w:rFonts w:hint="eastAsia" w:ascii="Times New Roman" w:hAnsi="Times New Roman" w:eastAsia="宋体" w:cs="Times New Roman"/>
                <w:b/>
                <w:bCs/>
                <w:color w:val="000000" w:themeColor="text1"/>
                <w:szCs w:val="21"/>
                <w14:textFill>
                  <w14:solidFill>
                    <w14:schemeClr w14:val="tx1"/>
                  </w14:solidFill>
                </w14:textFill>
              </w:rPr>
              <w:t>管制值（第二类用地）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9" w:hRule="atLeast"/>
          <w:jc w:val="center"/>
        </w:trPr>
        <w:tc>
          <w:tcPr>
            <w:tcW w:w="1367" w:type="dxa"/>
            <w:vAlign w:val="center"/>
          </w:tcPr>
          <w:p>
            <w:pPr>
              <w:widowControl/>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w:t>
            </w:r>
          </w:p>
        </w:tc>
        <w:tc>
          <w:tcPr>
            <w:tcW w:w="1614" w:type="dxa"/>
            <w:vAlign w:val="center"/>
          </w:tcPr>
          <w:p>
            <w:pPr>
              <w:widowControl/>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汞</w:t>
            </w:r>
          </w:p>
        </w:tc>
        <w:tc>
          <w:tcPr>
            <w:tcW w:w="2609" w:type="dxa"/>
            <w:vAlign w:val="center"/>
          </w:tcPr>
          <w:p>
            <w:pPr>
              <w:widowControl/>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38</w:t>
            </w:r>
          </w:p>
        </w:tc>
        <w:tc>
          <w:tcPr>
            <w:tcW w:w="2609" w:type="dxa"/>
            <w:vAlign w:val="center"/>
          </w:tcPr>
          <w:p>
            <w:pPr>
              <w:widowControl/>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82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9" w:hRule="atLeast"/>
          <w:jc w:val="center"/>
        </w:trPr>
        <w:tc>
          <w:tcPr>
            <w:tcW w:w="1367" w:type="dxa"/>
            <w:vAlign w:val="center"/>
          </w:tcPr>
          <w:p>
            <w:pPr>
              <w:widowControl/>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2</w:t>
            </w:r>
          </w:p>
        </w:tc>
        <w:tc>
          <w:tcPr>
            <w:tcW w:w="1614" w:type="dxa"/>
            <w:vAlign w:val="center"/>
          </w:tcPr>
          <w:p>
            <w:pPr>
              <w:widowControl/>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砷</w:t>
            </w:r>
          </w:p>
        </w:tc>
        <w:tc>
          <w:tcPr>
            <w:tcW w:w="2609" w:type="dxa"/>
            <w:vAlign w:val="center"/>
          </w:tcPr>
          <w:p>
            <w:pPr>
              <w:widowControl/>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60</w:t>
            </w:r>
            <w:r>
              <w:rPr>
                <w:rFonts w:hint="eastAsia" w:ascii="Times New Roman" w:hAnsi="Times New Roman" w:eastAsia="宋体" w:cs="Times New Roman"/>
                <w:color w:val="000000" w:themeColor="text1"/>
                <w:szCs w:val="21"/>
                <w:vertAlign w:val="superscript"/>
                <w14:textFill>
                  <w14:solidFill>
                    <w14:schemeClr w14:val="tx1"/>
                  </w14:solidFill>
                </w14:textFill>
              </w:rPr>
              <w:t>a</w:t>
            </w:r>
          </w:p>
        </w:tc>
        <w:tc>
          <w:tcPr>
            <w:tcW w:w="2609" w:type="dxa"/>
            <w:vAlign w:val="center"/>
          </w:tcPr>
          <w:p>
            <w:pPr>
              <w:widowControl/>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140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9" w:hRule="atLeast"/>
          <w:jc w:val="center"/>
        </w:trPr>
        <w:tc>
          <w:tcPr>
            <w:tcW w:w="1367" w:type="dxa"/>
            <w:vAlign w:val="center"/>
          </w:tcPr>
          <w:p>
            <w:pPr>
              <w:widowControl/>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3</w:t>
            </w:r>
          </w:p>
        </w:tc>
        <w:tc>
          <w:tcPr>
            <w:tcW w:w="1614" w:type="dxa"/>
            <w:vAlign w:val="center"/>
          </w:tcPr>
          <w:p>
            <w:pPr>
              <w:widowControl/>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铜</w:t>
            </w:r>
          </w:p>
        </w:tc>
        <w:tc>
          <w:tcPr>
            <w:tcW w:w="2609" w:type="dxa"/>
            <w:vAlign w:val="center"/>
          </w:tcPr>
          <w:p>
            <w:pPr>
              <w:widowControl/>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18000</w:t>
            </w:r>
          </w:p>
        </w:tc>
        <w:tc>
          <w:tcPr>
            <w:tcW w:w="2609" w:type="dxa"/>
            <w:vAlign w:val="center"/>
          </w:tcPr>
          <w:p>
            <w:pPr>
              <w:widowControl/>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36000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9" w:hRule="atLeast"/>
          <w:jc w:val="center"/>
        </w:trPr>
        <w:tc>
          <w:tcPr>
            <w:tcW w:w="1367" w:type="dxa"/>
            <w:vAlign w:val="center"/>
          </w:tcPr>
          <w:p>
            <w:pPr>
              <w:widowControl/>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4</w:t>
            </w:r>
          </w:p>
        </w:tc>
        <w:tc>
          <w:tcPr>
            <w:tcW w:w="1614" w:type="dxa"/>
            <w:vAlign w:val="center"/>
          </w:tcPr>
          <w:p>
            <w:pPr>
              <w:widowControl/>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铅</w:t>
            </w:r>
          </w:p>
        </w:tc>
        <w:tc>
          <w:tcPr>
            <w:tcW w:w="2609" w:type="dxa"/>
            <w:vAlign w:val="center"/>
          </w:tcPr>
          <w:p>
            <w:pPr>
              <w:widowControl/>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800</w:t>
            </w:r>
          </w:p>
        </w:tc>
        <w:tc>
          <w:tcPr>
            <w:tcW w:w="2609" w:type="dxa"/>
            <w:vAlign w:val="center"/>
          </w:tcPr>
          <w:p>
            <w:pPr>
              <w:widowControl/>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2500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9" w:hRule="atLeast"/>
          <w:jc w:val="center"/>
        </w:trPr>
        <w:tc>
          <w:tcPr>
            <w:tcW w:w="1367" w:type="dxa"/>
            <w:vAlign w:val="center"/>
          </w:tcPr>
          <w:p>
            <w:pPr>
              <w:widowControl/>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5</w:t>
            </w:r>
          </w:p>
        </w:tc>
        <w:tc>
          <w:tcPr>
            <w:tcW w:w="1614" w:type="dxa"/>
            <w:vAlign w:val="center"/>
          </w:tcPr>
          <w:p>
            <w:pPr>
              <w:widowControl/>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铬（六价）</w:t>
            </w:r>
          </w:p>
        </w:tc>
        <w:tc>
          <w:tcPr>
            <w:tcW w:w="2609" w:type="dxa"/>
            <w:vAlign w:val="center"/>
          </w:tcPr>
          <w:p>
            <w:pPr>
              <w:widowControl/>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5.7</w:t>
            </w:r>
          </w:p>
        </w:tc>
        <w:tc>
          <w:tcPr>
            <w:tcW w:w="2609" w:type="dxa"/>
            <w:vAlign w:val="center"/>
          </w:tcPr>
          <w:p>
            <w:pPr>
              <w:widowControl/>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78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9" w:hRule="atLeast"/>
          <w:jc w:val="center"/>
        </w:trPr>
        <w:tc>
          <w:tcPr>
            <w:tcW w:w="1367" w:type="dxa"/>
            <w:vAlign w:val="center"/>
          </w:tcPr>
          <w:p>
            <w:pPr>
              <w:widowControl/>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6</w:t>
            </w:r>
          </w:p>
        </w:tc>
        <w:tc>
          <w:tcPr>
            <w:tcW w:w="1614" w:type="dxa"/>
            <w:vAlign w:val="center"/>
          </w:tcPr>
          <w:p>
            <w:pPr>
              <w:widowControl/>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镍</w:t>
            </w:r>
          </w:p>
        </w:tc>
        <w:tc>
          <w:tcPr>
            <w:tcW w:w="2609" w:type="dxa"/>
            <w:vAlign w:val="center"/>
          </w:tcPr>
          <w:p>
            <w:pPr>
              <w:widowControl/>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900</w:t>
            </w:r>
          </w:p>
        </w:tc>
        <w:tc>
          <w:tcPr>
            <w:tcW w:w="2609" w:type="dxa"/>
            <w:vAlign w:val="center"/>
          </w:tcPr>
          <w:p>
            <w:pPr>
              <w:widowControl/>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2000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9" w:hRule="atLeast"/>
          <w:jc w:val="center"/>
        </w:trPr>
        <w:tc>
          <w:tcPr>
            <w:tcW w:w="1367" w:type="dxa"/>
            <w:vAlign w:val="center"/>
          </w:tcPr>
          <w:p>
            <w:pPr>
              <w:widowControl/>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7</w:t>
            </w:r>
          </w:p>
        </w:tc>
        <w:tc>
          <w:tcPr>
            <w:tcW w:w="1614" w:type="dxa"/>
            <w:vAlign w:val="center"/>
          </w:tcPr>
          <w:p>
            <w:pPr>
              <w:widowControl/>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镉</w:t>
            </w:r>
          </w:p>
        </w:tc>
        <w:tc>
          <w:tcPr>
            <w:tcW w:w="2609" w:type="dxa"/>
            <w:vAlign w:val="center"/>
          </w:tcPr>
          <w:p>
            <w:pPr>
              <w:widowControl/>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65</w:t>
            </w:r>
          </w:p>
        </w:tc>
        <w:tc>
          <w:tcPr>
            <w:tcW w:w="2609" w:type="dxa"/>
            <w:vAlign w:val="center"/>
          </w:tcPr>
          <w:p>
            <w:pPr>
              <w:widowControl/>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172</w:t>
            </w:r>
          </w:p>
        </w:tc>
      </w:tr>
    </w:tbl>
    <w:p>
      <w:pPr>
        <w:rPr>
          <w:color w:val="000000" w:themeColor="text1"/>
          <w14:textFill>
            <w14:solidFill>
              <w14:schemeClr w14:val="tx1"/>
            </w14:solidFill>
          </w14:textFill>
        </w:rPr>
      </w:pP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1.6.</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 xml:space="preserve"> 污染物排放标准</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（1）大气污染物</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项目大气污染物排放执行《大气污染物综合排放标准》（GB16297-1996）中二级标准，与环评阶段一致。</w:t>
      </w:r>
    </w:p>
    <w:p>
      <w:pPr>
        <w:snapToGrid w:val="0"/>
        <w:spacing w:line="360" w:lineRule="auto"/>
        <w:jc w:val="center"/>
        <w:rPr>
          <w:rFonts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表1</w:t>
      </w:r>
      <w:r>
        <w:rPr>
          <w:rFonts w:ascii="Times New Roman" w:hAnsi="Times New Roman" w:cs="Times New Roman"/>
          <w:b/>
          <w:color w:val="000000" w:themeColor="text1"/>
          <w:szCs w:val="21"/>
          <w14:textFill>
            <w14:solidFill>
              <w14:schemeClr w14:val="tx1"/>
            </w14:solidFill>
          </w14:textFill>
        </w:rPr>
        <w:t xml:space="preserve">.6-6  </w:t>
      </w:r>
      <w:r>
        <w:rPr>
          <w:rFonts w:hint="eastAsia" w:ascii="Times New Roman" w:hAnsi="Times New Roman" w:cs="Times New Roman"/>
          <w:b/>
          <w:color w:val="000000" w:themeColor="text1"/>
          <w:szCs w:val="21"/>
          <w14:textFill>
            <w14:solidFill>
              <w14:schemeClr w14:val="tx1"/>
            </w14:solidFill>
          </w14:textFill>
        </w:rPr>
        <w:t>大气污染物综合排放标准</w:t>
      </w:r>
    </w:p>
    <w:tbl>
      <w:tblPr>
        <w:tblStyle w:val="29"/>
        <w:tblW w:w="829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93"/>
        <w:gridCol w:w="1771"/>
        <w:gridCol w:w="1383"/>
        <w:gridCol w:w="1523"/>
        <w:gridCol w:w="1134"/>
        <w:gridCol w:w="14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3" w:type="dxa"/>
            <w:vMerge w:val="restart"/>
            <w:vAlign w:val="center"/>
          </w:tcPr>
          <w:p>
            <w:pPr>
              <w:jc w:val="center"/>
              <w:rPr>
                <w:rFonts w:ascii="Times New Roman" w:hAnsi="Times New Roman" w:eastAsia="宋体" w:cs="Times New Roman"/>
                <w:b/>
                <w:color w:val="000000" w:themeColor="text1"/>
                <w:kern w:val="0"/>
                <w:szCs w:val="21"/>
                <w14:textFill>
                  <w14:solidFill>
                    <w14:schemeClr w14:val="tx1"/>
                  </w14:solidFill>
                </w14:textFill>
              </w:rPr>
            </w:pPr>
            <w:r>
              <w:rPr>
                <w:rFonts w:ascii="Times New Roman" w:hAnsi="Times New Roman" w:eastAsia="宋体" w:cs="Times New Roman"/>
                <w:b/>
                <w:color w:val="000000" w:themeColor="text1"/>
                <w:kern w:val="0"/>
                <w:szCs w:val="21"/>
                <w14:textFill>
                  <w14:solidFill>
                    <w14:schemeClr w14:val="tx1"/>
                  </w14:solidFill>
                </w14:textFill>
              </w:rPr>
              <w:t>污染物</w:t>
            </w:r>
          </w:p>
        </w:tc>
        <w:tc>
          <w:tcPr>
            <w:tcW w:w="1771" w:type="dxa"/>
            <w:vMerge w:val="restart"/>
            <w:vAlign w:val="center"/>
          </w:tcPr>
          <w:p>
            <w:pPr>
              <w:jc w:val="center"/>
              <w:rPr>
                <w:rFonts w:ascii="Times New Roman" w:hAnsi="Times New Roman" w:eastAsia="宋体" w:cs="Times New Roman"/>
                <w:b/>
                <w:color w:val="000000" w:themeColor="text1"/>
                <w:kern w:val="0"/>
                <w:szCs w:val="21"/>
                <w14:textFill>
                  <w14:solidFill>
                    <w14:schemeClr w14:val="tx1"/>
                  </w14:solidFill>
                </w14:textFill>
              </w:rPr>
            </w:pPr>
            <w:r>
              <w:rPr>
                <w:rFonts w:hint="eastAsia" w:ascii="Times New Roman" w:hAnsi="Times New Roman" w:eastAsia="宋体" w:cs="Times New Roman"/>
                <w:b/>
                <w:color w:val="000000" w:themeColor="text1"/>
                <w:kern w:val="0"/>
                <w:szCs w:val="21"/>
                <w14:textFill>
                  <w14:solidFill>
                    <w14:schemeClr w14:val="tx1"/>
                  </w14:solidFill>
                </w14:textFill>
              </w:rPr>
              <w:t>最高允许排放浓度（mg/m</w:t>
            </w:r>
            <w:r>
              <w:rPr>
                <w:rFonts w:ascii="Times New Roman" w:hAnsi="Times New Roman" w:eastAsia="宋体" w:cs="Times New Roman"/>
                <w:b/>
                <w:color w:val="000000" w:themeColor="text1"/>
                <w:kern w:val="0"/>
                <w:szCs w:val="21"/>
                <w:vertAlign w:val="superscript"/>
                <w14:textFill>
                  <w14:solidFill>
                    <w14:schemeClr w14:val="tx1"/>
                  </w14:solidFill>
                </w14:textFill>
              </w:rPr>
              <w:t>3</w:t>
            </w:r>
            <w:r>
              <w:rPr>
                <w:rFonts w:hint="eastAsia" w:ascii="Times New Roman" w:hAnsi="Times New Roman" w:eastAsia="宋体" w:cs="Times New Roman"/>
                <w:b/>
                <w:color w:val="000000" w:themeColor="text1"/>
                <w:kern w:val="0"/>
                <w:szCs w:val="21"/>
                <w14:textFill>
                  <w14:solidFill>
                    <w14:schemeClr w14:val="tx1"/>
                  </w14:solidFill>
                </w14:textFill>
              </w:rPr>
              <w:t>）</w:t>
            </w:r>
          </w:p>
        </w:tc>
        <w:tc>
          <w:tcPr>
            <w:tcW w:w="1383" w:type="dxa"/>
            <w:vMerge w:val="restart"/>
            <w:vAlign w:val="center"/>
          </w:tcPr>
          <w:p>
            <w:pPr>
              <w:jc w:val="center"/>
              <w:rPr>
                <w:rFonts w:ascii="Times New Roman" w:hAnsi="Times New Roman" w:eastAsia="宋体" w:cs="Times New Roman"/>
                <w:b/>
                <w:color w:val="000000" w:themeColor="text1"/>
                <w:kern w:val="0"/>
                <w:szCs w:val="21"/>
                <w14:textFill>
                  <w14:solidFill>
                    <w14:schemeClr w14:val="tx1"/>
                  </w14:solidFill>
                </w14:textFill>
              </w:rPr>
            </w:pPr>
            <w:r>
              <w:rPr>
                <w:rFonts w:hint="eastAsia" w:ascii="Times New Roman" w:hAnsi="Times New Roman" w:eastAsia="宋体" w:cs="Times New Roman"/>
                <w:b/>
                <w:color w:val="000000" w:themeColor="text1"/>
                <w:kern w:val="0"/>
                <w:szCs w:val="21"/>
                <w14:textFill>
                  <w14:solidFill>
                    <w14:schemeClr w14:val="tx1"/>
                  </w14:solidFill>
                </w14:textFill>
              </w:rPr>
              <w:t>排气筒高度</w:t>
            </w:r>
          </w:p>
          <w:p>
            <w:pPr>
              <w:jc w:val="center"/>
              <w:rPr>
                <w:rFonts w:ascii="Times New Roman" w:hAnsi="Times New Roman" w:eastAsia="宋体" w:cs="Times New Roman"/>
                <w:b/>
                <w:color w:val="000000" w:themeColor="text1"/>
                <w:kern w:val="0"/>
                <w:szCs w:val="21"/>
                <w14:textFill>
                  <w14:solidFill>
                    <w14:schemeClr w14:val="tx1"/>
                  </w14:solidFill>
                </w14:textFill>
              </w:rPr>
            </w:pPr>
            <w:r>
              <w:rPr>
                <w:rFonts w:hint="eastAsia" w:ascii="Times New Roman" w:hAnsi="Times New Roman" w:eastAsia="宋体" w:cs="Times New Roman"/>
                <w:b/>
                <w:color w:val="000000" w:themeColor="text1"/>
                <w:kern w:val="0"/>
                <w:szCs w:val="21"/>
                <w14:textFill>
                  <w14:solidFill>
                    <w14:schemeClr w14:val="tx1"/>
                  </w14:solidFill>
                </w14:textFill>
              </w:rPr>
              <w:t>（m）</w:t>
            </w:r>
          </w:p>
        </w:tc>
        <w:tc>
          <w:tcPr>
            <w:tcW w:w="1523" w:type="dxa"/>
            <w:vMerge w:val="restart"/>
            <w:vAlign w:val="center"/>
          </w:tcPr>
          <w:p>
            <w:pPr>
              <w:jc w:val="center"/>
              <w:rPr>
                <w:rFonts w:ascii="Times New Roman" w:hAnsi="Times New Roman" w:eastAsia="宋体" w:cs="Times New Roman"/>
                <w:b/>
                <w:color w:val="000000" w:themeColor="text1"/>
                <w:kern w:val="0"/>
                <w:szCs w:val="21"/>
                <w14:textFill>
                  <w14:solidFill>
                    <w14:schemeClr w14:val="tx1"/>
                  </w14:solidFill>
                </w14:textFill>
              </w:rPr>
            </w:pPr>
            <w:r>
              <w:rPr>
                <w:rFonts w:hint="eastAsia" w:ascii="Times New Roman" w:hAnsi="Times New Roman" w:eastAsia="宋体" w:cs="Times New Roman"/>
                <w:b/>
                <w:color w:val="000000" w:themeColor="text1"/>
                <w:kern w:val="0"/>
                <w:szCs w:val="21"/>
                <w14:textFill>
                  <w14:solidFill>
                    <w14:schemeClr w14:val="tx1"/>
                  </w14:solidFill>
                </w14:textFill>
              </w:rPr>
              <w:t>最高允许排放速率（kg/h）</w:t>
            </w:r>
          </w:p>
        </w:tc>
        <w:tc>
          <w:tcPr>
            <w:tcW w:w="2626" w:type="dxa"/>
            <w:gridSpan w:val="2"/>
            <w:vAlign w:val="center"/>
          </w:tcPr>
          <w:p>
            <w:pPr>
              <w:jc w:val="center"/>
              <w:rPr>
                <w:rFonts w:ascii="Times New Roman" w:hAnsi="Times New Roman" w:eastAsia="宋体" w:cs="Times New Roman"/>
                <w:b/>
                <w:color w:val="000000" w:themeColor="text1"/>
                <w:kern w:val="0"/>
                <w:szCs w:val="21"/>
                <w14:textFill>
                  <w14:solidFill>
                    <w14:schemeClr w14:val="tx1"/>
                  </w14:solidFill>
                </w14:textFill>
              </w:rPr>
            </w:pPr>
            <w:r>
              <w:rPr>
                <w:rFonts w:hint="eastAsia" w:ascii="Times New Roman" w:hAnsi="Times New Roman" w:eastAsia="宋体" w:cs="Times New Roman"/>
                <w:b/>
                <w:color w:val="000000" w:themeColor="text1"/>
                <w:kern w:val="0"/>
                <w:szCs w:val="21"/>
                <w14:textFill>
                  <w14:solidFill>
                    <w14:schemeClr w14:val="tx1"/>
                  </w14:solidFill>
                </w14:textFill>
              </w:rPr>
              <w:t>无组织排放监控浓度限值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3" w:type="dxa"/>
            <w:vMerge w:val="continue"/>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p>
        </w:tc>
        <w:tc>
          <w:tcPr>
            <w:tcW w:w="1771" w:type="dxa"/>
            <w:vMerge w:val="continue"/>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p>
        </w:tc>
        <w:tc>
          <w:tcPr>
            <w:tcW w:w="1383" w:type="dxa"/>
            <w:vMerge w:val="continue"/>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p>
        </w:tc>
        <w:tc>
          <w:tcPr>
            <w:tcW w:w="1523" w:type="dxa"/>
            <w:vMerge w:val="continue"/>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p>
        </w:tc>
        <w:tc>
          <w:tcPr>
            <w:tcW w:w="1134" w:type="dxa"/>
            <w:vAlign w:val="center"/>
          </w:tcPr>
          <w:p>
            <w:pPr>
              <w:jc w:val="center"/>
              <w:rPr>
                <w:rFonts w:ascii="Times New Roman" w:hAnsi="Times New Roman" w:eastAsia="宋体" w:cs="Times New Roman"/>
                <w:b/>
                <w:color w:val="000000" w:themeColor="text1"/>
                <w:kern w:val="0"/>
                <w:szCs w:val="21"/>
                <w14:textFill>
                  <w14:solidFill>
                    <w14:schemeClr w14:val="tx1"/>
                  </w14:solidFill>
                </w14:textFill>
              </w:rPr>
            </w:pPr>
            <w:r>
              <w:rPr>
                <w:rFonts w:hint="eastAsia" w:ascii="Times New Roman" w:hAnsi="Times New Roman" w:eastAsia="宋体" w:cs="Times New Roman"/>
                <w:b/>
                <w:color w:val="000000" w:themeColor="text1"/>
                <w:kern w:val="0"/>
                <w:szCs w:val="21"/>
                <w14:textFill>
                  <w14:solidFill>
                    <w14:schemeClr w14:val="tx1"/>
                  </w14:solidFill>
                </w14:textFill>
              </w:rPr>
              <w:t>监控点</w:t>
            </w:r>
          </w:p>
        </w:tc>
        <w:tc>
          <w:tcPr>
            <w:tcW w:w="1492" w:type="dxa"/>
            <w:vAlign w:val="center"/>
          </w:tcPr>
          <w:p>
            <w:pPr>
              <w:jc w:val="center"/>
              <w:rPr>
                <w:rFonts w:ascii="Times New Roman" w:hAnsi="Times New Roman" w:eastAsia="宋体" w:cs="Times New Roman"/>
                <w:b/>
                <w:color w:val="000000" w:themeColor="text1"/>
                <w:kern w:val="0"/>
                <w:szCs w:val="21"/>
                <w14:textFill>
                  <w14:solidFill>
                    <w14:schemeClr w14:val="tx1"/>
                  </w14:solidFill>
                </w14:textFill>
              </w:rPr>
            </w:pPr>
            <w:r>
              <w:rPr>
                <w:rFonts w:hint="eastAsia" w:ascii="Times New Roman" w:hAnsi="Times New Roman" w:eastAsia="宋体" w:cs="Times New Roman"/>
                <w:b/>
                <w:color w:val="000000" w:themeColor="text1"/>
                <w:kern w:val="0"/>
                <w:szCs w:val="21"/>
                <w14:textFill>
                  <w14:solidFill>
                    <w14:schemeClr w14:val="tx1"/>
                  </w14:solidFill>
                </w14:textFill>
              </w:rPr>
              <w:t>浓度</w:t>
            </w:r>
          </w:p>
          <w:p>
            <w:pPr>
              <w:jc w:val="center"/>
              <w:rPr>
                <w:rFonts w:ascii="Times New Roman" w:hAnsi="Times New Roman" w:eastAsia="宋体" w:cs="Times New Roman"/>
                <w:b/>
                <w:color w:val="000000" w:themeColor="text1"/>
                <w:kern w:val="0"/>
                <w:szCs w:val="21"/>
                <w14:textFill>
                  <w14:solidFill>
                    <w14:schemeClr w14:val="tx1"/>
                  </w14:solidFill>
                </w14:textFill>
              </w:rPr>
            </w:pPr>
            <w:r>
              <w:rPr>
                <w:rFonts w:hint="eastAsia" w:ascii="Times New Roman" w:hAnsi="Times New Roman" w:eastAsia="宋体" w:cs="Times New Roman"/>
                <w:b/>
                <w:color w:val="000000" w:themeColor="text1"/>
                <w:kern w:val="0"/>
                <w:szCs w:val="21"/>
                <w14:textFill>
                  <w14:solidFill>
                    <w14:schemeClr w14:val="tx1"/>
                  </w14:solidFill>
                </w14:textFill>
              </w:rPr>
              <w:t>（mg/m</w:t>
            </w:r>
            <w:r>
              <w:rPr>
                <w:rFonts w:ascii="Times New Roman" w:hAnsi="Times New Roman" w:eastAsia="宋体" w:cs="Times New Roman"/>
                <w:b/>
                <w:color w:val="000000" w:themeColor="text1"/>
                <w:kern w:val="0"/>
                <w:szCs w:val="21"/>
                <w:vertAlign w:val="superscript"/>
                <w14:textFill>
                  <w14:solidFill>
                    <w14:schemeClr w14:val="tx1"/>
                  </w14:solidFill>
                </w14:textFill>
              </w:rPr>
              <w:t>3</w:t>
            </w:r>
            <w:r>
              <w:rPr>
                <w:rFonts w:hint="eastAsia" w:ascii="Times New Roman" w:hAnsi="Times New Roman" w:eastAsia="宋体" w:cs="Times New Roman"/>
                <w:b/>
                <w:color w:val="000000" w:themeColor="text1"/>
                <w:kern w:val="0"/>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3" w:type="dxa"/>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颗粒物</w:t>
            </w:r>
          </w:p>
        </w:tc>
        <w:tc>
          <w:tcPr>
            <w:tcW w:w="1771" w:type="dxa"/>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1</w:t>
            </w:r>
            <w:r>
              <w:rPr>
                <w:rFonts w:ascii="Times New Roman" w:hAnsi="Times New Roman" w:eastAsia="宋体" w:cs="Times New Roman"/>
                <w:color w:val="000000" w:themeColor="text1"/>
                <w:kern w:val="0"/>
                <w:szCs w:val="21"/>
                <w14:textFill>
                  <w14:solidFill>
                    <w14:schemeClr w14:val="tx1"/>
                  </w14:solidFill>
                </w14:textFill>
              </w:rPr>
              <w:t>20</w:t>
            </w:r>
          </w:p>
        </w:tc>
        <w:tc>
          <w:tcPr>
            <w:tcW w:w="1383" w:type="dxa"/>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1</w:t>
            </w:r>
            <w:r>
              <w:rPr>
                <w:rFonts w:ascii="Times New Roman" w:hAnsi="Times New Roman" w:eastAsia="宋体" w:cs="Times New Roman"/>
                <w:color w:val="000000" w:themeColor="text1"/>
                <w:kern w:val="0"/>
                <w:szCs w:val="21"/>
                <w14:textFill>
                  <w14:solidFill>
                    <w14:schemeClr w14:val="tx1"/>
                  </w14:solidFill>
                </w14:textFill>
              </w:rPr>
              <w:t>5</w:t>
            </w:r>
          </w:p>
        </w:tc>
        <w:tc>
          <w:tcPr>
            <w:tcW w:w="1523" w:type="dxa"/>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3</w:t>
            </w:r>
            <w:r>
              <w:rPr>
                <w:rFonts w:ascii="Times New Roman" w:hAnsi="Times New Roman" w:eastAsia="宋体" w:cs="Times New Roman"/>
                <w:color w:val="000000" w:themeColor="text1"/>
                <w:kern w:val="0"/>
                <w:szCs w:val="21"/>
                <w14:textFill>
                  <w14:solidFill>
                    <w14:schemeClr w14:val="tx1"/>
                  </w14:solidFill>
                </w14:textFill>
              </w:rPr>
              <w:t>.5</w:t>
            </w:r>
          </w:p>
        </w:tc>
        <w:tc>
          <w:tcPr>
            <w:tcW w:w="1134" w:type="dxa"/>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周界外浓度最高点</w:t>
            </w:r>
          </w:p>
        </w:tc>
        <w:tc>
          <w:tcPr>
            <w:tcW w:w="1492" w:type="dxa"/>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1</w:t>
            </w:r>
            <w:r>
              <w:rPr>
                <w:rFonts w:ascii="Times New Roman" w:hAnsi="Times New Roman" w:eastAsia="宋体" w:cs="Times New Roman"/>
                <w:color w:val="000000" w:themeColor="text1"/>
                <w:kern w:val="0"/>
                <w:szCs w:val="21"/>
                <w14:textFill>
                  <w14:solidFill>
                    <w14:schemeClr w14:val="tx1"/>
                  </w14:solidFill>
                </w14:textFill>
              </w:rPr>
              <w:t>.0</w:t>
            </w:r>
          </w:p>
        </w:tc>
      </w:tr>
    </w:tbl>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（2）水污染物</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项目水污染物排放执行《污水综合排放标准》（GB8978-1996）中的一级标准和《城市污水再生利用城市杂用水水质》（GB</w:t>
      </w:r>
      <w:r>
        <w:rPr>
          <w:rFonts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T</w:t>
      </w:r>
      <w:r>
        <w:rPr>
          <w:rFonts w:ascii="Times New Roman" w:hAnsi="Times New Roman" w:cs="Times New Roman"/>
          <w:color w:val="000000" w:themeColor="text1"/>
          <w:sz w:val="24"/>
          <w:szCs w:val="24"/>
          <w14:textFill>
            <w14:solidFill>
              <w14:schemeClr w14:val="tx1"/>
            </w14:solidFill>
          </w14:textFill>
        </w:rPr>
        <w:t>18920-2002</w:t>
      </w:r>
      <w:r>
        <w:rPr>
          <w:rFonts w:hint="eastAsia" w:ascii="Times New Roman" w:hAnsi="Times New Roman" w:cs="Times New Roman"/>
          <w:color w:val="000000" w:themeColor="text1"/>
          <w:sz w:val="24"/>
          <w:szCs w:val="24"/>
          <w14:textFill>
            <w14:solidFill>
              <w14:schemeClr w14:val="tx1"/>
            </w14:solidFill>
          </w14:textFill>
        </w:rPr>
        <w:t>）中城市杂用水水质标准后回用。采用标准与环评阶段一致。</w:t>
      </w:r>
    </w:p>
    <w:p>
      <w:pPr>
        <w:spacing w:line="360" w:lineRule="auto"/>
        <w:jc w:val="center"/>
        <w:rPr>
          <w:rFonts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表1</w:t>
      </w:r>
      <w:r>
        <w:rPr>
          <w:rFonts w:ascii="Times New Roman" w:hAnsi="Times New Roman" w:cs="Times New Roman"/>
          <w:b/>
          <w:color w:val="000000" w:themeColor="text1"/>
          <w:szCs w:val="21"/>
          <w14:textFill>
            <w14:solidFill>
              <w14:schemeClr w14:val="tx1"/>
            </w14:solidFill>
          </w14:textFill>
        </w:rPr>
        <w:t xml:space="preserve">.6-7  </w:t>
      </w:r>
      <w:r>
        <w:rPr>
          <w:rFonts w:hint="eastAsia" w:ascii="Times New Roman" w:hAnsi="Times New Roman" w:cs="Times New Roman"/>
          <w:b/>
          <w:color w:val="000000" w:themeColor="text1"/>
          <w:szCs w:val="21"/>
          <w14:textFill>
            <w14:solidFill>
              <w14:schemeClr w14:val="tx1"/>
            </w14:solidFill>
          </w14:textFill>
        </w:rPr>
        <w:t xml:space="preserve">污水综合排放标准（一级） </w:t>
      </w:r>
      <w:r>
        <w:rPr>
          <w:rFonts w:ascii="Times New Roman" w:hAnsi="Times New Roman" w:cs="Times New Roman"/>
          <w:b/>
          <w:color w:val="000000" w:themeColor="text1"/>
          <w:szCs w:val="21"/>
          <w14:textFill>
            <w14:solidFill>
              <w14:schemeClr w14:val="tx1"/>
            </w14:solidFill>
          </w14:textFill>
        </w:rPr>
        <w:t xml:space="preserve">     </w:t>
      </w:r>
      <w:r>
        <w:rPr>
          <w:rFonts w:hint="eastAsia" w:ascii="Times New Roman" w:hAnsi="Times New Roman" w:cs="Times New Roman"/>
          <w:b/>
          <w:color w:val="000000" w:themeColor="text1"/>
          <w:szCs w:val="21"/>
          <w14:textFill>
            <w14:solidFill>
              <w14:schemeClr w14:val="tx1"/>
            </w14:solidFill>
          </w14:textFill>
        </w:rPr>
        <w:t>单位：mg/L，pH除外</w:t>
      </w:r>
    </w:p>
    <w:tbl>
      <w:tblPr>
        <w:tblStyle w:val="29"/>
        <w:tblW w:w="829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74"/>
        <w:gridCol w:w="2074"/>
        <w:gridCol w:w="2074"/>
        <w:gridCol w:w="207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74" w:type="dxa"/>
          </w:tcPr>
          <w:p>
            <w:pPr>
              <w:jc w:val="center"/>
              <w:rPr>
                <w:rFonts w:ascii="Times New Roman" w:hAnsi="Times New Roman" w:cs="Times New Roman"/>
                <w:b/>
                <w:color w:val="000000" w:themeColor="text1"/>
                <w:kern w:val="0"/>
                <w:szCs w:val="21"/>
                <w14:textFill>
                  <w14:solidFill>
                    <w14:schemeClr w14:val="tx1"/>
                  </w14:solidFill>
                </w14:textFill>
              </w:rPr>
            </w:pPr>
            <w:r>
              <w:rPr>
                <w:rFonts w:hint="eastAsia" w:ascii="Times New Roman" w:hAnsi="Times New Roman" w:cs="Times New Roman"/>
                <w:b/>
                <w:color w:val="000000" w:themeColor="text1"/>
                <w:kern w:val="0"/>
                <w:szCs w:val="21"/>
                <w14:textFill>
                  <w14:solidFill>
                    <w14:schemeClr w14:val="tx1"/>
                  </w14:solidFill>
                </w14:textFill>
              </w:rPr>
              <w:t>项目</w:t>
            </w:r>
          </w:p>
        </w:tc>
        <w:tc>
          <w:tcPr>
            <w:tcW w:w="2074" w:type="dxa"/>
          </w:tcPr>
          <w:p>
            <w:pPr>
              <w:jc w:val="center"/>
              <w:rPr>
                <w:rFonts w:ascii="Times New Roman" w:hAnsi="Times New Roman" w:cs="Times New Roman"/>
                <w:b/>
                <w:color w:val="000000" w:themeColor="text1"/>
                <w:kern w:val="0"/>
                <w:szCs w:val="21"/>
                <w14:textFill>
                  <w14:solidFill>
                    <w14:schemeClr w14:val="tx1"/>
                  </w14:solidFill>
                </w14:textFill>
              </w:rPr>
            </w:pPr>
            <w:r>
              <w:rPr>
                <w:rFonts w:hint="eastAsia" w:ascii="Times New Roman" w:hAnsi="Times New Roman" w:cs="Times New Roman"/>
                <w:b/>
                <w:color w:val="000000" w:themeColor="text1"/>
                <w:kern w:val="0"/>
                <w:szCs w:val="21"/>
                <w14:textFill>
                  <w14:solidFill>
                    <w14:schemeClr w14:val="tx1"/>
                  </w14:solidFill>
                </w14:textFill>
              </w:rPr>
              <w:t>标准值</w:t>
            </w:r>
          </w:p>
        </w:tc>
        <w:tc>
          <w:tcPr>
            <w:tcW w:w="2074" w:type="dxa"/>
          </w:tcPr>
          <w:p>
            <w:pPr>
              <w:jc w:val="center"/>
              <w:rPr>
                <w:rFonts w:ascii="Times New Roman" w:hAnsi="Times New Roman" w:cs="Times New Roman"/>
                <w:b/>
                <w:color w:val="000000" w:themeColor="text1"/>
                <w:kern w:val="0"/>
                <w:szCs w:val="21"/>
                <w14:textFill>
                  <w14:solidFill>
                    <w14:schemeClr w14:val="tx1"/>
                  </w14:solidFill>
                </w14:textFill>
              </w:rPr>
            </w:pPr>
            <w:r>
              <w:rPr>
                <w:rFonts w:hint="eastAsia" w:ascii="Times New Roman" w:hAnsi="Times New Roman" w:cs="Times New Roman"/>
                <w:b/>
                <w:color w:val="000000" w:themeColor="text1"/>
                <w:kern w:val="0"/>
                <w:szCs w:val="21"/>
                <w14:textFill>
                  <w14:solidFill>
                    <w14:schemeClr w14:val="tx1"/>
                  </w14:solidFill>
                </w14:textFill>
              </w:rPr>
              <w:t>项目</w:t>
            </w:r>
          </w:p>
        </w:tc>
        <w:tc>
          <w:tcPr>
            <w:tcW w:w="2074" w:type="dxa"/>
          </w:tcPr>
          <w:p>
            <w:pPr>
              <w:jc w:val="center"/>
              <w:rPr>
                <w:rFonts w:ascii="Times New Roman" w:hAnsi="Times New Roman" w:cs="Times New Roman"/>
                <w:b/>
                <w:color w:val="000000" w:themeColor="text1"/>
                <w:kern w:val="0"/>
                <w:szCs w:val="21"/>
                <w14:textFill>
                  <w14:solidFill>
                    <w14:schemeClr w14:val="tx1"/>
                  </w14:solidFill>
                </w14:textFill>
              </w:rPr>
            </w:pPr>
            <w:r>
              <w:rPr>
                <w:rFonts w:hint="eastAsia" w:ascii="Times New Roman" w:hAnsi="Times New Roman" w:cs="Times New Roman"/>
                <w:b/>
                <w:color w:val="000000" w:themeColor="text1"/>
                <w:kern w:val="0"/>
                <w:szCs w:val="21"/>
                <w14:textFill>
                  <w14:solidFill>
                    <w14:schemeClr w14:val="tx1"/>
                  </w14:solidFill>
                </w14:textFill>
              </w:rPr>
              <w:t>标准值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74" w:type="dxa"/>
          </w:tcPr>
          <w:p>
            <w:pPr>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pH</w:t>
            </w:r>
          </w:p>
        </w:tc>
        <w:tc>
          <w:tcPr>
            <w:tcW w:w="2074" w:type="dxa"/>
          </w:tcPr>
          <w:p>
            <w:pPr>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6</w:t>
            </w:r>
            <w:r>
              <w:rPr>
                <w:rFonts w:ascii="Times New Roman" w:hAnsi="Times New Roman" w:cs="Times New Roman"/>
                <w:color w:val="000000" w:themeColor="text1"/>
                <w:kern w:val="0"/>
                <w:szCs w:val="21"/>
                <w14:textFill>
                  <w14:solidFill>
                    <w14:schemeClr w14:val="tx1"/>
                  </w14:solidFill>
                </w14:textFill>
              </w:rPr>
              <w:t>-9</w:t>
            </w:r>
          </w:p>
        </w:tc>
        <w:tc>
          <w:tcPr>
            <w:tcW w:w="2074" w:type="dxa"/>
          </w:tcPr>
          <w:p>
            <w:pPr>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Cr</w:t>
            </w:r>
            <w:r>
              <w:rPr>
                <w:rFonts w:ascii="Times New Roman" w:hAnsi="Times New Roman" w:cs="Times New Roman"/>
                <w:color w:val="000000" w:themeColor="text1"/>
                <w:kern w:val="0"/>
                <w:szCs w:val="21"/>
                <w:vertAlign w:val="superscript"/>
                <w14:textFill>
                  <w14:solidFill>
                    <w14:schemeClr w14:val="tx1"/>
                  </w14:solidFill>
                </w14:textFill>
              </w:rPr>
              <w:t>6+</w:t>
            </w:r>
          </w:p>
        </w:tc>
        <w:tc>
          <w:tcPr>
            <w:tcW w:w="2074" w:type="dxa"/>
          </w:tcPr>
          <w:p>
            <w:pPr>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0</w:t>
            </w:r>
            <w:r>
              <w:rPr>
                <w:rFonts w:ascii="Times New Roman" w:hAnsi="Times New Roman" w:cs="Times New Roman"/>
                <w:color w:val="000000" w:themeColor="text1"/>
                <w:kern w:val="0"/>
                <w:szCs w:val="21"/>
                <w14:textFill>
                  <w14:solidFill>
                    <w14:schemeClr w14:val="tx1"/>
                  </w14:solidFill>
                </w14:textFill>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74" w:type="dxa"/>
          </w:tcPr>
          <w:p>
            <w:pPr>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COD</w:t>
            </w:r>
          </w:p>
        </w:tc>
        <w:tc>
          <w:tcPr>
            <w:tcW w:w="2074" w:type="dxa"/>
          </w:tcPr>
          <w:p>
            <w:pPr>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1</w:t>
            </w:r>
            <w:r>
              <w:rPr>
                <w:rFonts w:ascii="Times New Roman" w:hAnsi="Times New Roman" w:cs="Times New Roman"/>
                <w:color w:val="000000" w:themeColor="text1"/>
                <w:kern w:val="0"/>
                <w:szCs w:val="21"/>
                <w14:textFill>
                  <w14:solidFill>
                    <w14:schemeClr w14:val="tx1"/>
                  </w14:solidFill>
                </w14:textFill>
              </w:rPr>
              <w:t>00</w:t>
            </w:r>
          </w:p>
        </w:tc>
        <w:tc>
          <w:tcPr>
            <w:tcW w:w="2074" w:type="dxa"/>
          </w:tcPr>
          <w:p>
            <w:pPr>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烷基汞</w:t>
            </w:r>
          </w:p>
        </w:tc>
        <w:tc>
          <w:tcPr>
            <w:tcW w:w="2074" w:type="dxa"/>
          </w:tcPr>
          <w:p>
            <w:pPr>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不得检出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74" w:type="dxa"/>
          </w:tcPr>
          <w:p>
            <w:pPr>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BOD</w:t>
            </w:r>
            <w:r>
              <w:rPr>
                <w:rFonts w:ascii="Times New Roman" w:hAnsi="Times New Roman" w:cs="Times New Roman"/>
                <w:color w:val="000000" w:themeColor="text1"/>
                <w:kern w:val="0"/>
                <w:szCs w:val="21"/>
                <w:vertAlign w:val="subscript"/>
                <w14:textFill>
                  <w14:solidFill>
                    <w14:schemeClr w14:val="tx1"/>
                  </w14:solidFill>
                </w14:textFill>
              </w:rPr>
              <w:t>5</w:t>
            </w:r>
          </w:p>
        </w:tc>
        <w:tc>
          <w:tcPr>
            <w:tcW w:w="2074" w:type="dxa"/>
          </w:tcPr>
          <w:p>
            <w:pPr>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2</w:t>
            </w:r>
            <w:r>
              <w:rPr>
                <w:rFonts w:ascii="Times New Roman" w:hAnsi="Times New Roman" w:cs="Times New Roman"/>
                <w:color w:val="000000" w:themeColor="text1"/>
                <w:kern w:val="0"/>
                <w:szCs w:val="21"/>
                <w14:textFill>
                  <w14:solidFill>
                    <w14:schemeClr w14:val="tx1"/>
                  </w14:solidFill>
                </w14:textFill>
              </w:rPr>
              <w:t>0</w:t>
            </w:r>
          </w:p>
        </w:tc>
        <w:tc>
          <w:tcPr>
            <w:tcW w:w="2074" w:type="dxa"/>
          </w:tcPr>
          <w:p>
            <w:pPr>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Hg</w:t>
            </w:r>
          </w:p>
        </w:tc>
        <w:tc>
          <w:tcPr>
            <w:tcW w:w="2074" w:type="dxa"/>
          </w:tcPr>
          <w:p>
            <w:pPr>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0</w:t>
            </w:r>
            <w:r>
              <w:rPr>
                <w:rFonts w:ascii="Times New Roman" w:hAnsi="Times New Roman" w:cs="Times New Roman"/>
                <w:color w:val="000000" w:themeColor="text1"/>
                <w:kern w:val="0"/>
                <w:szCs w:val="21"/>
                <w14:textFill>
                  <w14:solidFill>
                    <w14:schemeClr w14:val="tx1"/>
                  </w14:solidFill>
                </w14:textFill>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74" w:type="dxa"/>
          </w:tcPr>
          <w:p>
            <w:pPr>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SS</w:t>
            </w:r>
          </w:p>
        </w:tc>
        <w:tc>
          <w:tcPr>
            <w:tcW w:w="2074" w:type="dxa"/>
          </w:tcPr>
          <w:p>
            <w:pPr>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7</w:t>
            </w:r>
            <w:r>
              <w:rPr>
                <w:rFonts w:ascii="Times New Roman" w:hAnsi="Times New Roman" w:cs="Times New Roman"/>
                <w:color w:val="000000" w:themeColor="text1"/>
                <w:kern w:val="0"/>
                <w:szCs w:val="21"/>
                <w14:textFill>
                  <w14:solidFill>
                    <w14:schemeClr w14:val="tx1"/>
                  </w14:solidFill>
                </w14:textFill>
              </w:rPr>
              <w:t>0</w:t>
            </w:r>
          </w:p>
        </w:tc>
        <w:tc>
          <w:tcPr>
            <w:tcW w:w="2074" w:type="dxa"/>
          </w:tcPr>
          <w:p>
            <w:pPr>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Be</w:t>
            </w:r>
          </w:p>
        </w:tc>
        <w:tc>
          <w:tcPr>
            <w:tcW w:w="2074" w:type="dxa"/>
          </w:tcPr>
          <w:p>
            <w:pPr>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0</w:t>
            </w:r>
            <w:r>
              <w:rPr>
                <w:rFonts w:ascii="Times New Roman" w:hAnsi="Times New Roman" w:cs="Times New Roman"/>
                <w:color w:val="000000" w:themeColor="text1"/>
                <w:kern w:val="0"/>
                <w:szCs w:val="21"/>
                <w14:textFill>
                  <w14:solidFill>
                    <w14:schemeClr w14:val="tx1"/>
                  </w14:solidFill>
                </w14:textFill>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74" w:type="dxa"/>
          </w:tcPr>
          <w:p>
            <w:pPr>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NH</w:t>
            </w:r>
            <w:r>
              <w:rPr>
                <w:rFonts w:ascii="Times New Roman" w:hAnsi="Times New Roman" w:cs="Times New Roman"/>
                <w:color w:val="000000" w:themeColor="text1"/>
                <w:kern w:val="0"/>
                <w:szCs w:val="21"/>
                <w:vertAlign w:val="subscript"/>
                <w14:textFill>
                  <w14:solidFill>
                    <w14:schemeClr w14:val="tx1"/>
                  </w14:solidFill>
                </w14:textFill>
              </w:rPr>
              <w:t>3</w:t>
            </w:r>
            <w:r>
              <w:rPr>
                <w:rFonts w:ascii="Times New Roman" w:hAnsi="Times New Roman" w:cs="Times New Roman"/>
                <w:color w:val="000000" w:themeColor="text1"/>
                <w:kern w:val="0"/>
                <w:szCs w:val="21"/>
                <w14:textFill>
                  <w14:solidFill>
                    <w14:schemeClr w14:val="tx1"/>
                  </w14:solidFill>
                </w14:textFill>
              </w:rPr>
              <w:t>-</w:t>
            </w:r>
            <w:r>
              <w:rPr>
                <w:rFonts w:hint="eastAsia" w:ascii="Times New Roman" w:hAnsi="Times New Roman" w:cs="Times New Roman"/>
                <w:color w:val="000000" w:themeColor="text1"/>
                <w:kern w:val="0"/>
                <w:szCs w:val="21"/>
                <w14:textFill>
                  <w14:solidFill>
                    <w14:schemeClr w14:val="tx1"/>
                  </w14:solidFill>
                </w14:textFill>
              </w:rPr>
              <w:t>N</w:t>
            </w:r>
          </w:p>
        </w:tc>
        <w:tc>
          <w:tcPr>
            <w:tcW w:w="2074" w:type="dxa"/>
          </w:tcPr>
          <w:p>
            <w:pPr>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1</w:t>
            </w:r>
            <w:r>
              <w:rPr>
                <w:rFonts w:ascii="Times New Roman" w:hAnsi="Times New Roman" w:cs="Times New Roman"/>
                <w:color w:val="000000" w:themeColor="text1"/>
                <w:kern w:val="0"/>
                <w:szCs w:val="21"/>
                <w14:textFill>
                  <w14:solidFill>
                    <w14:schemeClr w14:val="tx1"/>
                  </w14:solidFill>
                </w14:textFill>
              </w:rPr>
              <w:t>5</w:t>
            </w:r>
          </w:p>
        </w:tc>
        <w:tc>
          <w:tcPr>
            <w:tcW w:w="2074" w:type="dxa"/>
          </w:tcPr>
          <w:p>
            <w:pPr>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Ni</w:t>
            </w:r>
          </w:p>
        </w:tc>
        <w:tc>
          <w:tcPr>
            <w:tcW w:w="2074" w:type="dxa"/>
          </w:tcPr>
          <w:p>
            <w:pPr>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74" w:type="dxa"/>
          </w:tcPr>
          <w:p>
            <w:pPr>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石油类</w:t>
            </w:r>
          </w:p>
        </w:tc>
        <w:tc>
          <w:tcPr>
            <w:tcW w:w="2074" w:type="dxa"/>
          </w:tcPr>
          <w:p>
            <w:pPr>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5</w:t>
            </w:r>
          </w:p>
        </w:tc>
        <w:tc>
          <w:tcPr>
            <w:tcW w:w="2074" w:type="dxa"/>
          </w:tcPr>
          <w:p>
            <w:pPr>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Ag</w:t>
            </w:r>
          </w:p>
        </w:tc>
        <w:tc>
          <w:tcPr>
            <w:tcW w:w="2074" w:type="dxa"/>
          </w:tcPr>
          <w:p>
            <w:pPr>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0</w:t>
            </w:r>
            <w:r>
              <w:rPr>
                <w:rFonts w:ascii="Times New Roman" w:hAnsi="Times New Roman" w:cs="Times New Roman"/>
                <w:color w:val="000000" w:themeColor="text1"/>
                <w:kern w:val="0"/>
                <w:szCs w:val="21"/>
                <w14:textFill>
                  <w14:solidFill>
                    <w14:schemeClr w14:val="tx1"/>
                  </w14:solidFill>
                </w14:textFill>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74" w:type="dxa"/>
          </w:tcPr>
          <w:p>
            <w:pPr>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Cu</w:t>
            </w:r>
          </w:p>
        </w:tc>
        <w:tc>
          <w:tcPr>
            <w:tcW w:w="2074" w:type="dxa"/>
          </w:tcPr>
          <w:p>
            <w:pPr>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2</w:t>
            </w:r>
          </w:p>
        </w:tc>
        <w:tc>
          <w:tcPr>
            <w:tcW w:w="2074" w:type="dxa"/>
          </w:tcPr>
          <w:p>
            <w:pPr>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As</w:t>
            </w:r>
          </w:p>
        </w:tc>
        <w:tc>
          <w:tcPr>
            <w:tcW w:w="2074" w:type="dxa"/>
          </w:tcPr>
          <w:p>
            <w:pPr>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0</w:t>
            </w:r>
            <w:r>
              <w:rPr>
                <w:rFonts w:ascii="Times New Roman" w:hAnsi="Times New Roman" w:cs="Times New Roman"/>
                <w:color w:val="000000" w:themeColor="text1"/>
                <w:kern w:val="0"/>
                <w:szCs w:val="21"/>
                <w14:textFill>
                  <w14:solidFill>
                    <w14:schemeClr w14:val="tx1"/>
                  </w14:solidFill>
                </w14:textFill>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74" w:type="dxa"/>
          </w:tcPr>
          <w:p>
            <w:pPr>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Zn</w:t>
            </w:r>
          </w:p>
        </w:tc>
        <w:tc>
          <w:tcPr>
            <w:tcW w:w="2074" w:type="dxa"/>
          </w:tcPr>
          <w:p>
            <w:pPr>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5</w:t>
            </w:r>
          </w:p>
        </w:tc>
        <w:tc>
          <w:tcPr>
            <w:tcW w:w="2074" w:type="dxa"/>
          </w:tcPr>
          <w:p>
            <w:pPr>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Se</w:t>
            </w:r>
          </w:p>
        </w:tc>
        <w:tc>
          <w:tcPr>
            <w:tcW w:w="2074" w:type="dxa"/>
          </w:tcPr>
          <w:p>
            <w:pPr>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0</w:t>
            </w:r>
            <w:r>
              <w:rPr>
                <w:rFonts w:ascii="Times New Roman" w:hAnsi="Times New Roman" w:cs="Times New Roman"/>
                <w:color w:val="000000" w:themeColor="text1"/>
                <w:kern w:val="0"/>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74" w:type="dxa"/>
          </w:tcPr>
          <w:p>
            <w:pPr>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Cd</w:t>
            </w:r>
          </w:p>
        </w:tc>
        <w:tc>
          <w:tcPr>
            <w:tcW w:w="2074" w:type="dxa"/>
          </w:tcPr>
          <w:p>
            <w:pPr>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0</w:t>
            </w:r>
            <w:r>
              <w:rPr>
                <w:rFonts w:ascii="Times New Roman" w:hAnsi="Times New Roman" w:cs="Times New Roman"/>
                <w:color w:val="000000" w:themeColor="text1"/>
                <w:kern w:val="0"/>
                <w:szCs w:val="21"/>
                <w14:textFill>
                  <w14:solidFill>
                    <w14:schemeClr w14:val="tx1"/>
                  </w14:solidFill>
                </w14:textFill>
              </w:rPr>
              <w:t>.1</w:t>
            </w:r>
          </w:p>
        </w:tc>
        <w:tc>
          <w:tcPr>
            <w:tcW w:w="2074" w:type="dxa"/>
          </w:tcPr>
          <w:p>
            <w:pPr>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氟化物</w:t>
            </w:r>
          </w:p>
        </w:tc>
        <w:tc>
          <w:tcPr>
            <w:tcW w:w="2074" w:type="dxa"/>
          </w:tcPr>
          <w:p>
            <w:pPr>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1</w:t>
            </w:r>
            <w:r>
              <w:rPr>
                <w:rFonts w:ascii="Times New Roman" w:hAnsi="Times New Roman" w:cs="Times New Roman"/>
                <w:color w:val="000000" w:themeColor="text1"/>
                <w:kern w:val="0"/>
                <w:szCs w:val="21"/>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74" w:type="dxa"/>
          </w:tcPr>
          <w:p>
            <w:pPr>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Pb</w:t>
            </w:r>
          </w:p>
        </w:tc>
        <w:tc>
          <w:tcPr>
            <w:tcW w:w="2074" w:type="dxa"/>
          </w:tcPr>
          <w:p>
            <w:pPr>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1</w:t>
            </w:r>
          </w:p>
        </w:tc>
        <w:tc>
          <w:tcPr>
            <w:tcW w:w="2074" w:type="dxa"/>
          </w:tcPr>
          <w:p>
            <w:pPr>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CN</w:t>
            </w:r>
            <w:r>
              <w:rPr>
                <w:rFonts w:ascii="Times New Roman" w:hAnsi="Times New Roman" w:cs="Times New Roman"/>
                <w:color w:val="000000" w:themeColor="text1"/>
                <w:kern w:val="0"/>
                <w:szCs w:val="21"/>
                <w:vertAlign w:val="superscript"/>
                <w14:textFill>
                  <w14:solidFill>
                    <w14:schemeClr w14:val="tx1"/>
                  </w14:solidFill>
                </w14:textFill>
              </w:rPr>
              <w:t>-</w:t>
            </w:r>
          </w:p>
        </w:tc>
        <w:tc>
          <w:tcPr>
            <w:tcW w:w="2074" w:type="dxa"/>
          </w:tcPr>
          <w:p>
            <w:pPr>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0</w:t>
            </w:r>
            <w:r>
              <w:rPr>
                <w:rFonts w:ascii="Times New Roman" w:hAnsi="Times New Roman" w:cs="Times New Roman"/>
                <w:color w:val="000000" w:themeColor="text1"/>
                <w:kern w:val="0"/>
                <w:szCs w:val="21"/>
                <w14:textFill>
                  <w14:solidFill>
                    <w14:schemeClr w14:val="tx1"/>
                  </w14:solidFill>
                </w14:textFill>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74" w:type="dxa"/>
          </w:tcPr>
          <w:p>
            <w:pPr>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总Cr</w:t>
            </w:r>
          </w:p>
        </w:tc>
        <w:tc>
          <w:tcPr>
            <w:tcW w:w="2074" w:type="dxa"/>
          </w:tcPr>
          <w:p>
            <w:pPr>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1</w:t>
            </w:r>
            <w:r>
              <w:rPr>
                <w:rFonts w:ascii="Times New Roman" w:hAnsi="Times New Roman" w:cs="Times New Roman"/>
                <w:color w:val="000000" w:themeColor="text1"/>
                <w:kern w:val="0"/>
                <w:szCs w:val="21"/>
                <w14:textFill>
                  <w14:solidFill>
                    <w14:schemeClr w14:val="tx1"/>
                  </w14:solidFill>
                </w14:textFill>
              </w:rPr>
              <w:t>.5</w:t>
            </w:r>
          </w:p>
        </w:tc>
        <w:tc>
          <w:tcPr>
            <w:tcW w:w="2074" w:type="dxa"/>
          </w:tcPr>
          <w:p>
            <w:pPr>
              <w:jc w:val="center"/>
              <w:rPr>
                <w:rFonts w:ascii="Times New Roman" w:hAnsi="Times New Roman" w:cs="Times New Roman"/>
                <w:color w:val="000000" w:themeColor="text1"/>
                <w:kern w:val="0"/>
                <w:szCs w:val="21"/>
                <w14:textFill>
                  <w14:solidFill>
                    <w14:schemeClr w14:val="tx1"/>
                  </w14:solidFill>
                </w14:textFill>
              </w:rPr>
            </w:pPr>
          </w:p>
        </w:tc>
        <w:tc>
          <w:tcPr>
            <w:tcW w:w="2074" w:type="dxa"/>
          </w:tcPr>
          <w:p>
            <w:pPr>
              <w:jc w:val="center"/>
              <w:rPr>
                <w:rFonts w:ascii="Times New Roman" w:hAnsi="Times New Roman" w:cs="Times New Roman"/>
                <w:color w:val="000000" w:themeColor="text1"/>
                <w:kern w:val="0"/>
                <w:szCs w:val="21"/>
                <w14:textFill>
                  <w14:solidFill>
                    <w14:schemeClr w14:val="tx1"/>
                  </w14:solidFill>
                </w14:textFill>
              </w:rPr>
            </w:pPr>
          </w:p>
        </w:tc>
      </w:tr>
    </w:tbl>
    <w:p>
      <w:pPr>
        <w:spacing w:line="360" w:lineRule="auto"/>
        <w:jc w:val="center"/>
        <w:rPr>
          <w:rFonts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表1</w:t>
      </w:r>
      <w:r>
        <w:rPr>
          <w:rFonts w:ascii="Times New Roman" w:hAnsi="Times New Roman" w:cs="Times New Roman"/>
          <w:b/>
          <w:color w:val="000000" w:themeColor="text1"/>
          <w:szCs w:val="21"/>
          <w14:textFill>
            <w14:solidFill>
              <w14:schemeClr w14:val="tx1"/>
            </w14:solidFill>
          </w14:textFill>
        </w:rPr>
        <w:t xml:space="preserve">.6-8  </w:t>
      </w:r>
      <w:r>
        <w:rPr>
          <w:rFonts w:hint="eastAsia" w:ascii="Times New Roman" w:hAnsi="Times New Roman" w:cs="Times New Roman"/>
          <w:b/>
          <w:color w:val="000000" w:themeColor="text1"/>
          <w:szCs w:val="21"/>
          <w14:textFill>
            <w14:solidFill>
              <w14:schemeClr w14:val="tx1"/>
            </w14:solidFill>
          </w14:textFill>
        </w:rPr>
        <w:t xml:space="preserve">城市污水再生利用 城市杂用水水质  </w:t>
      </w:r>
      <w:r>
        <w:rPr>
          <w:rFonts w:ascii="Times New Roman" w:hAnsi="Times New Roman" w:cs="Times New Roman"/>
          <w:b/>
          <w:color w:val="000000" w:themeColor="text1"/>
          <w:szCs w:val="21"/>
          <w14:textFill>
            <w14:solidFill>
              <w14:schemeClr w14:val="tx1"/>
            </w14:solidFill>
          </w14:textFill>
        </w:rPr>
        <w:t xml:space="preserve"> </w:t>
      </w:r>
      <w:r>
        <w:rPr>
          <w:rFonts w:hint="eastAsia" w:ascii="Times New Roman" w:hAnsi="Times New Roman" w:cs="Times New Roman"/>
          <w:b/>
          <w:color w:val="000000" w:themeColor="text1"/>
          <w:szCs w:val="21"/>
          <w14:textFill>
            <w14:solidFill>
              <w14:schemeClr w14:val="tx1"/>
            </w14:solidFill>
          </w14:textFill>
        </w:rPr>
        <w:t>单位：mg/L，pH除外</w:t>
      </w:r>
    </w:p>
    <w:tbl>
      <w:tblPr>
        <w:tblStyle w:val="29"/>
        <w:tblW w:w="829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126"/>
        <w:gridCol w:w="993"/>
        <w:gridCol w:w="1134"/>
        <w:gridCol w:w="1134"/>
        <w:gridCol w:w="1134"/>
        <w:gridCol w:w="106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序号</w:t>
            </w:r>
          </w:p>
        </w:tc>
        <w:tc>
          <w:tcPr>
            <w:tcW w:w="2126" w:type="dxa"/>
            <w:vAlign w:val="center"/>
          </w:tcPr>
          <w:p>
            <w:pPr>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项目</w:t>
            </w:r>
          </w:p>
        </w:tc>
        <w:tc>
          <w:tcPr>
            <w:tcW w:w="993" w:type="dxa"/>
            <w:vAlign w:val="center"/>
          </w:tcPr>
          <w:p>
            <w:pPr>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冲厕</w:t>
            </w:r>
          </w:p>
        </w:tc>
        <w:tc>
          <w:tcPr>
            <w:tcW w:w="1134" w:type="dxa"/>
            <w:vAlign w:val="center"/>
          </w:tcPr>
          <w:p>
            <w:pPr>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道路清扫、消防</w:t>
            </w:r>
          </w:p>
        </w:tc>
        <w:tc>
          <w:tcPr>
            <w:tcW w:w="1134" w:type="dxa"/>
            <w:vAlign w:val="center"/>
          </w:tcPr>
          <w:p>
            <w:pPr>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城市绿化</w:t>
            </w:r>
          </w:p>
        </w:tc>
        <w:tc>
          <w:tcPr>
            <w:tcW w:w="1134" w:type="dxa"/>
            <w:vAlign w:val="center"/>
          </w:tcPr>
          <w:p>
            <w:pPr>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车辆冲洗</w:t>
            </w:r>
          </w:p>
        </w:tc>
        <w:tc>
          <w:tcPr>
            <w:tcW w:w="1066" w:type="dxa"/>
            <w:vAlign w:val="center"/>
          </w:tcPr>
          <w:p>
            <w:pPr>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建筑施工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9" w:type="dxa"/>
          </w:tcPr>
          <w:p>
            <w:pPr>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1</w:t>
            </w:r>
          </w:p>
        </w:tc>
        <w:tc>
          <w:tcPr>
            <w:tcW w:w="2126" w:type="dxa"/>
          </w:tcPr>
          <w:p>
            <w:pPr>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pH</w:t>
            </w:r>
          </w:p>
        </w:tc>
        <w:tc>
          <w:tcPr>
            <w:tcW w:w="5461" w:type="dxa"/>
            <w:gridSpan w:val="5"/>
          </w:tcPr>
          <w:p>
            <w:pPr>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6</w:t>
            </w:r>
            <w:r>
              <w:rPr>
                <w:rFonts w:ascii="Times New Roman" w:hAnsi="Times New Roman" w:cs="Times New Roman"/>
                <w:color w:val="000000" w:themeColor="text1"/>
                <w:kern w:val="0"/>
                <w:szCs w:val="21"/>
                <w14:textFill>
                  <w14:solidFill>
                    <w14:schemeClr w14:val="tx1"/>
                  </w14:solidFill>
                </w14:textFill>
              </w:rPr>
              <w:t>.0-9.0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9" w:type="dxa"/>
          </w:tcPr>
          <w:p>
            <w:pPr>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2</w:t>
            </w:r>
          </w:p>
        </w:tc>
        <w:tc>
          <w:tcPr>
            <w:tcW w:w="2126" w:type="dxa"/>
          </w:tcPr>
          <w:p>
            <w:pPr>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色度≤</w:t>
            </w:r>
          </w:p>
        </w:tc>
        <w:tc>
          <w:tcPr>
            <w:tcW w:w="5461" w:type="dxa"/>
            <w:gridSpan w:val="5"/>
          </w:tcPr>
          <w:p>
            <w:pPr>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3</w:t>
            </w:r>
            <w:r>
              <w:rPr>
                <w:rFonts w:ascii="Times New Roman" w:hAnsi="Times New Roman" w:cs="Times New Roman"/>
                <w:color w:val="000000" w:themeColor="text1"/>
                <w:kern w:val="0"/>
                <w:szCs w:val="21"/>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9" w:type="dxa"/>
          </w:tcPr>
          <w:p>
            <w:pPr>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3</w:t>
            </w:r>
          </w:p>
        </w:tc>
        <w:tc>
          <w:tcPr>
            <w:tcW w:w="2126" w:type="dxa"/>
          </w:tcPr>
          <w:p>
            <w:pPr>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嗅</w:t>
            </w:r>
          </w:p>
        </w:tc>
        <w:tc>
          <w:tcPr>
            <w:tcW w:w="5461" w:type="dxa"/>
            <w:gridSpan w:val="5"/>
          </w:tcPr>
          <w:p>
            <w:pPr>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无不快感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9" w:type="dxa"/>
          </w:tcPr>
          <w:p>
            <w:pPr>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4</w:t>
            </w:r>
          </w:p>
        </w:tc>
        <w:tc>
          <w:tcPr>
            <w:tcW w:w="2126" w:type="dxa"/>
          </w:tcPr>
          <w:p>
            <w:pPr>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浊度≤</w:t>
            </w:r>
          </w:p>
        </w:tc>
        <w:tc>
          <w:tcPr>
            <w:tcW w:w="993" w:type="dxa"/>
          </w:tcPr>
          <w:p>
            <w:pPr>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5</w:t>
            </w:r>
          </w:p>
        </w:tc>
        <w:tc>
          <w:tcPr>
            <w:tcW w:w="1134" w:type="dxa"/>
          </w:tcPr>
          <w:p>
            <w:pPr>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1</w:t>
            </w:r>
            <w:r>
              <w:rPr>
                <w:rFonts w:ascii="Times New Roman" w:hAnsi="Times New Roman" w:cs="Times New Roman"/>
                <w:color w:val="000000" w:themeColor="text1"/>
                <w:kern w:val="0"/>
                <w:szCs w:val="21"/>
                <w14:textFill>
                  <w14:solidFill>
                    <w14:schemeClr w14:val="tx1"/>
                  </w14:solidFill>
                </w14:textFill>
              </w:rPr>
              <w:t>0</w:t>
            </w:r>
          </w:p>
        </w:tc>
        <w:tc>
          <w:tcPr>
            <w:tcW w:w="1134" w:type="dxa"/>
          </w:tcPr>
          <w:p>
            <w:pPr>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1</w:t>
            </w:r>
            <w:r>
              <w:rPr>
                <w:rFonts w:ascii="Times New Roman" w:hAnsi="Times New Roman" w:cs="Times New Roman"/>
                <w:color w:val="000000" w:themeColor="text1"/>
                <w:kern w:val="0"/>
                <w:szCs w:val="21"/>
                <w14:textFill>
                  <w14:solidFill>
                    <w14:schemeClr w14:val="tx1"/>
                  </w14:solidFill>
                </w14:textFill>
              </w:rPr>
              <w:t>0</w:t>
            </w:r>
          </w:p>
        </w:tc>
        <w:tc>
          <w:tcPr>
            <w:tcW w:w="1134" w:type="dxa"/>
          </w:tcPr>
          <w:p>
            <w:pPr>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5</w:t>
            </w:r>
          </w:p>
        </w:tc>
        <w:tc>
          <w:tcPr>
            <w:tcW w:w="1066" w:type="dxa"/>
          </w:tcPr>
          <w:p>
            <w:pPr>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2</w:t>
            </w:r>
            <w:r>
              <w:rPr>
                <w:rFonts w:ascii="Times New Roman" w:hAnsi="Times New Roman" w:cs="Times New Roman"/>
                <w:color w:val="000000" w:themeColor="text1"/>
                <w:kern w:val="0"/>
                <w:szCs w:val="21"/>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9" w:type="dxa"/>
          </w:tcPr>
          <w:p>
            <w:pPr>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5</w:t>
            </w:r>
          </w:p>
        </w:tc>
        <w:tc>
          <w:tcPr>
            <w:tcW w:w="2126" w:type="dxa"/>
          </w:tcPr>
          <w:p>
            <w:pPr>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溶解性总固体≤</w:t>
            </w:r>
          </w:p>
        </w:tc>
        <w:tc>
          <w:tcPr>
            <w:tcW w:w="993" w:type="dxa"/>
          </w:tcPr>
          <w:p>
            <w:pPr>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1</w:t>
            </w:r>
            <w:r>
              <w:rPr>
                <w:rFonts w:ascii="Times New Roman" w:hAnsi="Times New Roman" w:cs="Times New Roman"/>
                <w:color w:val="000000" w:themeColor="text1"/>
                <w:kern w:val="0"/>
                <w:szCs w:val="21"/>
                <w14:textFill>
                  <w14:solidFill>
                    <w14:schemeClr w14:val="tx1"/>
                  </w14:solidFill>
                </w14:textFill>
              </w:rPr>
              <w:t>500</w:t>
            </w:r>
          </w:p>
        </w:tc>
        <w:tc>
          <w:tcPr>
            <w:tcW w:w="1134" w:type="dxa"/>
          </w:tcPr>
          <w:p>
            <w:pPr>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1</w:t>
            </w:r>
            <w:r>
              <w:rPr>
                <w:rFonts w:ascii="Times New Roman" w:hAnsi="Times New Roman" w:cs="Times New Roman"/>
                <w:color w:val="000000" w:themeColor="text1"/>
                <w:kern w:val="0"/>
                <w:szCs w:val="21"/>
                <w14:textFill>
                  <w14:solidFill>
                    <w14:schemeClr w14:val="tx1"/>
                  </w14:solidFill>
                </w14:textFill>
              </w:rPr>
              <w:t>500</w:t>
            </w:r>
          </w:p>
        </w:tc>
        <w:tc>
          <w:tcPr>
            <w:tcW w:w="1134" w:type="dxa"/>
          </w:tcPr>
          <w:p>
            <w:pPr>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1</w:t>
            </w:r>
            <w:r>
              <w:rPr>
                <w:rFonts w:ascii="Times New Roman" w:hAnsi="Times New Roman" w:cs="Times New Roman"/>
                <w:color w:val="000000" w:themeColor="text1"/>
                <w:kern w:val="0"/>
                <w:szCs w:val="21"/>
                <w14:textFill>
                  <w14:solidFill>
                    <w14:schemeClr w14:val="tx1"/>
                  </w14:solidFill>
                </w14:textFill>
              </w:rPr>
              <w:t>000</w:t>
            </w:r>
          </w:p>
        </w:tc>
        <w:tc>
          <w:tcPr>
            <w:tcW w:w="1134" w:type="dxa"/>
          </w:tcPr>
          <w:p>
            <w:pPr>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1</w:t>
            </w:r>
            <w:r>
              <w:rPr>
                <w:rFonts w:ascii="Times New Roman" w:hAnsi="Times New Roman" w:cs="Times New Roman"/>
                <w:color w:val="000000" w:themeColor="text1"/>
                <w:kern w:val="0"/>
                <w:szCs w:val="21"/>
                <w14:textFill>
                  <w14:solidFill>
                    <w14:schemeClr w14:val="tx1"/>
                  </w14:solidFill>
                </w14:textFill>
              </w:rPr>
              <w:t>000</w:t>
            </w:r>
          </w:p>
        </w:tc>
        <w:tc>
          <w:tcPr>
            <w:tcW w:w="1066" w:type="dxa"/>
          </w:tcPr>
          <w:p>
            <w:pPr>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w:t>
            </w:r>
            <w:r>
              <w:rPr>
                <w:rFonts w:ascii="Times New Roman" w:hAnsi="Times New Roman" w:cs="Times New Roman"/>
                <w:color w:val="000000" w:themeColor="text1"/>
                <w:kern w:val="0"/>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9" w:type="dxa"/>
          </w:tcPr>
          <w:p>
            <w:pPr>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6</w:t>
            </w:r>
          </w:p>
        </w:tc>
        <w:tc>
          <w:tcPr>
            <w:tcW w:w="2126" w:type="dxa"/>
          </w:tcPr>
          <w:p>
            <w:pPr>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BOD</w:t>
            </w:r>
            <w:r>
              <w:rPr>
                <w:rFonts w:ascii="Times New Roman" w:hAnsi="Times New Roman" w:cs="Times New Roman"/>
                <w:color w:val="000000" w:themeColor="text1"/>
                <w:kern w:val="0"/>
                <w:szCs w:val="21"/>
                <w:vertAlign w:val="subscript"/>
                <w14:textFill>
                  <w14:solidFill>
                    <w14:schemeClr w14:val="tx1"/>
                  </w14:solidFill>
                </w14:textFill>
              </w:rPr>
              <w:t>5</w:t>
            </w:r>
            <w:r>
              <w:rPr>
                <w:rFonts w:hint="eastAsia" w:ascii="Times New Roman" w:hAnsi="Times New Roman" w:cs="Times New Roman"/>
                <w:color w:val="000000" w:themeColor="text1"/>
                <w:kern w:val="0"/>
                <w:szCs w:val="21"/>
                <w14:textFill>
                  <w14:solidFill>
                    <w14:schemeClr w14:val="tx1"/>
                  </w14:solidFill>
                </w14:textFill>
              </w:rPr>
              <w:t>≤</w:t>
            </w:r>
          </w:p>
        </w:tc>
        <w:tc>
          <w:tcPr>
            <w:tcW w:w="993" w:type="dxa"/>
          </w:tcPr>
          <w:p>
            <w:pPr>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1</w:t>
            </w:r>
            <w:r>
              <w:rPr>
                <w:rFonts w:ascii="Times New Roman" w:hAnsi="Times New Roman" w:cs="Times New Roman"/>
                <w:color w:val="000000" w:themeColor="text1"/>
                <w:kern w:val="0"/>
                <w:szCs w:val="21"/>
                <w14:textFill>
                  <w14:solidFill>
                    <w14:schemeClr w14:val="tx1"/>
                  </w14:solidFill>
                </w14:textFill>
              </w:rPr>
              <w:t>0</w:t>
            </w:r>
          </w:p>
        </w:tc>
        <w:tc>
          <w:tcPr>
            <w:tcW w:w="1134" w:type="dxa"/>
          </w:tcPr>
          <w:p>
            <w:pPr>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1</w:t>
            </w:r>
            <w:r>
              <w:rPr>
                <w:rFonts w:ascii="Times New Roman" w:hAnsi="Times New Roman" w:cs="Times New Roman"/>
                <w:color w:val="000000" w:themeColor="text1"/>
                <w:kern w:val="0"/>
                <w:szCs w:val="21"/>
                <w14:textFill>
                  <w14:solidFill>
                    <w14:schemeClr w14:val="tx1"/>
                  </w14:solidFill>
                </w14:textFill>
              </w:rPr>
              <w:t>5</w:t>
            </w:r>
          </w:p>
        </w:tc>
        <w:tc>
          <w:tcPr>
            <w:tcW w:w="1134" w:type="dxa"/>
          </w:tcPr>
          <w:p>
            <w:pPr>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2</w:t>
            </w:r>
            <w:r>
              <w:rPr>
                <w:rFonts w:ascii="Times New Roman" w:hAnsi="Times New Roman" w:cs="Times New Roman"/>
                <w:color w:val="000000" w:themeColor="text1"/>
                <w:kern w:val="0"/>
                <w:szCs w:val="21"/>
                <w14:textFill>
                  <w14:solidFill>
                    <w14:schemeClr w14:val="tx1"/>
                  </w14:solidFill>
                </w14:textFill>
              </w:rPr>
              <w:t>0</w:t>
            </w:r>
          </w:p>
        </w:tc>
        <w:tc>
          <w:tcPr>
            <w:tcW w:w="1134" w:type="dxa"/>
          </w:tcPr>
          <w:p>
            <w:pPr>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1</w:t>
            </w:r>
            <w:r>
              <w:rPr>
                <w:rFonts w:ascii="Times New Roman" w:hAnsi="Times New Roman" w:cs="Times New Roman"/>
                <w:color w:val="000000" w:themeColor="text1"/>
                <w:kern w:val="0"/>
                <w:szCs w:val="21"/>
                <w14:textFill>
                  <w14:solidFill>
                    <w14:schemeClr w14:val="tx1"/>
                  </w14:solidFill>
                </w14:textFill>
              </w:rPr>
              <w:t>0</w:t>
            </w:r>
          </w:p>
        </w:tc>
        <w:tc>
          <w:tcPr>
            <w:tcW w:w="1066" w:type="dxa"/>
          </w:tcPr>
          <w:p>
            <w:pPr>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1</w:t>
            </w:r>
            <w:r>
              <w:rPr>
                <w:rFonts w:ascii="Times New Roman" w:hAnsi="Times New Roman" w:cs="Times New Roman"/>
                <w:color w:val="000000" w:themeColor="text1"/>
                <w:kern w:val="0"/>
                <w:szCs w:val="21"/>
                <w14:textFill>
                  <w14:solidFill>
                    <w14:schemeClr w14:val="tx1"/>
                  </w14:solidFill>
                </w14:textFill>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9" w:type="dxa"/>
          </w:tcPr>
          <w:p>
            <w:pPr>
              <w:jc w:val="center"/>
              <w:rPr>
                <w:rFonts w:ascii="Times New Roman" w:hAnsi="Times New Roman" w:cs="Times New Roman"/>
                <w:color w:val="000000" w:themeColor="text1"/>
                <w:kern w:val="0"/>
                <w:sz w:val="20"/>
                <w:szCs w:val="21"/>
                <w14:textFill>
                  <w14:solidFill>
                    <w14:schemeClr w14:val="tx1"/>
                  </w14:solidFill>
                </w14:textFill>
              </w:rPr>
            </w:pPr>
            <w:r>
              <w:rPr>
                <w:rFonts w:hint="eastAsia" w:ascii="Times New Roman" w:hAnsi="Times New Roman" w:cs="Times New Roman"/>
                <w:color w:val="000000" w:themeColor="text1"/>
                <w:kern w:val="0"/>
                <w:sz w:val="20"/>
                <w:szCs w:val="21"/>
                <w14:textFill>
                  <w14:solidFill>
                    <w14:schemeClr w14:val="tx1"/>
                  </w14:solidFill>
                </w14:textFill>
              </w:rPr>
              <w:t>7</w:t>
            </w:r>
          </w:p>
        </w:tc>
        <w:tc>
          <w:tcPr>
            <w:tcW w:w="2126" w:type="dxa"/>
          </w:tcPr>
          <w:p>
            <w:pPr>
              <w:jc w:val="center"/>
              <w:rPr>
                <w:rFonts w:ascii="Times New Roman" w:hAnsi="Times New Roman" w:cs="Times New Roman"/>
                <w:color w:val="000000" w:themeColor="text1"/>
                <w:kern w:val="0"/>
                <w:sz w:val="20"/>
                <w:szCs w:val="21"/>
                <w14:textFill>
                  <w14:solidFill>
                    <w14:schemeClr w14:val="tx1"/>
                  </w14:solidFill>
                </w14:textFill>
              </w:rPr>
            </w:pPr>
            <w:r>
              <w:rPr>
                <w:rFonts w:hint="eastAsia" w:ascii="Times New Roman" w:hAnsi="Times New Roman" w:cs="Times New Roman"/>
                <w:color w:val="000000" w:themeColor="text1"/>
                <w:kern w:val="0"/>
                <w:sz w:val="20"/>
                <w:szCs w:val="21"/>
                <w14:textFill>
                  <w14:solidFill>
                    <w14:schemeClr w14:val="tx1"/>
                  </w14:solidFill>
                </w14:textFill>
              </w:rPr>
              <w:t>氨氮</w:t>
            </w:r>
            <w:r>
              <w:rPr>
                <w:rFonts w:hint="eastAsia" w:ascii="Times New Roman" w:hAnsi="Times New Roman" w:cs="Times New Roman"/>
                <w:color w:val="000000" w:themeColor="text1"/>
                <w:kern w:val="0"/>
                <w:szCs w:val="21"/>
                <w14:textFill>
                  <w14:solidFill>
                    <w14:schemeClr w14:val="tx1"/>
                  </w14:solidFill>
                </w14:textFill>
              </w:rPr>
              <w:t>≤</w:t>
            </w:r>
          </w:p>
        </w:tc>
        <w:tc>
          <w:tcPr>
            <w:tcW w:w="993" w:type="dxa"/>
          </w:tcPr>
          <w:p>
            <w:pPr>
              <w:jc w:val="center"/>
              <w:rPr>
                <w:rFonts w:ascii="Times New Roman" w:hAnsi="Times New Roman" w:cs="Times New Roman"/>
                <w:color w:val="000000" w:themeColor="text1"/>
                <w:kern w:val="0"/>
                <w:sz w:val="20"/>
                <w:szCs w:val="21"/>
                <w14:textFill>
                  <w14:solidFill>
                    <w14:schemeClr w14:val="tx1"/>
                  </w14:solidFill>
                </w14:textFill>
              </w:rPr>
            </w:pPr>
            <w:r>
              <w:rPr>
                <w:rFonts w:hint="eastAsia" w:ascii="Times New Roman" w:hAnsi="Times New Roman" w:cs="Times New Roman"/>
                <w:color w:val="000000" w:themeColor="text1"/>
                <w:kern w:val="0"/>
                <w:sz w:val="20"/>
                <w:szCs w:val="21"/>
                <w14:textFill>
                  <w14:solidFill>
                    <w14:schemeClr w14:val="tx1"/>
                  </w14:solidFill>
                </w14:textFill>
              </w:rPr>
              <w:t>1</w:t>
            </w:r>
            <w:r>
              <w:rPr>
                <w:rFonts w:ascii="Times New Roman" w:hAnsi="Times New Roman" w:cs="Times New Roman"/>
                <w:color w:val="000000" w:themeColor="text1"/>
                <w:kern w:val="0"/>
                <w:sz w:val="20"/>
                <w:szCs w:val="21"/>
                <w14:textFill>
                  <w14:solidFill>
                    <w14:schemeClr w14:val="tx1"/>
                  </w14:solidFill>
                </w14:textFill>
              </w:rPr>
              <w:t>0</w:t>
            </w:r>
          </w:p>
        </w:tc>
        <w:tc>
          <w:tcPr>
            <w:tcW w:w="1134" w:type="dxa"/>
          </w:tcPr>
          <w:p>
            <w:pPr>
              <w:jc w:val="center"/>
              <w:rPr>
                <w:rFonts w:ascii="Times New Roman" w:hAnsi="Times New Roman" w:cs="Times New Roman"/>
                <w:color w:val="000000" w:themeColor="text1"/>
                <w:kern w:val="0"/>
                <w:sz w:val="20"/>
                <w:szCs w:val="21"/>
                <w14:textFill>
                  <w14:solidFill>
                    <w14:schemeClr w14:val="tx1"/>
                  </w14:solidFill>
                </w14:textFill>
              </w:rPr>
            </w:pPr>
            <w:r>
              <w:rPr>
                <w:rFonts w:hint="eastAsia" w:ascii="Times New Roman" w:hAnsi="Times New Roman" w:cs="Times New Roman"/>
                <w:color w:val="000000" w:themeColor="text1"/>
                <w:kern w:val="0"/>
                <w:sz w:val="20"/>
                <w:szCs w:val="21"/>
                <w14:textFill>
                  <w14:solidFill>
                    <w14:schemeClr w14:val="tx1"/>
                  </w14:solidFill>
                </w14:textFill>
              </w:rPr>
              <w:t>1</w:t>
            </w:r>
            <w:r>
              <w:rPr>
                <w:rFonts w:ascii="Times New Roman" w:hAnsi="Times New Roman" w:cs="Times New Roman"/>
                <w:color w:val="000000" w:themeColor="text1"/>
                <w:kern w:val="0"/>
                <w:sz w:val="20"/>
                <w:szCs w:val="21"/>
                <w14:textFill>
                  <w14:solidFill>
                    <w14:schemeClr w14:val="tx1"/>
                  </w14:solidFill>
                </w14:textFill>
              </w:rPr>
              <w:t>0</w:t>
            </w:r>
          </w:p>
        </w:tc>
        <w:tc>
          <w:tcPr>
            <w:tcW w:w="1134" w:type="dxa"/>
          </w:tcPr>
          <w:p>
            <w:pPr>
              <w:jc w:val="center"/>
              <w:rPr>
                <w:rFonts w:ascii="Times New Roman" w:hAnsi="Times New Roman" w:cs="Times New Roman"/>
                <w:color w:val="000000" w:themeColor="text1"/>
                <w:kern w:val="0"/>
                <w:sz w:val="20"/>
                <w:szCs w:val="21"/>
                <w14:textFill>
                  <w14:solidFill>
                    <w14:schemeClr w14:val="tx1"/>
                  </w14:solidFill>
                </w14:textFill>
              </w:rPr>
            </w:pPr>
            <w:r>
              <w:rPr>
                <w:rFonts w:hint="eastAsia" w:ascii="Times New Roman" w:hAnsi="Times New Roman" w:cs="Times New Roman"/>
                <w:color w:val="000000" w:themeColor="text1"/>
                <w:kern w:val="0"/>
                <w:sz w:val="20"/>
                <w:szCs w:val="21"/>
                <w14:textFill>
                  <w14:solidFill>
                    <w14:schemeClr w14:val="tx1"/>
                  </w14:solidFill>
                </w14:textFill>
              </w:rPr>
              <w:t>2</w:t>
            </w:r>
            <w:r>
              <w:rPr>
                <w:rFonts w:ascii="Times New Roman" w:hAnsi="Times New Roman" w:cs="Times New Roman"/>
                <w:color w:val="000000" w:themeColor="text1"/>
                <w:kern w:val="0"/>
                <w:sz w:val="20"/>
                <w:szCs w:val="21"/>
                <w14:textFill>
                  <w14:solidFill>
                    <w14:schemeClr w14:val="tx1"/>
                  </w14:solidFill>
                </w14:textFill>
              </w:rPr>
              <w:t>0</w:t>
            </w:r>
          </w:p>
        </w:tc>
        <w:tc>
          <w:tcPr>
            <w:tcW w:w="1134" w:type="dxa"/>
          </w:tcPr>
          <w:p>
            <w:pPr>
              <w:jc w:val="center"/>
              <w:rPr>
                <w:rFonts w:ascii="Times New Roman" w:hAnsi="Times New Roman" w:cs="Times New Roman"/>
                <w:color w:val="000000" w:themeColor="text1"/>
                <w:kern w:val="0"/>
                <w:sz w:val="20"/>
                <w:szCs w:val="21"/>
                <w14:textFill>
                  <w14:solidFill>
                    <w14:schemeClr w14:val="tx1"/>
                  </w14:solidFill>
                </w14:textFill>
              </w:rPr>
            </w:pPr>
            <w:r>
              <w:rPr>
                <w:rFonts w:hint="eastAsia" w:ascii="Times New Roman" w:hAnsi="Times New Roman" w:cs="Times New Roman"/>
                <w:color w:val="000000" w:themeColor="text1"/>
                <w:kern w:val="0"/>
                <w:sz w:val="20"/>
                <w:szCs w:val="21"/>
                <w14:textFill>
                  <w14:solidFill>
                    <w14:schemeClr w14:val="tx1"/>
                  </w14:solidFill>
                </w14:textFill>
              </w:rPr>
              <w:t>1</w:t>
            </w:r>
            <w:r>
              <w:rPr>
                <w:rFonts w:ascii="Times New Roman" w:hAnsi="Times New Roman" w:cs="Times New Roman"/>
                <w:color w:val="000000" w:themeColor="text1"/>
                <w:kern w:val="0"/>
                <w:sz w:val="20"/>
                <w:szCs w:val="21"/>
                <w14:textFill>
                  <w14:solidFill>
                    <w14:schemeClr w14:val="tx1"/>
                  </w14:solidFill>
                </w14:textFill>
              </w:rPr>
              <w:t>0</w:t>
            </w:r>
          </w:p>
        </w:tc>
        <w:tc>
          <w:tcPr>
            <w:tcW w:w="1066" w:type="dxa"/>
          </w:tcPr>
          <w:p>
            <w:pPr>
              <w:jc w:val="center"/>
              <w:rPr>
                <w:rFonts w:ascii="Times New Roman" w:hAnsi="Times New Roman" w:cs="Times New Roman"/>
                <w:color w:val="000000" w:themeColor="text1"/>
                <w:kern w:val="0"/>
                <w:sz w:val="20"/>
                <w:szCs w:val="21"/>
                <w14:textFill>
                  <w14:solidFill>
                    <w14:schemeClr w14:val="tx1"/>
                  </w14:solidFill>
                </w14:textFill>
              </w:rPr>
            </w:pPr>
            <w:r>
              <w:rPr>
                <w:rFonts w:hint="eastAsia" w:ascii="Times New Roman" w:hAnsi="Times New Roman" w:cs="Times New Roman"/>
                <w:color w:val="000000" w:themeColor="text1"/>
                <w:kern w:val="0"/>
                <w:sz w:val="20"/>
                <w:szCs w:val="21"/>
                <w14:textFill>
                  <w14:solidFill>
                    <w14:schemeClr w14:val="tx1"/>
                  </w14:solidFill>
                </w14:textFill>
              </w:rPr>
              <w:t>2</w:t>
            </w:r>
            <w:r>
              <w:rPr>
                <w:rFonts w:ascii="Times New Roman" w:hAnsi="Times New Roman" w:cs="Times New Roman"/>
                <w:color w:val="000000" w:themeColor="text1"/>
                <w:kern w:val="0"/>
                <w:sz w:val="20"/>
                <w:szCs w:val="21"/>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9" w:type="dxa"/>
          </w:tcPr>
          <w:p>
            <w:pPr>
              <w:jc w:val="center"/>
              <w:rPr>
                <w:rFonts w:ascii="Times New Roman" w:hAnsi="Times New Roman" w:cs="Times New Roman"/>
                <w:color w:val="000000" w:themeColor="text1"/>
                <w:kern w:val="0"/>
                <w:sz w:val="20"/>
                <w:szCs w:val="21"/>
                <w14:textFill>
                  <w14:solidFill>
                    <w14:schemeClr w14:val="tx1"/>
                  </w14:solidFill>
                </w14:textFill>
              </w:rPr>
            </w:pPr>
            <w:r>
              <w:rPr>
                <w:rFonts w:hint="eastAsia" w:ascii="Times New Roman" w:hAnsi="Times New Roman" w:cs="Times New Roman"/>
                <w:color w:val="000000" w:themeColor="text1"/>
                <w:kern w:val="0"/>
                <w:sz w:val="20"/>
                <w:szCs w:val="21"/>
                <w14:textFill>
                  <w14:solidFill>
                    <w14:schemeClr w14:val="tx1"/>
                  </w14:solidFill>
                </w14:textFill>
              </w:rPr>
              <w:t>8</w:t>
            </w:r>
          </w:p>
        </w:tc>
        <w:tc>
          <w:tcPr>
            <w:tcW w:w="2126" w:type="dxa"/>
          </w:tcPr>
          <w:p>
            <w:pPr>
              <w:jc w:val="center"/>
              <w:rPr>
                <w:rFonts w:ascii="Times New Roman" w:hAnsi="Times New Roman" w:cs="Times New Roman"/>
                <w:color w:val="000000" w:themeColor="text1"/>
                <w:kern w:val="0"/>
                <w:sz w:val="20"/>
                <w:szCs w:val="21"/>
                <w14:textFill>
                  <w14:solidFill>
                    <w14:schemeClr w14:val="tx1"/>
                  </w14:solidFill>
                </w14:textFill>
              </w:rPr>
            </w:pPr>
            <w:r>
              <w:rPr>
                <w:rFonts w:hint="eastAsia" w:ascii="Times New Roman" w:hAnsi="Times New Roman" w:cs="Times New Roman"/>
                <w:color w:val="000000" w:themeColor="text1"/>
                <w:kern w:val="0"/>
                <w:sz w:val="20"/>
                <w:szCs w:val="21"/>
                <w14:textFill>
                  <w14:solidFill>
                    <w14:schemeClr w14:val="tx1"/>
                  </w14:solidFill>
                </w14:textFill>
              </w:rPr>
              <w:t>阴离子表面活性剂</w:t>
            </w:r>
            <w:r>
              <w:rPr>
                <w:rFonts w:hint="eastAsia" w:ascii="Times New Roman" w:hAnsi="Times New Roman" w:cs="Times New Roman"/>
                <w:color w:val="000000" w:themeColor="text1"/>
                <w:kern w:val="0"/>
                <w:szCs w:val="21"/>
                <w14:textFill>
                  <w14:solidFill>
                    <w14:schemeClr w14:val="tx1"/>
                  </w14:solidFill>
                </w14:textFill>
              </w:rPr>
              <w:t>≤</w:t>
            </w:r>
          </w:p>
        </w:tc>
        <w:tc>
          <w:tcPr>
            <w:tcW w:w="993" w:type="dxa"/>
          </w:tcPr>
          <w:p>
            <w:pPr>
              <w:jc w:val="center"/>
              <w:rPr>
                <w:rFonts w:ascii="Times New Roman" w:hAnsi="Times New Roman" w:cs="Times New Roman"/>
                <w:color w:val="000000" w:themeColor="text1"/>
                <w:kern w:val="0"/>
                <w:sz w:val="20"/>
                <w:szCs w:val="21"/>
                <w14:textFill>
                  <w14:solidFill>
                    <w14:schemeClr w14:val="tx1"/>
                  </w14:solidFill>
                </w14:textFill>
              </w:rPr>
            </w:pPr>
            <w:r>
              <w:rPr>
                <w:rFonts w:hint="eastAsia" w:ascii="Times New Roman" w:hAnsi="Times New Roman" w:cs="Times New Roman"/>
                <w:color w:val="000000" w:themeColor="text1"/>
                <w:kern w:val="0"/>
                <w:sz w:val="20"/>
                <w:szCs w:val="21"/>
                <w14:textFill>
                  <w14:solidFill>
                    <w14:schemeClr w14:val="tx1"/>
                  </w14:solidFill>
                </w14:textFill>
              </w:rPr>
              <w:t>1</w:t>
            </w:r>
            <w:r>
              <w:rPr>
                <w:rFonts w:ascii="Times New Roman" w:hAnsi="Times New Roman" w:cs="Times New Roman"/>
                <w:color w:val="000000" w:themeColor="text1"/>
                <w:kern w:val="0"/>
                <w:sz w:val="20"/>
                <w:szCs w:val="21"/>
                <w14:textFill>
                  <w14:solidFill>
                    <w14:schemeClr w14:val="tx1"/>
                  </w14:solidFill>
                </w14:textFill>
              </w:rPr>
              <w:t>.0</w:t>
            </w:r>
          </w:p>
        </w:tc>
        <w:tc>
          <w:tcPr>
            <w:tcW w:w="1134" w:type="dxa"/>
          </w:tcPr>
          <w:p>
            <w:pPr>
              <w:jc w:val="center"/>
              <w:rPr>
                <w:rFonts w:ascii="Times New Roman" w:hAnsi="Times New Roman" w:cs="Times New Roman"/>
                <w:color w:val="000000" w:themeColor="text1"/>
                <w:kern w:val="0"/>
                <w:sz w:val="20"/>
                <w:szCs w:val="21"/>
                <w14:textFill>
                  <w14:solidFill>
                    <w14:schemeClr w14:val="tx1"/>
                  </w14:solidFill>
                </w14:textFill>
              </w:rPr>
            </w:pPr>
            <w:r>
              <w:rPr>
                <w:rFonts w:hint="eastAsia" w:ascii="Times New Roman" w:hAnsi="Times New Roman" w:cs="Times New Roman"/>
                <w:color w:val="000000" w:themeColor="text1"/>
                <w:kern w:val="0"/>
                <w:sz w:val="20"/>
                <w:szCs w:val="21"/>
                <w14:textFill>
                  <w14:solidFill>
                    <w14:schemeClr w14:val="tx1"/>
                  </w14:solidFill>
                </w14:textFill>
              </w:rPr>
              <w:t>1</w:t>
            </w:r>
            <w:r>
              <w:rPr>
                <w:rFonts w:ascii="Times New Roman" w:hAnsi="Times New Roman" w:cs="Times New Roman"/>
                <w:color w:val="000000" w:themeColor="text1"/>
                <w:kern w:val="0"/>
                <w:sz w:val="20"/>
                <w:szCs w:val="21"/>
                <w14:textFill>
                  <w14:solidFill>
                    <w14:schemeClr w14:val="tx1"/>
                  </w14:solidFill>
                </w14:textFill>
              </w:rPr>
              <w:t>.0</w:t>
            </w:r>
          </w:p>
        </w:tc>
        <w:tc>
          <w:tcPr>
            <w:tcW w:w="1134" w:type="dxa"/>
          </w:tcPr>
          <w:p>
            <w:pPr>
              <w:jc w:val="center"/>
              <w:rPr>
                <w:rFonts w:ascii="Times New Roman" w:hAnsi="Times New Roman" w:cs="Times New Roman"/>
                <w:color w:val="000000" w:themeColor="text1"/>
                <w:kern w:val="0"/>
                <w:sz w:val="20"/>
                <w:szCs w:val="21"/>
                <w14:textFill>
                  <w14:solidFill>
                    <w14:schemeClr w14:val="tx1"/>
                  </w14:solidFill>
                </w14:textFill>
              </w:rPr>
            </w:pPr>
            <w:r>
              <w:rPr>
                <w:rFonts w:hint="eastAsia" w:ascii="Times New Roman" w:hAnsi="Times New Roman" w:cs="Times New Roman"/>
                <w:color w:val="000000" w:themeColor="text1"/>
                <w:kern w:val="0"/>
                <w:sz w:val="20"/>
                <w:szCs w:val="21"/>
                <w14:textFill>
                  <w14:solidFill>
                    <w14:schemeClr w14:val="tx1"/>
                  </w14:solidFill>
                </w14:textFill>
              </w:rPr>
              <w:t>1</w:t>
            </w:r>
            <w:r>
              <w:rPr>
                <w:rFonts w:ascii="Times New Roman" w:hAnsi="Times New Roman" w:cs="Times New Roman"/>
                <w:color w:val="000000" w:themeColor="text1"/>
                <w:kern w:val="0"/>
                <w:sz w:val="20"/>
                <w:szCs w:val="21"/>
                <w14:textFill>
                  <w14:solidFill>
                    <w14:schemeClr w14:val="tx1"/>
                  </w14:solidFill>
                </w14:textFill>
              </w:rPr>
              <w:t>.0</w:t>
            </w:r>
          </w:p>
        </w:tc>
        <w:tc>
          <w:tcPr>
            <w:tcW w:w="1134" w:type="dxa"/>
          </w:tcPr>
          <w:p>
            <w:pPr>
              <w:jc w:val="center"/>
              <w:rPr>
                <w:rFonts w:ascii="Times New Roman" w:hAnsi="Times New Roman" w:cs="Times New Roman"/>
                <w:color w:val="000000" w:themeColor="text1"/>
                <w:kern w:val="0"/>
                <w:sz w:val="20"/>
                <w:szCs w:val="21"/>
                <w14:textFill>
                  <w14:solidFill>
                    <w14:schemeClr w14:val="tx1"/>
                  </w14:solidFill>
                </w14:textFill>
              </w:rPr>
            </w:pPr>
            <w:r>
              <w:rPr>
                <w:rFonts w:hint="eastAsia" w:ascii="Times New Roman" w:hAnsi="Times New Roman" w:cs="Times New Roman"/>
                <w:color w:val="000000" w:themeColor="text1"/>
                <w:kern w:val="0"/>
                <w:sz w:val="20"/>
                <w:szCs w:val="21"/>
                <w14:textFill>
                  <w14:solidFill>
                    <w14:schemeClr w14:val="tx1"/>
                  </w14:solidFill>
                </w14:textFill>
              </w:rPr>
              <w:t>0</w:t>
            </w:r>
            <w:r>
              <w:rPr>
                <w:rFonts w:ascii="Times New Roman" w:hAnsi="Times New Roman" w:cs="Times New Roman"/>
                <w:color w:val="000000" w:themeColor="text1"/>
                <w:kern w:val="0"/>
                <w:sz w:val="20"/>
                <w:szCs w:val="21"/>
                <w14:textFill>
                  <w14:solidFill>
                    <w14:schemeClr w14:val="tx1"/>
                  </w14:solidFill>
                </w14:textFill>
              </w:rPr>
              <w:t>.5</w:t>
            </w:r>
          </w:p>
        </w:tc>
        <w:tc>
          <w:tcPr>
            <w:tcW w:w="1066" w:type="dxa"/>
          </w:tcPr>
          <w:p>
            <w:pPr>
              <w:jc w:val="center"/>
              <w:rPr>
                <w:rFonts w:ascii="Times New Roman" w:hAnsi="Times New Roman" w:cs="Times New Roman"/>
                <w:color w:val="000000" w:themeColor="text1"/>
                <w:kern w:val="0"/>
                <w:sz w:val="20"/>
                <w:szCs w:val="21"/>
                <w14:textFill>
                  <w14:solidFill>
                    <w14:schemeClr w14:val="tx1"/>
                  </w14:solidFill>
                </w14:textFill>
              </w:rPr>
            </w:pPr>
            <w:r>
              <w:rPr>
                <w:rFonts w:hint="eastAsia" w:ascii="Times New Roman" w:hAnsi="Times New Roman" w:cs="Times New Roman"/>
                <w:color w:val="000000" w:themeColor="text1"/>
                <w:kern w:val="0"/>
                <w:sz w:val="20"/>
                <w:szCs w:val="21"/>
                <w14:textFill>
                  <w14:solidFill>
                    <w14:schemeClr w14:val="tx1"/>
                  </w14:solidFill>
                </w14:textFill>
              </w:rPr>
              <w:t>1</w:t>
            </w:r>
            <w:r>
              <w:rPr>
                <w:rFonts w:ascii="Times New Roman" w:hAnsi="Times New Roman" w:cs="Times New Roman"/>
                <w:color w:val="000000" w:themeColor="text1"/>
                <w:kern w:val="0"/>
                <w:sz w:val="20"/>
                <w:szCs w:val="21"/>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9" w:type="dxa"/>
          </w:tcPr>
          <w:p>
            <w:pPr>
              <w:jc w:val="center"/>
              <w:rPr>
                <w:rFonts w:ascii="Times New Roman" w:hAnsi="Times New Roman" w:cs="Times New Roman"/>
                <w:color w:val="000000" w:themeColor="text1"/>
                <w:kern w:val="0"/>
                <w:sz w:val="20"/>
                <w:szCs w:val="21"/>
                <w14:textFill>
                  <w14:solidFill>
                    <w14:schemeClr w14:val="tx1"/>
                  </w14:solidFill>
                </w14:textFill>
              </w:rPr>
            </w:pPr>
            <w:r>
              <w:rPr>
                <w:rFonts w:hint="eastAsia" w:ascii="Times New Roman" w:hAnsi="Times New Roman" w:cs="Times New Roman"/>
                <w:color w:val="000000" w:themeColor="text1"/>
                <w:kern w:val="0"/>
                <w:sz w:val="20"/>
                <w:szCs w:val="21"/>
                <w14:textFill>
                  <w14:solidFill>
                    <w14:schemeClr w14:val="tx1"/>
                  </w14:solidFill>
                </w14:textFill>
              </w:rPr>
              <w:t>9</w:t>
            </w:r>
          </w:p>
        </w:tc>
        <w:tc>
          <w:tcPr>
            <w:tcW w:w="2126" w:type="dxa"/>
          </w:tcPr>
          <w:p>
            <w:pPr>
              <w:jc w:val="center"/>
              <w:rPr>
                <w:rFonts w:ascii="Times New Roman" w:hAnsi="Times New Roman" w:cs="Times New Roman"/>
                <w:color w:val="000000" w:themeColor="text1"/>
                <w:kern w:val="0"/>
                <w:sz w:val="20"/>
                <w:szCs w:val="21"/>
                <w14:textFill>
                  <w14:solidFill>
                    <w14:schemeClr w14:val="tx1"/>
                  </w14:solidFill>
                </w14:textFill>
              </w:rPr>
            </w:pPr>
            <w:r>
              <w:rPr>
                <w:rFonts w:hint="eastAsia" w:ascii="Times New Roman" w:hAnsi="Times New Roman" w:cs="Times New Roman"/>
                <w:color w:val="000000" w:themeColor="text1"/>
                <w:kern w:val="0"/>
                <w:sz w:val="20"/>
                <w:szCs w:val="21"/>
                <w14:textFill>
                  <w14:solidFill>
                    <w14:schemeClr w14:val="tx1"/>
                  </w14:solidFill>
                </w14:textFill>
              </w:rPr>
              <w:t>铁</w:t>
            </w:r>
            <w:r>
              <w:rPr>
                <w:rFonts w:hint="eastAsia" w:ascii="Times New Roman" w:hAnsi="Times New Roman" w:cs="Times New Roman"/>
                <w:color w:val="000000" w:themeColor="text1"/>
                <w:kern w:val="0"/>
                <w:szCs w:val="21"/>
                <w14:textFill>
                  <w14:solidFill>
                    <w14:schemeClr w14:val="tx1"/>
                  </w14:solidFill>
                </w14:textFill>
              </w:rPr>
              <w:t>≤</w:t>
            </w:r>
          </w:p>
        </w:tc>
        <w:tc>
          <w:tcPr>
            <w:tcW w:w="993" w:type="dxa"/>
          </w:tcPr>
          <w:p>
            <w:pPr>
              <w:jc w:val="center"/>
              <w:rPr>
                <w:rFonts w:ascii="Times New Roman" w:hAnsi="Times New Roman" w:cs="Times New Roman"/>
                <w:color w:val="000000" w:themeColor="text1"/>
                <w:kern w:val="0"/>
                <w:sz w:val="20"/>
                <w:szCs w:val="21"/>
                <w14:textFill>
                  <w14:solidFill>
                    <w14:schemeClr w14:val="tx1"/>
                  </w14:solidFill>
                </w14:textFill>
              </w:rPr>
            </w:pPr>
            <w:r>
              <w:rPr>
                <w:rFonts w:hint="eastAsia" w:ascii="Times New Roman" w:hAnsi="Times New Roman" w:cs="Times New Roman"/>
                <w:color w:val="000000" w:themeColor="text1"/>
                <w:kern w:val="0"/>
                <w:sz w:val="20"/>
                <w:szCs w:val="21"/>
                <w14:textFill>
                  <w14:solidFill>
                    <w14:schemeClr w14:val="tx1"/>
                  </w14:solidFill>
                </w14:textFill>
              </w:rPr>
              <w:t>0</w:t>
            </w:r>
            <w:r>
              <w:rPr>
                <w:rFonts w:ascii="Times New Roman" w:hAnsi="Times New Roman" w:cs="Times New Roman"/>
                <w:color w:val="000000" w:themeColor="text1"/>
                <w:kern w:val="0"/>
                <w:sz w:val="20"/>
                <w:szCs w:val="21"/>
                <w14:textFill>
                  <w14:solidFill>
                    <w14:schemeClr w14:val="tx1"/>
                  </w14:solidFill>
                </w14:textFill>
              </w:rPr>
              <w:t>.3</w:t>
            </w:r>
          </w:p>
        </w:tc>
        <w:tc>
          <w:tcPr>
            <w:tcW w:w="1134" w:type="dxa"/>
          </w:tcPr>
          <w:p>
            <w:pPr>
              <w:jc w:val="center"/>
              <w:rPr>
                <w:rFonts w:ascii="Times New Roman" w:hAnsi="Times New Roman" w:cs="Times New Roman"/>
                <w:color w:val="000000" w:themeColor="text1"/>
                <w:kern w:val="0"/>
                <w:sz w:val="20"/>
                <w:szCs w:val="21"/>
                <w14:textFill>
                  <w14:solidFill>
                    <w14:schemeClr w14:val="tx1"/>
                  </w14:solidFill>
                </w14:textFill>
              </w:rPr>
            </w:pPr>
            <w:r>
              <w:rPr>
                <w:rFonts w:hint="eastAsia" w:ascii="Times New Roman" w:hAnsi="Times New Roman" w:cs="Times New Roman"/>
                <w:color w:val="000000" w:themeColor="text1"/>
                <w:kern w:val="0"/>
                <w:sz w:val="20"/>
                <w:szCs w:val="21"/>
                <w14:textFill>
                  <w14:solidFill>
                    <w14:schemeClr w14:val="tx1"/>
                  </w14:solidFill>
                </w14:textFill>
              </w:rPr>
              <w:t>-</w:t>
            </w:r>
            <w:r>
              <w:rPr>
                <w:rFonts w:ascii="Times New Roman" w:hAnsi="Times New Roman" w:cs="Times New Roman"/>
                <w:color w:val="000000" w:themeColor="text1"/>
                <w:kern w:val="0"/>
                <w:sz w:val="20"/>
                <w:szCs w:val="21"/>
                <w14:textFill>
                  <w14:solidFill>
                    <w14:schemeClr w14:val="tx1"/>
                  </w14:solidFill>
                </w14:textFill>
              </w:rPr>
              <w:t>--</w:t>
            </w:r>
          </w:p>
        </w:tc>
        <w:tc>
          <w:tcPr>
            <w:tcW w:w="1134" w:type="dxa"/>
          </w:tcPr>
          <w:p>
            <w:pPr>
              <w:jc w:val="center"/>
              <w:rPr>
                <w:rFonts w:ascii="Times New Roman" w:hAnsi="Times New Roman" w:cs="Times New Roman"/>
                <w:color w:val="000000" w:themeColor="text1"/>
                <w:kern w:val="0"/>
                <w:sz w:val="20"/>
                <w:szCs w:val="21"/>
                <w14:textFill>
                  <w14:solidFill>
                    <w14:schemeClr w14:val="tx1"/>
                  </w14:solidFill>
                </w14:textFill>
              </w:rPr>
            </w:pPr>
            <w:r>
              <w:rPr>
                <w:rFonts w:hint="eastAsia" w:ascii="Times New Roman" w:hAnsi="Times New Roman" w:cs="Times New Roman"/>
                <w:color w:val="000000" w:themeColor="text1"/>
                <w:kern w:val="0"/>
                <w:sz w:val="20"/>
                <w:szCs w:val="21"/>
                <w14:textFill>
                  <w14:solidFill>
                    <w14:schemeClr w14:val="tx1"/>
                  </w14:solidFill>
                </w14:textFill>
              </w:rPr>
              <w:t>-</w:t>
            </w:r>
            <w:r>
              <w:rPr>
                <w:rFonts w:ascii="Times New Roman" w:hAnsi="Times New Roman" w:cs="Times New Roman"/>
                <w:color w:val="000000" w:themeColor="text1"/>
                <w:kern w:val="0"/>
                <w:sz w:val="20"/>
                <w:szCs w:val="21"/>
                <w14:textFill>
                  <w14:solidFill>
                    <w14:schemeClr w14:val="tx1"/>
                  </w14:solidFill>
                </w14:textFill>
              </w:rPr>
              <w:t>--</w:t>
            </w:r>
          </w:p>
        </w:tc>
        <w:tc>
          <w:tcPr>
            <w:tcW w:w="1134" w:type="dxa"/>
          </w:tcPr>
          <w:p>
            <w:pPr>
              <w:jc w:val="center"/>
              <w:rPr>
                <w:rFonts w:ascii="Times New Roman" w:hAnsi="Times New Roman" w:cs="Times New Roman"/>
                <w:color w:val="000000" w:themeColor="text1"/>
                <w:kern w:val="0"/>
                <w:sz w:val="20"/>
                <w:szCs w:val="21"/>
                <w14:textFill>
                  <w14:solidFill>
                    <w14:schemeClr w14:val="tx1"/>
                  </w14:solidFill>
                </w14:textFill>
              </w:rPr>
            </w:pPr>
            <w:r>
              <w:rPr>
                <w:rFonts w:hint="eastAsia" w:ascii="Times New Roman" w:hAnsi="Times New Roman" w:cs="Times New Roman"/>
                <w:color w:val="000000" w:themeColor="text1"/>
                <w:kern w:val="0"/>
                <w:sz w:val="20"/>
                <w:szCs w:val="21"/>
                <w14:textFill>
                  <w14:solidFill>
                    <w14:schemeClr w14:val="tx1"/>
                  </w14:solidFill>
                </w14:textFill>
              </w:rPr>
              <w:t>0</w:t>
            </w:r>
            <w:r>
              <w:rPr>
                <w:rFonts w:ascii="Times New Roman" w:hAnsi="Times New Roman" w:cs="Times New Roman"/>
                <w:color w:val="000000" w:themeColor="text1"/>
                <w:kern w:val="0"/>
                <w:sz w:val="20"/>
                <w:szCs w:val="21"/>
                <w14:textFill>
                  <w14:solidFill>
                    <w14:schemeClr w14:val="tx1"/>
                  </w14:solidFill>
                </w14:textFill>
              </w:rPr>
              <w:t>.3</w:t>
            </w:r>
          </w:p>
        </w:tc>
        <w:tc>
          <w:tcPr>
            <w:tcW w:w="1066" w:type="dxa"/>
          </w:tcPr>
          <w:p>
            <w:pPr>
              <w:jc w:val="center"/>
              <w:rPr>
                <w:rFonts w:ascii="Times New Roman" w:hAnsi="Times New Roman" w:cs="Times New Roman"/>
                <w:color w:val="000000" w:themeColor="text1"/>
                <w:kern w:val="0"/>
                <w:sz w:val="20"/>
                <w:szCs w:val="21"/>
                <w14:textFill>
                  <w14:solidFill>
                    <w14:schemeClr w14:val="tx1"/>
                  </w14:solidFill>
                </w14:textFill>
              </w:rPr>
            </w:pPr>
            <w:r>
              <w:rPr>
                <w:rFonts w:hint="eastAsia" w:ascii="Times New Roman" w:hAnsi="Times New Roman" w:cs="Times New Roman"/>
                <w:color w:val="000000" w:themeColor="text1"/>
                <w:kern w:val="0"/>
                <w:sz w:val="20"/>
                <w:szCs w:val="21"/>
                <w14:textFill>
                  <w14:solidFill>
                    <w14:schemeClr w14:val="tx1"/>
                  </w14:solidFill>
                </w14:textFill>
              </w:rPr>
              <w:t>-</w:t>
            </w:r>
            <w:r>
              <w:rPr>
                <w:rFonts w:ascii="Times New Roman" w:hAnsi="Times New Roman" w:cs="Times New Roman"/>
                <w:color w:val="000000" w:themeColor="text1"/>
                <w:kern w:val="0"/>
                <w:sz w:val="20"/>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9" w:type="dxa"/>
          </w:tcPr>
          <w:p>
            <w:pPr>
              <w:jc w:val="center"/>
              <w:rPr>
                <w:rFonts w:ascii="Times New Roman" w:hAnsi="Times New Roman" w:cs="Times New Roman"/>
                <w:color w:val="000000" w:themeColor="text1"/>
                <w:kern w:val="0"/>
                <w:sz w:val="20"/>
                <w:szCs w:val="21"/>
                <w14:textFill>
                  <w14:solidFill>
                    <w14:schemeClr w14:val="tx1"/>
                  </w14:solidFill>
                </w14:textFill>
              </w:rPr>
            </w:pPr>
            <w:r>
              <w:rPr>
                <w:rFonts w:hint="eastAsia" w:ascii="Times New Roman" w:hAnsi="Times New Roman" w:cs="Times New Roman"/>
                <w:color w:val="000000" w:themeColor="text1"/>
                <w:kern w:val="0"/>
                <w:sz w:val="20"/>
                <w:szCs w:val="21"/>
                <w14:textFill>
                  <w14:solidFill>
                    <w14:schemeClr w14:val="tx1"/>
                  </w14:solidFill>
                </w14:textFill>
              </w:rPr>
              <w:t>1</w:t>
            </w:r>
            <w:r>
              <w:rPr>
                <w:rFonts w:ascii="Times New Roman" w:hAnsi="Times New Roman" w:cs="Times New Roman"/>
                <w:color w:val="000000" w:themeColor="text1"/>
                <w:kern w:val="0"/>
                <w:sz w:val="20"/>
                <w:szCs w:val="21"/>
                <w14:textFill>
                  <w14:solidFill>
                    <w14:schemeClr w14:val="tx1"/>
                  </w14:solidFill>
                </w14:textFill>
              </w:rPr>
              <w:t>0</w:t>
            </w:r>
          </w:p>
        </w:tc>
        <w:tc>
          <w:tcPr>
            <w:tcW w:w="2126" w:type="dxa"/>
          </w:tcPr>
          <w:p>
            <w:pPr>
              <w:jc w:val="center"/>
              <w:rPr>
                <w:rFonts w:ascii="Times New Roman" w:hAnsi="Times New Roman" w:cs="Times New Roman"/>
                <w:color w:val="000000" w:themeColor="text1"/>
                <w:kern w:val="0"/>
                <w:sz w:val="20"/>
                <w:szCs w:val="21"/>
                <w14:textFill>
                  <w14:solidFill>
                    <w14:schemeClr w14:val="tx1"/>
                  </w14:solidFill>
                </w14:textFill>
              </w:rPr>
            </w:pPr>
            <w:r>
              <w:rPr>
                <w:rFonts w:hint="eastAsia" w:ascii="Times New Roman" w:hAnsi="Times New Roman" w:cs="Times New Roman"/>
                <w:color w:val="000000" w:themeColor="text1"/>
                <w:kern w:val="0"/>
                <w:sz w:val="20"/>
                <w:szCs w:val="21"/>
                <w14:textFill>
                  <w14:solidFill>
                    <w14:schemeClr w14:val="tx1"/>
                  </w14:solidFill>
                </w14:textFill>
              </w:rPr>
              <w:t>锰</w:t>
            </w:r>
            <w:r>
              <w:rPr>
                <w:rFonts w:hint="eastAsia" w:ascii="Times New Roman" w:hAnsi="Times New Roman" w:cs="Times New Roman"/>
                <w:color w:val="000000" w:themeColor="text1"/>
                <w:kern w:val="0"/>
                <w:szCs w:val="21"/>
                <w14:textFill>
                  <w14:solidFill>
                    <w14:schemeClr w14:val="tx1"/>
                  </w14:solidFill>
                </w14:textFill>
              </w:rPr>
              <w:t>≤</w:t>
            </w:r>
          </w:p>
        </w:tc>
        <w:tc>
          <w:tcPr>
            <w:tcW w:w="993" w:type="dxa"/>
          </w:tcPr>
          <w:p>
            <w:pPr>
              <w:jc w:val="center"/>
              <w:rPr>
                <w:rFonts w:ascii="Times New Roman" w:hAnsi="Times New Roman" w:cs="Times New Roman"/>
                <w:color w:val="000000" w:themeColor="text1"/>
                <w:kern w:val="0"/>
                <w:sz w:val="20"/>
                <w:szCs w:val="21"/>
                <w14:textFill>
                  <w14:solidFill>
                    <w14:schemeClr w14:val="tx1"/>
                  </w14:solidFill>
                </w14:textFill>
              </w:rPr>
            </w:pPr>
            <w:r>
              <w:rPr>
                <w:rFonts w:hint="eastAsia" w:ascii="Times New Roman" w:hAnsi="Times New Roman" w:cs="Times New Roman"/>
                <w:color w:val="000000" w:themeColor="text1"/>
                <w:kern w:val="0"/>
                <w:sz w:val="20"/>
                <w:szCs w:val="21"/>
                <w14:textFill>
                  <w14:solidFill>
                    <w14:schemeClr w14:val="tx1"/>
                  </w14:solidFill>
                </w14:textFill>
              </w:rPr>
              <w:t>0</w:t>
            </w:r>
            <w:r>
              <w:rPr>
                <w:rFonts w:ascii="Times New Roman" w:hAnsi="Times New Roman" w:cs="Times New Roman"/>
                <w:color w:val="000000" w:themeColor="text1"/>
                <w:kern w:val="0"/>
                <w:sz w:val="20"/>
                <w:szCs w:val="21"/>
                <w14:textFill>
                  <w14:solidFill>
                    <w14:schemeClr w14:val="tx1"/>
                  </w14:solidFill>
                </w14:textFill>
              </w:rPr>
              <w:t>.1</w:t>
            </w:r>
          </w:p>
        </w:tc>
        <w:tc>
          <w:tcPr>
            <w:tcW w:w="1134" w:type="dxa"/>
          </w:tcPr>
          <w:p>
            <w:pPr>
              <w:jc w:val="center"/>
              <w:rPr>
                <w:rFonts w:ascii="Times New Roman" w:hAnsi="Times New Roman" w:cs="Times New Roman"/>
                <w:color w:val="000000" w:themeColor="text1"/>
                <w:kern w:val="0"/>
                <w:sz w:val="20"/>
                <w:szCs w:val="21"/>
                <w14:textFill>
                  <w14:solidFill>
                    <w14:schemeClr w14:val="tx1"/>
                  </w14:solidFill>
                </w14:textFill>
              </w:rPr>
            </w:pPr>
            <w:r>
              <w:rPr>
                <w:rFonts w:hint="eastAsia" w:ascii="Times New Roman" w:hAnsi="Times New Roman" w:cs="Times New Roman"/>
                <w:color w:val="000000" w:themeColor="text1"/>
                <w:kern w:val="0"/>
                <w:sz w:val="20"/>
                <w:szCs w:val="21"/>
                <w14:textFill>
                  <w14:solidFill>
                    <w14:schemeClr w14:val="tx1"/>
                  </w14:solidFill>
                </w14:textFill>
              </w:rPr>
              <w:t>-</w:t>
            </w:r>
            <w:r>
              <w:rPr>
                <w:rFonts w:ascii="Times New Roman" w:hAnsi="Times New Roman" w:cs="Times New Roman"/>
                <w:color w:val="000000" w:themeColor="text1"/>
                <w:kern w:val="0"/>
                <w:sz w:val="20"/>
                <w:szCs w:val="21"/>
                <w14:textFill>
                  <w14:solidFill>
                    <w14:schemeClr w14:val="tx1"/>
                  </w14:solidFill>
                </w14:textFill>
              </w:rPr>
              <w:t>--</w:t>
            </w:r>
          </w:p>
        </w:tc>
        <w:tc>
          <w:tcPr>
            <w:tcW w:w="1134" w:type="dxa"/>
          </w:tcPr>
          <w:p>
            <w:pPr>
              <w:jc w:val="center"/>
              <w:rPr>
                <w:rFonts w:ascii="Times New Roman" w:hAnsi="Times New Roman" w:cs="Times New Roman"/>
                <w:color w:val="000000" w:themeColor="text1"/>
                <w:kern w:val="0"/>
                <w:sz w:val="20"/>
                <w:szCs w:val="21"/>
                <w14:textFill>
                  <w14:solidFill>
                    <w14:schemeClr w14:val="tx1"/>
                  </w14:solidFill>
                </w14:textFill>
              </w:rPr>
            </w:pPr>
            <w:r>
              <w:rPr>
                <w:rFonts w:hint="eastAsia" w:ascii="Times New Roman" w:hAnsi="Times New Roman" w:cs="Times New Roman"/>
                <w:color w:val="000000" w:themeColor="text1"/>
                <w:kern w:val="0"/>
                <w:sz w:val="20"/>
                <w:szCs w:val="21"/>
                <w14:textFill>
                  <w14:solidFill>
                    <w14:schemeClr w14:val="tx1"/>
                  </w14:solidFill>
                </w14:textFill>
              </w:rPr>
              <w:t>-</w:t>
            </w:r>
            <w:r>
              <w:rPr>
                <w:rFonts w:ascii="Times New Roman" w:hAnsi="Times New Roman" w:cs="Times New Roman"/>
                <w:color w:val="000000" w:themeColor="text1"/>
                <w:kern w:val="0"/>
                <w:sz w:val="20"/>
                <w:szCs w:val="21"/>
                <w14:textFill>
                  <w14:solidFill>
                    <w14:schemeClr w14:val="tx1"/>
                  </w14:solidFill>
                </w14:textFill>
              </w:rPr>
              <w:t>--</w:t>
            </w:r>
          </w:p>
        </w:tc>
        <w:tc>
          <w:tcPr>
            <w:tcW w:w="1134" w:type="dxa"/>
          </w:tcPr>
          <w:p>
            <w:pPr>
              <w:jc w:val="center"/>
              <w:rPr>
                <w:rFonts w:ascii="Times New Roman" w:hAnsi="Times New Roman" w:cs="Times New Roman"/>
                <w:color w:val="000000" w:themeColor="text1"/>
                <w:kern w:val="0"/>
                <w:sz w:val="20"/>
                <w:szCs w:val="21"/>
                <w14:textFill>
                  <w14:solidFill>
                    <w14:schemeClr w14:val="tx1"/>
                  </w14:solidFill>
                </w14:textFill>
              </w:rPr>
            </w:pPr>
            <w:r>
              <w:rPr>
                <w:rFonts w:hint="eastAsia" w:ascii="Times New Roman" w:hAnsi="Times New Roman" w:cs="Times New Roman"/>
                <w:color w:val="000000" w:themeColor="text1"/>
                <w:kern w:val="0"/>
                <w:sz w:val="20"/>
                <w:szCs w:val="21"/>
                <w14:textFill>
                  <w14:solidFill>
                    <w14:schemeClr w14:val="tx1"/>
                  </w14:solidFill>
                </w14:textFill>
              </w:rPr>
              <w:t>0</w:t>
            </w:r>
            <w:r>
              <w:rPr>
                <w:rFonts w:ascii="Times New Roman" w:hAnsi="Times New Roman" w:cs="Times New Roman"/>
                <w:color w:val="000000" w:themeColor="text1"/>
                <w:kern w:val="0"/>
                <w:sz w:val="20"/>
                <w:szCs w:val="21"/>
                <w14:textFill>
                  <w14:solidFill>
                    <w14:schemeClr w14:val="tx1"/>
                  </w14:solidFill>
                </w14:textFill>
              </w:rPr>
              <w:t>.1</w:t>
            </w:r>
          </w:p>
        </w:tc>
        <w:tc>
          <w:tcPr>
            <w:tcW w:w="1066" w:type="dxa"/>
          </w:tcPr>
          <w:p>
            <w:pPr>
              <w:jc w:val="center"/>
              <w:rPr>
                <w:rFonts w:ascii="Times New Roman" w:hAnsi="Times New Roman" w:cs="Times New Roman"/>
                <w:color w:val="000000" w:themeColor="text1"/>
                <w:kern w:val="0"/>
                <w:sz w:val="20"/>
                <w:szCs w:val="21"/>
                <w14:textFill>
                  <w14:solidFill>
                    <w14:schemeClr w14:val="tx1"/>
                  </w14:solidFill>
                </w14:textFill>
              </w:rPr>
            </w:pPr>
            <w:r>
              <w:rPr>
                <w:rFonts w:hint="eastAsia" w:ascii="Times New Roman" w:hAnsi="Times New Roman" w:cs="Times New Roman"/>
                <w:color w:val="000000" w:themeColor="text1"/>
                <w:kern w:val="0"/>
                <w:sz w:val="20"/>
                <w:szCs w:val="21"/>
                <w14:textFill>
                  <w14:solidFill>
                    <w14:schemeClr w14:val="tx1"/>
                  </w14:solidFill>
                </w14:textFill>
              </w:rPr>
              <w:t>-</w:t>
            </w:r>
            <w:r>
              <w:rPr>
                <w:rFonts w:ascii="Times New Roman" w:hAnsi="Times New Roman" w:cs="Times New Roman"/>
                <w:color w:val="000000" w:themeColor="text1"/>
                <w:kern w:val="0"/>
                <w:sz w:val="20"/>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9" w:type="dxa"/>
          </w:tcPr>
          <w:p>
            <w:pPr>
              <w:jc w:val="center"/>
              <w:rPr>
                <w:rFonts w:ascii="Times New Roman" w:hAnsi="Times New Roman" w:cs="Times New Roman"/>
                <w:color w:val="000000" w:themeColor="text1"/>
                <w:kern w:val="0"/>
                <w:sz w:val="20"/>
                <w:szCs w:val="21"/>
                <w14:textFill>
                  <w14:solidFill>
                    <w14:schemeClr w14:val="tx1"/>
                  </w14:solidFill>
                </w14:textFill>
              </w:rPr>
            </w:pPr>
            <w:r>
              <w:rPr>
                <w:rFonts w:hint="eastAsia" w:ascii="Times New Roman" w:hAnsi="Times New Roman" w:cs="Times New Roman"/>
                <w:color w:val="000000" w:themeColor="text1"/>
                <w:kern w:val="0"/>
                <w:sz w:val="20"/>
                <w:szCs w:val="21"/>
                <w14:textFill>
                  <w14:solidFill>
                    <w14:schemeClr w14:val="tx1"/>
                  </w14:solidFill>
                </w14:textFill>
              </w:rPr>
              <w:t>1</w:t>
            </w:r>
            <w:r>
              <w:rPr>
                <w:rFonts w:ascii="Times New Roman" w:hAnsi="Times New Roman" w:cs="Times New Roman"/>
                <w:color w:val="000000" w:themeColor="text1"/>
                <w:kern w:val="0"/>
                <w:sz w:val="20"/>
                <w:szCs w:val="21"/>
                <w14:textFill>
                  <w14:solidFill>
                    <w14:schemeClr w14:val="tx1"/>
                  </w14:solidFill>
                </w14:textFill>
              </w:rPr>
              <w:t>1</w:t>
            </w:r>
          </w:p>
        </w:tc>
        <w:tc>
          <w:tcPr>
            <w:tcW w:w="2126" w:type="dxa"/>
          </w:tcPr>
          <w:p>
            <w:pPr>
              <w:jc w:val="center"/>
              <w:rPr>
                <w:rFonts w:ascii="Times New Roman" w:hAnsi="Times New Roman" w:cs="Times New Roman"/>
                <w:color w:val="000000" w:themeColor="text1"/>
                <w:kern w:val="0"/>
                <w:sz w:val="20"/>
                <w:szCs w:val="21"/>
                <w14:textFill>
                  <w14:solidFill>
                    <w14:schemeClr w14:val="tx1"/>
                  </w14:solidFill>
                </w14:textFill>
              </w:rPr>
            </w:pPr>
            <w:r>
              <w:rPr>
                <w:rFonts w:hint="eastAsia" w:ascii="Times New Roman" w:hAnsi="Times New Roman" w:cs="Times New Roman"/>
                <w:color w:val="000000" w:themeColor="text1"/>
                <w:kern w:val="0"/>
                <w:sz w:val="20"/>
                <w:szCs w:val="21"/>
                <w14:textFill>
                  <w14:solidFill>
                    <w14:schemeClr w14:val="tx1"/>
                  </w14:solidFill>
                </w14:textFill>
              </w:rPr>
              <w:t>溶解氧≥</w:t>
            </w:r>
          </w:p>
        </w:tc>
        <w:tc>
          <w:tcPr>
            <w:tcW w:w="5461" w:type="dxa"/>
            <w:gridSpan w:val="5"/>
          </w:tcPr>
          <w:p>
            <w:pPr>
              <w:jc w:val="center"/>
              <w:rPr>
                <w:rFonts w:ascii="Times New Roman" w:hAnsi="Times New Roman" w:cs="Times New Roman"/>
                <w:color w:val="000000" w:themeColor="text1"/>
                <w:kern w:val="0"/>
                <w:sz w:val="20"/>
                <w:szCs w:val="21"/>
                <w14:textFill>
                  <w14:solidFill>
                    <w14:schemeClr w14:val="tx1"/>
                  </w14:solidFill>
                </w14:textFill>
              </w:rPr>
            </w:pPr>
            <w:r>
              <w:rPr>
                <w:rFonts w:hint="eastAsia" w:ascii="Times New Roman" w:hAnsi="Times New Roman" w:cs="Times New Roman"/>
                <w:color w:val="000000" w:themeColor="text1"/>
                <w:kern w:val="0"/>
                <w:sz w:val="20"/>
                <w:szCs w:val="21"/>
                <w14:textFill>
                  <w14:solidFill>
                    <w14:schemeClr w14:val="tx1"/>
                  </w14:solidFill>
                </w14:textFill>
              </w:rPr>
              <w:t>1</w:t>
            </w:r>
            <w:r>
              <w:rPr>
                <w:rFonts w:ascii="Times New Roman" w:hAnsi="Times New Roman" w:cs="Times New Roman"/>
                <w:color w:val="000000" w:themeColor="text1"/>
                <w:kern w:val="0"/>
                <w:sz w:val="20"/>
                <w:szCs w:val="21"/>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9" w:type="dxa"/>
          </w:tcPr>
          <w:p>
            <w:pPr>
              <w:jc w:val="center"/>
              <w:rPr>
                <w:rFonts w:ascii="Times New Roman" w:hAnsi="Times New Roman" w:cs="Times New Roman"/>
                <w:color w:val="000000" w:themeColor="text1"/>
                <w:kern w:val="0"/>
                <w:sz w:val="20"/>
                <w:szCs w:val="21"/>
                <w14:textFill>
                  <w14:solidFill>
                    <w14:schemeClr w14:val="tx1"/>
                  </w14:solidFill>
                </w14:textFill>
              </w:rPr>
            </w:pPr>
            <w:r>
              <w:rPr>
                <w:rFonts w:hint="eastAsia" w:ascii="Times New Roman" w:hAnsi="Times New Roman" w:cs="Times New Roman"/>
                <w:color w:val="000000" w:themeColor="text1"/>
                <w:kern w:val="0"/>
                <w:sz w:val="20"/>
                <w:szCs w:val="21"/>
                <w14:textFill>
                  <w14:solidFill>
                    <w14:schemeClr w14:val="tx1"/>
                  </w14:solidFill>
                </w14:textFill>
              </w:rPr>
              <w:t>1</w:t>
            </w:r>
            <w:r>
              <w:rPr>
                <w:rFonts w:ascii="Times New Roman" w:hAnsi="Times New Roman" w:cs="Times New Roman"/>
                <w:color w:val="000000" w:themeColor="text1"/>
                <w:kern w:val="0"/>
                <w:sz w:val="20"/>
                <w:szCs w:val="21"/>
                <w14:textFill>
                  <w14:solidFill>
                    <w14:schemeClr w14:val="tx1"/>
                  </w14:solidFill>
                </w14:textFill>
              </w:rPr>
              <w:t>2</w:t>
            </w:r>
          </w:p>
        </w:tc>
        <w:tc>
          <w:tcPr>
            <w:tcW w:w="2126" w:type="dxa"/>
          </w:tcPr>
          <w:p>
            <w:pPr>
              <w:jc w:val="center"/>
              <w:rPr>
                <w:rFonts w:ascii="Times New Roman" w:hAnsi="Times New Roman" w:cs="Times New Roman"/>
                <w:color w:val="000000" w:themeColor="text1"/>
                <w:kern w:val="0"/>
                <w:sz w:val="20"/>
                <w:szCs w:val="21"/>
                <w14:textFill>
                  <w14:solidFill>
                    <w14:schemeClr w14:val="tx1"/>
                  </w14:solidFill>
                </w14:textFill>
              </w:rPr>
            </w:pPr>
            <w:r>
              <w:rPr>
                <w:rFonts w:hint="eastAsia" w:ascii="Times New Roman" w:hAnsi="Times New Roman" w:cs="Times New Roman"/>
                <w:color w:val="000000" w:themeColor="text1"/>
                <w:kern w:val="0"/>
                <w:sz w:val="20"/>
                <w:szCs w:val="21"/>
                <w14:textFill>
                  <w14:solidFill>
                    <w14:schemeClr w14:val="tx1"/>
                  </w14:solidFill>
                </w14:textFill>
              </w:rPr>
              <w:t>总余氯</w:t>
            </w:r>
          </w:p>
        </w:tc>
        <w:tc>
          <w:tcPr>
            <w:tcW w:w="5461" w:type="dxa"/>
            <w:gridSpan w:val="5"/>
          </w:tcPr>
          <w:p>
            <w:pPr>
              <w:jc w:val="center"/>
              <w:rPr>
                <w:rFonts w:ascii="Times New Roman" w:hAnsi="Times New Roman" w:cs="Times New Roman"/>
                <w:color w:val="000000" w:themeColor="text1"/>
                <w:kern w:val="0"/>
                <w:sz w:val="20"/>
                <w:szCs w:val="21"/>
                <w14:textFill>
                  <w14:solidFill>
                    <w14:schemeClr w14:val="tx1"/>
                  </w14:solidFill>
                </w14:textFill>
              </w:rPr>
            </w:pPr>
            <w:r>
              <w:rPr>
                <w:rFonts w:hint="eastAsia" w:ascii="Times New Roman" w:hAnsi="Times New Roman" w:cs="Times New Roman"/>
                <w:color w:val="000000" w:themeColor="text1"/>
                <w:kern w:val="0"/>
                <w:sz w:val="20"/>
                <w:szCs w:val="21"/>
                <w14:textFill>
                  <w14:solidFill>
                    <w14:schemeClr w14:val="tx1"/>
                  </w14:solidFill>
                </w14:textFill>
              </w:rPr>
              <w:t>接触3</w:t>
            </w:r>
            <w:r>
              <w:rPr>
                <w:rFonts w:ascii="Times New Roman" w:hAnsi="Times New Roman" w:cs="Times New Roman"/>
                <w:color w:val="000000" w:themeColor="text1"/>
                <w:kern w:val="0"/>
                <w:sz w:val="20"/>
                <w:szCs w:val="21"/>
                <w14:textFill>
                  <w14:solidFill>
                    <w14:schemeClr w14:val="tx1"/>
                  </w14:solidFill>
                </w14:textFill>
              </w:rPr>
              <w:t>0</w:t>
            </w:r>
            <w:r>
              <w:rPr>
                <w:rFonts w:hint="eastAsia" w:ascii="Times New Roman" w:hAnsi="Times New Roman" w:cs="Times New Roman"/>
                <w:color w:val="000000" w:themeColor="text1"/>
                <w:kern w:val="0"/>
                <w:sz w:val="20"/>
                <w:szCs w:val="21"/>
                <w14:textFill>
                  <w14:solidFill>
                    <w14:schemeClr w14:val="tx1"/>
                  </w14:solidFill>
                </w14:textFill>
              </w:rPr>
              <w:t>min后≥</w:t>
            </w:r>
            <w:r>
              <w:rPr>
                <w:rFonts w:ascii="Times New Roman" w:hAnsi="Times New Roman" w:cs="Times New Roman"/>
                <w:color w:val="000000" w:themeColor="text1"/>
                <w:kern w:val="0"/>
                <w:sz w:val="20"/>
                <w:szCs w:val="21"/>
                <w14:textFill>
                  <w14:solidFill>
                    <w14:schemeClr w14:val="tx1"/>
                  </w14:solidFill>
                </w14:textFill>
              </w:rPr>
              <w:t>1.0</w:t>
            </w:r>
            <w:r>
              <w:rPr>
                <w:rFonts w:hint="eastAsia" w:ascii="Times New Roman" w:hAnsi="Times New Roman" w:cs="Times New Roman"/>
                <w:color w:val="000000" w:themeColor="text1"/>
                <w:kern w:val="0"/>
                <w:sz w:val="20"/>
                <w:szCs w:val="21"/>
                <w14:textFill>
                  <w14:solidFill>
                    <w14:schemeClr w14:val="tx1"/>
                  </w14:solidFill>
                </w14:textFill>
              </w:rPr>
              <w:t>，管网末端≥</w:t>
            </w:r>
            <w:r>
              <w:rPr>
                <w:rFonts w:ascii="Times New Roman" w:hAnsi="Times New Roman" w:cs="Times New Roman"/>
                <w:color w:val="000000" w:themeColor="text1"/>
                <w:kern w:val="0"/>
                <w:sz w:val="20"/>
                <w:szCs w:val="21"/>
                <w14:textFill>
                  <w14:solidFill>
                    <w14:schemeClr w14:val="tx1"/>
                  </w14:solidFill>
                </w14:textFill>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9" w:type="dxa"/>
          </w:tcPr>
          <w:p>
            <w:pPr>
              <w:jc w:val="center"/>
              <w:rPr>
                <w:rFonts w:ascii="Times New Roman" w:hAnsi="Times New Roman" w:cs="Times New Roman"/>
                <w:color w:val="000000" w:themeColor="text1"/>
                <w:kern w:val="0"/>
                <w:sz w:val="20"/>
                <w:szCs w:val="21"/>
                <w14:textFill>
                  <w14:solidFill>
                    <w14:schemeClr w14:val="tx1"/>
                  </w14:solidFill>
                </w14:textFill>
              </w:rPr>
            </w:pPr>
            <w:r>
              <w:rPr>
                <w:rFonts w:hint="eastAsia" w:ascii="Times New Roman" w:hAnsi="Times New Roman" w:cs="Times New Roman"/>
                <w:color w:val="000000" w:themeColor="text1"/>
                <w:kern w:val="0"/>
                <w:sz w:val="20"/>
                <w:szCs w:val="21"/>
                <w14:textFill>
                  <w14:solidFill>
                    <w14:schemeClr w14:val="tx1"/>
                  </w14:solidFill>
                </w14:textFill>
              </w:rPr>
              <w:t>1</w:t>
            </w:r>
            <w:r>
              <w:rPr>
                <w:rFonts w:ascii="Times New Roman" w:hAnsi="Times New Roman" w:cs="Times New Roman"/>
                <w:color w:val="000000" w:themeColor="text1"/>
                <w:kern w:val="0"/>
                <w:sz w:val="20"/>
                <w:szCs w:val="21"/>
                <w14:textFill>
                  <w14:solidFill>
                    <w14:schemeClr w14:val="tx1"/>
                  </w14:solidFill>
                </w14:textFill>
              </w:rPr>
              <w:t>3</w:t>
            </w:r>
          </w:p>
        </w:tc>
        <w:tc>
          <w:tcPr>
            <w:tcW w:w="2126" w:type="dxa"/>
          </w:tcPr>
          <w:p>
            <w:pPr>
              <w:jc w:val="center"/>
              <w:rPr>
                <w:rFonts w:ascii="Times New Roman" w:hAnsi="Times New Roman" w:cs="Times New Roman"/>
                <w:color w:val="000000" w:themeColor="text1"/>
                <w:kern w:val="0"/>
                <w:sz w:val="20"/>
                <w:szCs w:val="21"/>
                <w14:textFill>
                  <w14:solidFill>
                    <w14:schemeClr w14:val="tx1"/>
                  </w14:solidFill>
                </w14:textFill>
              </w:rPr>
            </w:pPr>
            <w:r>
              <w:rPr>
                <w:rFonts w:hint="eastAsia" w:ascii="Times New Roman" w:hAnsi="Times New Roman" w:cs="Times New Roman"/>
                <w:color w:val="000000" w:themeColor="text1"/>
                <w:kern w:val="0"/>
                <w:sz w:val="20"/>
                <w:szCs w:val="21"/>
                <w14:textFill>
                  <w14:solidFill>
                    <w14:schemeClr w14:val="tx1"/>
                  </w14:solidFill>
                </w14:textFill>
              </w:rPr>
              <w:t>总大肠杆菌群</w:t>
            </w:r>
            <w:r>
              <w:rPr>
                <w:rFonts w:hint="eastAsia" w:ascii="Times New Roman" w:hAnsi="Times New Roman" w:cs="Times New Roman"/>
                <w:color w:val="000000" w:themeColor="text1"/>
                <w:kern w:val="0"/>
                <w:szCs w:val="21"/>
                <w14:textFill>
                  <w14:solidFill>
                    <w14:schemeClr w14:val="tx1"/>
                  </w14:solidFill>
                </w14:textFill>
              </w:rPr>
              <w:t>≤</w:t>
            </w:r>
          </w:p>
        </w:tc>
        <w:tc>
          <w:tcPr>
            <w:tcW w:w="5461" w:type="dxa"/>
            <w:gridSpan w:val="5"/>
          </w:tcPr>
          <w:p>
            <w:pPr>
              <w:jc w:val="center"/>
              <w:rPr>
                <w:rFonts w:ascii="Times New Roman" w:hAnsi="Times New Roman" w:cs="Times New Roman"/>
                <w:color w:val="000000" w:themeColor="text1"/>
                <w:kern w:val="0"/>
                <w:sz w:val="20"/>
                <w:szCs w:val="21"/>
                <w14:textFill>
                  <w14:solidFill>
                    <w14:schemeClr w14:val="tx1"/>
                  </w14:solidFill>
                </w14:textFill>
              </w:rPr>
            </w:pPr>
            <w:r>
              <w:rPr>
                <w:rFonts w:hint="eastAsia" w:ascii="Times New Roman" w:hAnsi="Times New Roman" w:cs="Times New Roman"/>
                <w:color w:val="000000" w:themeColor="text1"/>
                <w:kern w:val="0"/>
                <w:sz w:val="20"/>
                <w:szCs w:val="21"/>
                <w14:textFill>
                  <w14:solidFill>
                    <w14:schemeClr w14:val="tx1"/>
                  </w14:solidFill>
                </w14:textFill>
              </w:rPr>
              <w:t>3</w:t>
            </w:r>
          </w:p>
        </w:tc>
      </w:tr>
    </w:tbl>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（3）噪声</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项目施工期噪声排放执行《建筑施工场界环境噪声排放标准》（GB12523-2011），调试期噪声排放执行《工业企业厂界环境噪声排放标准》（GB12348-2008）2类标准限值要求。采用标准与环评阶段一致。</w:t>
      </w:r>
    </w:p>
    <w:p>
      <w:pPr>
        <w:widowControl/>
        <w:adjustRightInd w:val="0"/>
        <w:snapToGrid w:val="0"/>
        <w:spacing w:line="300" w:lineRule="auto"/>
        <w:ind w:firstLine="482"/>
        <w:jc w:val="center"/>
        <w:rPr>
          <w:rFonts w:ascii="Times New Roman" w:hAnsi="Times New Roman" w:cs="Times New Roman"/>
          <w:b/>
          <w:color w:val="000000" w:themeColor="text1"/>
          <w:szCs w:val="21"/>
          <w14:textFill>
            <w14:solidFill>
              <w14:schemeClr w14:val="tx1"/>
            </w14:solidFill>
          </w14:textFill>
        </w:rPr>
      </w:pPr>
    </w:p>
    <w:p>
      <w:pPr>
        <w:widowControl/>
        <w:adjustRightInd w:val="0"/>
        <w:snapToGrid w:val="0"/>
        <w:spacing w:line="300" w:lineRule="auto"/>
        <w:ind w:firstLine="482"/>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表1.6-9  执行</w:t>
      </w:r>
      <w:r>
        <w:rPr>
          <w:rFonts w:hint="eastAsia" w:ascii="Times New Roman" w:hAnsi="Times New Roman" w:cs="Times New Roman"/>
          <w:b/>
          <w:color w:val="000000" w:themeColor="text1"/>
          <w:szCs w:val="21"/>
          <w14:textFill>
            <w14:solidFill>
              <w14:schemeClr w14:val="tx1"/>
            </w14:solidFill>
          </w14:textFill>
        </w:rPr>
        <w:t>标准</w:t>
      </w:r>
      <w:r>
        <w:rPr>
          <w:rFonts w:ascii="Times New Roman" w:hAnsi="Times New Roman" w:cs="Times New Roman"/>
          <w:b/>
          <w:color w:val="000000" w:themeColor="text1"/>
          <w:szCs w:val="21"/>
          <w14:textFill>
            <w14:solidFill>
              <w14:schemeClr w14:val="tx1"/>
            </w14:solidFill>
          </w14:textFill>
        </w:rPr>
        <w:t>及标准限值</w:t>
      </w:r>
      <w:r>
        <w:rPr>
          <w:rFonts w:hint="eastAsia" w:ascii="Times New Roman" w:hAnsi="Times New Roman" w:cs="Times New Roman"/>
          <w:b/>
          <w:color w:val="000000" w:themeColor="text1"/>
          <w:szCs w:val="21"/>
          <w14:textFill>
            <w14:solidFill>
              <w14:schemeClr w14:val="tx1"/>
            </w14:solidFill>
          </w14:textFill>
        </w:rPr>
        <w:t xml:space="preserve"> </w:t>
      </w:r>
      <w:r>
        <w:rPr>
          <w:rFonts w:ascii="Times New Roman" w:hAnsi="Times New Roman" w:cs="Times New Roman"/>
          <w:b/>
          <w:color w:val="000000" w:themeColor="text1"/>
          <w:szCs w:val="21"/>
          <w14:textFill>
            <w14:solidFill>
              <w14:schemeClr w14:val="tx1"/>
            </w14:solidFill>
          </w14:textFill>
        </w:rPr>
        <w:t xml:space="preserve">   </w:t>
      </w:r>
      <w:r>
        <w:rPr>
          <w:rFonts w:hint="eastAsia" w:ascii="Times New Roman" w:hAnsi="Times New Roman" w:cs="Times New Roman"/>
          <w:b/>
          <w:color w:val="000000" w:themeColor="text1"/>
          <w:szCs w:val="21"/>
          <w14:textFill>
            <w14:solidFill>
              <w14:schemeClr w14:val="tx1"/>
            </w14:solidFill>
          </w14:textFill>
        </w:rPr>
        <w:t>单位：dB（A）</w:t>
      </w:r>
    </w:p>
    <w:tbl>
      <w:tblPr>
        <w:tblStyle w:val="28"/>
        <w:tblW w:w="8500"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948"/>
        <w:gridCol w:w="5998"/>
        <w:gridCol w:w="155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948" w:type="dxa"/>
            <w:vAlign w:val="center"/>
          </w:tcPr>
          <w:p>
            <w:pPr>
              <w:widowControl/>
              <w:adjustRightInd w:val="0"/>
              <w:snapToGrid w:val="0"/>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类别</w:t>
            </w:r>
          </w:p>
        </w:tc>
        <w:tc>
          <w:tcPr>
            <w:tcW w:w="5998" w:type="dxa"/>
            <w:vAlign w:val="center"/>
          </w:tcPr>
          <w:p>
            <w:pPr>
              <w:widowControl/>
              <w:adjustRightInd w:val="0"/>
              <w:snapToGrid w:val="0"/>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执行标准</w:t>
            </w:r>
          </w:p>
        </w:tc>
        <w:tc>
          <w:tcPr>
            <w:tcW w:w="1554" w:type="dxa"/>
            <w:vAlign w:val="center"/>
          </w:tcPr>
          <w:p>
            <w:pPr>
              <w:widowControl/>
              <w:adjustRightInd w:val="0"/>
              <w:snapToGrid w:val="0"/>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标准限值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948" w:type="dxa"/>
            <w:vMerge w:val="restart"/>
            <w:vAlign w:val="center"/>
          </w:tcPr>
          <w:p>
            <w:pPr>
              <w:widowControl/>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噪声</w:t>
            </w:r>
          </w:p>
        </w:tc>
        <w:tc>
          <w:tcPr>
            <w:tcW w:w="5998" w:type="dxa"/>
            <w:vMerge w:val="restart"/>
            <w:vAlign w:val="center"/>
          </w:tcPr>
          <w:p>
            <w:pPr>
              <w:widowControl/>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工业企业厂界环境噪声</w:t>
            </w:r>
            <w:r>
              <w:rPr>
                <w:rFonts w:hint="eastAsia" w:ascii="Times New Roman" w:hAnsi="Times New Roman" w:cs="Times New Roman"/>
                <w:color w:val="000000" w:themeColor="text1"/>
                <w:szCs w:val="21"/>
                <w14:textFill>
                  <w14:solidFill>
                    <w14:schemeClr w14:val="tx1"/>
                  </w14:solidFill>
                </w14:textFill>
              </w:rPr>
              <w:t>（</w:t>
            </w:r>
            <w:r>
              <w:rPr>
                <w:rFonts w:ascii="Times New Roman" w:hAnsi="Times New Roman" w:cs="Times New Roman"/>
                <w:color w:val="000000" w:themeColor="text1"/>
                <w:szCs w:val="21"/>
                <w14:textFill>
                  <w14:solidFill>
                    <w14:schemeClr w14:val="tx1"/>
                  </w14:solidFill>
                </w14:textFill>
              </w:rPr>
              <w:t>GB12348-2008</w:t>
            </w:r>
            <w:r>
              <w:rPr>
                <w:rFonts w:hint="eastAsia" w:ascii="Times New Roman" w:hAnsi="Times New Roman" w:cs="Times New Roman"/>
                <w:color w:val="000000" w:themeColor="text1"/>
                <w:szCs w:val="21"/>
                <w14:textFill>
                  <w14:solidFill>
                    <w14:schemeClr w14:val="tx1"/>
                  </w14:solidFill>
                </w14:textFill>
              </w:rPr>
              <w:t>）</w:t>
            </w:r>
            <w:r>
              <w:rPr>
                <w:rFonts w:ascii="Times New Roman" w:hAnsi="Times New Roman" w:cs="Times New Roman"/>
                <w:color w:val="000000" w:themeColor="text1"/>
                <w:szCs w:val="21"/>
                <w14:textFill>
                  <w14:solidFill>
                    <w14:schemeClr w14:val="tx1"/>
                  </w14:solidFill>
                </w14:textFill>
              </w:rPr>
              <w:t>2类标准</w:t>
            </w:r>
          </w:p>
        </w:tc>
        <w:tc>
          <w:tcPr>
            <w:tcW w:w="1554" w:type="dxa"/>
            <w:vAlign w:val="center"/>
          </w:tcPr>
          <w:p>
            <w:pPr>
              <w:widowControl/>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昼间：60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948" w:type="dxa"/>
            <w:vMerge w:val="continue"/>
            <w:vAlign w:val="center"/>
          </w:tcPr>
          <w:p>
            <w:pPr>
              <w:widowControl/>
              <w:adjustRightInd w:val="0"/>
              <w:snapToGrid w:val="0"/>
              <w:jc w:val="center"/>
              <w:rPr>
                <w:rFonts w:ascii="Times New Roman" w:hAnsi="Times New Roman" w:cs="Times New Roman"/>
                <w:color w:val="000000" w:themeColor="text1"/>
                <w:szCs w:val="21"/>
                <w14:textFill>
                  <w14:solidFill>
                    <w14:schemeClr w14:val="tx1"/>
                  </w14:solidFill>
                </w14:textFill>
              </w:rPr>
            </w:pPr>
          </w:p>
        </w:tc>
        <w:tc>
          <w:tcPr>
            <w:tcW w:w="5998" w:type="dxa"/>
            <w:vMerge w:val="continue"/>
            <w:vAlign w:val="center"/>
          </w:tcPr>
          <w:p>
            <w:pPr>
              <w:widowControl/>
              <w:adjustRightInd w:val="0"/>
              <w:snapToGrid w:val="0"/>
              <w:jc w:val="center"/>
              <w:rPr>
                <w:rFonts w:ascii="Times New Roman" w:hAnsi="Times New Roman" w:cs="Times New Roman"/>
                <w:color w:val="000000" w:themeColor="text1"/>
                <w:szCs w:val="21"/>
                <w14:textFill>
                  <w14:solidFill>
                    <w14:schemeClr w14:val="tx1"/>
                  </w14:solidFill>
                </w14:textFill>
              </w:rPr>
            </w:pPr>
          </w:p>
        </w:tc>
        <w:tc>
          <w:tcPr>
            <w:tcW w:w="1554" w:type="dxa"/>
            <w:vAlign w:val="center"/>
          </w:tcPr>
          <w:p>
            <w:pPr>
              <w:widowControl/>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夜间：</w:t>
            </w:r>
            <w:r>
              <w:rPr>
                <w:rFonts w:hint="eastAsia" w:ascii="Times New Roman" w:hAnsi="Times New Roman" w:cs="Times New Roman"/>
                <w:color w:val="000000" w:themeColor="text1"/>
                <w:szCs w:val="21"/>
                <w14:textFill>
                  <w14:solidFill>
                    <w14:schemeClr w14:val="tx1"/>
                  </w14:solidFill>
                </w14:textFill>
              </w:rPr>
              <w:t>5</w:t>
            </w:r>
            <w:r>
              <w:rPr>
                <w:rFonts w:ascii="Times New Roman" w:hAnsi="Times New Roman" w:cs="Times New Roman"/>
                <w:color w:val="000000" w:themeColor="text1"/>
                <w:szCs w:val="21"/>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948" w:type="dxa"/>
            <w:vMerge w:val="continue"/>
            <w:vAlign w:val="center"/>
          </w:tcPr>
          <w:p>
            <w:pPr>
              <w:widowControl/>
              <w:adjustRightInd w:val="0"/>
              <w:snapToGrid w:val="0"/>
              <w:jc w:val="center"/>
              <w:rPr>
                <w:rFonts w:ascii="Times New Roman" w:hAnsi="Times New Roman" w:cs="Times New Roman"/>
                <w:color w:val="000000" w:themeColor="text1"/>
                <w:szCs w:val="21"/>
                <w14:textFill>
                  <w14:solidFill>
                    <w14:schemeClr w14:val="tx1"/>
                  </w14:solidFill>
                </w14:textFill>
              </w:rPr>
            </w:pPr>
          </w:p>
        </w:tc>
        <w:tc>
          <w:tcPr>
            <w:tcW w:w="5998" w:type="dxa"/>
            <w:vMerge w:val="restart"/>
            <w:vAlign w:val="center"/>
          </w:tcPr>
          <w:p>
            <w:pPr>
              <w:widowControl/>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建筑施工场界环境噪声</w:t>
            </w:r>
            <w:r>
              <w:rPr>
                <w:rFonts w:hint="eastAsia" w:ascii="Times New Roman" w:hAnsi="Times New Roman" w:cs="Times New Roman"/>
                <w:color w:val="000000" w:themeColor="text1"/>
                <w:szCs w:val="21"/>
                <w14:textFill>
                  <w14:solidFill>
                    <w14:schemeClr w14:val="tx1"/>
                  </w14:solidFill>
                </w14:textFill>
              </w:rPr>
              <w:t>（</w:t>
            </w:r>
            <w:r>
              <w:rPr>
                <w:rFonts w:ascii="Times New Roman" w:hAnsi="Times New Roman" w:cs="Times New Roman"/>
                <w:color w:val="000000" w:themeColor="text1"/>
                <w:szCs w:val="21"/>
                <w14:textFill>
                  <w14:solidFill>
                    <w14:schemeClr w14:val="tx1"/>
                  </w14:solidFill>
                </w14:textFill>
              </w:rPr>
              <w:t>GB12523-2011</w:t>
            </w:r>
            <w:r>
              <w:rPr>
                <w:rFonts w:hint="eastAsia" w:ascii="Times New Roman" w:hAnsi="Times New Roman" w:cs="Times New Roman"/>
                <w:color w:val="000000" w:themeColor="text1"/>
                <w:szCs w:val="21"/>
                <w14:textFill>
                  <w14:solidFill>
                    <w14:schemeClr w14:val="tx1"/>
                  </w14:solidFill>
                </w14:textFill>
              </w:rPr>
              <w:t>）</w:t>
            </w:r>
          </w:p>
        </w:tc>
        <w:tc>
          <w:tcPr>
            <w:tcW w:w="1554" w:type="dxa"/>
            <w:vAlign w:val="center"/>
          </w:tcPr>
          <w:p>
            <w:pPr>
              <w:widowControl/>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昼间：70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948" w:type="dxa"/>
            <w:vMerge w:val="continue"/>
            <w:vAlign w:val="center"/>
          </w:tcPr>
          <w:p>
            <w:pPr>
              <w:widowControl/>
              <w:adjustRightInd w:val="0"/>
              <w:snapToGrid w:val="0"/>
              <w:jc w:val="center"/>
              <w:rPr>
                <w:rFonts w:ascii="Times New Roman" w:hAnsi="Times New Roman" w:cs="Times New Roman"/>
                <w:color w:val="000000" w:themeColor="text1"/>
                <w:szCs w:val="21"/>
                <w14:textFill>
                  <w14:solidFill>
                    <w14:schemeClr w14:val="tx1"/>
                  </w14:solidFill>
                </w14:textFill>
              </w:rPr>
            </w:pPr>
          </w:p>
        </w:tc>
        <w:tc>
          <w:tcPr>
            <w:tcW w:w="5998" w:type="dxa"/>
            <w:vMerge w:val="continue"/>
            <w:vAlign w:val="center"/>
          </w:tcPr>
          <w:p>
            <w:pPr>
              <w:widowControl/>
              <w:adjustRightInd w:val="0"/>
              <w:snapToGrid w:val="0"/>
              <w:jc w:val="center"/>
              <w:rPr>
                <w:rFonts w:ascii="Times New Roman" w:hAnsi="Times New Roman" w:cs="Times New Roman"/>
                <w:color w:val="000000" w:themeColor="text1"/>
                <w:szCs w:val="21"/>
                <w14:textFill>
                  <w14:solidFill>
                    <w14:schemeClr w14:val="tx1"/>
                  </w14:solidFill>
                </w14:textFill>
              </w:rPr>
            </w:pPr>
          </w:p>
        </w:tc>
        <w:tc>
          <w:tcPr>
            <w:tcW w:w="1554" w:type="dxa"/>
            <w:vAlign w:val="center"/>
          </w:tcPr>
          <w:p>
            <w:pPr>
              <w:widowControl/>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夜间：55</w:t>
            </w:r>
          </w:p>
        </w:tc>
      </w:tr>
    </w:tbl>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（4）固废</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项目一般工业固废贮存执行《一般工业固体废物贮存和填埋污染控制标准》（GB 18599-2020）；危险废物贮存执行《危险废物贮存污染控制标准》（GB18597-2001）标准。执行标准与环评阶段一致。</w: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.6.3 生态验收标准</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1）生态环境：陆生生态以不减少区域内珍稀保护动植物和不破坏陆地生态系统完整性为控制目标，并尽可能恢复和改善区域生态环境；水生生态以维持鱼类及其他水生生物的生存环境，水生生态系统以及生物多样性等能得到切实有效保护为目标。</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（2）土壤侵蚀：以不改变土壤侵蚀类型为标准。</w: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.6.4 环境保护措施</w:t>
      </w:r>
      <w:r>
        <w:rPr>
          <w:rFonts w:hint="eastAsia"/>
          <w:color w:val="000000" w:themeColor="text1"/>
          <w14:textFill>
            <w14:solidFill>
              <w14:schemeClr w14:val="tx1"/>
            </w14:solidFill>
          </w14:textFill>
        </w:rPr>
        <w:t>落实</w:t>
      </w:r>
      <w:r>
        <w:rPr>
          <w:color w:val="000000" w:themeColor="text1"/>
          <w14:textFill>
            <w14:solidFill>
              <w14:schemeClr w14:val="tx1"/>
            </w14:solidFill>
          </w14:textFill>
        </w:rPr>
        <w:t>调查指标</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采用《业隆沟锂辉石矿采选尾工程环境影响评价报告书》及其批复意见和环境保护设计中提出的环境保护措施和环境保护设施。当设计变更时，以变更后的环保设施为指标。</w:t>
      </w:r>
    </w:p>
    <w:p>
      <w:pPr>
        <w:pStyle w:val="3"/>
        <w:rPr>
          <w:color w:val="000000" w:themeColor="text1"/>
          <w14:textFill>
            <w14:solidFill>
              <w14:schemeClr w14:val="tx1"/>
            </w14:solidFill>
          </w14:textFill>
        </w:rPr>
      </w:pPr>
      <w:bookmarkStart w:id="9" w:name="_Toc62202374"/>
      <w:r>
        <w:rPr>
          <w:rFonts w:hint="eastAsia"/>
          <w:color w:val="000000" w:themeColor="text1"/>
          <w14:textFill>
            <w14:solidFill>
              <w14:schemeClr w14:val="tx1"/>
            </w14:solidFill>
          </w14:textFill>
        </w:rPr>
        <w:t>1</w:t>
      </w:r>
      <w:r>
        <w:rPr>
          <w:color w:val="000000" w:themeColor="text1"/>
          <w14:textFill>
            <w14:solidFill>
              <w14:schemeClr w14:val="tx1"/>
            </w14:solidFill>
          </w14:textFill>
        </w:rPr>
        <w:t>.7 调查重点</w:t>
      </w:r>
      <w:bookmarkEnd w:id="9"/>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根据本工程建设概况及其环境影响特点，本次调查的重点是工程建设和运行对生态环境、水环境和社会环境的影响，调查环评报告书及其批复文件要求采取环保措施的落实情况，分析已实施环境保护措施的有效性；分析实际突出或严重的环境影响，工程施工和运行以来发生的环境风险事故以及应急措施；关注公众反映的环境问题，并根据调查情况提出环境保护补救措施。</w:t>
      </w:r>
    </w:p>
    <w:p>
      <w:pPr>
        <w:pStyle w:val="3"/>
        <w:rPr>
          <w:color w:val="000000" w:themeColor="text1"/>
          <w14:textFill>
            <w14:solidFill>
              <w14:schemeClr w14:val="tx1"/>
            </w14:solidFill>
          </w14:textFill>
        </w:rPr>
      </w:pPr>
      <w:bookmarkStart w:id="10" w:name="_Toc62202375"/>
      <w:r>
        <w:rPr>
          <w:rFonts w:hint="eastAsia"/>
          <w:color w:val="000000" w:themeColor="text1"/>
          <w14:textFill>
            <w14:solidFill>
              <w14:schemeClr w14:val="tx1"/>
            </w14:solidFill>
          </w14:textFill>
        </w:rPr>
        <w:t>1</w:t>
      </w:r>
      <w:r>
        <w:rPr>
          <w:color w:val="000000" w:themeColor="text1"/>
          <w14:textFill>
            <w14:solidFill>
              <w14:schemeClr w14:val="tx1"/>
            </w14:solidFill>
          </w14:textFill>
        </w:rPr>
        <w:t>.8 环境保护目标</w:t>
      </w:r>
      <w:bookmarkEnd w:id="10"/>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根据《业隆沟锂辉石矿采选尾工程环境影响评价报告书》及其批复文件，结合现场调查结果，本次验收区域为</w:t>
      </w:r>
      <w:r>
        <w:rPr>
          <w:rFonts w:ascii="Times New Roman" w:hAnsi="Times New Roman" w:eastAsia="宋体" w:cs="Times New Roman"/>
          <w:color w:val="000000" w:themeColor="text1"/>
          <w:sz w:val="24"/>
          <w:szCs w:val="24"/>
          <w14:textFill>
            <w14:solidFill>
              <w14:schemeClr w14:val="tx1"/>
            </w14:solidFill>
          </w14:textFill>
        </w:rPr>
        <w:t>项目露天开采区（一采区）和配套的露天矿基建废石场、露天矿生产废石场</w:t>
      </w:r>
      <w:r>
        <w:rPr>
          <w:rFonts w:hint="eastAsia" w:ascii="Times New Roman" w:hAnsi="Times New Roman" w:cs="Times New Roman"/>
          <w:color w:val="000000" w:themeColor="text1"/>
          <w:sz w:val="24"/>
          <w:szCs w:val="24"/>
          <w14:textFill>
            <w14:solidFill>
              <w14:schemeClr w14:val="tx1"/>
            </w14:solidFill>
          </w14:textFill>
        </w:rPr>
        <w:t>，本次验收部分的环境影响区域的环境敏感目标与环评阶段一致。具体保护目标如下：</w:t>
      </w:r>
    </w:p>
    <w:p>
      <w:pPr>
        <w:widowControl/>
        <w:adjustRightInd w:val="0"/>
        <w:snapToGrid w:val="0"/>
        <w:spacing w:line="300" w:lineRule="auto"/>
        <w:ind w:firstLine="482"/>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br w:type="page"/>
      </w:r>
    </w:p>
    <w:p>
      <w:pPr>
        <w:widowControl/>
        <w:adjustRightInd w:val="0"/>
        <w:snapToGrid w:val="0"/>
        <w:spacing w:line="300" w:lineRule="auto"/>
        <w:ind w:firstLine="482"/>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表1.8-1  项目环境敏感保护目标分布情况</w:t>
      </w:r>
    </w:p>
    <w:tbl>
      <w:tblPr>
        <w:tblStyle w:val="28"/>
        <w:tblW w:w="782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559"/>
        <w:gridCol w:w="1985"/>
        <w:gridCol w:w="2126"/>
        <w:gridCol w:w="144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9" w:type="dxa"/>
            <w:vMerge w:val="restart"/>
            <w:tcMar>
              <w:top w:w="28" w:type="dxa"/>
              <w:left w:w="28" w:type="dxa"/>
              <w:bottom w:w="28" w:type="dxa"/>
              <w:right w:w="28" w:type="dxa"/>
            </w:tcMar>
            <w:vAlign w:val="center"/>
          </w:tcPr>
          <w:p>
            <w:pPr>
              <w:adjustRightInd w:val="0"/>
              <w:snapToGrid w:val="0"/>
              <w:jc w:val="center"/>
              <w:rPr>
                <w:b/>
                <w:color w:val="000000" w:themeColor="text1"/>
                <w:szCs w:val="24"/>
                <w14:textFill>
                  <w14:solidFill>
                    <w14:schemeClr w14:val="tx1"/>
                  </w14:solidFill>
                </w14:textFill>
              </w:rPr>
            </w:pPr>
            <w:r>
              <w:rPr>
                <w:b/>
                <w:color w:val="000000" w:themeColor="text1"/>
                <w:szCs w:val="24"/>
                <w14:textFill>
                  <w14:solidFill>
                    <w14:schemeClr w14:val="tx1"/>
                  </w14:solidFill>
                </w14:textFill>
              </w:rPr>
              <w:t>类别</w:t>
            </w:r>
          </w:p>
        </w:tc>
        <w:tc>
          <w:tcPr>
            <w:tcW w:w="1559" w:type="dxa"/>
            <w:vMerge w:val="restart"/>
            <w:tcMar>
              <w:top w:w="28" w:type="dxa"/>
              <w:left w:w="28" w:type="dxa"/>
              <w:bottom w:w="28" w:type="dxa"/>
              <w:right w:w="28" w:type="dxa"/>
            </w:tcMar>
            <w:vAlign w:val="center"/>
          </w:tcPr>
          <w:p>
            <w:pPr>
              <w:adjustRightInd w:val="0"/>
              <w:snapToGrid w:val="0"/>
              <w:jc w:val="center"/>
              <w:rPr>
                <w:b/>
                <w:color w:val="000000" w:themeColor="text1"/>
                <w:szCs w:val="24"/>
                <w14:textFill>
                  <w14:solidFill>
                    <w14:schemeClr w14:val="tx1"/>
                  </w14:solidFill>
                </w14:textFill>
              </w:rPr>
            </w:pPr>
            <w:r>
              <w:rPr>
                <w:b/>
                <w:color w:val="000000" w:themeColor="text1"/>
                <w:szCs w:val="24"/>
                <w14:textFill>
                  <w14:solidFill>
                    <w14:schemeClr w14:val="tx1"/>
                  </w14:solidFill>
                </w14:textFill>
              </w:rPr>
              <w:t>保护对象</w:t>
            </w:r>
          </w:p>
        </w:tc>
        <w:tc>
          <w:tcPr>
            <w:tcW w:w="1985" w:type="dxa"/>
            <w:vMerge w:val="restart"/>
            <w:tcMar>
              <w:top w:w="28" w:type="dxa"/>
              <w:left w:w="28" w:type="dxa"/>
              <w:bottom w:w="28" w:type="dxa"/>
              <w:right w:w="28" w:type="dxa"/>
            </w:tcMar>
            <w:vAlign w:val="center"/>
          </w:tcPr>
          <w:p>
            <w:pPr>
              <w:adjustRightInd w:val="0"/>
              <w:snapToGrid w:val="0"/>
              <w:jc w:val="center"/>
              <w:rPr>
                <w:b/>
                <w:color w:val="000000" w:themeColor="text1"/>
                <w:szCs w:val="24"/>
                <w14:textFill>
                  <w14:solidFill>
                    <w14:schemeClr w14:val="tx1"/>
                  </w14:solidFill>
                </w14:textFill>
              </w:rPr>
            </w:pPr>
            <w:r>
              <w:rPr>
                <w:b/>
                <w:color w:val="000000" w:themeColor="text1"/>
                <w:szCs w:val="24"/>
                <w14:textFill>
                  <w14:solidFill>
                    <w14:schemeClr w14:val="tx1"/>
                  </w14:solidFill>
                </w14:textFill>
              </w:rPr>
              <w:t>与工程的区位关系</w:t>
            </w:r>
          </w:p>
        </w:tc>
        <w:tc>
          <w:tcPr>
            <w:tcW w:w="3568" w:type="dxa"/>
            <w:gridSpan w:val="2"/>
          </w:tcPr>
          <w:p>
            <w:pPr>
              <w:adjustRightInd w:val="0"/>
              <w:snapToGrid w:val="0"/>
              <w:jc w:val="center"/>
              <w:rPr>
                <w:b/>
                <w:color w:val="000000" w:themeColor="text1"/>
                <w:szCs w:val="24"/>
                <w14:textFill>
                  <w14:solidFill>
                    <w14:schemeClr w14:val="tx1"/>
                  </w14:solidFill>
                </w14:textFill>
              </w:rPr>
            </w:pPr>
            <w:r>
              <w:rPr>
                <w:b/>
                <w:color w:val="000000" w:themeColor="text1"/>
                <w:szCs w:val="24"/>
                <w14:textFill>
                  <w14:solidFill>
                    <w14:schemeClr w14:val="tx1"/>
                  </w14:solidFill>
                </w14:textFill>
              </w:rPr>
              <w:t>保目标保护信息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9" w:type="dxa"/>
            <w:vMerge w:val="continue"/>
            <w:tcMar>
              <w:top w:w="28" w:type="dxa"/>
              <w:left w:w="28" w:type="dxa"/>
              <w:bottom w:w="28" w:type="dxa"/>
              <w:right w:w="28" w:type="dxa"/>
            </w:tcMar>
            <w:vAlign w:val="center"/>
          </w:tcPr>
          <w:p>
            <w:pPr>
              <w:adjustRightInd w:val="0"/>
              <w:snapToGrid w:val="0"/>
              <w:jc w:val="center"/>
              <w:rPr>
                <w:b/>
                <w:color w:val="000000" w:themeColor="text1"/>
                <w:szCs w:val="24"/>
                <w14:textFill>
                  <w14:solidFill>
                    <w14:schemeClr w14:val="tx1"/>
                  </w14:solidFill>
                </w14:textFill>
              </w:rPr>
            </w:pPr>
          </w:p>
        </w:tc>
        <w:tc>
          <w:tcPr>
            <w:tcW w:w="1559" w:type="dxa"/>
            <w:vMerge w:val="continue"/>
            <w:tcMar>
              <w:top w:w="28" w:type="dxa"/>
              <w:left w:w="28" w:type="dxa"/>
              <w:bottom w:w="28" w:type="dxa"/>
              <w:right w:w="28" w:type="dxa"/>
            </w:tcMar>
            <w:vAlign w:val="center"/>
          </w:tcPr>
          <w:p>
            <w:pPr>
              <w:adjustRightInd w:val="0"/>
              <w:snapToGrid w:val="0"/>
              <w:jc w:val="center"/>
              <w:rPr>
                <w:b/>
                <w:color w:val="000000" w:themeColor="text1"/>
                <w:szCs w:val="24"/>
                <w14:textFill>
                  <w14:solidFill>
                    <w14:schemeClr w14:val="tx1"/>
                  </w14:solidFill>
                </w14:textFill>
              </w:rPr>
            </w:pPr>
          </w:p>
        </w:tc>
        <w:tc>
          <w:tcPr>
            <w:tcW w:w="1985" w:type="dxa"/>
            <w:vMerge w:val="continue"/>
            <w:tcMar>
              <w:top w:w="28" w:type="dxa"/>
              <w:left w:w="28" w:type="dxa"/>
              <w:bottom w:w="28" w:type="dxa"/>
              <w:right w:w="28" w:type="dxa"/>
            </w:tcMar>
            <w:vAlign w:val="center"/>
          </w:tcPr>
          <w:p>
            <w:pPr>
              <w:adjustRightInd w:val="0"/>
              <w:snapToGrid w:val="0"/>
              <w:jc w:val="center"/>
              <w:rPr>
                <w:b/>
                <w:color w:val="000000" w:themeColor="text1"/>
                <w:szCs w:val="24"/>
                <w14:textFill>
                  <w14:solidFill>
                    <w14:schemeClr w14:val="tx1"/>
                  </w14:solidFill>
                </w14:textFill>
              </w:rPr>
            </w:pPr>
          </w:p>
        </w:tc>
        <w:tc>
          <w:tcPr>
            <w:tcW w:w="2126" w:type="dxa"/>
          </w:tcPr>
          <w:p>
            <w:pPr>
              <w:adjustRightInd w:val="0"/>
              <w:snapToGrid w:val="0"/>
              <w:jc w:val="center"/>
              <w:rPr>
                <w:b/>
                <w:color w:val="000000" w:themeColor="text1"/>
                <w:szCs w:val="24"/>
                <w14:textFill>
                  <w14:solidFill>
                    <w14:schemeClr w14:val="tx1"/>
                  </w14:solidFill>
                </w14:textFill>
              </w:rPr>
            </w:pPr>
            <w:r>
              <w:rPr>
                <w:b/>
                <w:color w:val="000000" w:themeColor="text1"/>
                <w:szCs w:val="24"/>
                <w14:textFill>
                  <w14:solidFill>
                    <w14:schemeClr w14:val="tx1"/>
                  </w14:solidFill>
                </w14:textFill>
              </w:rPr>
              <w:t>环评阶段</w:t>
            </w:r>
          </w:p>
        </w:tc>
        <w:tc>
          <w:tcPr>
            <w:tcW w:w="1442" w:type="dxa"/>
          </w:tcPr>
          <w:p>
            <w:pPr>
              <w:adjustRightInd w:val="0"/>
              <w:snapToGrid w:val="0"/>
              <w:jc w:val="center"/>
              <w:rPr>
                <w:b/>
                <w:color w:val="000000" w:themeColor="text1"/>
                <w:szCs w:val="24"/>
                <w14:textFill>
                  <w14:solidFill>
                    <w14:schemeClr w14:val="tx1"/>
                  </w14:solidFill>
                </w14:textFill>
              </w:rPr>
            </w:pPr>
            <w:r>
              <w:rPr>
                <w:b/>
                <w:color w:val="000000" w:themeColor="text1"/>
                <w:szCs w:val="24"/>
                <w14:textFill>
                  <w14:solidFill>
                    <w14:schemeClr w14:val="tx1"/>
                  </w14:solidFill>
                </w14:textFill>
              </w:rPr>
              <w:t>验收阶段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9" w:type="dxa"/>
            <w:vMerge w:val="restart"/>
            <w:tcMar>
              <w:top w:w="28" w:type="dxa"/>
              <w:left w:w="28" w:type="dxa"/>
              <w:bottom w:w="28" w:type="dxa"/>
              <w:right w:w="28" w:type="dxa"/>
            </w:tcMar>
            <w:vAlign w:val="center"/>
          </w:tcPr>
          <w:p>
            <w:pPr>
              <w:adjustRightInd w:val="0"/>
              <w:snapToGrid w:val="0"/>
              <w:jc w:val="center"/>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color w:val="000000" w:themeColor="text1"/>
                <w:szCs w:val="24"/>
                <w14:textFill>
                  <w14:solidFill>
                    <w14:schemeClr w14:val="tx1"/>
                  </w14:solidFill>
                </w14:textFill>
              </w:rPr>
              <w:t>水环境</w:t>
            </w:r>
          </w:p>
        </w:tc>
        <w:tc>
          <w:tcPr>
            <w:tcW w:w="1559" w:type="dxa"/>
            <w:tcMar>
              <w:top w:w="28" w:type="dxa"/>
              <w:left w:w="28" w:type="dxa"/>
              <w:bottom w:w="28" w:type="dxa"/>
              <w:right w:w="28" w:type="dxa"/>
            </w:tcMar>
            <w:vAlign w:val="center"/>
          </w:tcPr>
          <w:p>
            <w:pPr>
              <w:adjustRightInd w:val="0"/>
              <w:snapToGrid w:val="0"/>
              <w:jc w:val="center"/>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snapToGrid w:val="0"/>
                <w:color w:val="000000" w:themeColor="text1"/>
                <w:kern w:val="0"/>
                <w:szCs w:val="21"/>
                <w14:textFill>
                  <w14:solidFill>
                    <w14:schemeClr w14:val="tx1"/>
                  </w14:solidFill>
                </w14:textFill>
              </w:rPr>
              <w:t>业隆沟</w:t>
            </w:r>
          </w:p>
        </w:tc>
        <w:tc>
          <w:tcPr>
            <w:tcW w:w="1985" w:type="dxa"/>
            <w:tcMar>
              <w:top w:w="28" w:type="dxa"/>
              <w:left w:w="28" w:type="dxa"/>
              <w:bottom w:w="28" w:type="dxa"/>
              <w:right w:w="28" w:type="dxa"/>
            </w:tcMar>
            <w:vAlign w:val="center"/>
          </w:tcPr>
          <w:p>
            <w:pPr>
              <w:adjustRightInd w:val="0"/>
              <w:snapToGrid w:val="0"/>
              <w:jc w:val="center"/>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snapToGrid w:val="0"/>
                <w:color w:val="000000" w:themeColor="text1"/>
                <w:kern w:val="0"/>
                <w:szCs w:val="21"/>
                <w14:textFill>
                  <w14:solidFill>
                    <w14:schemeClr w14:val="tx1"/>
                  </w14:solidFill>
                </w14:textFill>
              </w:rPr>
              <w:t>位于矿区西侧，与选厂相距60m</w:t>
            </w:r>
          </w:p>
        </w:tc>
        <w:tc>
          <w:tcPr>
            <w:tcW w:w="2126" w:type="dxa"/>
            <w:vMerge w:val="restart"/>
            <w:vAlign w:val="center"/>
          </w:tcPr>
          <w:p>
            <w:pPr>
              <w:adjustRightInd w:val="0"/>
              <w:snapToGrid w:val="0"/>
              <w:jc w:val="center"/>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color w:val="000000" w:themeColor="text1"/>
                <w:szCs w:val="24"/>
                <w14:textFill>
                  <w14:solidFill>
                    <w14:schemeClr w14:val="tx1"/>
                  </w14:solidFill>
                </w14:textFill>
              </w:rPr>
              <w:t>水质达Ⅲ类水质标准</w:t>
            </w:r>
          </w:p>
        </w:tc>
        <w:tc>
          <w:tcPr>
            <w:tcW w:w="1442" w:type="dxa"/>
            <w:vMerge w:val="restart"/>
            <w:vAlign w:val="center"/>
          </w:tcPr>
          <w:p>
            <w:pPr>
              <w:adjustRightInd w:val="0"/>
              <w:snapToGrid w:val="0"/>
              <w:jc w:val="center"/>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color w:val="000000" w:themeColor="text1"/>
                <w:szCs w:val="24"/>
                <w14:textFill>
                  <w14:solidFill>
                    <w14:schemeClr w14:val="tx1"/>
                  </w14:solidFill>
                </w14:textFill>
              </w:rPr>
              <w:t>水质达</w:t>
            </w:r>
            <w:r>
              <w:rPr>
                <w:rFonts w:ascii="Times New Roman" w:hAnsi="Times New Roman" w:eastAsia="宋体" w:cs="Times New Roman"/>
                <w:color w:val="000000" w:themeColor="text1"/>
                <w:szCs w:val="24"/>
                <w14:textFill>
                  <w14:solidFill>
                    <w14:schemeClr w14:val="tx1"/>
                  </w14:solidFill>
                </w14:textFill>
              </w:rPr>
              <w:t>Ⅲ</w:t>
            </w:r>
            <w:r>
              <w:rPr>
                <w:rFonts w:ascii="Times New Roman" w:hAnsi="Times New Roman" w:cs="Times New Roman"/>
                <w:color w:val="000000" w:themeColor="text1"/>
                <w:szCs w:val="24"/>
                <w14:textFill>
                  <w14:solidFill>
                    <w14:schemeClr w14:val="tx1"/>
                  </w14:solidFill>
                </w14:textFill>
              </w:rPr>
              <w:t>类水质标准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9" w:type="dxa"/>
            <w:vMerge w:val="continue"/>
            <w:tcMar>
              <w:top w:w="28" w:type="dxa"/>
              <w:left w:w="28" w:type="dxa"/>
              <w:bottom w:w="28" w:type="dxa"/>
              <w:right w:w="28" w:type="dxa"/>
            </w:tcMar>
            <w:vAlign w:val="center"/>
          </w:tcPr>
          <w:p>
            <w:pPr>
              <w:adjustRightInd w:val="0"/>
              <w:snapToGrid w:val="0"/>
              <w:jc w:val="center"/>
              <w:rPr>
                <w:rFonts w:ascii="Times New Roman" w:hAnsi="Times New Roman" w:cs="Times New Roman"/>
                <w:color w:val="000000" w:themeColor="text1"/>
                <w:szCs w:val="24"/>
                <w14:textFill>
                  <w14:solidFill>
                    <w14:schemeClr w14:val="tx1"/>
                  </w14:solidFill>
                </w14:textFill>
              </w:rPr>
            </w:pPr>
          </w:p>
        </w:tc>
        <w:tc>
          <w:tcPr>
            <w:tcW w:w="1559" w:type="dxa"/>
            <w:tcMar>
              <w:top w:w="28" w:type="dxa"/>
              <w:left w:w="28" w:type="dxa"/>
              <w:bottom w:w="28" w:type="dxa"/>
              <w:right w:w="28" w:type="dxa"/>
            </w:tcMar>
            <w:vAlign w:val="center"/>
          </w:tcPr>
          <w:p>
            <w:pPr>
              <w:adjustRightInd w:val="0"/>
              <w:snapToGrid w:val="0"/>
              <w:jc w:val="center"/>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snapToGrid w:val="0"/>
                <w:color w:val="000000" w:themeColor="text1"/>
                <w:kern w:val="0"/>
                <w:szCs w:val="21"/>
                <w14:textFill>
                  <w14:solidFill>
                    <w14:schemeClr w14:val="tx1"/>
                  </w14:solidFill>
                </w14:textFill>
              </w:rPr>
              <w:t>杜柯河</w:t>
            </w:r>
          </w:p>
        </w:tc>
        <w:tc>
          <w:tcPr>
            <w:tcW w:w="1985" w:type="dxa"/>
            <w:tcMar>
              <w:top w:w="28" w:type="dxa"/>
              <w:left w:w="28" w:type="dxa"/>
              <w:bottom w:w="28" w:type="dxa"/>
              <w:right w:w="28" w:type="dxa"/>
            </w:tcMar>
            <w:vAlign w:val="center"/>
          </w:tcPr>
          <w:p>
            <w:pPr>
              <w:adjustRightInd w:val="0"/>
              <w:snapToGrid w:val="0"/>
              <w:jc w:val="center"/>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snapToGrid w:val="0"/>
                <w:color w:val="000000" w:themeColor="text1"/>
                <w:kern w:val="0"/>
                <w:szCs w:val="21"/>
                <w14:textFill>
                  <w14:solidFill>
                    <w14:schemeClr w14:val="tx1"/>
                  </w14:solidFill>
                </w14:textFill>
              </w:rPr>
              <w:t>业隆沟于选厂下游12km处汇入杜柯河</w:t>
            </w:r>
          </w:p>
        </w:tc>
        <w:tc>
          <w:tcPr>
            <w:tcW w:w="2126" w:type="dxa"/>
            <w:vMerge w:val="continue"/>
          </w:tcPr>
          <w:p>
            <w:pPr>
              <w:adjustRightInd w:val="0"/>
              <w:snapToGrid w:val="0"/>
              <w:jc w:val="center"/>
              <w:rPr>
                <w:rFonts w:ascii="Times New Roman" w:hAnsi="Times New Roman" w:cs="Times New Roman"/>
                <w:color w:val="000000" w:themeColor="text1"/>
                <w:szCs w:val="24"/>
                <w14:textFill>
                  <w14:solidFill>
                    <w14:schemeClr w14:val="tx1"/>
                  </w14:solidFill>
                </w14:textFill>
              </w:rPr>
            </w:pPr>
          </w:p>
        </w:tc>
        <w:tc>
          <w:tcPr>
            <w:tcW w:w="1442" w:type="dxa"/>
            <w:vMerge w:val="continue"/>
          </w:tcPr>
          <w:p>
            <w:pPr>
              <w:adjustRightInd w:val="0"/>
              <w:snapToGrid w:val="0"/>
              <w:jc w:val="center"/>
              <w:rPr>
                <w:rFonts w:ascii="Times New Roman" w:hAnsi="Times New Roman" w:cs="Times New Roman"/>
                <w:color w:val="000000" w:themeColor="text1"/>
                <w:szCs w:val="24"/>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9" w:type="dxa"/>
            <w:vMerge w:val="continue"/>
            <w:tcMar>
              <w:top w:w="28" w:type="dxa"/>
              <w:left w:w="28" w:type="dxa"/>
              <w:bottom w:w="28" w:type="dxa"/>
              <w:right w:w="28" w:type="dxa"/>
            </w:tcMar>
            <w:vAlign w:val="center"/>
          </w:tcPr>
          <w:p>
            <w:pPr>
              <w:adjustRightInd w:val="0"/>
              <w:snapToGrid w:val="0"/>
              <w:jc w:val="center"/>
              <w:rPr>
                <w:rFonts w:ascii="Times New Roman" w:hAnsi="Times New Roman" w:cs="Times New Roman"/>
                <w:color w:val="000000" w:themeColor="text1"/>
                <w:szCs w:val="24"/>
                <w14:textFill>
                  <w14:solidFill>
                    <w14:schemeClr w14:val="tx1"/>
                  </w14:solidFill>
                </w14:textFill>
              </w:rPr>
            </w:pPr>
          </w:p>
        </w:tc>
        <w:tc>
          <w:tcPr>
            <w:tcW w:w="1559" w:type="dxa"/>
            <w:tcMar>
              <w:top w:w="28" w:type="dxa"/>
              <w:left w:w="28" w:type="dxa"/>
              <w:bottom w:w="28" w:type="dxa"/>
              <w:right w:w="28" w:type="dxa"/>
            </w:tcMar>
            <w:vAlign w:val="center"/>
          </w:tcPr>
          <w:p>
            <w:pPr>
              <w:adjustRightInd w:val="0"/>
              <w:snapToGrid w:val="0"/>
              <w:jc w:val="center"/>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snapToGrid w:val="0"/>
                <w:color w:val="000000" w:themeColor="text1"/>
                <w:kern w:val="0"/>
                <w:szCs w:val="21"/>
                <w14:textFill>
                  <w14:solidFill>
                    <w14:schemeClr w14:val="tx1"/>
                  </w14:solidFill>
                </w14:textFill>
              </w:rPr>
              <w:t>大金川河</w:t>
            </w:r>
          </w:p>
        </w:tc>
        <w:tc>
          <w:tcPr>
            <w:tcW w:w="1985" w:type="dxa"/>
            <w:tcMar>
              <w:top w:w="28" w:type="dxa"/>
              <w:left w:w="28" w:type="dxa"/>
              <w:bottom w:w="28" w:type="dxa"/>
              <w:right w:w="28" w:type="dxa"/>
            </w:tcMar>
            <w:vAlign w:val="center"/>
          </w:tcPr>
          <w:p>
            <w:pPr>
              <w:adjustRightInd w:val="0"/>
              <w:snapToGrid w:val="0"/>
              <w:jc w:val="center"/>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snapToGrid w:val="0"/>
                <w:color w:val="000000" w:themeColor="text1"/>
                <w:kern w:val="0"/>
                <w:szCs w:val="21"/>
                <w14:textFill>
                  <w14:solidFill>
                    <w14:schemeClr w14:val="tx1"/>
                  </w14:solidFill>
                </w14:textFill>
              </w:rPr>
              <w:t>杜柯河于业隆沟汇入口处下游5km白湾乡处汇入大金川河</w:t>
            </w:r>
          </w:p>
        </w:tc>
        <w:tc>
          <w:tcPr>
            <w:tcW w:w="2126" w:type="dxa"/>
            <w:vMerge w:val="continue"/>
          </w:tcPr>
          <w:p>
            <w:pPr>
              <w:adjustRightInd w:val="0"/>
              <w:snapToGrid w:val="0"/>
              <w:jc w:val="center"/>
              <w:rPr>
                <w:rFonts w:ascii="Times New Roman" w:hAnsi="Times New Roman" w:cs="Times New Roman"/>
                <w:color w:val="000000" w:themeColor="text1"/>
                <w:szCs w:val="24"/>
                <w14:textFill>
                  <w14:solidFill>
                    <w14:schemeClr w14:val="tx1"/>
                  </w14:solidFill>
                </w14:textFill>
              </w:rPr>
            </w:pPr>
          </w:p>
        </w:tc>
        <w:tc>
          <w:tcPr>
            <w:tcW w:w="1442" w:type="dxa"/>
            <w:vMerge w:val="continue"/>
          </w:tcPr>
          <w:p>
            <w:pPr>
              <w:adjustRightInd w:val="0"/>
              <w:snapToGrid w:val="0"/>
              <w:jc w:val="center"/>
              <w:rPr>
                <w:rFonts w:ascii="Times New Roman" w:hAnsi="Times New Roman" w:cs="Times New Roman"/>
                <w:color w:val="000000" w:themeColor="text1"/>
                <w:szCs w:val="24"/>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9" w:type="dxa"/>
            <w:vMerge w:val="restart"/>
            <w:tcMar>
              <w:top w:w="28" w:type="dxa"/>
              <w:left w:w="28" w:type="dxa"/>
              <w:bottom w:w="28" w:type="dxa"/>
              <w:right w:w="28" w:type="dxa"/>
            </w:tcMar>
            <w:vAlign w:val="center"/>
          </w:tcPr>
          <w:p>
            <w:pPr>
              <w:adjustRightInd w:val="0"/>
              <w:snapToGrid w:val="0"/>
              <w:jc w:val="center"/>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color w:val="000000" w:themeColor="text1"/>
                <w:szCs w:val="24"/>
                <w14:textFill>
                  <w14:solidFill>
                    <w14:schemeClr w14:val="tx1"/>
                  </w14:solidFill>
                </w14:textFill>
              </w:rPr>
              <w:t>大气和声环境</w:t>
            </w:r>
          </w:p>
        </w:tc>
        <w:tc>
          <w:tcPr>
            <w:tcW w:w="1559" w:type="dxa"/>
            <w:tcMar>
              <w:top w:w="28" w:type="dxa"/>
              <w:left w:w="28" w:type="dxa"/>
              <w:bottom w:w="28" w:type="dxa"/>
              <w:right w:w="28" w:type="dxa"/>
            </w:tcMar>
            <w:vAlign w:val="center"/>
          </w:tcPr>
          <w:p>
            <w:pPr>
              <w:adjustRightInd w:val="0"/>
              <w:snapToGrid w:val="0"/>
              <w:jc w:val="center"/>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snapToGrid w:val="0"/>
                <w:color w:val="000000" w:themeColor="text1"/>
                <w:kern w:val="0"/>
                <w:szCs w:val="21"/>
                <w14:textFill>
                  <w14:solidFill>
                    <w14:schemeClr w14:val="tx1"/>
                  </w14:solidFill>
                </w14:textFill>
              </w:rPr>
              <w:t>项目验收工程内容所在区域</w:t>
            </w:r>
          </w:p>
        </w:tc>
        <w:tc>
          <w:tcPr>
            <w:tcW w:w="1985" w:type="dxa"/>
            <w:tcMar>
              <w:top w:w="28" w:type="dxa"/>
              <w:left w:w="28" w:type="dxa"/>
              <w:bottom w:w="28" w:type="dxa"/>
              <w:right w:w="28" w:type="dxa"/>
            </w:tcMar>
            <w:vAlign w:val="center"/>
          </w:tcPr>
          <w:p>
            <w:pPr>
              <w:adjustRightInd w:val="0"/>
              <w:snapToGrid w:val="0"/>
              <w:jc w:val="center"/>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color w:val="000000" w:themeColor="text1"/>
                <w:szCs w:val="24"/>
                <w14:textFill>
                  <w14:solidFill>
                    <w14:schemeClr w14:val="tx1"/>
                  </w14:solidFill>
                </w14:textFill>
              </w:rPr>
              <w:t>---</w:t>
            </w:r>
          </w:p>
        </w:tc>
        <w:tc>
          <w:tcPr>
            <w:tcW w:w="2126" w:type="dxa"/>
            <w:vMerge w:val="restart"/>
            <w:vAlign w:val="center"/>
          </w:tcPr>
          <w:p>
            <w:pPr>
              <w:adjustRightInd w:val="0"/>
              <w:snapToGrid w:val="0"/>
              <w:jc w:val="center"/>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color w:val="000000" w:themeColor="text1"/>
                <w:szCs w:val="24"/>
                <w14:textFill>
                  <w14:solidFill>
                    <w14:schemeClr w14:val="tx1"/>
                  </w14:solidFill>
                </w14:textFill>
              </w:rPr>
              <w:t>《环境空气质量标准》（GB3095-1996）二级标准；《城市区域环境质量噪声标准》（GB3096-93）2类。</w:t>
            </w:r>
          </w:p>
        </w:tc>
        <w:tc>
          <w:tcPr>
            <w:tcW w:w="1442" w:type="dxa"/>
            <w:vMerge w:val="restart"/>
          </w:tcPr>
          <w:p>
            <w:pPr>
              <w:adjustRightInd w:val="0"/>
              <w:snapToGrid w:val="0"/>
              <w:jc w:val="center"/>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color w:val="000000" w:themeColor="text1"/>
                <w:szCs w:val="24"/>
                <w14:textFill>
                  <w14:solidFill>
                    <w14:schemeClr w14:val="tx1"/>
                  </w14:solidFill>
                </w14:textFill>
              </w:rPr>
              <w:t>《环境空气质量标准》(GB3095-2012)二级标准；</w:t>
            </w:r>
          </w:p>
          <w:p>
            <w:pPr>
              <w:adjustRightInd w:val="0"/>
              <w:snapToGrid w:val="0"/>
              <w:jc w:val="center"/>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color w:val="000000" w:themeColor="text1"/>
                <w:szCs w:val="24"/>
                <w14:textFill>
                  <w14:solidFill>
                    <w14:schemeClr w14:val="tx1"/>
                  </w14:solidFill>
                </w14:textFill>
              </w:rPr>
              <w:t>《声环境质量标准》（GB3096-2008）2类标准。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9" w:type="dxa"/>
            <w:vMerge w:val="continue"/>
            <w:tcMar>
              <w:top w:w="28" w:type="dxa"/>
              <w:left w:w="28" w:type="dxa"/>
              <w:bottom w:w="28" w:type="dxa"/>
              <w:right w:w="28" w:type="dxa"/>
            </w:tcMar>
            <w:vAlign w:val="center"/>
          </w:tcPr>
          <w:p>
            <w:pPr>
              <w:adjustRightInd w:val="0"/>
              <w:snapToGrid w:val="0"/>
              <w:jc w:val="center"/>
              <w:rPr>
                <w:rFonts w:ascii="Times New Roman" w:hAnsi="Times New Roman" w:cs="Times New Roman"/>
                <w:color w:val="000000" w:themeColor="text1"/>
                <w:szCs w:val="24"/>
                <w14:textFill>
                  <w14:solidFill>
                    <w14:schemeClr w14:val="tx1"/>
                  </w14:solidFill>
                </w14:textFill>
              </w:rPr>
            </w:pPr>
          </w:p>
        </w:tc>
        <w:tc>
          <w:tcPr>
            <w:tcW w:w="1559" w:type="dxa"/>
            <w:tcMar>
              <w:top w:w="28" w:type="dxa"/>
              <w:left w:w="28" w:type="dxa"/>
              <w:bottom w:w="28" w:type="dxa"/>
              <w:right w:w="28" w:type="dxa"/>
            </w:tcMar>
            <w:vAlign w:val="center"/>
          </w:tcPr>
          <w:p>
            <w:pPr>
              <w:adjustRightInd w:val="0"/>
              <w:snapToGrid w:val="0"/>
              <w:jc w:val="center"/>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snapToGrid w:val="0"/>
                <w:color w:val="000000" w:themeColor="text1"/>
                <w:kern w:val="0"/>
                <w:szCs w:val="21"/>
                <w14:textFill>
                  <w14:solidFill>
                    <w14:schemeClr w14:val="tx1"/>
                  </w14:solidFill>
                </w14:textFill>
              </w:rPr>
              <w:t>亚斯达（业隆村）居民点</w:t>
            </w:r>
            <w:r>
              <w:rPr>
                <w:rFonts w:hint="eastAsia" w:ascii="Times New Roman" w:hAnsi="Times New Roman" w:cs="Times New Roman"/>
                <w:snapToGrid w:val="0"/>
                <w:color w:val="000000" w:themeColor="text1"/>
                <w:kern w:val="0"/>
                <w:szCs w:val="21"/>
                <w14:textFill>
                  <w14:solidFill>
                    <w14:schemeClr w14:val="tx1"/>
                  </w14:solidFill>
                </w14:textFill>
              </w:rPr>
              <w:t>（</w:t>
            </w:r>
            <w:r>
              <w:rPr>
                <w:rFonts w:ascii="Times New Roman" w:hAnsi="Times New Roman" w:cs="Times New Roman"/>
                <w:color w:val="000000" w:themeColor="text1"/>
                <w:kern w:val="0"/>
                <w:szCs w:val="21"/>
                <w14:textFill>
                  <w14:solidFill>
                    <w14:schemeClr w14:val="tx1"/>
                  </w14:solidFill>
                </w14:textFill>
              </w:rPr>
              <w:t>12户</w:t>
            </w:r>
            <w:r>
              <w:rPr>
                <w:rFonts w:hint="eastAsia" w:ascii="Times New Roman" w:hAnsi="Times New Roman" w:cs="Times New Roman"/>
                <w:color w:val="000000" w:themeColor="text1"/>
                <w:kern w:val="0"/>
                <w:szCs w:val="21"/>
                <w14:textFill>
                  <w14:solidFill>
                    <w14:schemeClr w14:val="tx1"/>
                  </w14:solidFill>
                </w14:textFill>
              </w:rPr>
              <w:t>）</w:t>
            </w:r>
          </w:p>
        </w:tc>
        <w:tc>
          <w:tcPr>
            <w:tcW w:w="1985" w:type="dxa"/>
            <w:tcMar>
              <w:top w:w="28" w:type="dxa"/>
              <w:left w:w="28" w:type="dxa"/>
              <w:bottom w:w="28" w:type="dxa"/>
              <w:right w:w="28" w:type="dxa"/>
            </w:tcMar>
            <w:vAlign w:val="center"/>
          </w:tcPr>
          <w:p>
            <w:pPr>
              <w:adjustRightInd w:val="0"/>
              <w:snapToGrid w:val="0"/>
              <w:jc w:val="center"/>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snapToGrid w:val="0"/>
                <w:color w:val="000000" w:themeColor="text1"/>
                <w:kern w:val="0"/>
                <w:szCs w:val="21"/>
                <w14:textFill>
                  <w14:solidFill>
                    <w14:schemeClr w14:val="tx1"/>
                  </w14:solidFill>
                </w14:textFill>
              </w:rPr>
              <w:t>外部道路，选厂下游 8km 处（沿道路距离，直线距离约6.9km）</w:t>
            </w:r>
          </w:p>
        </w:tc>
        <w:tc>
          <w:tcPr>
            <w:tcW w:w="2126" w:type="dxa"/>
            <w:vMerge w:val="continue"/>
          </w:tcPr>
          <w:p>
            <w:pPr>
              <w:adjustRightInd w:val="0"/>
              <w:snapToGrid w:val="0"/>
              <w:jc w:val="center"/>
              <w:rPr>
                <w:rFonts w:ascii="Times New Roman" w:hAnsi="Times New Roman" w:cs="Times New Roman"/>
                <w:color w:val="000000" w:themeColor="text1"/>
                <w:szCs w:val="24"/>
                <w14:textFill>
                  <w14:solidFill>
                    <w14:schemeClr w14:val="tx1"/>
                  </w14:solidFill>
                </w14:textFill>
              </w:rPr>
            </w:pPr>
          </w:p>
        </w:tc>
        <w:tc>
          <w:tcPr>
            <w:tcW w:w="1442" w:type="dxa"/>
            <w:vMerge w:val="continue"/>
          </w:tcPr>
          <w:p>
            <w:pPr>
              <w:adjustRightInd w:val="0"/>
              <w:snapToGrid w:val="0"/>
              <w:jc w:val="center"/>
              <w:rPr>
                <w:rFonts w:ascii="Times New Roman" w:hAnsi="Times New Roman" w:cs="Times New Roman"/>
                <w:color w:val="000000" w:themeColor="text1"/>
                <w:szCs w:val="24"/>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9" w:type="dxa"/>
            <w:tcMar>
              <w:top w:w="28" w:type="dxa"/>
              <w:left w:w="28" w:type="dxa"/>
              <w:bottom w:w="28" w:type="dxa"/>
              <w:right w:w="28" w:type="dxa"/>
            </w:tcMar>
            <w:vAlign w:val="center"/>
          </w:tcPr>
          <w:p>
            <w:pPr>
              <w:adjustRightInd w:val="0"/>
              <w:snapToGrid w:val="0"/>
              <w:jc w:val="center"/>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color w:val="000000" w:themeColor="text1"/>
                <w:szCs w:val="24"/>
                <w14:textFill>
                  <w14:solidFill>
                    <w14:schemeClr w14:val="tx1"/>
                  </w14:solidFill>
                </w14:textFill>
              </w:rPr>
              <w:t>生态环境</w:t>
            </w:r>
          </w:p>
        </w:tc>
        <w:tc>
          <w:tcPr>
            <w:tcW w:w="1559" w:type="dxa"/>
            <w:tcMar>
              <w:top w:w="28" w:type="dxa"/>
              <w:left w:w="28" w:type="dxa"/>
              <w:bottom w:w="28" w:type="dxa"/>
              <w:right w:w="28" w:type="dxa"/>
            </w:tcMar>
            <w:vAlign w:val="center"/>
          </w:tcPr>
          <w:p>
            <w:pPr>
              <w:adjustRightInd w:val="0"/>
              <w:snapToGrid w:val="0"/>
              <w:jc w:val="center"/>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color w:val="000000" w:themeColor="text1"/>
                <w:szCs w:val="24"/>
                <w14:textFill>
                  <w14:solidFill>
                    <w14:schemeClr w14:val="tx1"/>
                  </w14:solidFill>
                </w14:textFill>
              </w:rPr>
              <w:t>区域植被、野生动物、水土流失等</w:t>
            </w:r>
          </w:p>
        </w:tc>
        <w:tc>
          <w:tcPr>
            <w:tcW w:w="1985" w:type="dxa"/>
            <w:tcMar>
              <w:top w:w="28" w:type="dxa"/>
              <w:left w:w="28" w:type="dxa"/>
              <w:bottom w:w="28" w:type="dxa"/>
              <w:right w:w="28" w:type="dxa"/>
            </w:tcMar>
            <w:vAlign w:val="center"/>
          </w:tcPr>
          <w:p>
            <w:pPr>
              <w:adjustRightInd w:val="0"/>
              <w:snapToGrid w:val="0"/>
              <w:jc w:val="center"/>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snapToGrid w:val="0"/>
                <w:color w:val="000000" w:themeColor="text1"/>
                <w:kern w:val="0"/>
                <w:szCs w:val="21"/>
                <w14:textFill>
                  <w14:solidFill>
                    <w14:schemeClr w14:val="tx1"/>
                  </w14:solidFill>
                </w14:textFill>
              </w:rPr>
              <w:t>工程占地区外围300米范围内</w:t>
            </w:r>
          </w:p>
        </w:tc>
        <w:tc>
          <w:tcPr>
            <w:tcW w:w="2126" w:type="dxa"/>
            <w:vAlign w:val="center"/>
          </w:tcPr>
          <w:p>
            <w:pPr>
              <w:adjustRightInd w:val="0"/>
              <w:snapToGrid w:val="0"/>
              <w:jc w:val="center"/>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保护生态系统完整性；保障土壤侵蚀类型不改变</w:t>
            </w:r>
          </w:p>
        </w:tc>
        <w:tc>
          <w:tcPr>
            <w:tcW w:w="1442" w:type="dxa"/>
            <w:vAlign w:val="center"/>
          </w:tcPr>
          <w:p>
            <w:pPr>
              <w:adjustRightInd w:val="0"/>
              <w:snapToGrid w:val="0"/>
              <w:jc w:val="center"/>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color w:val="000000" w:themeColor="text1"/>
                <w:szCs w:val="24"/>
                <w14:textFill>
                  <w14:solidFill>
                    <w14:schemeClr w14:val="tx1"/>
                  </w14:solidFill>
                </w14:textFill>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9" w:type="dxa"/>
            <w:tcMar>
              <w:top w:w="28" w:type="dxa"/>
              <w:left w:w="28" w:type="dxa"/>
              <w:bottom w:w="28" w:type="dxa"/>
              <w:right w:w="28" w:type="dxa"/>
            </w:tcMar>
            <w:vAlign w:val="center"/>
          </w:tcPr>
          <w:p>
            <w:pPr>
              <w:adjustRightInd w:val="0"/>
              <w:snapToGrid w:val="0"/>
              <w:jc w:val="center"/>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color w:val="000000" w:themeColor="text1"/>
                <w:szCs w:val="24"/>
                <w14:textFill>
                  <w14:solidFill>
                    <w14:schemeClr w14:val="tx1"/>
                  </w14:solidFill>
                </w14:textFill>
              </w:rPr>
              <w:t>环境风险</w:t>
            </w:r>
          </w:p>
        </w:tc>
        <w:tc>
          <w:tcPr>
            <w:tcW w:w="1559" w:type="dxa"/>
            <w:tcMar>
              <w:top w:w="28" w:type="dxa"/>
              <w:left w:w="28" w:type="dxa"/>
              <w:bottom w:w="28" w:type="dxa"/>
              <w:right w:w="28" w:type="dxa"/>
            </w:tcMar>
            <w:vAlign w:val="center"/>
          </w:tcPr>
          <w:p>
            <w:pPr>
              <w:adjustRightInd w:val="0"/>
              <w:snapToGrid w:val="0"/>
              <w:jc w:val="center"/>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snapToGrid w:val="0"/>
                <w:color w:val="000000" w:themeColor="text1"/>
                <w:kern w:val="0"/>
                <w:szCs w:val="21"/>
                <w14:textFill>
                  <w14:solidFill>
                    <w14:schemeClr w14:val="tx1"/>
                  </w14:solidFill>
                </w14:textFill>
              </w:rPr>
              <w:t>业隆沟、矿区大气、水生态、土壤环境等</w:t>
            </w:r>
          </w:p>
        </w:tc>
        <w:tc>
          <w:tcPr>
            <w:tcW w:w="1985" w:type="dxa"/>
            <w:tcMar>
              <w:top w:w="28" w:type="dxa"/>
              <w:left w:w="28" w:type="dxa"/>
              <w:bottom w:w="28" w:type="dxa"/>
              <w:right w:w="28" w:type="dxa"/>
            </w:tcMar>
            <w:vAlign w:val="center"/>
          </w:tcPr>
          <w:p>
            <w:pPr>
              <w:adjustRightInd w:val="0"/>
              <w:snapToGrid w:val="0"/>
              <w:jc w:val="center"/>
              <w:rPr>
                <w:rFonts w:ascii="Times New Roman" w:hAnsi="Times New Roman" w:cs="Times New Roman"/>
                <w:color w:val="000000" w:themeColor="text1"/>
                <w:szCs w:val="24"/>
                <w14:textFill>
                  <w14:solidFill>
                    <w14:schemeClr w14:val="tx1"/>
                  </w14:solidFill>
                </w14:textFill>
              </w:rPr>
            </w:pPr>
          </w:p>
        </w:tc>
        <w:tc>
          <w:tcPr>
            <w:tcW w:w="2126" w:type="dxa"/>
            <w:vAlign w:val="center"/>
          </w:tcPr>
          <w:p>
            <w:pPr>
              <w:adjustRightInd w:val="0"/>
              <w:snapToGrid w:val="0"/>
              <w:jc w:val="center"/>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尽量避免环境风险事故，环境风险事故发生后采取应急措施，使风险事故对环境的不利影响降到最低</w:t>
            </w:r>
          </w:p>
        </w:tc>
        <w:tc>
          <w:tcPr>
            <w:tcW w:w="1442" w:type="dxa"/>
            <w:vAlign w:val="center"/>
          </w:tcPr>
          <w:p>
            <w:pPr>
              <w:adjustRightInd w:val="0"/>
              <w:snapToGrid w:val="0"/>
              <w:jc w:val="center"/>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color w:val="000000" w:themeColor="text1"/>
                <w:szCs w:val="24"/>
                <w14:textFill>
                  <w14:solidFill>
                    <w14:schemeClr w14:val="tx1"/>
                  </w14:solidFill>
                </w14:textFill>
              </w:rPr>
              <w:t>与环评一致</w:t>
            </w:r>
          </w:p>
        </w:tc>
      </w:tr>
    </w:tbl>
    <w:p>
      <w:bookmarkStart w:id="11" w:name="_Toc62202376"/>
      <w:r>
        <w:br w:type="page"/>
      </w:r>
    </w:p>
    <w:p>
      <w:pPr>
        <w:pStyle w:val="3"/>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w:t>
      </w:r>
      <w:r>
        <w:rPr>
          <w:color w:val="000000" w:themeColor="text1"/>
          <w14:textFill>
            <w14:solidFill>
              <w14:schemeClr w14:val="tx1"/>
            </w14:solidFill>
          </w14:textFill>
        </w:rPr>
        <w:t>.9 工作程序</w:t>
      </w:r>
      <w:bookmarkEnd w:id="11"/>
    </w:p>
    <w:p>
      <w:pPr>
        <w:ind w:firstLine="420" w:firstLineChars="200"/>
        <w:rPr>
          <w:rFonts w:ascii="Times New Roman" w:hAnsi="Times New Roman" w:cs="Times New Roman"/>
          <w:color w:val="000000" w:themeColor="text1"/>
          <w:sz w:val="24"/>
          <w:szCs w:val="24"/>
          <w14:textFill>
            <w14:solidFill>
              <w14:schemeClr w14:val="tx1"/>
            </w14:solidFill>
          </w14:textFill>
        </w:rPr>
      </w:pPr>
      <w:r>
        <w:rPr>
          <w:color w:val="000000" w:themeColor="text1"/>
          <w:highlight w:val="yellow"/>
          <w14:textFill>
            <w14:solidFill>
              <w14:schemeClr w14:val="tx1"/>
            </w14:solidFill>
          </w14:textFill>
        </w:rPr>
        <mc:AlternateContent>
          <mc:Choice Requires="wpg">
            <w:drawing>
              <wp:anchor distT="0" distB="0" distL="114300" distR="114300" simplePos="0" relativeHeight="251678720" behindDoc="0" locked="0" layoutInCell="1" allowOverlap="1">
                <wp:simplePos x="0" y="0"/>
                <wp:positionH relativeFrom="column">
                  <wp:posOffset>-228600</wp:posOffset>
                </wp:positionH>
                <wp:positionV relativeFrom="paragraph">
                  <wp:posOffset>194310</wp:posOffset>
                </wp:positionV>
                <wp:extent cx="6019800" cy="7772400"/>
                <wp:effectExtent l="0" t="0" r="38100" b="19050"/>
                <wp:wrapNone/>
                <wp:docPr id="15" name="组合 15"/>
                <wp:cNvGraphicFramePr/>
                <a:graphic xmlns:a="http://schemas.openxmlformats.org/drawingml/2006/main">
                  <a:graphicData uri="http://schemas.microsoft.com/office/word/2010/wordprocessingGroup">
                    <wpg:wgp>
                      <wpg:cNvGrpSpPr/>
                      <wpg:grpSpPr>
                        <a:xfrm>
                          <a:off x="0" y="0"/>
                          <a:ext cx="6019800" cy="7772400"/>
                          <a:chOff x="1317" y="3613"/>
                          <a:chExt cx="8760" cy="11519"/>
                        </a:xfrm>
                      </wpg:grpSpPr>
                      <wps:wsp>
                        <wps:cNvPr id="22" name="Rectangle 214"/>
                        <wps:cNvSpPr>
                          <a:spLocks noChangeArrowheads="1"/>
                        </wps:cNvSpPr>
                        <wps:spPr bwMode="auto">
                          <a:xfrm>
                            <a:off x="2157" y="11856"/>
                            <a:ext cx="1260" cy="1248"/>
                          </a:xfrm>
                          <a:prstGeom prst="rect">
                            <a:avLst/>
                          </a:prstGeom>
                          <a:solidFill>
                            <a:srgbClr val="FFFFFF"/>
                          </a:solidFill>
                          <a:ln w="9525">
                            <a:solidFill>
                              <a:srgbClr val="000000"/>
                            </a:solidFill>
                            <a:miter lim="800000"/>
                          </a:ln>
                        </wps:spPr>
                        <wps:txbx>
                          <w:txbxContent>
                            <w:p>
                              <w:pPr>
                                <w:pStyle w:val="18"/>
                                <w:pBdr>
                                  <w:bottom w:val="none" w:color="auto" w:sz="0" w:space="0"/>
                                </w:pBdr>
                                <w:tabs>
                                  <w:tab w:val="clear" w:pos="4153"/>
                                  <w:tab w:val="clear" w:pos="8306"/>
                                </w:tabs>
                                <w:snapToGrid/>
                                <w:spacing w:line="320" w:lineRule="exact"/>
                              </w:pPr>
                              <w:r>
                                <w:rPr>
                                  <w:rFonts w:hint="eastAsia"/>
                                </w:rPr>
                                <w:t>工程建设和运行情况调查结果</w:t>
                              </w:r>
                            </w:p>
                          </w:txbxContent>
                        </wps:txbx>
                        <wps:bodyPr rot="0" vert="horz" wrap="square" lIns="91440" tIns="45720" rIns="91440" bIns="45720" anchor="t" anchorCtr="0" upright="1">
                          <a:noAutofit/>
                        </wps:bodyPr>
                      </wps:wsp>
                      <wps:wsp>
                        <wps:cNvPr id="23" name="Rectangle 215"/>
                        <wps:cNvSpPr>
                          <a:spLocks noChangeArrowheads="1"/>
                        </wps:cNvSpPr>
                        <wps:spPr bwMode="auto">
                          <a:xfrm>
                            <a:off x="7017" y="11856"/>
                            <a:ext cx="1260" cy="1248"/>
                          </a:xfrm>
                          <a:prstGeom prst="rect">
                            <a:avLst/>
                          </a:prstGeom>
                          <a:solidFill>
                            <a:srgbClr val="FFFFFF"/>
                          </a:solidFill>
                          <a:ln w="9525">
                            <a:solidFill>
                              <a:srgbClr val="000000"/>
                            </a:solidFill>
                            <a:miter lim="800000"/>
                          </a:ln>
                        </wps:spPr>
                        <wps:txbx>
                          <w:txbxContent>
                            <w:p>
                              <w:pPr>
                                <w:pStyle w:val="18"/>
                                <w:pBdr>
                                  <w:bottom w:val="none" w:color="auto" w:sz="0" w:space="0"/>
                                </w:pBdr>
                                <w:tabs>
                                  <w:tab w:val="clear" w:pos="4153"/>
                                  <w:tab w:val="clear" w:pos="8306"/>
                                </w:tabs>
                                <w:snapToGrid/>
                                <w:spacing w:line="320" w:lineRule="exact"/>
                              </w:pPr>
                              <w:r>
                                <w:rPr>
                                  <w:rFonts w:hint="eastAsia"/>
                                </w:rPr>
                                <w:t>公众意见调查结果及分析</w:t>
                              </w:r>
                            </w:p>
                          </w:txbxContent>
                        </wps:txbx>
                        <wps:bodyPr rot="0" vert="horz" wrap="square" lIns="91440" tIns="45720" rIns="91440" bIns="45720" anchor="t" anchorCtr="0" upright="1">
                          <a:noAutofit/>
                        </wps:bodyPr>
                      </wps:wsp>
                      <wps:wsp>
                        <wps:cNvPr id="24" name="Rectangle 216"/>
                        <wps:cNvSpPr>
                          <a:spLocks noChangeArrowheads="1"/>
                        </wps:cNvSpPr>
                        <wps:spPr bwMode="auto">
                          <a:xfrm>
                            <a:off x="3777" y="3613"/>
                            <a:ext cx="4140" cy="468"/>
                          </a:xfrm>
                          <a:prstGeom prst="rect">
                            <a:avLst/>
                          </a:prstGeom>
                          <a:solidFill>
                            <a:srgbClr val="FFFFFF"/>
                          </a:solidFill>
                          <a:ln w="9525">
                            <a:solidFill>
                              <a:srgbClr val="000000"/>
                            </a:solidFill>
                            <a:miter lim="800000"/>
                          </a:ln>
                        </wps:spPr>
                        <wps:txbx>
                          <w:txbxContent>
                            <w:p>
                              <w:pPr>
                                <w:pStyle w:val="18"/>
                                <w:pBdr>
                                  <w:bottom w:val="none" w:color="auto" w:sz="0" w:space="0"/>
                                </w:pBdr>
                                <w:tabs>
                                  <w:tab w:val="clear" w:pos="4153"/>
                                  <w:tab w:val="clear" w:pos="8306"/>
                                </w:tabs>
                                <w:snapToGrid/>
                                <w:spacing w:line="320" w:lineRule="exact"/>
                              </w:pPr>
                              <w:r>
                                <w:rPr>
                                  <w:rFonts w:hint="eastAsia"/>
                                </w:rPr>
                                <w:t>接受本工程竣工环境保护收调查委托</w:t>
                              </w:r>
                            </w:p>
                          </w:txbxContent>
                        </wps:txbx>
                        <wps:bodyPr rot="0" vert="horz" wrap="square" lIns="91440" tIns="45720" rIns="91440" bIns="45720" anchor="t" anchorCtr="0" upright="1">
                          <a:noAutofit/>
                        </wps:bodyPr>
                      </wps:wsp>
                      <wps:wsp>
                        <wps:cNvPr id="25" name="Line 217"/>
                        <wps:cNvCnPr/>
                        <wps:spPr bwMode="auto">
                          <a:xfrm>
                            <a:off x="5840" y="4081"/>
                            <a:ext cx="0" cy="312"/>
                          </a:xfrm>
                          <a:prstGeom prst="line">
                            <a:avLst/>
                          </a:prstGeom>
                          <a:noFill/>
                          <a:ln w="9525">
                            <a:solidFill>
                              <a:srgbClr val="000000"/>
                            </a:solidFill>
                            <a:round/>
                            <a:tailEnd type="triangle" w="med" len="med"/>
                          </a:ln>
                        </wps:spPr>
                        <wps:bodyPr/>
                      </wps:wsp>
                      <wps:wsp>
                        <wps:cNvPr id="26" name="Rectangle 218"/>
                        <wps:cNvSpPr>
                          <a:spLocks noChangeArrowheads="1"/>
                        </wps:cNvSpPr>
                        <wps:spPr bwMode="auto">
                          <a:xfrm>
                            <a:off x="2157" y="4705"/>
                            <a:ext cx="3240" cy="1092"/>
                          </a:xfrm>
                          <a:prstGeom prst="rect">
                            <a:avLst/>
                          </a:prstGeom>
                          <a:solidFill>
                            <a:srgbClr val="FFFFFF"/>
                          </a:solidFill>
                          <a:ln w="9525">
                            <a:solidFill>
                              <a:srgbClr val="000000"/>
                            </a:solidFill>
                            <a:miter lim="800000"/>
                          </a:ln>
                        </wps:spPr>
                        <wps:txbx>
                          <w:txbxContent>
                            <w:p>
                              <w:pPr>
                                <w:pStyle w:val="18"/>
                                <w:pBdr>
                                  <w:bottom w:val="none" w:color="auto" w:sz="0" w:space="0"/>
                                </w:pBdr>
                                <w:tabs>
                                  <w:tab w:val="clear" w:pos="4153"/>
                                  <w:tab w:val="clear" w:pos="8306"/>
                                </w:tabs>
                                <w:snapToGrid/>
                                <w:spacing w:line="320" w:lineRule="exact"/>
                              </w:pPr>
                              <w:r>
                                <w:rPr>
                                  <w:rFonts w:hint="eastAsia"/>
                                </w:rPr>
                                <w:t>收集研读资料：环境影响评价及审批文件、设计资料及审批文件、其它基础资料</w:t>
                              </w:r>
                            </w:p>
                          </w:txbxContent>
                        </wps:txbx>
                        <wps:bodyPr rot="0" vert="horz" wrap="square" lIns="91440" tIns="45720" rIns="91440" bIns="45720" anchor="t" anchorCtr="0" upright="1">
                          <a:noAutofit/>
                        </wps:bodyPr>
                      </wps:wsp>
                      <wps:wsp>
                        <wps:cNvPr id="27" name="Line 219"/>
                        <wps:cNvCnPr/>
                        <wps:spPr bwMode="auto">
                          <a:xfrm>
                            <a:off x="5937" y="14040"/>
                            <a:ext cx="0" cy="329"/>
                          </a:xfrm>
                          <a:prstGeom prst="line">
                            <a:avLst/>
                          </a:prstGeom>
                          <a:noFill/>
                          <a:ln w="9525">
                            <a:solidFill>
                              <a:srgbClr val="000000"/>
                            </a:solidFill>
                            <a:round/>
                            <a:tailEnd type="triangle" w="med" len="med"/>
                          </a:ln>
                        </wps:spPr>
                        <wps:bodyPr/>
                      </wps:wsp>
                      <wps:wsp>
                        <wps:cNvPr id="28" name="Rectangle 220"/>
                        <wps:cNvSpPr>
                          <a:spLocks noChangeArrowheads="1"/>
                        </wps:cNvSpPr>
                        <wps:spPr bwMode="auto">
                          <a:xfrm>
                            <a:off x="4317" y="13572"/>
                            <a:ext cx="3074" cy="494"/>
                          </a:xfrm>
                          <a:prstGeom prst="rect">
                            <a:avLst/>
                          </a:prstGeom>
                          <a:solidFill>
                            <a:srgbClr val="FFFFFF"/>
                          </a:solidFill>
                          <a:ln w="9525">
                            <a:solidFill>
                              <a:srgbClr val="000000"/>
                            </a:solidFill>
                            <a:miter lim="800000"/>
                          </a:ln>
                        </wps:spPr>
                        <wps:txbx>
                          <w:txbxContent>
                            <w:p>
                              <w:pPr>
                                <w:pStyle w:val="18"/>
                                <w:pBdr>
                                  <w:bottom w:val="none" w:color="auto" w:sz="0" w:space="0"/>
                                </w:pBdr>
                                <w:tabs>
                                  <w:tab w:val="clear" w:pos="4153"/>
                                  <w:tab w:val="clear" w:pos="8306"/>
                                </w:tabs>
                                <w:snapToGrid/>
                                <w:spacing w:line="320" w:lineRule="exact"/>
                                <w:jc w:val="both"/>
                              </w:pPr>
                              <w:r>
                                <w:rPr>
                                  <w:rFonts w:hint="eastAsia"/>
                                </w:rPr>
                                <w:t>编写本工程验收环境保护调查报告</w:t>
                              </w:r>
                            </w:p>
                          </w:txbxContent>
                        </wps:txbx>
                        <wps:bodyPr rot="0" vert="horz" wrap="square" lIns="91440" tIns="45720" rIns="91440" bIns="45720" anchor="t" anchorCtr="0" upright="1">
                          <a:noAutofit/>
                        </wps:bodyPr>
                      </wps:wsp>
                      <wps:wsp>
                        <wps:cNvPr id="30" name="Rectangle 221"/>
                        <wps:cNvSpPr>
                          <a:spLocks noChangeArrowheads="1"/>
                        </wps:cNvSpPr>
                        <wps:spPr bwMode="auto">
                          <a:xfrm>
                            <a:off x="3417" y="14352"/>
                            <a:ext cx="4860" cy="468"/>
                          </a:xfrm>
                          <a:prstGeom prst="rect">
                            <a:avLst/>
                          </a:prstGeom>
                          <a:solidFill>
                            <a:srgbClr val="FFFFFF"/>
                          </a:solidFill>
                          <a:ln w="9525">
                            <a:solidFill>
                              <a:srgbClr val="000000"/>
                            </a:solidFill>
                            <a:miter lim="800000"/>
                          </a:ln>
                        </wps:spPr>
                        <wps:txbx>
                          <w:txbxContent>
                            <w:p>
                              <w:pPr>
                                <w:pStyle w:val="18"/>
                                <w:pBdr>
                                  <w:bottom w:val="none" w:color="auto" w:sz="0" w:space="0"/>
                                </w:pBdr>
                                <w:tabs>
                                  <w:tab w:val="clear" w:pos="4153"/>
                                  <w:tab w:val="clear" w:pos="8306"/>
                                </w:tabs>
                                <w:snapToGrid/>
                                <w:spacing w:line="320" w:lineRule="exact"/>
                              </w:pPr>
                              <w:r>
                                <w:rPr>
                                  <w:rFonts w:hint="eastAsia"/>
                                </w:rPr>
                                <w:t>为本工程竣工环境保护验收现场检查提供技术支持</w:t>
                              </w:r>
                            </w:p>
                          </w:txbxContent>
                        </wps:txbx>
                        <wps:bodyPr rot="0" vert="horz" wrap="square" lIns="91440" tIns="45720" rIns="91440" bIns="45720" anchor="t" anchorCtr="0" upright="1">
                          <a:noAutofit/>
                        </wps:bodyPr>
                      </wps:wsp>
                      <wps:wsp>
                        <wps:cNvPr id="36" name="Rectangle 222"/>
                        <wps:cNvSpPr>
                          <a:spLocks noChangeArrowheads="1"/>
                        </wps:cNvSpPr>
                        <wps:spPr bwMode="auto">
                          <a:xfrm>
                            <a:off x="3521" y="11856"/>
                            <a:ext cx="1788" cy="1248"/>
                          </a:xfrm>
                          <a:prstGeom prst="rect">
                            <a:avLst/>
                          </a:prstGeom>
                          <a:solidFill>
                            <a:srgbClr val="FFFFFF"/>
                          </a:solidFill>
                          <a:ln w="9525">
                            <a:solidFill>
                              <a:srgbClr val="000000"/>
                            </a:solidFill>
                            <a:miter lim="800000"/>
                          </a:ln>
                        </wps:spPr>
                        <wps:txbx>
                          <w:txbxContent>
                            <w:p>
                              <w:pPr>
                                <w:pStyle w:val="24"/>
                                <w:spacing w:after="0" w:line="200" w:lineRule="atLeast"/>
                                <w:jc w:val="center"/>
                                <w:rPr>
                                  <w:sz w:val="18"/>
                                  <w:szCs w:val="18"/>
                                </w:rPr>
                              </w:pPr>
                              <w:r>
                                <w:rPr>
                                  <w:rFonts w:hint="eastAsia"/>
                                  <w:sz w:val="18"/>
                                  <w:szCs w:val="18"/>
                                </w:rPr>
                                <w:t>环境保护措施落实和环境保护设施运行情况及效果调查结果</w:t>
                              </w:r>
                            </w:p>
                          </w:txbxContent>
                        </wps:txbx>
                        <wps:bodyPr rot="0" vert="horz" wrap="square" lIns="91440" tIns="45720" rIns="91440" bIns="45720" anchor="t" anchorCtr="0" upright="1">
                          <a:noAutofit/>
                        </wps:bodyPr>
                      </wps:wsp>
                      <wps:wsp>
                        <wps:cNvPr id="52" name="Rectangle 223"/>
                        <wps:cNvSpPr>
                          <a:spLocks noChangeArrowheads="1"/>
                        </wps:cNvSpPr>
                        <wps:spPr bwMode="auto">
                          <a:xfrm>
                            <a:off x="8457" y="11856"/>
                            <a:ext cx="1260" cy="1248"/>
                          </a:xfrm>
                          <a:prstGeom prst="rect">
                            <a:avLst/>
                          </a:prstGeom>
                          <a:solidFill>
                            <a:srgbClr val="FFFFFF"/>
                          </a:solidFill>
                          <a:ln w="9525">
                            <a:solidFill>
                              <a:srgbClr val="000000"/>
                            </a:solidFill>
                            <a:miter lim="800000"/>
                          </a:ln>
                        </wps:spPr>
                        <wps:txbx>
                          <w:txbxContent>
                            <w:p>
                              <w:pPr>
                                <w:pStyle w:val="10"/>
                                <w:spacing w:after="0" w:line="240" w:lineRule="atLeast"/>
                                <w:rPr>
                                  <w:rFonts w:ascii="宋体" w:hAnsi="宋体"/>
                                  <w:sz w:val="18"/>
                                  <w:szCs w:val="24"/>
                                  <w:lang w:val="zh-CN"/>
                                </w:rPr>
                              </w:pPr>
                              <w:r>
                                <w:rPr>
                                  <w:rFonts w:hint="eastAsia" w:ascii="宋体" w:hAnsi="宋体"/>
                                  <w:sz w:val="18"/>
                                  <w:szCs w:val="24"/>
                                  <w:lang w:val="zh-CN"/>
                                </w:rPr>
                                <w:t>存在的环境问题及补救措施建议</w:t>
                              </w:r>
                            </w:p>
                          </w:txbxContent>
                        </wps:txbx>
                        <wps:bodyPr rot="0" vert="horz" wrap="square" lIns="91440" tIns="45720" rIns="91440" bIns="45720" anchor="t" anchorCtr="0" upright="1">
                          <a:noAutofit/>
                        </wps:bodyPr>
                      </wps:wsp>
                      <wps:wsp>
                        <wps:cNvPr id="53" name="Line 224"/>
                        <wps:cNvCnPr/>
                        <wps:spPr bwMode="auto">
                          <a:xfrm>
                            <a:off x="5937" y="7955"/>
                            <a:ext cx="0" cy="794"/>
                          </a:xfrm>
                          <a:prstGeom prst="line">
                            <a:avLst/>
                          </a:prstGeom>
                          <a:noFill/>
                          <a:ln w="9525">
                            <a:solidFill>
                              <a:srgbClr val="000000"/>
                            </a:solidFill>
                            <a:round/>
                            <a:tailEnd type="triangle" w="med" len="med"/>
                          </a:ln>
                        </wps:spPr>
                        <wps:bodyPr/>
                      </wps:wsp>
                      <wps:wsp>
                        <wps:cNvPr id="54" name="Rectangle 225"/>
                        <wps:cNvSpPr>
                          <a:spLocks noChangeArrowheads="1"/>
                        </wps:cNvSpPr>
                        <wps:spPr bwMode="auto">
                          <a:xfrm>
                            <a:off x="6117" y="4705"/>
                            <a:ext cx="3600" cy="1092"/>
                          </a:xfrm>
                          <a:prstGeom prst="rect">
                            <a:avLst/>
                          </a:prstGeom>
                          <a:solidFill>
                            <a:srgbClr val="FFFFFF"/>
                          </a:solidFill>
                          <a:ln w="9525">
                            <a:solidFill>
                              <a:srgbClr val="000000"/>
                            </a:solidFill>
                            <a:miter lim="800000"/>
                          </a:ln>
                        </wps:spPr>
                        <wps:txbx>
                          <w:txbxContent>
                            <w:p>
                              <w:pPr>
                                <w:pStyle w:val="18"/>
                                <w:pBdr>
                                  <w:bottom w:val="none" w:color="auto" w:sz="0" w:space="0"/>
                                </w:pBdr>
                                <w:tabs>
                                  <w:tab w:val="clear" w:pos="4153"/>
                                  <w:tab w:val="clear" w:pos="8306"/>
                                </w:tabs>
                                <w:snapToGrid/>
                                <w:spacing w:line="320" w:lineRule="exact"/>
                              </w:pPr>
                              <w:r>
                                <w:rPr>
                                  <w:rFonts w:hint="eastAsia"/>
                                </w:rPr>
                                <w:t>现场初步调查：工程概况、运行概况、环境概况、环境保护目标、主要环境影响、环保设施、环保措施及环境问题等</w:t>
                              </w:r>
                            </w:p>
                          </w:txbxContent>
                        </wps:txbx>
                        <wps:bodyPr rot="0" vert="horz" wrap="square" lIns="91440" tIns="45720" rIns="91440" bIns="45720" anchor="t" anchorCtr="0" upright="1">
                          <a:noAutofit/>
                        </wps:bodyPr>
                      </wps:wsp>
                      <wps:wsp>
                        <wps:cNvPr id="55" name="Rectangle 226"/>
                        <wps:cNvSpPr>
                          <a:spLocks noChangeArrowheads="1"/>
                        </wps:cNvSpPr>
                        <wps:spPr bwMode="auto">
                          <a:xfrm>
                            <a:off x="4677" y="6265"/>
                            <a:ext cx="2520" cy="468"/>
                          </a:xfrm>
                          <a:prstGeom prst="rect">
                            <a:avLst/>
                          </a:prstGeom>
                          <a:solidFill>
                            <a:srgbClr val="FFFFFF"/>
                          </a:solidFill>
                          <a:ln w="9525">
                            <a:solidFill>
                              <a:srgbClr val="000000"/>
                            </a:solidFill>
                            <a:miter lim="800000"/>
                          </a:ln>
                        </wps:spPr>
                        <wps:txbx>
                          <w:txbxContent>
                            <w:p>
                              <w:pPr>
                                <w:pStyle w:val="18"/>
                                <w:pBdr>
                                  <w:bottom w:val="none" w:color="auto" w:sz="0" w:space="0"/>
                                </w:pBdr>
                                <w:tabs>
                                  <w:tab w:val="clear" w:pos="4153"/>
                                  <w:tab w:val="clear" w:pos="8306"/>
                                </w:tabs>
                                <w:snapToGrid/>
                                <w:spacing w:line="320" w:lineRule="exact"/>
                              </w:pPr>
                              <w:r>
                                <w:rPr>
                                  <w:rFonts w:hint="eastAsia"/>
                                </w:rPr>
                                <w:t>制定验收调查工作方案</w:t>
                              </w:r>
                            </w:p>
                          </w:txbxContent>
                        </wps:txbx>
                        <wps:bodyPr rot="0" vert="horz" wrap="square" lIns="91440" tIns="45720" rIns="91440" bIns="45720" anchor="t" anchorCtr="0" upright="1">
                          <a:noAutofit/>
                        </wps:bodyPr>
                      </wps:wsp>
                      <wps:wsp>
                        <wps:cNvPr id="56" name="Rectangle 227"/>
                        <wps:cNvSpPr>
                          <a:spLocks noChangeArrowheads="1"/>
                        </wps:cNvSpPr>
                        <wps:spPr bwMode="auto">
                          <a:xfrm>
                            <a:off x="2157" y="7201"/>
                            <a:ext cx="2340" cy="780"/>
                          </a:xfrm>
                          <a:prstGeom prst="rect">
                            <a:avLst/>
                          </a:prstGeom>
                          <a:solidFill>
                            <a:srgbClr val="FFFFFF"/>
                          </a:solidFill>
                          <a:ln w="9525">
                            <a:solidFill>
                              <a:srgbClr val="000000"/>
                            </a:solidFill>
                            <a:miter lim="800000"/>
                          </a:ln>
                        </wps:spPr>
                        <wps:txbx>
                          <w:txbxContent>
                            <w:p>
                              <w:pPr>
                                <w:pStyle w:val="18"/>
                                <w:pBdr>
                                  <w:bottom w:val="none" w:color="auto" w:sz="0" w:space="0"/>
                                </w:pBdr>
                                <w:tabs>
                                  <w:tab w:val="clear" w:pos="4153"/>
                                  <w:tab w:val="clear" w:pos="8306"/>
                                </w:tabs>
                                <w:snapToGrid/>
                                <w:spacing w:line="320" w:lineRule="exact"/>
                              </w:pPr>
                              <w:r>
                                <w:rPr>
                                  <w:rFonts w:hint="eastAsia"/>
                                </w:rPr>
                                <w:t>确定验收调查范围、环境保护目标、执行标准</w:t>
                              </w:r>
                            </w:p>
                          </w:txbxContent>
                        </wps:txbx>
                        <wps:bodyPr rot="0" vert="horz" wrap="square" lIns="91440" tIns="45720" rIns="91440" bIns="45720" anchor="t" anchorCtr="0" upright="1">
                          <a:noAutofit/>
                        </wps:bodyPr>
                      </wps:wsp>
                      <wps:wsp>
                        <wps:cNvPr id="57" name="Rectangle 228"/>
                        <wps:cNvSpPr>
                          <a:spLocks noChangeArrowheads="1"/>
                        </wps:cNvSpPr>
                        <wps:spPr bwMode="auto">
                          <a:xfrm>
                            <a:off x="4857" y="7201"/>
                            <a:ext cx="2340" cy="780"/>
                          </a:xfrm>
                          <a:prstGeom prst="rect">
                            <a:avLst/>
                          </a:prstGeom>
                          <a:solidFill>
                            <a:srgbClr val="FFFFFF"/>
                          </a:solidFill>
                          <a:ln w="9525">
                            <a:solidFill>
                              <a:srgbClr val="000000"/>
                            </a:solidFill>
                            <a:miter lim="800000"/>
                          </a:ln>
                        </wps:spPr>
                        <wps:txbx>
                          <w:txbxContent>
                            <w:p>
                              <w:pPr>
                                <w:pStyle w:val="18"/>
                                <w:pBdr>
                                  <w:bottom w:val="none" w:color="auto" w:sz="0" w:space="0"/>
                                </w:pBdr>
                                <w:tabs>
                                  <w:tab w:val="clear" w:pos="4153"/>
                                  <w:tab w:val="clear" w:pos="8306"/>
                                </w:tabs>
                                <w:snapToGrid/>
                                <w:spacing w:line="320" w:lineRule="exact"/>
                              </w:pPr>
                              <w:r>
                                <w:rPr>
                                  <w:rFonts w:hint="eastAsia"/>
                                </w:rPr>
                                <w:t>确定验收调查内容、调查重点及采用的方法</w:t>
                              </w:r>
                            </w:p>
                          </w:txbxContent>
                        </wps:txbx>
                        <wps:bodyPr rot="0" vert="horz" wrap="square" lIns="91440" tIns="45720" rIns="91440" bIns="45720" anchor="t" anchorCtr="0" upright="1">
                          <a:noAutofit/>
                        </wps:bodyPr>
                      </wps:wsp>
                      <wps:wsp>
                        <wps:cNvPr id="58" name="Rectangle 229"/>
                        <wps:cNvSpPr>
                          <a:spLocks noChangeArrowheads="1"/>
                        </wps:cNvSpPr>
                        <wps:spPr bwMode="auto">
                          <a:xfrm>
                            <a:off x="7377" y="7201"/>
                            <a:ext cx="2340" cy="780"/>
                          </a:xfrm>
                          <a:prstGeom prst="rect">
                            <a:avLst/>
                          </a:prstGeom>
                          <a:solidFill>
                            <a:srgbClr val="FFFFFF"/>
                          </a:solidFill>
                          <a:ln w="9525">
                            <a:solidFill>
                              <a:srgbClr val="000000"/>
                            </a:solidFill>
                            <a:miter lim="800000"/>
                          </a:ln>
                        </wps:spPr>
                        <wps:txbx>
                          <w:txbxContent>
                            <w:p>
                              <w:pPr>
                                <w:pStyle w:val="18"/>
                                <w:pBdr>
                                  <w:bottom w:val="none" w:color="auto" w:sz="0" w:space="0"/>
                                </w:pBdr>
                                <w:tabs>
                                  <w:tab w:val="clear" w:pos="4153"/>
                                  <w:tab w:val="clear" w:pos="8306"/>
                                </w:tabs>
                                <w:snapToGrid/>
                                <w:spacing w:line="320" w:lineRule="exact"/>
                              </w:pPr>
                              <w:r>
                                <w:rPr>
                                  <w:rFonts w:hint="eastAsia"/>
                                </w:rPr>
                                <w:t>预期成果、工作分工及进度安排等</w:t>
                              </w:r>
                            </w:p>
                          </w:txbxContent>
                        </wps:txbx>
                        <wps:bodyPr rot="0" vert="horz" wrap="square" lIns="91440" tIns="45720" rIns="91440" bIns="45720" anchor="t" anchorCtr="0" upright="1">
                          <a:noAutofit/>
                        </wps:bodyPr>
                      </wps:wsp>
                      <wps:wsp>
                        <wps:cNvPr id="59" name="Line 230"/>
                        <wps:cNvCnPr/>
                        <wps:spPr bwMode="auto">
                          <a:xfrm>
                            <a:off x="7377" y="8478"/>
                            <a:ext cx="0" cy="258"/>
                          </a:xfrm>
                          <a:prstGeom prst="line">
                            <a:avLst/>
                          </a:prstGeom>
                          <a:noFill/>
                          <a:ln w="9525">
                            <a:solidFill>
                              <a:srgbClr val="000000"/>
                            </a:solidFill>
                            <a:round/>
                            <a:tailEnd type="triangle" w="med" len="med"/>
                          </a:ln>
                        </wps:spPr>
                        <wps:bodyPr/>
                      </wps:wsp>
                      <wps:wsp>
                        <wps:cNvPr id="60" name="Rectangle 231"/>
                        <wps:cNvSpPr>
                          <a:spLocks noChangeArrowheads="1"/>
                        </wps:cNvSpPr>
                        <wps:spPr bwMode="auto">
                          <a:xfrm>
                            <a:off x="2157" y="8736"/>
                            <a:ext cx="1260" cy="1404"/>
                          </a:xfrm>
                          <a:prstGeom prst="rect">
                            <a:avLst/>
                          </a:prstGeom>
                          <a:solidFill>
                            <a:srgbClr val="FFFFFF"/>
                          </a:solidFill>
                          <a:ln w="9525">
                            <a:solidFill>
                              <a:srgbClr val="000000"/>
                            </a:solidFill>
                            <a:miter lim="800000"/>
                          </a:ln>
                        </wps:spPr>
                        <wps:txbx>
                          <w:txbxContent>
                            <w:p>
                              <w:pPr>
                                <w:pStyle w:val="18"/>
                                <w:pBdr>
                                  <w:bottom w:val="none" w:color="auto" w:sz="0" w:space="0"/>
                                </w:pBdr>
                                <w:tabs>
                                  <w:tab w:val="clear" w:pos="4153"/>
                                  <w:tab w:val="clear" w:pos="8306"/>
                                </w:tabs>
                                <w:snapToGrid/>
                                <w:spacing w:line="320" w:lineRule="exact"/>
                              </w:pPr>
                              <w:r>
                                <w:rPr>
                                  <w:rFonts w:hint="eastAsia"/>
                                </w:rPr>
                                <w:t>环保措施落实情况及环保设施运行情况及效果检查</w:t>
                              </w:r>
                            </w:p>
                          </w:txbxContent>
                        </wps:txbx>
                        <wps:bodyPr rot="0" vert="horz" wrap="square" lIns="91440" tIns="45720" rIns="91440" bIns="45720" anchor="t" anchorCtr="0" upright="1">
                          <a:noAutofit/>
                        </wps:bodyPr>
                      </wps:wsp>
                      <wps:wsp>
                        <wps:cNvPr id="61" name="Rectangle 232"/>
                        <wps:cNvSpPr>
                          <a:spLocks noChangeArrowheads="1"/>
                        </wps:cNvSpPr>
                        <wps:spPr bwMode="auto">
                          <a:xfrm>
                            <a:off x="8817" y="8736"/>
                            <a:ext cx="900" cy="1404"/>
                          </a:xfrm>
                          <a:prstGeom prst="rect">
                            <a:avLst/>
                          </a:prstGeom>
                          <a:solidFill>
                            <a:srgbClr val="FFFFFF"/>
                          </a:solidFill>
                          <a:ln w="9525">
                            <a:solidFill>
                              <a:srgbClr val="000000"/>
                            </a:solidFill>
                            <a:miter lim="800000"/>
                          </a:ln>
                        </wps:spPr>
                        <wps:txbx>
                          <w:txbxContent>
                            <w:p>
                              <w:pPr>
                                <w:pStyle w:val="18"/>
                                <w:pBdr>
                                  <w:bottom w:val="none" w:color="auto" w:sz="0" w:space="0"/>
                                </w:pBdr>
                                <w:tabs>
                                  <w:tab w:val="clear" w:pos="4153"/>
                                  <w:tab w:val="clear" w:pos="8306"/>
                                </w:tabs>
                                <w:snapToGrid/>
                                <w:spacing w:line="320" w:lineRule="exact"/>
                              </w:pPr>
                              <w:r>
                                <w:rPr>
                                  <w:rFonts w:hint="eastAsia"/>
                                </w:rPr>
                                <w:t>公众意见调查</w:t>
                              </w:r>
                            </w:p>
                          </w:txbxContent>
                        </wps:txbx>
                        <wps:bodyPr rot="0" vert="horz" wrap="square" lIns="91440" tIns="45720" rIns="91440" bIns="45720" anchor="t" anchorCtr="0" upright="1">
                          <a:noAutofit/>
                        </wps:bodyPr>
                      </wps:wsp>
                      <wps:wsp>
                        <wps:cNvPr id="62" name="Line 233"/>
                        <wps:cNvCnPr/>
                        <wps:spPr bwMode="auto">
                          <a:xfrm>
                            <a:off x="2646" y="8484"/>
                            <a:ext cx="0" cy="252"/>
                          </a:xfrm>
                          <a:prstGeom prst="line">
                            <a:avLst/>
                          </a:prstGeom>
                          <a:noFill/>
                          <a:ln w="9525">
                            <a:solidFill>
                              <a:srgbClr val="000000"/>
                            </a:solidFill>
                            <a:round/>
                            <a:tailEnd type="triangle" w="med" len="med"/>
                          </a:ln>
                        </wps:spPr>
                        <wps:bodyPr/>
                      </wps:wsp>
                      <wps:wsp>
                        <wps:cNvPr id="63" name="Rectangle 234"/>
                        <wps:cNvSpPr>
                          <a:spLocks noChangeArrowheads="1"/>
                        </wps:cNvSpPr>
                        <wps:spPr bwMode="auto">
                          <a:xfrm>
                            <a:off x="3777" y="8736"/>
                            <a:ext cx="1620" cy="1404"/>
                          </a:xfrm>
                          <a:prstGeom prst="rect">
                            <a:avLst/>
                          </a:prstGeom>
                          <a:solidFill>
                            <a:srgbClr val="FFFFFF"/>
                          </a:solidFill>
                          <a:ln w="9525">
                            <a:solidFill>
                              <a:srgbClr val="000000"/>
                            </a:solidFill>
                            <a:miter lim="800000"/>
                          </a:ln>
                        </wps:spPr>
                        <wps:txbx>
                          <w:txbxContent>
                            <w:p>
                              <w:pPr>
                                <w:pStyle w:val="24"/>
                                <w:spacing w:after="0" w:line="200" w:lineRule="atLeast"/>
                                <w:jc w:val="center"/>
                                <w:rPr>
                                  <w:sz w:val="18"/>
                                  <w:szCs w:val="18"/>
                                </w:rPr>
                              </w:pPr>
                              <w:r>
                                <w:rPr>
                                  <w:rFonts w:hint="eastAsia"/>
                                  <w:sz w:val="18"/>
                                  <w:szCs w:val="18"/>
                                </w:rPr>
                                <w:t>工程阶段性生态、水文、水环境、大气和声环境等影响调查</w:t>
                              </w:r>
                            </w:p>
                          </w:txbxContent>
                        </wps:txbx>
                        <wps:bodyPr rot="0" vert="horz" wrap="square" lIns="91440" tIns="45720" rIns="91440" bIns="45720" anchor="t" anchorCtr="0" upright="1">
                          <a:noAutofit/>
                        </wps:bodyPr>
                      </wps:wsp>
                      <wps:wsp>
                        <wps:cNvPr id="128" name="Rectangle 235"/>
                        <wps:cNvSpPr>
                          <a:spLocks noChangeArrowheads="1"/>
                        </wps:cNvSpPr>
                        <wps:spPr bwMode="auto">
                          <a:xfrm>
                            <a:off x="5577" y="8736"/>
                            <a:ext cx="900" cy="1404"/>
                          </a:xfrm>
                          <a:prstGeom prst="rect">
                            <a:avLst/>
                          </a:prstGeom>
                          <a:solidFill>
                            <a:srgbClr val="FFFFFF"/>
                          </a:solidFill>
                          <a:ln w="9525">
                            <a:solidFill>
                              <a:srgbClr val="000000"/>
                            </a:solidFill>
                            <a:miter lim="800000"/>
                          </a:ln>
                        </wps:spPr>
                        <wps:txbx>
                          <w:txbxContent>
                            <w:p>
                              <w:pPr>
                                <w:pStyle w:val="10"/>
                                <w:spacing w:after="0" w:line="200" w:lineRule="exact"/>
                                <w:rPr>
                                  <w:sz w:val="18"/>
                                </w:rPr>
                              </w:pPr>
                              <w:r>
                                <w:rPr>
                                  <w:rFonts w:hint="eastAsia" w:ascii="宋体" w:hAnsi="宋体"/>
                                  <w:sz w:val="18"/>
                                  <w:szCs w:val="24"/>
                                  <w:lang w:val="zh-CN"/>
                                </w:rPr>
                                <w:t>生态调查、环境质量及污染源监测</w:t>
                              </w:r>
                            </w:p>
                          </w:txbxContent>
                        </wps:txbx>
                        <wps:bodyPr rot="0" vert="horz" wrap="square" lIns="91440" tIns="45720" rIns="91440" bIns="45720" anchor="t" anchorCtr="0" upright="1">
                          <a:noAutofit/>
                        </wps:bodyPr>
                      </wps:wsp>
                      <wps:wsp>
                        <wps:cNvPr id="129" name="Line 236"/>
                        <wps:cNvCnPr/>
                        <wps:spPr bwMode="auto">
                          <a:xfrm>
                            <a:off x="2652" y="8468"/>
                            <a:ext cx="6525" cy="0"/>
                          </a:xfrm>
                          <a:prstGeom prst="line">
                            <a:avLst/>
                          </a:prstGeom>
                          <a:noFill/>
                          <a:ln w="9525">
                            <a:solidFill>
                              <a:srgbClr val="000000"/>
                            </a:solidFill>
                            <a:round/>
                          </a:ln>
                        </wps:spPr>
                        <wps:bodyPr/>
                      </wps:wsp>
                      <wps:wsp>
                        <wps:cNvPr id="130" name="Line 237"/>
                        <wps:cNvCnPr/>
                        <wps:spPr bwMode="auto">
                          <a:xfrm>
                            <a:off x="5937" y="10140"/>
                            <a:ext cx="0" cy="468"/>
                          </a:xfrm>
                          <a:prstGeom prst="line">
                            <a:avLst/>
                          </a:prstGeom>
                          <a:noFill/>
                          <a:ln w="9525">
                            <a:solidFill>
                              <a:srgbClr val="000000"/>
                            </a:solidFill>
                            <a:round/>
                            <a:tailEnd type="triangle" w="med" len="med"/>
                          </a:ln>
                        </wps:spPr>
                        <wps:bodyPr/>
                      </wps:wsp>
                      <wps:wsp>
                        <wps:cNvPr id="131" name="Rectangle 238"/>
                        <wps:cNvSpPr>
                          <a:spLocks noChangeArrowheads="1"/>
                        </wps:cNvSpPr>
                        <wps:spPr bwMode="auto">
                          <a:xfrm>
                            <a:off x="6837" y="8736"/>
                            <a:ext cx="1440" cy="1404"/>
                          </a:xfrm>
                          <a:prstGeom prst="rect">
                            <a:avLst/>
                          </a:prstGeom>
                          <a:solidFill>
                            <a:srgbClr val="FFFFFF"/>
                          </a:solidFill>
                          <a:ln w="9525">
                            <a:solidFill>
                              <a:srgbClr val="000000"/>
                            </a:solidFill>
                            <a:miter lim="800000"/>
                          </a:ln>
                        </wps:spPr>
                        <wps:txbx>
                          <w:txbxContent>
                            <w:p>
                              <w:pPr>
                                <w:pStyle w:val="10"/>
                                <w:spacing w:after="0" w:line="240" w:lineRule="atLeast"/>
                                <w:rPr>
                                  <w:rFonts w:ascii="宋体" w:hAnsi="宋体"/>
                                  <w:sz w:val="18"/>
                                  <w:szCs w:val="24"/>
                                  <w:lang w:val="zh-CN"/>
                                </w:rPr>
                              </w:pPr>
                              <w:r>
                                <w:rPr>
                                  <w:rFonts w:hint="eastAsia" w:ascii="宋体" w:hAnsi="宋体"/>
                                  <w:sz w:val="18"/>
                                  <w:szCs w:val="24"/>
                                  <w:lang w:val="zh-CN"/>
                                </w:rPr>
                                <w:t>环境管理检查，包括监理、监测技术落实及环境风险防范等</w:t>
                              </w:r>
                            </w:p>
                          </w:txbxContent>
                        </wps:txbx>
                        <wps:bodyPr rot="0" vert="horz" wrap="square" lIns="91440" tIns="45720" rIns="91440" bIns="45720" anchor="t" anchorCtr="0" upright="1">
                          <a:noAutofit/>
                        </wps:bodyPr>
                      </wps:wsp>
                      <wps:wsp>
                        <wps:cNvPr id="132" name="Rectangle 239"/>
                        <wps:cNvSpPr>
                          <a:spLocks noChangeArrowheads="1"/>
                        </wps:cNvSpPr>
                        <wps:spPr bwMode="auto">
                          <a:xfrm>
                            <a:off x="3597" y="10608"/>
                            <a:ext cx="4680" cy="799"/>
                          </a:xfrm>
                          <a:prstGeom prst="rect">
                            <a:avLst/>
                          </a:prstGeom>
                          <a:solidFill>
                            <a:srgbClr val="FFFFFF"/>
                          </a:solidFill>
                          <a:ln w="9525">
                            <a:solidFill>
                              <a:srgbClr val="000000"/>
                            </a:solidFill>
                            <a:miter lim="800000"/>
                          </a:ln>
                        </wps:spPr>
                        <wps:txbx>
                          <w:txbxContent>
                            <w:p>
                              <w:pPr>
                                <w:pStyle w:val="18"/>
                                <w:pBdr>
                                  <w:bottom w:val="none" w:color="auto" w:sz="0" w:space="0"/>
                                </w:pBdr>
                                <w:tabs>
                                  <w:tab w:val="clear" w:pos="4153"/>
                                  <w:tab w:val="clear" w:pos="8306"/>
                                </w:tabs>
                                <w:snapToGrid/>
                                <w:spacing w:line="320" w:lineRule="exact"/>
                              </w:pPr>
                              <w:r>
                                <w:rPr>
                                  <w:rFonts w:hint="eastAsia"/>
                                </w:rPr>
                                <w:t>根据环境影响评价文件和审批文件、设计文件，对照相关标准，对调查结果进行整理、分析</w:t>
                              </w:r>
                            </w:p>
                          </w:txbxContent>
                        </wps:txbx>
                        <wps:bodyPr rot="0" vert="horz" wrap="square" lIns="91440" tIns="45720" rIns="91440" bIns="45720" anchor="t" anchorCtr="0" upright="1">
                          <a:noAutofit/>
                        </wps:bodyPr>
                      </wps:wsp>
                      <wps:wsp>
                        <wps:cNvPr id="133" name="Rectangle 240"/>
                        <wps:cNvSpPr>
                          <a:spLocks noChangeArrowheads="1"/>
                        </wps:cNvSpPr>
                        <wps:spPr bwMode="auto">
                          <a:xfrm>
                            <a:off x="5397" y="11856"/>
                            <a:ext cx="1440" cy="1248"/>
                          </a:xfrm>
                          <a:prstGeom prst="rect">
                            <a:avLst/>
                          </a:prstGeom>
                          <a:solidFill>
                            <a:srgbClr val="FFFFFF"/>
                          </a:solidFill>
                          <a:ln w="9525">
                            <a:solidFill>
                              <a:srgbClr val="000000"/>
                            </a:solidFill>
                            <a:miter lim="800000"/>
                          </a:ln>
                        </wps:spPr>
                        <wps:txbx>
                          <w:txbxContent>
                            <w:p>
                              <w:pPr>
                                <w:pStyle w:val="24"/>
                                <w:spacing w:after="0" w:line="240" w:lineRule="atLeast"/>
                                <w:jc w:val="center"/>
                                <w:rPr>
                                  <w:sz w:val="18"/>
                                  <w:szCs w:val="18"/>
                                </w:rPr>
                              </w:pPr>
                              <w:r>
                                <w:rPr>
                                  <w:rFonts w:hint="eastAsia"/>
                                  <w:sz w:val="18"/>
                                  <w:szCs w:val="18"/>
                                </w:rPr>
                                <w:t>各类环境影响调查及分析</w:t>
                              </w:r>
                            </w:p>
                          </w:txbxContent>
                        </wps:txbx>
                        <wps:bodyPr rot="0" vert="horz" wrap="square" lIns="91440" tIns="45720" rIns="91440" bIns="45720" anchor="t" anchorCtr="0" upright="1">
                          <a:noAutofit/>
                        </wps:bodyPr>
                      </wps:wsp>
                      <wps:wsp>
                        <wps:cNvPr id="135" name="Line 241"/>
                        <wps:cNvCnPr/>
                        <wps:spPr bwMode="auto">
                          <a:xfrm>
                            <a:off x="3777" y="4393"/>
                            <a:ext cx="4140" cy="0"/>
                          </a:xfrm>
                          <a:prstGeom prst="line">
                            <a:avLst/>
                          </a:prstGeom>
                          <a:noFill/>
                          <a:ln w="9525">
                            <a:solidFill>
                              <a:srgbClr val="000000"/>
                            </a:solidFill>
                            <a:round/>
                          </a:ln>
                        </wps:spPr>
                        <wps:bodyPr/>
                      </wps:wsp>
                      <wps:wsp>
                        <wps:cNvPr id="136" name="Line 242"/>
                        <wps:cNvCnPr/>
                        <wps:spPr bwMode="auto">
                          <a:xfrm>
                            <a:off x="3777" y="4393"/>
                            <a:ext cx="0" cy="312"/>
                          </a:xfrm>
                          <a:prstGeom prst="line">
                            <a:avLst/>
                          </a:prstGeom>
                          <a:noFill/>
                          <a:ln w="9525">
                            <a:solidFill>
                              <a:srgbClr val="000000"/>
                            </a:solidFill>
                            <a:round/>
                            <a:tailEnd type="triangle" w="med" len="med"/>
                          </a:ln>
                        </wps:spPr>
                        <wps:bodyPr/>
                      </wps:wsp>
                      <wps:wsp>
                        <wps:cNvPr id="137" name="Line 243"/>
                        <wps:cNvCnPr/>
                        <wps:spPr bwMode="auto">
                          <a:xfrm>
                            <a:off x="7917" y="4393"/>
                            <a:ext cx="0" cy="312"/>
                          </a:xfrm>
                          <a:prstGeom prst="line">
                            <a:avLst/>
                          </a:prstGeom>
                          <a:noFill/>
                          <a:ln w="9525">
                            <a:solidFill>
                              <a:srgbClr val="000000"/>
                            </a:solidFill>
                            <a:round/>
                            <a:tailEnd type="triangle" w="med" len="med"/>
                          </a:ln>
                        </wps:spPr>
                        <wps:bodyPr/>
                      </wps:wsp>
                      <wps:wsp>
                        <wps:cNvPr id="138" name="Line 244"/>
                        <wps:cNvCnPr/>
                        <wps:spPr bwMode="auto">
                          <a:xfrm>
                            <a:off x="3777" y="5953"/>
                            <a:ext cx="4140" cy="0"/>
                          </a:xfrm>
                          <a:prstGeom prst="line">
                            <a:avLst/>
                          </a:prstGeom>
                          <a:noFill/>
                          <a:ln w="9525">
                            <a:solidFill>
                              <a:srgbClr val="000000"/>
                            </a:solidFill>
                            <a:round/>
                          </a:ln>
                        </wps:spPr>
                        <wps:bodyPr/>
                      </wps:wsp>
                      <wps:wsp>
                        <wps:cNvPr id="139" name="Line 245"/>
                        <wps:cNvCnPr/>
                        <wps:spPr bwMode="auto">
                          <a:xfrm>
                            <a:off x="5937" y="5953"/>
                            <a:ext cx="0" cy="312"/>
                          </a:xfrm>
                          <a:prstGeom prst="line">
                            <a:avLst/>
                          </a:prstGeom>
                          <a:noFill/>
                          <a:ln w="9525">
                            <a:solidFill>
                              <a:srgbClr val="000000"/>
                            </a:solidFill>
                            <a:round/>
                            <a:tailEnd type="triangle" w="med" len="med"/>
                          </a:ln>
                        </wps:spPr>
                        <wps:bodyPr/>
                      </wps:wsp>
                      <wps:wsp>
                        <wps:cNvPr id="140" name="Line 246"/>
                        <wps:cNvCnPr/>
                        <wps:spPr bwMode="auto">
                          <a:xfrm>
                            <a:off x="3777" y="5797"/>
                            <a:ext cx="0" cy="156"/>
                          </a:xfrm>
                          <a:prstGeom prst="line">
                            <a:avLst/>
                          </a:prstGeom>
                          <a:noFill/>
                          <a:ln w="9525">
                            <a:solidFill>
                              <a:srgbClr val="000000"/>
                            </a:solidFill>
                            <a:round/>
                          </a:ln>
                        </wps:spPr>
                        <wps:bodyPr/>
                      </wps:wsp>
                      <wps:wsp>
                        <wps:cNvPr id="180" name="Line 247"/>
                        <wps:cNvCnPr/>
                        <wps:spPr bwMode="auto">
                          <a:xfrm>
                            <a:off x="7917" y="5797"/>
                            <a:ext cx="0" cy="156"/>
                          </a:xfrm>
                          <a:prstGeom prst="line">
                            <a:avLst/>
                          </a:prstGeom>
                          <a:noFill/>
                          <a:ln w="9525">
                            <a:solidFill>
                              <a:srgbClr val="000000"/>
                            </a:solidFill>
                            <a:round/>
                          </a:ln>
                        </wps:spPr>
                        <wps:bodyPr/>
                      </wps:wsp>
                      <wps:wsp>
                        <wps:cNvPr id="181" name="Line 248"/>
                        <wps:cNvCnPr/>
                        <wps:spPr bwMode="auto">
                          <a:xfrm>
                            <a:off x="5937" y="6733"/>
                            <a:ext cx="0" cy="468"/>
                          </a:xfrm>
                          <a:prstGeom prst="line">
                            <a:avLst/>
                          </a:prstGeom>
                          <a:noFill/>
                          <a:ln w="9525">
                            <a:solidFill>
                              <a:srgbClr val="000000"/>
                            </a:solidFill>
                            <a:round/>
                            <a:tailEnd type="triangle" w="med" len="med"/>
                          </a:ln>
                        </wps:spPr>
                        <wps:bodyPr/>
                      </wps:wsp>
                      <wps:wsp>
                        <wps:cNvPr id="182" name="Line 249"/>
                        <wps:cNvCnPr/>
                        <wps:spPr bwMode="auto">
                          <a:xfrm>
                            <a:off x="3777" y="6889"/>
                            <a:ext cx="4140" cy="0"/>
                          </a:xfrm>
                          <a:prstGeom prst="line">
                            <a:avLst/>
                          </a:prstGeom>
                          <a:noFill/>
                          <a:ln w="9525">
                            <a:solidFill>
                              <a:srgbClr val="000000"/>
                            </a:solidFill>
                            <a:round/>
                          </a:ln>
                        </wps:spPr>
                        <wps:bodyPr/>
                      </wps:wsp>
                      <wps:wsp>
                        <wps:cNvPr id="183" name="Line 250"/>
                        <wps:cNvCnPr/>
                        <wps:spPr bwMode="auto">
                          <a:xfrm>
                            <a:off x="3777" y="6889"/>
                            <a:ext cx="0" cy="312"/>
                          </a:xfrm>
                          <a:prstGeom prst="line">
                            <a:avLst/>
                          </a:prstGeom>
                          <a:noFill/>
                          <a:ln w="9525">
                            <a:solidFill>
                              <a:srgbClr val="000000"/>
                            </a:solidFill>
                            <a:round/>
                            <a:tailEnd type="triangle" w="med" len="med"/>
                          </a:ln>
                        </wps:spPr>
                        <wps:bodyPr/>
                      </wps:wsp>
                      <wps:wsp>
                        <wps:cNvPr id="184" name="Line 251"/>
                        <wps:cNvCnPr/>
                        <wps:spPr bwMode="auto">
                          <a:xfrm>
                            <a:off x="7917" y="6889"/>
                            <a:ext cx="0" cy="312"/>
                          </a:xfrm>
                          <a:prstGeom prst="line">
                            <a:avLst/>
                          </a:prstGeom>
                          <a:noFill/>
                          <a:ln w="9525">
                            <a:solidFill>
                              <a:srgbClr val="000000"/>
                            </a:solidFill>
                            <a:round/>
                            <a:tailEnd type="triangle" w="med" len="med"/>
                          </a:ln>
                        </wps:spPr>
                        <wps:bodyPr/>
                      </wps:wsp>
                      <wps:wsp>
                        <wps:cNvPr id="185" name="Line 252"/>
                        <wps:cNvCnPr/>
                        <wps:spPr bwMode="auto">
                          <a:xfrm>
                            <a:off x="3777" y="8137"/>
                            <a:ext cx="4140" cy="0"/>
                          </a:xfrm>
                          <a:prstGeom prst="line">
                            <a:avLst/>
                          </a:prstGeom>
                          <a:noFill/>
                          <a:ln w="9525">
                            <a:solidFill>
                              <a:srgbClr val="000000"/>
                            </a:solidFill>
                            <a:round/>
                          </a:ln>
                        </wps:spPr>
                        <wps:bodyPr/>
                      </wps:wsp>
                      <wps:wsp>
                        <wps:cNvPr id="186" name="Line 253"/>
                        <wps:cNvCnPr/>
                        <wps:spPr bwMode="auto">
                          <a:xfrm>
                            <a:off x="3777" y="7981"/>
                            <a:ext cx="0" cy="156"/>
                          </a:xfrm>
                          <a:prstGeom prst="line">
                            <a:avLst/>
                          </a:prstGeom>
                          <a:noFill/>
                          <a:ln w="9525">
                            <a:solidFill>
                              <a:srgbClr val="000000"/>
                            </a:solidFill>
                            <a:round/>
                          </a:ln>
                        </wps:spPr>
                        <wps:bodyPr/>
                      </wps:wsp>
                      <wps:wsp>
                        <wps:cNvPr id="187" name="Line 254"/>
                        <wps:cNvCnPr/>
                        <wps:spPr bwMode="auto">
                          <a:xfrm>
                            <a:off x="7917" y="7981"/>
                            <a:ext cx="0" cy="156"/>
                          </a:xfrm>
                          <a:prstGeom prst="line">
                            <a:avLst/>
                          </a:prstGeom>
                          <a:noFill/>
                          <a:ln w="9525">
                            <a:solidFill>
                              <a:srgbClr val="000000"/>
                            </a:solidFill>
                            <a:round/>
                          </a:ln>
                        </wps:spPr>
                        <wps:bodyPr/>
                      </wps:wsp>
                      <wps:wsp>
                        <wps:cNvPr id="188" name="Line 255"/>
                        <wps:cNvCnPr/>
                        <wps:spPr bwMode="auto">
                          <a:xfrm>
                            <a:off x="4497" y="8478"/>
                            <a:ext cx="0" cy="258"/>
                          </a:xfrm>
                          <a:prstGeom prst="line">
                            <a:avLst/>
                          </a:prstGeom>
                          <a:noFill/>
                          <a:ln w="9525">
                            <a:solidFill>
                              <a:srgbClr val="000000"/>
                            </a:solidFill>
                            <a:round/>
                            <a:tailEnd type="triangle" w="med" len="med"/>
                          </a:ln>
                        </wps:spPr>
                        <wps:bodyPr/>
                      </wps:wsp>
                      <wps:wsp>
                        <wps:cNvPr id="189" name="Line 256"/>
                        <wps:cNvCnPr/>
                        <wps:spPr bwMode="auto">
                          <a:xfrm>
                            <a:off x="2697" y="10296"/>
                            <a:ext cx="6480" cy="0"/>
                          </a:xfrm>
                          <a:prstGeom prst="line">
                            <a:avLst/>
                          </a:prstGeom>
                          <a:noFill/>
                          <a:ln w="9525">
                            <a:solidFill>
                              <a:srgbClr val="000000"/>
                            </a:solidFill>
                            <a:round/>
                          </a:ln>
                        </wps:spPr>
                        <wps:bodyPr/>
                      </wps:wsp>
                      <wps:wsp>
                        <wps:cNvPr id="190" name="Line 257"/>
                        <wps:cNvCnPr/>
                        <wps:spPr bwMode="auto">
                          <a:xfrm>
                            <a:off x="9177" y="10140"/>
                            <a:ext cx="0" cy="156"/>
                          </a:xfrm>
                          <a:prstGeom prst="line">
                            <a:avLst/>
                          </a:prstGeom>
                          <a:noFill/>
                          <a:ln w="9525">
                            <a:solidFill>
                              <a:srgbClr val="000000"/>
                            </a:solidFill>
                            <a:round/>
                          </a:ln>
                        </wps:spPr>
                        <wps:bodyPr/>
                      </wps:wsp>
                      <wps:wsp>
                        <wps:cNvPr id="191" name="Line 258"/>
                        <wps:cNvCnPr/>
                        <wps:spPr bwMode="auto">
                          <a:xfrm>
                            <a:off x="7377" y="10140"/>
                            <a:ext cx="0" cy="156"/>
                          </a:xfrm>
                          <a:prstGeom prst="line">
                            <a:avLst/>
                          </a:prstGeom>
                          <a:noFill/>
                          <a:ln w="9525">
                            <a:solidFill>
                              <a:srgbClr val="000000"/>
                            </a:solidFill>
                            <a:round/>
                          </a:ln>
                        </wps:spPr>
                        <wps:bodyPr/>
                      </wps:wsp>
                      <wps:wsp>
                        <wps:cNvPr id="284" name="Line 259"/>
                        <wps:cNvCnPr/>
                        <wps:spPr bwMode="auto">
                          <a:xfrm>
                            <a:off x="4497" y="10140"/>
                            <a:ext cx="0" cy="156"/>
                          </a:xfrm>
                          <a:prstGeom prst="line">
                            <a:avLst/>
                          </a:prstGeom>
                          <a:noFill/>
                          <a:ln w="9525">
                            <a:solidFill>
                              <a:srgbClr val="000000"/>
                            </a:solidFill>
                            <a:round/>
                          </a:ln>
                        </wps:spPr>
                        <wps:bodyPr/>
                      </wps:wsp>
                      <wps:wsp>
                        <wps:cNvPr id="288" name="Line 260"/>
                        <wps:cNvCnPr/>
                        <wps:spPr bwMode="auto">
                          <a:xfrm>
                            <a:off x="2697" y="10140"/>
                            <a:ext cx="0" cy="156"/>
                          </a:xfrm>
                          <a:prstGeom prst="line">
                            <a:avLst/>
                          </a:prstGeom>
                          <a:noFill/>
                          <a:ln w="9525">
                            <a:solidFill>
                              <a:srgbClr val="000000"/>
                            </a:solidFill>
                            <a:round/>
                          </a:ln>
                        </wps:spPr>
                        <wps:bodyPr/>
                      </wps:wsp>
                      <wps:wsp>
                        <wps:cNvPr id="289" name="Line 261"/>
                        <wps:cNvCnPr/>
                        <wps:spPr bwMode="auto">
                          <a:xfrm>
                            <a:off x="7364" y="11598"/>
                            <a:ext cx="0" cy="258"/>
                          </a:xfrm>
                          <a:prstGeom prst="line">
                            <a:avLst/>
                          </a:prstGeom>
                          <a:noFill/>
                          <a:ln w="9525">
                            <a:solidFill>
                              <a:srgbClr val="000000"/>
                            </a:solidFill>
                            <a:round/>
                            <a:tailEnd type="triangle" w="med" len="med"/>
                          </a:ln>
                        </wps:spPr>
                        <wps:bodyPr/>
                      </wps:wsp>
                      <wps:wsp>
                        <wps:cNvPr id="290" name="Line 262"/>
                        <wps:cNvCnPr/>
                        <wps:spPr bwMode="auto">
                          <a:xfrm>
                            <a:off x="2633" y="11604"/>
                            <a:ext cx="0" cy="252"/>
                          </a:xfrm>
                          <a:prstGeom prst="line">
                            <a:avLst/>
                          </a:prstGeom>
                          <a:noFill/>
                          <a:ln w="9525">
                            <a:solidFill>
                              <a:srgbClr val="000000"/>
                            </a:solidFill>
                            <a:round/>
                            <a:tailEnd type="triangle" w="med" len="med"/>
                          </a:ln>
                        </wps:spPr>
                        <wps:bodyPr/>
                      </wps:wsp>
                      <wps:wsp>
                        <wps:cNvPr id="291" name="Line 263"/>
                        <wps:cNvCnPr/>
                        <wps:spPr bwMode="auto">
                          <a:xfrm flipH="1">
                            <a:off x="5924" y="11388"/>
                            <a:ext cx="9" cy="468"/>
                          </a:xfrm>
                          <a:prstGeom prst="line">
                            <a:avLst/>
                          </a:prstGeom>
                          <a:noFill/>
                          <a:ln w="9525">
                            <a:solidFill>
                              <a:srgbClr val="000000"/>
                            </a:solidFill>
                            <a:round/>
                            <a:tailEnd type="triangle" w="med" len="med"/>
                          </a:ln>
                        </wps:spPr>
                        <wps:bodyPr/>
                      </wps:wsp>
                      <wps:wsp>
                        <wps:cNvPr id="292" name="Line 264"/>
                        <wps:cNvCnPr/>
                        <wps:spPr bwMode="auto">
                          <a:xfrm>
                            <a:off x="2639" y="11588"/>
                            <a:ext cx="6525" cy="0"/>
                          </a:xfrm>
                          <a:prstGeom prst="line">
                            <a:avLst/>
                          </a:prstGeom>
                          <a:noFill/>
                          <a:ln w="9525">
                            <a:solidFill>
                              <a:srgbClr val="000000"/>
                            </a:solidFill>
                            <a:round/>
                          </a:ln>
                        </wps:spPr>
                        <wps:bodyPr/>
                      </wps:wsp>
                      <wps:wsp>
                        <wps:cNvPr id="293" name="Line 265"/>
                        <wps:cNvCnPr/>
                        <wps:spPr bwMode="auto">
                          <a:xfrm>
                            <a:off x="4484" y="11598"/>
                            <a:ext cx="0" cy="258"/>
                          </a:xfrm>
                          <a:prstGeom prst="line">
                            <a:avLst/>
                          </a:prstGeom>
                          <a:noFill/>
                          <a:ln w="9525">
                            <a:solidFill>
                              <a:srgbClr val="000000"/>
                            </a:solidFill>
                            <a:round/>
                            <a:tailEnd type="triangle" w="med" len="med"/>
                          </a:ln>
                        </wps:spPr>
                        <wps:bodyPr/>
                      </wps:wsp>
                      <wps:wsp>
                        <wps:cNvPr id="294" name="Line 266"/>
                        <wps:cNvCnPr/>
                        <wps:spPr bwMode="auto">
                          <a:xfrm>
                            <a:off x="9177" y="8478"/>
                            <a:ext cx="0" cy="258"/>
                          </a:xfrm>
                          <a:prstGeom prst="line">
                            <a:avLst/>
                          </a:prstGeom>
                          <a:noFill/>
                          <a:ln w="9525">
                            <a:solidFill>
                              <a:srgbClr val="000000"/>
                            </a:solidFill>
                            <a:round/>
                            <a:tailEnd type="triangle" w="med" len="med"/>
                          </a:ln>
                        </wps:spPr>
                        <wps:bodyPr/>
                      </wps:wsp>
                      <wps:wsp>
                        <wps:cNvPr id="295" name="Line 267"/>
                        <wps:cNvCnPr/>
                        <wps:spPr bwMode="auto">
                          <a:xfrm>
                            <a:off x="9177" y="11598"/>
                            <a:ext cx="0" cy="258"/>
                          </a:xfrm>
                          <a:prstGeom prst="line">
                            <a:avLst/>
                          </a:prstGeom>
                          <a:noFill/>
                          <a:ln w="9525">
                            <a:solidFill>
                              <a:srgbClr val="000000"/>
                            </a:solidFill>
                            <a:round/>
                            <a:tailEnd type="triangle" w="med" len="med"/>
                          </a:ln>
                        </wps:spPr>
                        <wps:bodyPr/>
                      </wps:wsp>
                      <wps:wsp>
                        <wps:cNvPr id="296" name="Line 268"/>
                        <wps:cNvCnPr/>
                        <wps:spPr bwMode="auto">
                          <a:xfrm>
                            <a:off x="5937" y="13104"/>
                            <a:ext cx="0" cy="468"/>
                          </a:xfrm>
                          <a:prstGeom prst="line">
                            <a:avLst/>
                          </a:prstGeom>
                          <a:noFill/>
                          <a:ln w="9525">
                            <a:solidFill>
                              <a:srgbClr val="000000"/>
                            </a:solidFill>
                            <a:round/>
                            <a:tailEnd type="triangle" w="med" len="med"/>
                          </a:ln>
                        </wps:spPr>
                        <wps:bodyPr/>
                      </wps:wsp>
                      <wps:wsp>
                        <wps:cNvPr id="297" name="Line 269"/>
                        <wps:cNvCnPr/>
                        <wps:spPr bwMode="auto">
                          <a:xfrm>
                            <a:off x="2697" y="13260"/>
                            <a:ext cx="6480" cy="0"/>
                          </a:xfrm>
                          <a:prstGeom prst="line">
                            <a:avLst/>
                          </a:prstGeom>
                          <a:noFill/>
                          <a:ln w="9525">
                            <a:solidFill>
                              <a:srgbClr val="000000"/>
                            </a:solidFill>
                            <a:round/>
                          </a:ln>
                        </wps:spPr>
                        <wps:bodyPr/>
                      </wps:wsp>
                      <wps:wsp>
                        <wps:cNvPr id="298" name="Line 270"/>
                        <wps:cNvCnPr/>
                        <wps:spPr bwMode="auto">
                          <a:xfrm>
                            <a:off x="9177" y="13104"/>
                            <a:ext cx="0" cy="156"/>
                          </a:xfrm>
                          <a:prstGeom prst="line">
                            <a:avLst/>
                          </a:prstGeom>
                          <a:noFill/>
                          <a:ln w="9525">
                            <a:solidFill>
                              <a:srgbClr val="000000"/>
                            </a:solidFill>
                            <a:round/>
                          </a:ln>
                        </wps:spPr>
                        <wps:bodyPr/>
                      </wps:wsp>
                      <wps:wsp>
                        <wps:cNvPr id="299" name="Line 271"/>
                        <wps:cNvCnPr/>
                        <wps:spPr bwMode="auto">
                          <a:xfrm>
                            <a:off x="7377" y="13104"/>
                            <a:ext cx="0" cy="156"/>
                          </a:xfrm>
                          <a:prstGeom prst="line">
                            <a:avLst/>
                          </a:prstGeom>
                          <a:noFill/>
                          <a:ln w="9525">
                            <a:solidFill>
                              <a:srgbClr val="000000"/>
                            </a:solidFill>
                            <a:round/>
                          </a:ln>
                        </wps:spPr>
                        <wps:bodyPr/>
                      </wps:wsp>
                      <wps:wsp>
                        <wps:cNvPr id="300" name="Line 272"/>
                        <wps:cNvCnPr/>
                        <wps:spPr bwMode="auto">
                          <a:xfrm>
                            <a:off x="4497" y="13104"/>
                            <a:ext cx="0" cy="156"/>
                          </a:xfrm>
                          <a:prstGeom prst="line">
                            <a:avLst/>
                          </a:prstGeom>
                          <a:noFill/>
                          <a:ln w="9525">
                            <a:solidFill>
                              <a:srgbClr val="000000"/>
                            </a:solidFill>
                            <a:round/>
                          </a:ln>
                        </wps:spPr>
                        <wps:bodyPr/>
                      </wps:wsp>
                      <wps:wsp>
                        <wps:cNvPr id="301" name="Line 273"/>
                        <wps:cNvCnPr/>
                        <wps:spPr bwMode="auto">
                          <a:xfrm>
                            <a:off x="2697" y="13104"/>
                            <a:ext cx="0" cy="156"/>
                          </a:xfrm>
                          <a:prstGeom prst="line">
                            <a:avLst/>
                          </a:prstGeom>
                          <a:noFill/>
                          <a:ln w="9525">
                            <a:solidFill>
                              <a:srgbClr val="000000"/>
                            </a:solidFill>
                            <a:round/>
                          </a:ln>
                        </wps:spPr>
                        <wps:bodyPr/>
                      </wps:wsp>
                      <wps:wsp>
                        <wps:cNvPr id="302" name="Line 274"/>
                        <wps:cNvCnPr/>
                        <wps:spPr bwMode="auto">
                          <a:xfrm>
                            <a:off x="1617" y="4211"/>
                            <a:ext cx="8460" cy="0"/>
                          </a:xfrm>
                          <a:prstGeom prst="line">
                            <a:avLst/>
                          </a:prstGeom>
                          <a:noFill/>
                          <a:ln w="9525">
                            <a:solidFill>
                              <a:srgbClr val="000000"/>
                            </a:solidFill>
                            <a:prstDash val="dash"/>
                            <a:round/>
                          </a:ln>
                        </wps:spPr>
                        <wps:bodyPr/>
                      </wps:wsp>
                      <wps:wsp>
                        <wps:cNvPr id="303" name="Line 275"/>
                        <wps:cNvCnPr/>
                        <wps:spPr bwMode="auto">
                          <a:xfrm>
                            <a:off x="1317" y="8394"/>
                            <a:ext cx="8640" cy="0"/>
                          </a:xfrm>
                          <a:prstGeom prst="line">
                            <a:avLst/>
                          </a:prstGeom>
                          <a:noFill/>
                          <a:ln w="9525">
                            <a:solidFill>
                              <a:srgbClr val="000000"/>
                            </a:solidFill>
                            <a:prstDash val="dash"/>
                            <a:round/>
                          </a:ln>
                        </wps:spPr>
                        <wps:bodyPr/>
                      </wps:wsp>
                      <wps:wsp>
                        <wps:cNvPr id="304" name="Line 276"/>
                        <wps:cNvCnPr/>
                        <wps:spPr bwMode="auto">
                          <a:xfrm>
                            <a:off x="1467" y="14196"/>
                            <a:ext cx="8460" cy="0"/>
                          </a:xfrm>
                          <a:prstGeom prst="line">
                            <a:avLst/>
                          </a:prstGeom>
                          <a:noFill/>
                          <a:ln w="9525">
                            <a:solidFill>
                              <a:srgbClr val="000000"/>
                            </a:solidFill>
                            <a:prstDash val="dash"/>
                            <a:round/>
                          </a:ln>
                        </wps:spPr>
                        <wps:bodyPr/>
                      </wps:wsp>
                      <wps:wsp>
                        <wps:cNvPr id="305" name="Line 277"/>
                        <wps:cNvCnPr/>
                        <wps:spPr bwMode="auto">
                          <a:xfrm flipH="1">
                            <a:off x="9970" y="4211"/>
                            <a:ext cx="101" cy="10921"/>
                          </a:xfrm>
                          <a:prstGeom prst="line">
                            <a:avLst/>
                          </a:prstGeom>
                          <a:noFill/>
                          <a:ln w="9525">
                            <a:solidFill>
                              <a:srgbClr val="000000"/>
                            </a:solidFill>
                            <a:prstDash val="dash"/>
                            <a:round/>
                          </a:ln>
                        </wps:spPr>
                        <wps:bodyPr/>
                      </wps:wsp>
                      <wps:wsp>
                        <wps:cNvPr id="306" name="Line 278"/>
                        <wps:cNvCnPr/>
                        <wps:spPr bwMode="auto">
                          <a:xfrm flipH="1">
                            <a:off x="1969" y="4211"/>
                            <a:ext cx="100" cy="10921"/>
                          </a:xfrm>
                          <a:prstGeom prst="line">
                            <a:avLst/>
                          </a:prstGeom>
                          <a:noFill/>
                          <a:ln w="9525">
                            <a:solidFill>
                              <a:srgbClr val="000000"/>
                            </a:solidFill>
                            <a:prstDash val="dash"/>
                            <a:round/>
                          </a:ln>
                        </wps:spPr>
                        <wps:bodyPr/>
                      </wps:wsp>
                      <wps:wsp>
                        <wps:cNvPr id="307" name="Line 279"/>
                        <wps:cNvCnPr/>
                        <wps:spPr bwMode="auto">
                          <a:xfrm>
                            <a:off x="1467" y="15132"/>
                            <a:ext cx="8460" cy="0"/>
                          </a:xfrm>
                          <a:prstGeom prst="line">
                            <a:avLst/>
                          </a:prstGeom>
                          <a:noFill/>
                          <a:ln w="9525">
                            <a:solidFill>
                              <a:srgbClr val="000000"/>
                            </a:solidFill>
                            <a:prstDash val="dash"/>
                            <a:round/>
                          </a:ln>
                        </wps:spPr>
                        <wps:bodyPr/>
                      </wps:wsp>
                    </wpg:wgp>
                  </a:graphicData>
                </a:graphic>
              </wp:anchor>
            </w:drawing>
          </mc:Choice>
          <mc:Fallback>
            <w:pict>
              <v:group id="_x0000_s1026" o:spid="_x0000_s1026" o:spt="203" style="position:absolute;left:0pt;margin-left:-18pt;margin-top:15.3pt;height:612pt;width:474pt;z-index:251678720;mso-width-relative:page;mso-height-relative:page;" coordorigin="1317,3613" coordsize="8760,11519" o:gfxdata="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">
                <o:lock v:ext="edit" aspectratio="f"/>
                <v:rect id="Rectangle 214" o:spid="_x0000_s1026" o:spt="1" style="position:absolute;left:2157;top:11856;height:1248;width:1260;" fillcolor="#FFFFFF" filled="t" stroked="t" coordsize="21600,21600" o:gfxdata="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bu/A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pStyle w:val="18"/>
                          <w:pBdr>
                            <w:bottom w:val="none" w:color="auto" w:sz="0" w:space="0"/>
                          </w:pBdr>
                          <w:tabs>
                            <w:tab w:val="clear" w:pos="4153"/>
                            <w:tab w:val="clear" w:pos="8306"/>
                          </w:tabs>
                          <w:snapToGrid/>
                          <w:spacing w:line="320" w:lineRule="exact"/>
                        </w:pPr>
                        <w:r>
                          <w:rPr>
                            <w:rFonts w:hint="eastAsia"/>
                          </w:rPr>
                          <w:t>工程建设和运行情况调查结果</w:t>
                        </w:r>
                      </w:p>
                    </w:txbxContent>
                  </v:textbox>
                </v:rect>
                <v:rect id="Rectangle 215" o:spid="_x0000_s1026" o:spt="1" style="position:absolute;left:7017;top:11856;height:1248;width:1260;" fillcolor="#FFFFFF" filled="t" stroked="t" coordsize="21600,21600" o:gfxdata="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siSlu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pStyle w:val="18"/>
                          <w:pBdr>
                            <w:bottom w:val="none" w:color="auto" w:sz="0" w:space="0"/>
                          </w:pBdr>
                          <w:tabs>
                            <w:tab w:val="clear" w:pos="4153"/>
                            <w:tab w:val="clear" w:pos="8306"/>
                          </w:tabs>
                          <w:snapToGrid/>
                          <w:spacing w:line="320" w:lineRule="exact"/>
                        </w:pPr>
                        <w:r>
                          <w:rPr>
                            <w:rFonts w:hint="eastAsia"/>
                          </w:rPr>
                          <w:t>公众意见调查结果及分析</w:t>
                        </w:r>
                      </w:p>
                    </w:txbxContent>
                  </v:textbox>
                </v:rect>
                <v:rect id="Rectangle 216" o:spid="_x0000_s1026" o:spt="1" style="position:absolute;left:3777;top:3613;height:468;width:4140;" fillcolor="#FFFFFF" filled="t" stroked="t" coordsize="21600,21600" o:gfxdata="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y9Iv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pStyle w:val="18"/>
                          <w:pBdr>
                            <w:bottom w:val="none" w:color="auto" w:sz="0" w:space="0"/>
                          </w:pBdr>
                          <w:tabs>
                            <w:tab w:val="clear" w:pos="4153"/>
                            <w:tab w:val="clear" w:pos="8306"/>
                          </w:tabs>
                          <w:snapToGrid/>
                          <w:spacing w:line="320" w:lineRule="exact"/>
                        </w:pPr>
                        <w:r>
                          <w:rPr>
                            <w:rFonts w:hint="eastAsia"/>
                          </w:rPr>
                          <w:t>接受本工程竣工环境保护收调查委托</w:t>
                        </w:r>
                      </w:p>
                    </w:txbxContent>
                  </v:textbox>
                </v:rect>
                <v:line id="Line 217" o:spid="_x0000_s1026" o:spt="20" style="position:absolute;left:5840;top:4081;height:312;width:0;" filled="f" stroked="t" coordsize="21600,21600" o:gfxdata="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eylY6/&#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Rectangle 218" o:spid="_x0000_s1026" o:spt="1" style="position:absolute;left:2157;top:4705;height:1092;width:3240;" fillcolor="#FFFFFF" filled="t" stroked="t" coordsize="21600,21600" o:gfxdata="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V6cO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pStyle w:val="18"/>
                          <w:pBdr>
                            <w:bottom w:val="none" w:color="auto" w:sz="0" w:space="0"/>
                          </w:pBdr>
                          <w:tabs>
                            <w:tab w:val="clear" w:pos="4153"/>
                            <w:tab w:val="clear" w:pos="8306"/>
                          </w:tabs>
                          <w:snapToGrid/>
                          <w:spacing w:line="320" w:lineRule="exact"/>
                        </w:pPr>
                        <w:r>
                          <w:rPr>
                            <w:rFonts w:hint="eastAsia"/>
                          </w:rPr>
                          <w:t>收集研读资料：环境影响评价及审批文件、设计资料及审批文件、其它基础资料</w:t>
                        </w:r>
                      </w:p>
                    </w:txbxContent>
                  </v:textbox>
                </v:rect>
                <v:line id="Line 219" o:spid="_x0000_s1026" o:spt="20" style="position:absolute;left:5937;top:14040;height:329;width:0;" filled="f" stroked="t" coordsize="21600,21600" o:gfxdata="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srmK/&#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Rectangle 220" o:spid="_x0000_s1026" o:spt="1" style="position:absolute;left:4317;top:13572;height:494;width:3074;" fillcolor="#FFFFFF" filled="t" stroked="t" coordsize="21600,21600" o:gfxdata="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htgqugAAANs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pPr>
                          <w:pStyle w:val="18"/>
                          <w:pBdr>
                            <w:bottom w:val="none" w:color="auto" w:sz="0" w:space="0"/>
                          </w:pBdr>
                          <w:tabs>
                            <w:tab w:val="clear" w:pos="4153"/>
                            <w:tab w:val="clear" w:pos="8306"/>
                          </w:tabs>
                          <w:snapToGrid/>
                          <w:spacing w:line="320" w:lineRule="exact"/>
                          <w:jc w:val="both"/>
                        </w:pPr>
                        <w:r>
                          <w:rPr>
                            <w:rFonts w:hint="eastAsia"/>
                          </w:rPr>
                          <w:t>编写本工程验收环境保护调查报告</w:t>
                        </w:r>
                      </w:p>
                    </w:txbxContent>
                  </v:textbox>
                </v:rect>
                <v:rect id="Rectangle 221" o:spid="_x0000_s1026" o:spt="1" style="position:absolute;left:3417;top:14352;height:468;width:4860;" fillcolor="#FFFFFF" filled="t" stroked="t" coordsize="21600,21600" o:gfxdata="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ilC8bsAAADb&#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pPr>
                          <w:pStyle w:val="18"/>
                          <w:pBdr>
                            <w:bottom w:val="none" w:color="auto" w:sz="0" w:space="0"/>
                          </w:pBdr>
                          <w:tabs>
                            <w:tab w:val="clear" w:pos="4153"/>
                            <w:tab w:val="clear" w:pos="8306"/>
                          </w:tabs>
                          <w:snapToGrid/>
                          <w:spacing w:line="320" w:lineRule="exact"/>
                        </w:pPr>
                        <w:r>
                          <w:rPr>
                            <w:rFonts w:hint="eastAsia"/>
                          </w:rPr>
                          <w:t>为本工程竣工环境保护验收现场检查提供技术支持</w:t>
                        </w:r>
                      </w:p>
                    </w:txbxContent>
                  </v:textbox>
                </v:rect>
                <v:rect id="Rectangle 222" o:spid="_x0000_s1026" o:spt="1" style="position:absolute;left:3521;top:11856;height:1248;width:1788;" fillcolor="#FFFFFF" filled="t" stroked="t" coordsize="21600,21600" o:gfxdata="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jH8e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pStyle w:val="24"/>
                          <w:spacing w:after="0" w:line="200" w:lineRule="atLeast"/>
                          <w:jc w:val="center"/>
                          <w:rPr>
                            <w:sz w:val="18"/>
                            <w:szCs w:val="18"/>
                          </w:rPr>
                        </w:pPr>
                        <w:r>
                          <w:rPr>
                            <w:rFonts w:hint="eastAsia"/>
                            <w:sz w:val="18"/>
                            <w:szCs w:val="18"/>
                          </w:rPr>
                          <w:t>环境保护措施落实和环境保护设施运行情况及效果调查结果</w:t>
                        </w:r>
                      </w:p>
                    </w:txbxContent>
                  </v:textbox>
                </v:rect>
                <v:rect id="Rectangle 223" o:spid="_x0000_s1026" o:spt="1" style="position:absolute;left:8457;top:11856;height:1248;width:1260;" fillcolor="#FFFFFF" filled="t" stroked="t" coordsize="21600,21600" o:gfxdata="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aJy9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pStyle w:val="10"/>
                          <w:spacing w:after="0" w:line="240" w:lineRule="atLeast"/>
                          <w:rPr>
                            <w:rFonts w:ascii="宋体" w:hAnsi="宋体"/>
                            <w:sz w:val="18"/>
                            <w:szCs w:val="24"/>
                            <w:lang w:val="zh-CN"/>
                          </w:rPr>
                        </w:pPr>
                        <w:r>
                          <w:rPr>
                            <w:rFonts w:hint="eastAsia" w:ascii="宋体" w:hAnsi="宋体"/>
                            <w:sz w:val="18"/>
                            <w:szCs w:val="24"/>
                            <w:lang w:val="zh-CN"/>
                          </w:rPr>
                          <w:t>存在的环境问题及补救措施建议</w:t>
                        </w:r>
                      </w:p>
                    </w:txbxContent>
                  </v:textbox>
                </v:rect>
                <v:line id="Line 224" o:spid="_x0000_s1026" o:spt="20" style="position:absolute;left:5937;top:7955;height:794;width:0;" filled="f" stroked="t" coordsize="21600,21600" o:gfxdata="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8R2xy/&#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Rectangle 225" o:spid="_x0000_s1026" o:spt="1" style="position:absolute;left:6117;top:4705;height:1092;width:3600;" fillcolor="#FFFFFF" filled="t" stroked="t" coordsize="21600,21600" o:gfxdata="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zaFS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pStyle w:val="18"/>
                          <w:pBdr>
                            <w:bottom w:val="none" w:color="auto" w:sz="0" w:space="0"/>
                          </w:pBdr>
                          <w:tabs>
                            <w:tab w:val="clear" w:pos="4153"/>
                            <w:tab w:val="clear" w:pos="8306"/>
                          </w:tabs>
                          <w:snapToGrid/>
                          <w:spacing w:line="320" w:lineRule="exact"/>
                        </w:pPr>
                        <w:r>
                          <w:rPr>
                            <w:rFonts w:hint="eastAsia"/>
                          </w:rPr>
                          <w:t>现场初步调查：工程概况、运行概况、环境概况、环境保护目标、主要环境影响、环保设施、环保措施及环境问题等</w:t>
                        </w:r>
                      </w:p>
                    </w:txbxContent>
                  </v:textbox>
                </v:rect>
                <v:rect id="Rectangle 226" o:spid="_x0000_s1026" o:spt="1" style="position:absolute;left:4677;top:6265;height:468;width:2520;" fillcolor="#FFFFFF" filled="t" stroked="t" coordsize="21600,21600" o:gfxdata="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4EEyb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pStyle w:val="18"/>
                          <w:pBdr>
                            <w:bottom w:val="none" w:color="auto" w:sz="0" w:space="0"/>
                          </w:pBdr>
                          <w:tabs>
                            <w:tab w:val="clear" w:pos="4153"/>
                            <w:tab w:val="clear" w:pos="8306"/>
                          </w:tabs>
                          <w:snapToGrid/>
                          <w:spacing w:line="320" w:lineRule="exact"/>
                        </w:pPr>
                        <w:r>
                          <w:rPr>
                            <w:rFonts w:hint="eastAsia"/>
                          </w:rPr>
                          <w:t>制定验收调查工作方案</w:t>
                        </w:r>
                      </w:p>
                    </w:txbxContent>
                  </v:textbox>
                </v:rect>
                <v:rect id="Rectangle 227" o:spid="_x0000_s1026" o:spt="1" style="position:absolute;left:2157;top:7201;height:780;width:2340;" fillcolor="#FFFFFF" filled="t" stroked="t" coordsize="21600,21600" o:gfxdata="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NTmr6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pStyle w:val="18"/>
                          <w:pBdr>
                            <w:bottom w:val="none" w:color="auto" w:sz="0" w:space="0"/>
                          </w:pBdr>
                          <w:tabs>
                            <w:tab w:val="clear" w:pos="4153"/>
                            <w:tab w:val="clear" w:pos="8306"/>
                          </w:tabs>
                          <w:snapToGrid/>
                          <w:spacing w:line="320" w:lineRule="exact"/>
                        </w:pPr>
                        <w:r>
                          <w:rPr>
                            <w:rFonts w:hint="eastAsia"/>
                          </w:rPr>
                          <w:t>确定验收调查范围、环境保护目标、执行标准</w:t>
                        </w:r>
                      </w:p>
                    </w:txbxContent>
                  </v:textbox>
                </v:rect>
                <v:rect id="Rectangle 228" o:spid="_x0000_s1026" o:spt="1" style="position:absolute;left:4857;top:7201;height:780;width:2340;" fillcolor="#FFFFFF" filled="t" stroked="t" coordsize="21600,21600" o:gfxdata="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Hz8l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pStyle w:val="18"/>
                          <w:pBdr>
                            <w:bottom w:val="none" w:color="auto" w:sz="0" w:space="0"/>
                          </w:pBdr>
                          <w:tabs>
                            <w:tab w:val="clear" w:pos="4153"/>
                            <w:tab w:val="clear" w:pos="8306"/>
                          </w:tabs>
                          <w:snapToGrid/>
                          <w:spacing w:line="320" w:lineRule="exact"/>
                        </w:pPr>
                        <w:r>
                          <w:rPr>
                            <w:rFonts w:hint="eastAsia"/>
                          </w:rPr>
                          <w:t>确定验收调查内容、调查重点及采用的方法</w:t>
                        </w:r>
                      </w:p>
                    </w:txbxContent>
                  </v:textbox>
                </v:rect>
                <v:rect id="Rectangle 229" o:spid="_x0000_s1026" o:spt="1" style="position:absolute;left:7377;top:7201;height:780;width:2340;" fillcolor="#FFFFFF" filled="t" stroked="t" coordsize="21600,21600" o:gfxdata="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gKtXugAAANs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pPr>
                          <w:pStyle w:val="18"/>
                          <w:pBdr>
                            <w:bottom w:val="none" w:color="auto" w:sz="0" w:space="0"/>
                          </w:pBdr>
                          <w:tabs>
                            <w:tab w:val="clear" w:pos="4153"/>
                            <w:tab w:val="clear" w:pos="8306"/>
                          </w:tabs>
                          <w:snapToGrid/>
                          <w:spacing w:line="320" w:lineRule="exact"/>
                        </w:pPr>
                        <w:r>
                          <w:rPr>
                            <w:rFonts w:hint="eastAsia"/>
                          </w:rPr>
                          <w:t>预期成果、工作分工及进度安排等</w:t>
                        </w:r>
                      </w:p>
                    </w:txbxContent>
                  </v:textbox>
                </v:rect>
                <v:line id="Line 230" o:spid="_x0000_s1026" o:spt="20" style="position:absolute;left:7377;top:8478;height:258;width:0;" filled="f" stroked="t" coordsize="21600,21600" o:gfxdata="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757Pa/&#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Rectangle 231" o:spid="_x0000_s1026" o:spt="1" style="position:absolute;left:2157;top:8736;height:1404;width:1260;" fillcolor="#FFFFFF" filled="t" stroked="t" coordsize="21600,21600" o:gfxdata="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Zpt7LgAAADbAAAA&#10;DwAAAAAAAAABACAAAAAiAAAAZHJzL2Rvd25yZXYueG1sUEsBAhQAFAAAAAgAh07iQDMvBZ47AAAA&#10;OQAAABAAAAAAAAAAAQAgAAAABwEAAGRycy9zaGFwZXhtbC54bWxQSwUGAAAAAAYABgBbAQAAsQMA&#10;AAAA&#10;">
                  <v:fill on="t" focussize="0,0"/>
                  <v:stroke color="#000000" miterlimit="8" joinstyle="miter"/>
                  <v:imagedata o:title=""/>
                  <o:lock v:ext="edit" aspectratio="f"/>
                  <v:textbox>
                    <w:txbxContent>
                      <w:p>
                        <w:pPr>
                          <w:pStyle w:val="18"/>
                          <w:pBdr>
                            <w:bottom w:val="none" w:color="auto" w:sz="0" w:space="0"/>
                          </w:pBdr>
                          <w:tabs>
                            <w:tab w:val="clear" w:pos="4153"/>
                            <w:tab w:val="clear" w:pos="8306"/>
                          </w:tabs>
                          <w:snapToGrid/>
                          <w:spacing w:line="320" w:lineRule="exact"/>
                        </w:pPr>
                        <w:r>
                          <w:rPr>
                            <w:rFonts w:hint="eastAsia"/>
                          </w:rPr>
                          <w:t>环保措施落实情况及环保设施运行情况及效果检查</w:t>
                        </w:r>
                      </w:p>
                    </w:txbxContent>
                  </v:textbox>
                </v:rect>
                <v:rect id="Rectangle 232" o:spid="_x0000_s1026" o:spt="1" style="position:absolute;left:8817;top:8736;height:1404;width:900;" fillcolor="#FFFFFF" filled="t" stroked="t" coordsize="21600,21600" o:gfxdata="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WyHe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pStyle w:val="18"/>
                          <w:pBdr>
                            <w:bottom w:val="none" w:color="auto" w:sz="0" w:space="0"/>
                          </w:pBdr>
                          <w:tabs>
                            <w:tab w:val="clear" w:pos="4153"/>
                            <w:tab w:val="clear" w:pos="8306"/>
                          </w:tabs>
                          <w:snapToGrid/>
                          <w:spacing w:line="320" w:lineRule="exact"/>
                        </w:pPr>
                        <w:r>
                          <w:rPr>
                            <w:rFonts w:hint="eastAsia"/>
                          </w:rPr>
                          <w:t>公众意见调查</w:t>
                        </w:r>
                      </w:p>
                    </w:txbxContent>
                  </v:textbox>
                </v:rect>
                <v:line id="Line 233" o:spid="_x0000_s1026" o:spt="20" style="position:absolute;left:2646;top:8484;height:252;width:0;" filled="f" stroked="t" coordsize="21600,21600" o:gfxdata="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jG0O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Rectangle 234" o:spid="_x0000_s1026" o:spt="1" style="position:absolute;left:3777;top:8736;height:1404;width:1620;" fillcolor="#FFFFFF" filled="t" stroked="t" coordsize="21600,21600" o:gfxdata="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SPOb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pStyle w:val="24"/>
                          <w:spacing w:after="0" w:line="200" w:lineRule="atLeast"/>
                          <w:jc w:val="center"/>
                          <w:rPr>
                            <w:sz w:val="18"/>
                            <w:szCs w:val="18"/>
                          </w:rPr>
                        </w:pPr>
                        <w:r>
                          <w:rPr>
                            <w:rFonts w:hint="eastAsia"/>
                            <w:sz w:val="18"/>
                            <w:szCs w:val="18"/>
                          </w:rPr>
                          <w:t>工程阶段性生态、水文、水环境、大气和声环境等影响调查</w:t>
                        </w:r>
                      </w:p>
                    </w:txbxContent>
                  </v:textbox>
                </v:rect>
                <v:rect id="Rectangle 235" o:spid="_x0000_s1026" o:spt="1" style="position:absolute;left:5577;top:8736;height:1404;width:900;" fillcolor="#FFFFFF" filled="t" stroked="t" coordsize="21600,21600" o:gfxdata="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TIoeb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pStyle w:val="10"/>
                          <w:spacing w:after="0" w:line="200" w:lineRule="exact"/>
                          <w:rPr>
                            <w:sz w:val="18"/>
                          </w:rPr>
                        </w:pPr>
                        <w:r>
                          <w:rPr>
                            <w:rFonts w:hint="eastAsia" w:ascii="宋体" w:hAnsi="宋体"/>
                            <w:sz w:val="18"/>
                            <w:szCs w:val="24"/>
                            <w:lang w:val="zh-CN"/>
                          </w:rPr>
                          <w:t>生态调查、环境质量及污染源监测</w:t>
                        </w:r>
                      </w:p>
                    </w:txbxContent>
                  </v:textbox>
                </v:rect>
                <v:line id="Line 236" o:spid="_x0000_s1026" o:spt="20" style="position:absolute;left:2652;top:8468;height:0;width:6525;" filled="f" stroked="t" coordsize="21600,21600" o:gfxdata="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nJs2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237" o:spid="_x0000_s1026" o:spt="20" style="position:absolute;left:5937;top:10140;height:468;width:0;" filled="f" stroked="t" coordsize="21600,21600" o:gfxdata="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0TQL&#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Rectangle 238" o:spid="_x0000_s1026" o:spt="1" style="position:absolute;left:6837;top:8736;height:1404;width:1440;" fillcolor="#FFFFFF" filled="t" stroked="t" coordsize="21600,21600" o:gfxdata="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0Rc5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pPr>
                          <w:pStyle w:val="10"/>
                          <w:spacing w:after="0" w:line="240" w:lineRule="atLeast"/>
                          <w:rPr>
                            <w:rFonts w:ascii="宋体" w:hAnsi="宋体"/>
                            <w:sz w:val="18"/>
                            <w:szCs w:val="24"/>
                            <w:lang w:val="zh-CN"/>
                          </w:rPr>
                        </w:pPr>
                        <w:r>
                          <w:rPr>
                            <w:rFonts w:hint="eastAsia" w:ascii="宋体" w:hAnsi="宋体"/>
                            <w:sz w:val="18"/>
                            <w:szCs w:val="24"/>
                            <w:lang w:val="zh-CN"/>
                          </w:rPr>
                          <w:t>环境管理检查，包括监理、监测技术落实及环境风险防范等</w:t>
                        </w:r>
                      </w:p>
                    </w:txbxContent>
                  </v:textbox>
                </v:rect>
                <v:rect id="Rectangle 239" o:spid="_x0000_s1026" o:spt="1" style="position:absolute;left:3597;top:10608;height:799;width:4680;" fillcolor="#FFFFFF" filled="t" stroked="t" coordsize="21600,21600" o:gfxdata="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A4lO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pPr>
                          <w:pStyle w:val="18"/>
                          <w:pBdr>
                            <w:bottom w:val="none" w:color="auto" w:sz="0" w:space="0"/>
                          </w:pBdr>
                          <w:tabs>
                            <w:tab w:val="clear" w:pos="4153"/>
                            <w:tab w:val="clear" w:pos="8306"/>
                          </w:tabs>
                          <w:snapToGrid/>
                          <w:spacing w:line="320" w:lineRule="exact"/>
                        </w:pPr>
                        <w:r>
                          <w:rPr>
                            <w:rFonts w:hint="eastAsia"/>
                          </w:rPr>
                          <w:t>根据环境影响评价文件和审批文件、设计文件，对照相关标准，对调查结果进行整理、分析</w:t>
                        </w:r>
                      </w:p>
                    </w:txbxContent>
                  </v:textbox>
                </v:rect>
                <v:rect id="Rectangle 240" o:spid="_x0000_s1026" o:spt="1" style="position:absolute;left:5397;top:11856;height:1248;width:1440;" fillcolor="#FFFFFF" filled="t" stroked="t" coordsize="21600,21600" o:gfxdata="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yzV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pPr>
                          <w:pStyle w:val="24"/>
                          <w:spacing w:after="0" w:line="240" w:lineRule="atLeast"/>
                          <w:jc w:val="center"/>
                          <w:rPr>
                            <w:sz w:val="18"/>
                            <w:szCs w:val="18"/>
                          </w:rPr>
                        </w:pPr>
                        <w:r>
                          <w:rPr>
                            <w:rFonts w:hint="eastAsia"/>
                            <w:sz w:val="18"/>
                            <w:szCs w:val="18"/>
                          </w:rPr>
                          <w:t>各类环境影响调查及分析</w:t>
                        </w:r>
                      </w:p>
                    </w:txbxContent>
                  </v:textbox>
                </v:rect>
                <v:line id="Line 241" o:spid="_x0000_s1026" o:spt="20" style="position:absolute;left:3777;top:4393;height:0;width:4140;" filled="f" stroked="t" coordsize="21600,21600" o:gfxdata="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5vAC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242" o:spid="_x0000_s1026" o:spt="20" style="position:absolute;left:3777;top:4393;height:312;width:0;" filled="f" stroked="t" coordsize="21600,21600" o:gfxdata="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dAnk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243" o:spid="_x0000_s1026" o:spt="20" style="position:absolute;left:7917;top:4393;height:312;width:0;" filled="f" stroked="t" coordsize="21600,21600" o:gfxdata="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OKx/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244" o:spid="_x0000_s1026" o:spt="20" style="position:absolute;left:3777;top:5953;height:0;width:4140;" filled="f" stroked="t" coordsize="21600,21600" o:gfxdata="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nX5y/&#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245" o:spid="_x0000_s1026" o:spt="20" style="position:absolute;left:5937;top:5953;height:312;width:0;" filled="f" stroked="t" coordsize="21600,21600" o:gfxdata="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652W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246" o:spid="_x0000_s1026" o:spt="20" style="position:absolute;left:3777;top:5797;height:156;width:0;" filled="f" stroked="t" coordsize="21600,21600" o:gfxdata="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XIOe/&#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247" o:spid="_x0000_s1026" o:spt="20" style="position:absolute;left:7917;top:5797;height:156;width:0;" filled="f" stroked="t" coordsize="21600,21600" o:gfxdata="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umn2/&#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248" o:spid="_x0000_s1026" o:spt="20" style="position:absolute;left:5937;top:6733;height:468;width:0;" filled="f" stroked="t" coordsize="21600,21600" o:gfxdata="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Ilh3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249" o:spid="_x0000_s1026" o:spt="20" style="position:absolute;left:3777;top:6889;height:0;width:4140;" filled="f" stroked="t" coordsize="21600,21600" o:gfxdata="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sKGR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250" o:spid="_x0000_s1026" o:spt="20" style="position:absolute;left:3777;top:6889;height:312;width:0;" filled="f" stroked="t" coordsize="21600,21600" o:gfxdata="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vGOb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251" o:spid="_x0000_s1026" o:spt="20" style="position:absolute;left:7917;top:6889;height:312;width:0;" filled="f" stroked="t" coordsize="21600,21600" o:gfxdata="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Vfvv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252" o:spid="_x0000_s1026" o:spt="20" style="position:absolute;left:3777;top:8137;height:0;width:4140;" filled="f" stroked="t" coordsize="21600,21600" o:gfxdata="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WTnl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253" o:spid="_x0000_s1026" o:spt="20" style="position:absolute;left:3777;top:7981;height:156;width:0;" filled="f" stroked="t" coordsize="21600,21600" o:gfxdata="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mLp5K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Line 254" o:spid="_x0000_s1026" o:spt="20" style="position:absolute;left:7917;top:7981;height:156;width:0;" filled="f" stroked="t" coordsize="21600,21600" o:gfxdata="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xwIJ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255" o:spid="_x0000_s1026" o:spt="20" style="position:absolute;left:4497;top:8478;height:258;width:0;" filled="f" stroked="t" coordsize="21600,21600" o:gfxdata="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GPHq&#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256" o:spid="_x0000_s1026" o:spt="20" style="position:absolute;left:2697;top:10296;height:0;width:6480;" filled="f" stroked="t" coordsize="21600,21600" o:gfxdata="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FDPg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257" o:spid="_x0000_s1026" o:spt="20" style="position:absolute;left:9177;top:10140;height:156;width:0;" filled="f" stroked="t" coordsize="21600,21600" o:gfxdata="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z3DKC/&#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258" o:spid="_x0000_s1026" o:spt="20" style="position:absolute;left:7377;top:10140;height:156;width:0;" filled="f" stroked="t" coordsize="21600,21600" o:gfxdata="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7upO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259" o:spid="_x0000_s1026" o:spt="20" style="position:absolute;left:4497;top:10140;height:156;width:0;" filled="f" stroked="t" coordsize="21600,21600" o:gfxdata="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TD9A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260" o:spid="_x0000_s1026" o:spt="20" style="position:absolute;left:2697;top:10140;height:156;width:0;" filled="f" stroked="t" coordsize="21600,21600" o:gfxdata="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H33B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261" o:spid="_x0000_s1026" o:spt="20" style="position:absolute;left:7364;top:11598;height:258;width:0;" filled="f" stroked="t" coordsize="21600,21600" o:gfxdata="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xNQ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262" o:spid="_x0000_s1026" o:spt="20" style="position:absolute;left:2633;top:11604;height:252;width:0;" filled="f" stroked="t" coordsize="21600,21600" o:gfxdata="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WSCk2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Line 263" o:spid="_x0000_s1026" o:spt="20" style="position:absolute;left:5924;top:11388;flip:x;height:468;width:9;" filled="f" stroked="t" coordsize="21600,21600" o:gfxdata="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go2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264" o:spid="_x0000_s1026" o:spt="20" style="position:absolute;left:2639;top:11588;height:0;width:6525;" filled="f" stroked="t" coordsize="21600,21600" o:gfxdata="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TFYw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265" o:spid="_x0000_s1026" o:spt="20" style="position:absolute;left:4484;top:11598;height:258;width:0;" filled="f" stroked="t" coordsize="21600,21600" o:gfxdata="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QJQ6&#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266" o:spid="_x0000_s1026" o:spt="20" style="position:absolute;left:9177;top:8478;height:258;width:0;" filled="f" stroked="t" coordsize="21600,21600" o:gfxdata="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qQxO&#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267" o:spid="_x0000_s1026" o:spt="20" style="position:absolute;left:9177;top:11598;height:258;width:0;" filled="f" stroked="t" coordsize="21600,21600" o:gfxdata="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5anV&#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268" o:spid="_x0000_s1026" o:spt="20" style="position:absolute;left:5937;top:13104;height:468;width:0;" filled="f" stroked="t" coordsize="21600,21600" o:gfxdata="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3N6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269" o:spid="_x0000_s1026" o:spt="20" style="position:absolute;left:2697;top:13260;height:0;width:6480;" filled="f" stroked="t" coordsize="21600,21600" o:gfxdata="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79ai/&#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270" o:spid="_x0000_s1026" o:spt="20" style="position:absolute;left:9177;top:13104;height:156;width:0;" filled="f" stroked="t" coordsize="21600,21600" o:gfxdata="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pGHa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271" o:spid="_x0000_s1026" o:spt="20" style="position:absolute;left:7377;top:13104;height:156;width:0;" filled="f" stroked="t" coordsize="21600,21600" o:gfxdata="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ujEQ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272" o:spid="_x0000_s1026" o:spt="20" style="position:absolute;left:4497;top:13104;height:156;width:0;" filled="f" stroked="t" coordsize="21600,21600" o:gfxdata="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k598a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273" o:spid="_x0000_s1026" o:spt="20" style="position:absolute;left:2697;top:13104;height:156;width:0;" filled="f" stroked="t" coordsize="21600,21600" o:gfxdata="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nVSX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274" o:spid="_x0000_s1026" o:spt="20" style="position:absolute;left:1617;top:4211;height:0;width:8460;" filled="f" stroked="t" coordsize="21600,21600" o:gfxdata="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tIJW/&#10;AAAA3AAAAA8AAAAAAAAAAQAgAAAAIgAAAGRycy9kb3ducmV2LnhtbFBLAQIUABQAAAAIAIdO4kAz&#10;LwWeOwAAADkAAAAQAAAAAAAAAAEAIAAAAA4BAABkcnMvc2hhcGV4bWwueG1sUEsFBgAAAAAGAAYA&#10;WwEAALgDAAAAAA==&#10;">
                  <v:fill on="f" focussize="0,0"/>
                  <v:stroke color="#000000" joinstyle="round" dashstyle="dash"/>
                  <v:imagedata o:title=""/>
                  <o:lock v:ext="edit" aspectratio="f"/>
                </v:line>
                <v:line id="Line 275" o:spid="_x0000_s1026" o:spt="20" style="position:absolute;left:1317;top:8394;height:0;width:8640;" filled="f" stroked="t" coordsize="21600,21600" o:gfxdata="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5hhQ6/&#10;AAAA3AAAAA8AAAAAAAAAAQAgAAAAIgAAAGRycy9kb3ducmV2LnhtbFBLAQIUABQAAAAIAIdO4kAz&#10;LwWeOwAAADkAAAAQAAAAAAAAAAEAIAAAAA4BAABkcnMvc2hhcGV4bWwueG1sUEsFBgAAAAAGAAYA&#10;WwEAALgDAAAAAA==&#10;">
                  <v:fill on="f" focussize="0,0"/>
                  <v:stroke color="#000000" joinstyle="round" dashstyle="dash"/>
                  <v:imagedata o:title=""/>
                  <o:lock v:ext="edit" aspectratio="f"/>
                </v:line>
                <v:line id="Line 276" o:spid="_x0000_s1026" o:spt="20" style="position:absolute;left:1467;top:14196;height:0;width:8460;" filled="f" stroked="t" coordsize="21600,21600" o:gfxdata="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GIHXq/&#10;AAAA3AAAAA8AAAAAAAAAAQAgAAAAIgAAAGRycy9kb3ducmV2LnhtbFBLAQIUABQAAAAIAIdO4kAz&#10;LwWeOwAAADkAAAAQAAAAAAAAAAEAIAAAAA4BAABkcnMvc2hhcGV4bWwueG1sUEsFBgAAAAAGAAYA&#10;WwEAALgDAAAAAA==&#10;">
                  <v:fill on="f" focussize="0,0"/>
                  <v:stroke color="#000000" joinstyle="round" dashstyle="dash"/>
                  <v:imagedata o:title=""/>
                  <o:lock v:ext="edit" aspectratio="f"/>
                </v:line>
                <v:line id="Line 277" o:spid="_x0000_s1026" o:spt="20" style="position:absolute;left:9970;top:4211;flip:x;height:10921;width:101;" filled="f" stroked="t" coordsize="21600,21600" o:gfxdata="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jPJoK8AAAA&#10;3AAAAA8AAAAAAAAAAQAgAAAAIgAAAGRycy9kb3ducmV2LnhtbFBLAQIUABQAAAAIAIdO4kAzLwWe&#10;OwAAADkAAAAQAAAAAAAAAAEAIAAAAAsBAABkcnMvc2hhcGV4bWwueG1sUEsFBgAAAAAGAAYAWwEA&#10;ALUDAAAAAA==&#10;">
                  <v:fill on="f" focussize="0,0"/>
                  <v:stroke color="#000000" joinstyle="round" dashstyle="dash"/>
                  <v:imagedata o:title=""/>
                  <o:lock v:ext="edit" aspectratio="f"/>
                </v:line>
                <v:line id="Line 278" o:spid="_x0000_s1026" o:spt="20" style="position:absolute;left:1969;top:4211;flip:x;height:10921;width:100;" filled="f" stroked="t" coordsize="21600,21600" o:gfxdata="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Hbj1ugAAANwA&#10;AAAPAAAAAAAAAAEAIAAAACIAAABkcnMvZG93bnJldi54bWxQSwECFAAUAAAACACHTuJAMy8FnjsA&#10;AAA5AAAAEAAAAAAAAAABACAAAAAJAQAAZHJzL3NoYXBleG1sLnhtbFBLBQYAAAAABgAGAFsBAACz&#10;AwAAAAA=&#10;">
                  <v:fill on="f" focussize="0,0"/>
                  <v:stroke color="#000000" joinstyle="round" dashstyle="dash"/>
                  <v:imagedata o:title=""/>
                  <o:lock v:ext="edit" aspectratio="f"/>
                </v:line>
                <v:line id="Line 279" o:spid="_x0000_s1026" o:spt="20" style="position:absolute;left:1467;top:15132;height:0;width:8460;" filled="f" stroked="t" coordsize="21600,21600" o:gfxdata="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agw2/&#10;AAAA3AAAAA8AAAAAAAAAAQAgAAAAIgAAAGRycy9kb3ducmV2LnhtbFBLAQIUABQAAAAIAIdO4kAz&#10;LwWeOwAAADkAAAAQAAAAAAAAAAEAIAAAAA4BAABkcnMvc2hhcGV4bWwueG1sUEsFBgAAAAAGAAYA&#10;WwEAALgDAAAAAA==&#10;">
                  <v:fill on="f" focussize="0,0"/>
                  <v:stroke color="#000000" joinstyle="round" dashstyle="dash"/>
                  <v:imagedata o:title=""/>
                  <o:lock v:ext="edit" aspectratio="f"/>
                </v:line>
              </v:group>
            </w:pict>
          </mc:Fallback>
        </mc:AlternateContent>
      </w:r>
      <w:r>
        <w:rPr>
          <w:rFonts w:ascii="Times New Roman" w:hAnsi="Times New Roman" w:cs="Times New Roman"/>
          <w:color w:val="000000" w:themeColor="text1"/>
          <w:sz w:val="24"/>
          <w:szCs w:val="24"/>
          <w14:textFill>
            <w14:solidFill>
              <w14:schemeClr w14:val="tx1"/>
            </w14:solidFill>
          </w14:textFill>
        </w:rPr>
        <w:t>本项目竣工环保验收调查工作程序见图</w:t>
      </w:r>
      <w:r>
        <w:rPr>
          <w:rFonts w:hint="eastAsia" w:ascii="Times New Roman" w:hAnsi="Times New Roman" w:cs="Times New Roman"/>
          <w:color w:val="000000" w:themeColor="text1"/>
          <w:sz w:val="24"/>
          <w:szCs w:val="24"/>
          <w14:textFill>
            <w14:solidFill>
              <w14:schemeClr w14:val="tx1"/>
            </w14:solidFill>
          </w14:textFill>
        </w:rPr>
        <w:t>1</w:t>
      </w:r>
      <w:r>
        <w:rPr>
          <w:rFonts w:ascii="Times New Roman" w:hAnsi="Times New Roman" w:cs="Times New Roman"/>
          <w:color w:val="000000" w:themeColor="text1"/>
          <w:sz w:val="24"/>
          <w:szCs w:val="24"/>
          <w14:textFill>
            <w14:solidFill>
              <w14:schemeClr w14:val="tx1"/>
            </w14:solidFill>
          </w14:textFill>
        </w:rPr>
        <w:t>.9-1。</w:t>
      </w:r>
    </w:p>
    <w:p>
      <w:pPr>
        <w:ind w:firstLine="480" w:firstLineChars="200"/>
        <w:rPr>
          <w:rFonts w:ascii="Times New Roman" w:hAnsi="Times New Roman" w:cs="Times New Roman"/>
          <w:color w:val="000000" w:themeColor="text1"/>
          <w:sz w:val="24"/>
          <w:szCs w:val="24"/>
          <w14:textFill>
            <w14:solidFill>
              <w14:schemeClr w14:val="tx1"/>
            </w14:solidFill>
          </w14:textFill>
        </w:rPr>
      </w:pPr>
    </w:p>
    <w:p>
      <w:pPr>
        <w:ind w:firstLine="480" w:firstLineChars="200"/>
        <w:rPr>
          <w:rFonts w:ascii="Times New Roman" w:hAnsi="Times New Roman" w:cs="Times New Roman"/>
          <w:color w:val="000000" w:themeColor="text1"/>
          <w:sz w:val="24"/>
          <w:szCs w:val="24"/>
          <w14:textFill>
            <w14:solidFill>
              <w14:schemeClr w14:val="tx1"/>
            </w14:solidFill>
          </w14:textFill>
        </w:rPr>
      </w:pPr>
    </w:p>
    <w:p>
      <w:pPr>
        <w:ind w:firstLine="480" w:firstLineChars="200"/>
        <w:rPr>
          <w:rFonts w:ascii="Times New Roman" w:hAnsi="Times New Roman" w:cs="Times New Roman"/>
          <w:color w:val="000000" w:themeColor="text1"/>
          <w:sz w:val="24"/>
          <w:szCs w:val="24"/>
          <w14:textFill>
            <w14:solidFill>
              <w14:schemeClr w14:val="tx1"/>
            </w14:solidFill>
          </w14:textFill>
        </w:rPr>
      </w:pPr>
    </w:p>
    <w:p>
      <w:pPr>
        <w:ind w:firstLine="420" w:firstLineChars="200"/>
        <w:rPr>
          <w:color w:val="000000" w:themeColor="text1"/>
          <w14:textFill>
            <w14:solidFill>
              <w14:schemeClr w14:val="tx1"/>
            </w14:solidFill>
          </w14:textFill>
        </w:rPr>
      </w:pPr>
    </w:p>
    <w:p>
      <w:pPr>
        <w:ind w:firstLine="420" w:firstLineChars="200"/>
        <w:rPr>
          <w:color w:val="000000" w:themeColor="text1"/>
          <w14:textFill>
            <w14:solidFill>
              <w14:schemeClr w14:val="tx1"/>
            </w14:solidFill>
          </w14:textFill>
        </w:rPr>
      </w:pPr>
    </w:p>
    <w:p>
      <w:pPr>
        <w:spacing w:line="300" w:lineRule="auto"/>
        <w:jc w:val="center"/>
        <w:rPr>
          <w:color w:val="000000" w:themeColor="text1"/>
          <w:highlight w:val="yellow"/>
          <w14:textFill>
            <w14:solidFill>
              <w14:schemeClr w14:val="tx1"/>
            </w14:solidFill>
          </w14:textFill>
        </w:rPr>
      </w:pPr>
      <w:r>
        <w:rPr>
          <w:color w:val="000000" w:themeColor="text1"/>
          <w14:textFill>
            <w14:solidFill>
              <w14:schemeClr w14:val="tx1"/>
            </w14:solidFill>
          </w14:textFill>
        </w:rPr>
        <w:t xml:space="preserve"> </w:t>
      </w:r>
    </w:p>
    <w:p>
      <w:pPr>
        <w:spacing w:line="300" w:lineRule="auto"/>
        <w:rPr>
          <w:color w:val="000000" w:themeColor="text1"/>
          <w:highlight w:val="yellow"/>
          <w14:textFill>
            <w14:solidFill>
              <w14:schemeClr w14:val="tx1"/>
            </w14:solidFill>
          </w14:textFill>
        </w:rPr>
      </w:pPr>
    </w:p>
    <w:p>
      <w:pPr>
        <w:spacing w:line="300" w:lineRule="auto"/>
        <w:rPr>
          <w:color w:val="000000" w:themeColor="text1"/>
          <w:highlight w:val="yellow"/>
          <w14:textFill>
            <w14:solidFill>
              <w14:schemeClr w14:val="tx1"/>
            </w14:solidFill>
          </w14:textFill>
        </w:rPr>
      </w:pPr>
    </w:p>
    <w:p>
      <w:pPr>
        <w:spacing w:line="300" w:lineRule="auto"/>
        <w:rPr>
          <w:color w:val="000000" w:themeColor="text1"/>
          <w:highlight w:val="yellow"/>
          <w14:textFill>
            <w14:solidFill>
              <w14:schemeClr w14:val="tx1"/>
            </w14:solidFill>
          </w14:textFill>
        </w:rPr>
      </w:pPr>
      <w:r>
        <w:rPr>
          <w:color w:val="000000" w:themeColor="text1"/>
          <w:highlight w:val="yellow"/>
          <w14:textFill>
            <w14:solidFill>
              <w14:schemeClr w14:val="tx1"/>
            </w14:solidFill>
          </w14:textFill>
        </w:rPr>
        <mc:AlternateContent>
          <mc:Choice Requires="wps">
            <w:drawing>
              <wp:anchor distT="0" distB="0" distL="114300" distR="114300" simplePos="0" relativeHeight="251681792" behindDoc="0" locked="0" layoutInCell="1" allowOverlap="1">
                <wp:simplePos x="0" y="0"/>
                <wp:positionH relativeFrom="column">
                  <wp:posOffset>-196850</wp:posOffset>
                </wp:positionH>
                <wp:positionV relativeFrom="paragraph">
                  <wp:posOffset>207010</wp:posOffset>
                </wp:positionV>
                <wp:extent cx="545465" cy="1242060"/>
                <wp:effectExtent l="0" t="0" r="0" b="0"/>
                <wp:wrapNone/>
                <wp:docPr id="14" name="文本框 14"/>
                <wp:cNvGraphicFramePr/>
                <a:graphic xmlns:a="http://schemas.openxmlformats.org/drawingml/2006/main">
                  <a:graphicData uri="http://schemas.microsoft.com/office/word/2010/wordprocessingShape">
                    <wps:wsp>
                      <wps:cNvSpPr txBox="1">
                        <a:spLocks noChangeArrowheads="1"/>
                      </wps:cNvSpPr>
                      <wps:spPr bwMode="auto">
                        <a:xfrm>
                          <a:off x="0" y="0"/>
                          <a:ext cx="545465" cy="1242060"/>
                        </a:xfrm>
                        <a:prstGeom prst="rect">
                          <a:avLst/>
                        </a:prstGeom>
                        <a:solidFill>
                          <a:srgbClr val="FFFFFF">
                            <a:alpha val="0"/>
                          </a:srgbClr>
                        </a:solidFill>
                        <a:ln>
                          <a:noFill/>
                        </a:ln>
                      </wps:spPr>
                      <wps:txbx>
                        <w:txbxContent>
                          <w:p>
                            <w:pPr>
                              <w:rPr>
                                <w:szCs w:val="21"/>
                              </w:rPr>
                            </w:pPr>
                            <w:r>
                              <w:rPr>
                                <w:rFonts w:hint="eastAsia"/>
                                <w:szCs w:val="21"/>
                              </w:rPr>
                              <w:t>准</w:t>
                            </w:r>
                          </w:p>
                          <w:p>
                            <w:pPr>
                              <w:rPr>
                                <w:szCs w:val="21"/>
                              </w:rPr>
                            </w:pPr>
                            <w:r>
                              <w:rPr>
                                <w:rFonts w:hint="eastAsia"/>
                                <w:szCs w:val="21"/>
                              </w:rPr>
                              <w:t>备</w:t>
                            </w:r>
                          </w:p>
                          <w:p>
                            <w:pPr>
                              <w:rPr>
                                <w:szCs w:val="21"/>
                              </w:rPr>
                            </w:pPr>
                            <w:r>
                              <w:rPr>
                                <w:rFonts w:hint="eastAsia"/>
                                <w:szCs w:val="21"/>
                              </w:rPr>
                              <w:t>阶</w:t>
                            </w:r>
                          </w:p>
                          <w:p>
                            <w:pPr>
                              <w:rPr>
                                <w:szCs w:val="21"/>
                              </w:rPr>
                            </w:pPr>
                            <w:r>
                              <w:rPr>
                                <w:rFonts w:hint="eastAsia"/>
                                <w:szCs w:val="21"/>
                              </w:rPr>
                              <w:t>段</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5.5pt;margin-top:16.3pt;height:97.8pt;width:42.95pt;z-index:251681792;mso-width-relative:page;mso-height-relative:page;" fillcolor="#FFFFFF" filled="t" stroked="f" coordsize="21600,21600" o:gfxdata="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NKqSTZAAAACQEAAA8AAAAAAAAAAQAgAAAAIgAAAGRycy9kb3du&#10;cmV2LnhtbFBLAQIUABQAAAAIAIdO4kBqPei1NwIAAF0EAAAOAAAAAAAAAAEAIAAAACgBAABkcnMv&#10;ZTJvRG9jLnhtbFBLBQYAAAAABgAGAFkBAADRBQAAAAA=&#10;">
                <v:fill on="t" opacity="0f" focussize="0,0"/>
                <v:stroke on="f"/>
                <v:imagedata o:title=""/>
                <o:lock v:ext="edit" aspectratio="f"/>
                <v:textbox>
                  <w:txbxContent>
                    <w:p>
                      <w:pPr>
                        <w:rPr>
                          <w:szCs w:val="21"/>
                        </w:rPr>
                      </w:pPr>
                      <w:r>
                        <w:rPr>
                          <w:rFonts w:hint="eastAsia"/>
                          <w:szCs w:val="21"/>
                        </w:rPr>
                        <w:t>准</w:t>
                      </w:r>
                    </w:p>
                    <w:p>
                      <w:pPr>
                        <w:rPr>
                          <w:szCs w:val="21"/>
                        </w:rPr>
                      </w:pPr>
                      <w:r>
                        <w:rPr>
                          <w:rFonts w:hint="eastAsia"/>
                          <w:szCs w:val="21"/>
                        </w:rPr>
                        <w:t>备</w:t>
                      </w:r>
                    </w:p>
                    <w:p>
                      <w:pPr>
                        <w:rPr>
                          <w:szCs w:val="21"/>
                        </w:rPr>
                      </w:pPr>
                      <w:r>
                        <w:rPr>
                          <w:rFonts w:hint="eastAsia"/>
                          <w:szCs w:val="21"/>
                        </w:rPr>
                        <w:t>阶</w:t>
                      </w:r>
                    </w:p>
                    <w:p>
                      <w:pPr>
                        <w:rPr>
                          <w:szCs w:val="21"/>
                        </w:rPr>
                      </w:pPr>
                      <w:r>
                        <w:rPr>
                          <w:rFonts w:hint="eastAsia"/>
                          <w:szCs w:val="21"/>
                        </w:rPr>
                        <w:t>段</w:t>
                      </w:r>
                    </w:p>
                  </w:txbxContent>
                </v:textbox>
              </v:shape>
            </w:pict>
          </mc:Fallback>
        </mc:AlternateContent>
      </w:r>
    </w:p>
    <w:p>
      <w:pPr>
        <w:spacing w:line="300" w:lineRule="auto"/>
        <w:rPr>
          <w:color w:val="000000" w:themeColor="text1"/>
          <w:highlight w:val="yellow"/>
          <w14:textFill>
            <w14:solidFill>
              <w14:schemeClr w14:val="tx1"/>
            </w14:solidFill>
          </w14:textFill>
        </w:rPr>
      </w:pPr>
    </w:p>
    <w:p>
      <w:pPr>
        <w:spacing w:line="300" w:lineRule="auto"/>
        <w:rPr>
          <w:color w:val="000000" w:themeColor="text1"/>
          <w:highlight w:val="yellow"/>
          <w14:textFill>
            <w14:solidFill>
              <w14:schemeClr w14:val="tx1"/>
            </w14:solidFill>
          </w14:textFill>
        </w:rPr>
      </w:pPr>
    </w:p>
    <w:p>
      <w:pPr>
        <w:spacing w:line="300" w:lineRule="auto"/>
        <w:rPr>
          <w:color w:val="000000" w:themeColor="text1"/>
          <w:highlight w:val="yellow"/>
          <w14:textFill>
            <w14:solidFill>
              <w14:schemeClr w14:val="tx1"/>
            </w14:solidFill>
          </w14:textFill>
        </w:rPr>
      </w:pPr>
    </w:p>
    <w:p>
      <w:pPr>
        <w:spacing w:line="300" w:lineRule="auto"/>
        <w:rPr>
          <w:color w:val="000000" w:themeColor="text1"/>
          <w:highlight w:val="yellow"/>
          <w14:textFill>
            <w14:solidFill>
              <w14:schemeClr w14:val="tx1"/>
            </w14:solidFill>
          </w14:textFill>
        </w:rPr>
      </w:pPr>
    </w:p>
    <w:p>
      <w:pPr>
        <w:spacing w:line="300" w:lineRule="auto"/>
        <w:rPr>
          <w:color w:val="000000" w:themeColor="text1"/>
          <w:highlight w:val="yellow"/>
          <w14:textFill>
            <w14:solidFill>
              <w14:schemeClr w14:val="tx1"/>
            </w14:solidFill>
          </w14:textFill>
        </w:rPr>
      </w:pPr>
    </w:p>
    <w:p>
      <w:pPr>
        <w:spacing w:line="300" w:lineRule="auto"/>
        <w:rPr>
          <w:color w:val="000000" w:themeColor="text1"/>
          <w:highlight w:val="yellow"/>
          <w14:textFill>
            <w14:solidFill>
              <w14:schemeClr w14:val="tx1"/>
            </w14:solidFill>
          </w14:textFill>
        </w:rPr>
      </w:pPr>
    </w:p>
    <w:p>
      <w:pPr>
        <w:spacing w:line="300" w:lineRule="auto"/>
        <w:rPr>
          <w:color w:val="000000" w:themeColor="text1"/>
          <w:highlight w:val="yellow"/>
          <w14:textFill>
            <w14:solidFill>
              <w14:schemeClr w14:val="tx1"/>
            </w14:solidFill>
          </w14:textFill>
        </w:rPr>
      </w:pPr>
    </w:p>
    <w:p>
      <w:pPr>
        <w:spacing w:line="300" w:lineRule="auto"/>
        <w:rPr>
          <w:color w:val="000000" w:themeColor="text1"/>
          <w:highlight w:val="yellow"/>
          <w14:textFill>
            <w14:solidFill>
              <w14:schemeClr w14:val="tx1"/>
            </w14:solidFill>
          </w14:textFill>
        </w:rPr>
      </w:pPr>
    </w:p>
    <w:p>
      <w:pPr>
        <w:spacing w:line="300" w:lineRule="auto"/>
        <w:rPr>
          <w:color w:val="000000" w:themeColor="text1"/>
          <w:highlight w:val="yellow"/>
          <w14:textFill>
            <w14:solidFill>
              <w14:schemeClr w14:val="tx1"/>
            </w14:solidFill>
          </w14:textFill>
        </w:rPr>
      </w:pPr>
    </w:p>
    <w:p>
      <w:pPr>
        <w:spacing w:line="300" w:lineRule="auto"/>
        <w:rPr>
          <w:color w:val="000000" w:themeColor="text1"/>
          <w:highlight w:val="yellow"/>
          <w14:textFill>
            <w14:solidFill>
              <w14:schemeClr w14:val="tx1"/>
            </w14:solidFill>
          </w14:textFill>
        </w:rPr>
      </w:pPr>
      <w:r>
        <w:rPr>
          <w:color w:val="000000" w:themeColor="text1"/>
          <w:highlight w:val="yellow"/>
          <w14:textFill>
            <w14:solidFill>
              <w14:schemeClr w14:val="tx1"/>
            </w14:solidFill>
          </w14:textFill>
        </w:rPr>
        <mc:AlternateContent>
          <mc:Choice Requires="wps">
            <w:drawing>
              <wp:anchor distT="0" distB="0" distL="114300" distR="114300" simplePos="0" relativeHeight="251679744" behindDoc="0" locked="0" layoutInCell="1" allowOverlap="1">
                <wp:simplePos x="0" y="0"/>
                <wp:positionH relativeFrom="column">
                  <wp:posOffset>-196850</wp:posOffset>
                </wp:positionH>
                <wp:positionV relativeFrom="paragraph">
                  <wp:posOffset>103505</wp:posOffset>
                </wp:positionV>
                <wp:extent cx="821690" cy="1554480"/>
                <wp:effectExtent l="0" t="0" r="0" b="0"/>
                <wp:wrapNone/>
                <wp:docPr id="13" name="文本框 13"/>
                <wp:cNvGraphicFramePr/>
                <a:graphic xmlns:a="http://schemas.openxmlformats.org/drawingml/2006/main">
                  <a:graphicData uri="http://schemas.microsoft.com/office/word/2010/wordprocessingShape">
                    <wps:wsp>
                      <wps:cNvSpPr txBox="1">
                        <a:spLocks noChangeArrowheads="1"/>
                      </wps:cNvSpPr>
                      <wps:spPr bwMode="auto">
                        <a:xfrm>
                          <a:off x="0" y="0"/>
                          <a:ext cx="821690" cy="1554480"/>
                        </a:xfrm>
                        <a:prstGeom prst="rect">
                          <a:avLst/>
                        </a:prstGeom>
                        <a:solidFill>
                          <a:srgbClr val="FFFFFF">
                            <a:alpha val="0"/>
                          </a:srgbClr>
                        </a:solidFill>
                        <a:ln>
                          <a:noFill/>
                        </a:ln>
                      </wps:spPr>
                      <wps:txbx>
                        <w:txbxContent>
                          <w:p>
                            <w:pPr>
                              <w:rPr>
                                <w:szCs w:val="21"/>
                              </w:rPr>
                            </w:pPr>
                            <w:r>
                              <w:rPr>
                                <w:rFonts w:hint="eastAsia"/>
                                <w:szCs w:val="21"/>
                              </w:rPr>
                              <w:t>验</w:t>
                            </w:r>
                          </w:p>
                          <w:p>
                            <w:pPr>
                              <w:rPr>
                                <w:szCs w:val="21"/>
                              </w:rPr>
                            </w:pPr>
                            <w:r>
                              <w:rPr>
                                <w:rFonts w:hint="eastAsia"/>
                                <w:szCs w:val="21"/>
                              </w:rPr>
                              <w:t>收</w:t>
                            </w:r>
                          </w:p>
                          <w:p>
                            <w:pPr>
                              <w:rPr>
                                <w:szCs w:val="21"/>
                              </w:rPr>
                            </w:pPr>
                            <w:r>
                              <w:rPr>
                                <w:rFonts w:hint="eastAsia"/>
                                <w:szCs w:val="21"/>
                              </w:rPr>
                              <w:t>调</w:t>
                            </w:r>
                          </w:p>
                          <w:p>
                            <w:pPr>
                              <w:rPr>
                                <w:szCs w:val="21"/>
                              </w:rPr>
                            </w:pPr>
                            <w:r>
                              <w:rPr>
                                <w:rFonts w:hint="eastAsia"/>
                                <w:szCs w:val="21"/>
                              </w:rPr>
                              <w:t>查</w:t>
                            </w:r>
                          </w:p>
                          <w:p>
                            <w:pPr>
                              <w:rPr>
                                <w:szCs w:val="21"/>
                              </w:rPr>
                            </w:pPr>
                            <w:r>
                              <w:rPr>
                                <w:rFonts w:hint="eastAsia"/>
                                <w:szCs w:val="21"/>
                              </w:rPr>
                              <w:t>阶</w:t>
                            </w:r>
                          </w:p>
                          <w:p>
                            <w:pPr>
                              <w:rPr>
                                <w:szCs w:val="21"/>
                              </w:rPr>
                            </w:pPr>
                            <w:r>
                              <w:rPr>
                                <w:rFonts w:hint="eastAsia"/>
                                <w:szCs w:val="21"/>
                              </w:rPr>
                              <w:t>段</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5.5pt;margin-top:8.15pt;height:122.4pt;width:64.7pt;z-index:251679744;mso-width-relative:page;mso-height-relative:page;" fillcolor="#FFFFFF" filled="t" stroked="f" coordsize="21600,21600" o:gfxdata="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PtYjVNgAAAAJAQAADwAAAAAAAAABACAAAAAiAAAAZHJzL2Rvd25y&#10;ZXYueG1sUEsBAhQAFAAAAAgAh07iQK22GUc3AgAAXQQAAA4AAAAAAAAAAQAgAAAAJwEAAGRycy9l&#10;Mm9Eb2MueG1sUEsFBgAAAAAGAAYAWQEAANAFAAAAAA==&#10;">
                <v:fill on="t" opacity="0f" focussize="0,0"/>
                <v:stroke on="f"/>
                <v:imagedata o:title=""/>
                <o:lock v:ext="edit" aspectratio="f"/>
                <v:textbox>
                  <w:txbxContent>
                    <w:p>
                      <w:pPr>
                        <w:rPr>
                          <w:szCs w:val="21"/>
                        </w:rPr>
                      </w:pPr>
                      <w:r>
                        <w:rPr>
                          <w:rFonts w:hint="eastAsia"/>
                          <w:szCs w:val="21"/>
                        </w:rPr>
                        <w:t>验</w:t>
                      </w:r>
                    </w:p>
                    <w:p>
                      <w:pPr>
                        <w:rPr>
                          <w:szCs w:val="21"/>
                        </w:rPr>
                      </w:pPr>
                      <w:r>
                        <w:rPr>
                          <w:rFonts w:hint="eastAsia"/>
                          <w:szCs w:val="21"/>
                        </w:rPr>
                        <w:t>收</w:t>
                      </w:r>
                    </w:p>
                    <w:p>
                      <w:pPr>
                        <w:rPr>
                          <w:szCs w:val="21"/>
                        </w:rPr>
                      </w:pPr>
                      <w:r>
                        <w:rPr>
                          <w:rFonts w:hint="eastAsia"/>
                          <w:szCs w:val="21"/>
                        </w:rPr>
                        <w:t>调</w:t>
                      </w:r>
                    </w:p>
                    <w:p>
                      <w:pPr>
                        <w:rPr>
                          <w:szCs w:val="21"/>
                        </w:rPr>
                      </w:pPr>
                      <w:r>
                        <w:rPr>
                          <w:rFonts w:hint="eastAsia"/>
                          <w:szCs w:val="21"/>
                        </w:rPr>
                        <w:t>查</w:t>
                      </w:r>
                    </w:p>
                    <w:p>
                      <w:pPr>
                        <w:rPr>
                          <w:szCs w:val="21"/>
                        </w:rPr>
                      </w:pPr>
                      <w:r>
                        <w:rPr>
                          <w:rFonts w:hint="eastAsia"/>
                          <w:szCs w:val="21"/>
                        </w:rPr>
                        <w:t>阶</w:t>
                      </w:r>
                    </w:p>
                    <w:p>
                      <w:pPr>
                        <w:rPr>
                          <w:szCs w:val="21"/>
                        </w:rPr>
                      </w:pPr>
                      <w:r>
                        <w:rPr>
                          <w:rFonts w:hint="eastAsia"/>
                          <w:szCs w:val="21"/>
                        </w:rPr>
                        <w:t>段</w:t>
                      </w:r>
                    </w:p>
                  </w:txbxContent>
                </v:textbox>
              </v:shape>
            </w:pict>
          </mc:Fallback>
        </mc:AlternateContent>
      </w:r>
    </w:p>
    <w:p>
      <w:pPr>
        <w:spacing w:line="300" w:lineRule="auto"/>
        <w:rPr>
          <w:color w:val="000000" w:themeColor="text1"/>
          <w:highlight w:val="yellow"/>
          <w14:textFill>
            <w14:solidFill>
              <w14:schemeClr w14:val="tx1"/>
            </w14:solidFill>
          </w14:textFill>
        </w:rPr>
      </w:pPr>
    </w:p>
    <w:p>
      <w:pPr>
        <w:spacing w:line="300" w:lineRule="auto"/>
        <w:rPr>
          <w:color w:val="000000" w:themeColor="text1"/>
          <w:highlight w:val="yellow"/>
          <w14:textFill>
            <w14:solidFill>
              <w14:schemeClr w14:val="tx1"/>
            </w14:solidFill>
          </w14:textFill>
        </w:rPr>
      </w:pPr>
    </w:p>
    <w:p>
      <w:pPr>
        <w:spacing w:line="300" w:lineRule="auto"/>
        <w:rPr>
          <w:color w:val="000000" w:themeColor="text1"/>
          <w:highlight w:val="yellow"/>
          <w14:textFill>
            <w14:solidFill>
              <w14:schemeClr w14:val="tx1"/>
            </w14:solidFill>
          </w14:textFill>
        </w:rPr>
      </w:pPr>
    </w:p>
    <w:p>
      <w:pPr>
        <w:spacing w:line="300" w:lineRule="auto"/>
        <w:rPr>
          <w:color w:val="000000" w:themeColor="text1"/>
          <w:highlight w:val="yellow"/>
          <w14:textFill>
            <w14:solidFill>
              <w14:schemeClr w14:val="tx1"/>
            </w14:solidFill>
          </w14:textFill>
        </w:rPr>
      </w:pPr>
    </w:p>
    <w:p>
      <w:pPr>
        <w:spacing w:line="300" w:lineRule="auto"/>
        <w:rPr>
          <w:color w:val="000000" w:themeColor="text1"/>
          <w:highlight w:val="yellow"/>
          <w14:textFill>
            <w14:solidFill>
              <w14:schemeClr w14:val="tx1"/>
            </w14:solidFill>
          </w14:textFill>
        </w:rPr>
      </w:pPr>
    </w:p>
    <w:p>
      <w:pPr>
        <w:spacing w:line="300" w:lineRule="auto"/>
        <w:rPr>
          <w:color w:val="000000" w:themeColor="text1"/>
          <w:highlight w:val="yellow"/>
          <w14:textFill>
            <w14:solidFill>
              <w14:schemeClr w14:val="tx1"/>
            </w14:solidFill>
          </w14:textFill>
        </w:rPr>
      </w:pPr>
    </w:p>
    <w:p>
      <w:pPr>
        <w:spacing w:line="300" w:lineRule="auto"/>
        <w:rPr>
          <w:color w:val="000000" w:themeColor="text1"/>
          <w:highlight w:val="yellow"/>
          <w14:textFill>
            <w14:solidFill>
              <w14:schemeClr w14:val="tx1"/>
            </w14:solidFill>
          </w14:textFill>
        </w:rPr>
      </w:pPr>
    </w:p>
    <w:p>
      <w:pPr>
        <w:spacing w:line="300" w:lineRule="auto"/>
        <w:rPr>
          <w:color w:val="000000" w:themeColor="text1"/>
          <w:highlight w:val="yellow"/>
          <w14:textFill>
            <w14:solidFill>
              <w14:schemeClr w14:val="tx1"/>
            </w14:solidFill>
          </w14:textFill>
        </w:rPr>
      </w:pPr>
    </w:p>
    <w:p>
      <w:pPr>
        <w:spacing w:line="300" w:lineRule="auto"/>
        <w:rPr>
          <w:color w:val="000000" w:themeColor="text1"/>
          <w:highlight w:val="yellow"/>
          <w14:textFill>
            <w14:solidFill>
              <w14:schemeClr w14:val="tx1"/>
            </w14:solidFill>
          </w14:textFill>
        </w:rPr>
      </w:pPr>
    </w:p>
    <w:p>
      <w:pPr>
        <w:spacing w:line="300" w:lineRule="auto"/>
        <w:jc w:val="center"/>
        <w:rPr>
          <w:color w:val="000000" w:themeColor="text1"/>
          <w14:textFill>
            <w14:solidFill>
              <w14:schemeClr w14:val="tx1"/>
            </w14:solidFill>
          </w14:textFill>
        </w:rPr>
      </w:pPr>
    </w:p>
    <w:p>
      <w:pPr>
        <w:spacing w:line="300" w:lineRule="auto"/>
        <w:jc w:val="center"/>
        <w:rPr>
          <w:color w:val="000000" w:themeColor="text1"/>
          <w14:textFill>
            <w14:solidFill>
              <w14:schemeClr w14:val="tx1"/>
            </w14:solidFill>
          </w14:textFill>
        </w:rPr>
      </w:pPr>
      <w:r>
        <w:rPr>
          <w:color w:val="000000" w:themeColor="text1"/>
          <w:highlight w:val="yellow"/>
          <w14:textFill>
            <w14:solidFill>
              <w14:schemeClr w14:val="tx1"/>
            </w14:solidFill>
          </w14:textFill>
        </w:rPr>
        <mc:AlternateContent>
          <mc:Choice Requires="wps">
            <w:drawing>
              <wp:anchor distT="0" distB="0" distL="114300" distR="114300" simplePos="0" relativeHeight="251680768" behindDoc="0" locked="0" layoutInCell="1" allowOverlap="1">
                <wp:simplePos x="0" y="0"/>
                <wp:positionH relativeFrom="column">
                  <wp:posOffset>-182880</wp:posOffset>
                </wp:positionH>
                <wp:positionV relativeFrom="paragraph">
                  <wp:posOffset>153670</wp:posOffset>
                </wp:positionV>
                <wp:extent cx="762000" cy="829310"/>
                <wp:effectExtent l="0" t="0" r="0" b="0"/>
                <wp:wrapNone/>
                <wp:docPr id="12"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762000" cy="829310"/>
                        </a:xfrm>
                        <a:prstGeom prst="rect">
                          <a:avLst/>
                        </a:prstGeom>
                        <a:solidFill>
                          <a:srgbClr val="FFFFFF">
                            <a:alpha val="0"/>
                          </a:srgbClr>
                        </a:solidFill>
                        <a:ln>
                          <a:noFill/>
                        </a:ln>
                      </wps:spPr>
                      <wps:txbx>
                        <w:txbxContent>
                          <w:p>
                            <w:pPr>
                              <w:rPr>
                                <w:szCs w:val="21"/>
                              </w:rPr>
                            </w:pPr>
                            <w:r>
                              <w:rPr>
                                <w:rFonts w:hint="eastAsia"/>
                                <w:szCs w:val="21"/>
                              </w:rPr>
                              <w:t>现场</w:t>
                            </w:r>
                          </w:p>
                          <w:p>
                            <w:pPr>
                              <w:rPr>
                                <w:szCs w:val="21"/>
                              </w:rPr>
                            </w:pPr>
                            <w:r>
                              <w:rPr>
                                <w:rFonts w:hint="eastAsia"/>
                                <w:szCs w:val="21"/>
                              </w:rPr>
                              <w:t>验收</w:t>
                            </w:r>
                          </w:p>
                          <w:p>
                            <w:pPr>
                              <w:rPr>
                                <w:szCs w:val="21"/>
                              </w:rPr>
                            </w:pPr>
                            <w:r>
                              <w:rPr>
                                <w:rFonts w:hint="eastAsia"/>
                                <w:szCs w:val="21"/>
                              </w:rPr>
                              <w:t>阶段</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4.4pt;margin-top:12.1pt;height:65.3pt;width:60pt;z-index:251680768;mso-width-relative:page;mso-height-relative:page;" fillcolor="#FFFFFF" filled="t" stroked="f" coordsize="21600,21600" o:gfxdata="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M31rY9cAAAAJAQAADwAAAAAAAAABACAAAAAiAAAAZHJzL2Rvd25yZXYu&#10;eG1sUEsBAhQAFAAAAAgAh07iQMkt1KQ1AgAAXAQAAA4AAAAAAAAAAQAgAAAAJgEAAGRycy9lMm9E&#10;b2MueG1sUEsFBgAAAAAGAAYAWQEAAM0FAAAAAA==&#10;">
                <v:fill on="t" opacity="0f" focussize="0,0"/>
                <v:stroke on="f"/>
                <v:imagedata o:title=""/>
                <o:lock v:ext="edit" aspectratio="f"/>
                <v:textbox>
                  <w:txbxContent>
                    <w:p>
                      <w:pPr>
                        <w:rPr>
                          <w:szCs w:val="21"/>
                        </w:rPr>
                      </w:pPr>
                      <w:r>
                        <w:rPr>
                          <w:rFonts w:hint="eastAsia"/>
                          <w:szCs w:val="21"/>
                        </w:rPr>
                        <w:t>现场</w:t>
                      </w:r>
                    </w:p>
                    <w:p>
                      <w:pPr>
                        <w:rPr>
                          <w:szCs w:val="21"/>
                        </w:rPr>
                      </w:pPr>
                      <w:r>
                        <w:rPr>
                          <w:rFonts w:hint="eastAsia"/>
                          <w:szCs w:val="21"/>
                        </w:rPr>
                        <w:t>验收</w:t>
                      </w:r>
                    </w:p>
                    <w:p>
                      <w:pPr>
                        <w:rPr>
                          <w:szCs w:val="21"/>
                        </w:rPr>
                      </w:pPr>
                      <w:r>
                        <w:rPr>
                          <w:rFonts w:hint="eastAsia"/>
                          <w:szCs w:val="21"/>
                        </w:rPr>
                        <w:t>阶段</w:t>
                      </w:r>
                    </w:p>
                  </w:txbxContent>
                </v:textbox>
              </v:shape>
            </w:pict>
          </mc:Fallback>
        </mc:AlternateContent>
      </w:r>
    </w:p>
    <w:p>
      <w:pPr>
        <w:spacing w:line="300" w:lineRule="auto"/>
        <w:jc w:val="center"/>
        <w:rPr>
          <w:color w:val="000000" w:themeColor="text1"/>
          <w14:textFill>
            <w14:solidFill>
              <w14:schemeClr w14:val="tx1"/>
            </w14:solidFill>
          </w14:textFill>
        </w:rPr>
      </w:pPr>
    </w:p>
    <w:p>
      <w:pPr>
        <w:spacing w:line="300" w:lineRule="auto"/>
        <w:jc w:val="center"/>
        <w:rPr>
          <w:color w:val="000000" w:themeColor="text1"/>
          <w14:textFill>
            <w14:solidFill>
              <w14:schemeClr w14:val="tx1"/>
            </w14:solidFill>
          </w14:textFill>
        </w:rPr>
      </w:pPr>
    </w:p>
    <w:p>
      <w:pPr>
        <w:spacing w:line="300" w:lineRule="auto"/>
        <w:jc w:val="center"/>
        <w:rPr>
          <w:color w:val="000000" w:themeColor="text1"/>
          <w:szCs w:val="21"/>
          <w14:textFill>
            <w14:solidFill>
              <w14:schemeClr w14:val="tx1"/>
            </w14:solidFill>
          </w14:textFill>
        </w:rPr>
      </w:pPr>
    </w:p>
    <w:p>
      <w:pPr>
        <w:spacing w:line="300" w:lineRule="auto"/>
        <w:jc w:val="center"/>
        <w:rPr>
          <w:b/>
          <w:color w:val="000000" w:themeColor="text1"/>
          <w14:textFill>
            <w14:solidFill>
              <w14:schemeClr w14:val="tx1"/>
            </w14:solidFill>
          </w14:textFill>
        </w:rPr>
      </w:pPr>
      <w:r>
        <w:rPr>
          <w:b/>
          <w:color w:val="000000" w:themeColor="text1"/>
          <w:szCs w:val="21"/>
          <w14:textFill>
            <w14:solidFill>
              <w14:schemeClr w14:val="tx1"/>
            </w14:solidFill>
          </w14:textFill>
        </w:rPr>
        <w:t>图</w:t>
      </w:r>
      <w:r>
        <w:rPr>
          <w:rFonts w:ascii="Times New Roman" w:hAnsi="Times New Roman" w:cs="Times New Roman"/>
          <w:b/>
          <w:color w:val="000000" w:themeColor="text1"/>
          <w:szCs w:val="21"/>
          <w14:textFill>
            <w14:solidFill>
              <w14:schemeClr w14:val="tx1"/>
            </w14:solidFill>
          </w14:textFill>
        </w:rPr>
        <w:t>1.9-1</w:t>
      </w:r>
      <w:r>
        <w:rPr>
          <w:b/>
          <w:color w:val="000000" w:themeColor="text1"/>
          <w:szCs w:val="21"/>
          <w14:textFill>
            <w14:solidFill>
              <w14:schemeClr w14:val="tx1"/>
            </w14:solidFill>
          </w14:textFill>
        </w:rPr>
        <w:t xml:space="preserve">  </w:t>
      </w:r>
      <w:r>
        <w:rPr>
          <w:rFonts w:hint="eastAsia"/>
          <w:b/>
          <w:color w:val="000000" w:themeColor="text1"/>
          <w:szCs w:val="21"/>
          <w14:textFill>
            <w14:solidFill>
              <w14:schemeClr w14:val="tx1"/>
            </w14:solidFill>
          </w14:textFill>
        </w:rPr>
        <w:t>项目</w:t>
      </w:r>
      <w:r>
        <w:rPr>
          <w:b/>
          <w:color w:val="000000" w:themeColor="text1"/>
          <w:szCs w:val="21"/>
          <w14:textFill>
            <w14:solidFill>
              <w14:schemeClr w14:val="tx1"/>
            </w14:solidFill>
          </w14:textFill>
        </w:rPr>
        <w:t>竣工环境保护验收调查工作程序图</w:t>
      </w:r>
    </w:p>
    <w:p>
      <w:pPr>
        <w:rPr>
          <w:rFonts w:ascii="Times New Roman" w:hAnsi="Times New Roman" w:cs="Times New Roman"/>
          <w:sz w:val="24"/>
          <w:szCs w:val="24"/>
        </w:rPr>
        <w:sectPr>
          <w:footerReference r:id="rId7" w:type="default"/>
          <w:pgSz w:w="11906" w:h="16838"/>
          <w:pgMar w:top="1440" w:right="1800" w:bottom="1440" w:left="1800" w:header="851" w:footer="624" w:gutter="0"/>
          <w:pgNumType w:start="12"/>
          <w:cols w:space="425" w:num="1"/>
          <w:docGrid w:type="lines" w:linePitch="312" w:charSpace="0"/>
        </w:sectPr>
      </w:pPr>
    </w:p>
    <w:p>
      <w:pPr>
        <w:pStyle w:val="2"/>
        <w:rPr>
          <w:color w:val="000000" w:themeColor="text1"/>
          <w14:textFill>
            <w14:solidFill>
              <w14:schemeClr w14:val="tx1"/>
            </w14:solidFill>
          </w14:textFill>
        </w:rPr>
      </w:pPr>
      <w:bookmarkStart w:id="12" w:name="_Toc62202377"/>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 工程</w:t>
      </w:r>
      <w:r>
        <w:rPr>
          <w:rFonts w:hint="eastAsia"/>
          <w:color w:val="000000" w:themeColor="text1"/>
          <w14:textFill>
            <w14:solidFill>
              <w14:schemeClr w14:val="tx1"/>
            </w14:solidFill>
          </w14:textFill>
        </w:rPr>
        <w:t>调查</w:t>
      </w:r>
      <w:bookmarkEnd w:id="12"/>
    </w:p>
    <w:p>
      <w:pPr>
        <w:pStyle w:val="3"/>
        <w:rPr>
          <w:color w:val="000000" w:themeColor="text1"/>
          <w14:textFill>
            <w14:solidFill>
              <w14:schemeClr w14:val="tx1"/>
            </w14:solidFill>
          </w14:textFill>
        </w:rPr>
      </w:pPr>
      <w:bookmarkStart w:id="13" w:name="_Toc62202378"/>
      <w:r>
        <w:rPr>
          <w:rFonts w:hint="eastAsia"/>
          <w:color w:val="000000" w:themeColor="text1"/>
          <w14:textFill>
            <w14:solidFill>
              <w14:schemeClr w14:val="tx1"/>
            </w14:solidFill>
          </w14:textFill>
        </w:rPr>
        <w:t>2</w:t>
      </w:r>
      <w:r>
        <w:rPr>
          <w:color w:val="000000" w:themeColor="text1"/>
          <w14:textFill>
            <w14:solidFill>
              <w14:schemeClr w14:val="tx1"/>
            </w14:solidFill>
          </w14:textFill>
        </w:rPr>
        <w:t>.1 建设过程回顾</w:t>
      </w:r>
      <w:bookmarkEnd w:id="13"/>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.1.1 工程前期设计过程调查</w:t>
      </w:r>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2017年5月，金川奥伊诺矿业有限公司向四川省国土资源厅提交了划定矿区范围申请登记书，于2018年1月取得了四川省国土资源厅出具的业隆沟锂辉石矿划定矿区范围批复（川采矿区审字〔2018〕002号）。</w:t>
      </w:r>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中国地质科学院矿产综合利用研究所受金川奥伊诺矿业有限公司委托，于2016年12月编制完成了《四川省金川县业隆沟矿区锂矿扩大连续试验报告》，于2017年2月编制完成了《金川县业隆沟锂多金属矿尾水循环利用技术研究报告》。</w:t>
      </w:r>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2018年5月，中环联新（北京）环境保护有限公司编制完成了《金川奥伊诺矿业有限公司业隆沟锂辉石矿采选尾工程环境影响报告书（送审稿）》。2018年7月，四川省环保厅以川环审批〔2018〕103号《关于金川奥伊诺矿业有限公司业隆沟锂辉石矿采选尾工程环境影响报告书的批复》对本工程环境影响报告书进行了批复。</w: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.2.2 工程建设过程调查</w:t>
      </w:r>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2019年11月开始进入调试，调试过程中主体工程及环保设施运行情况稳定良好，满足竣工环境保护验收的工况要求。2020年12月30日，金川奥依诺矿业有限公司召开了项目选厂、尾矿库、生活区及其配套设施的竣工环境保护验收会议，项目选厂、尾矿库、生活区及其配套设施区域环境保护设施已通过竣工环境保护验收。</w: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.2.3 参建单位调查</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建设单位：金川奥伊诺矿业有限公司</w:t>
      </w:r>
    </w:p>
    <w:p>
      <w:pPr>
        <w:spacing w:line="360" w:lineRule="auto"/>
        <w:ind w:firstLine="480" w:firstLineChars="200"/>
        <w:rPr>
          <w:snapToGrid w:val="0"/>
          <w:color w:val="000000" w:themeColor="text1"/>
          <w:kern w:val="0"/>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设计单位：</w:t>
      </w:r>
      <w:r>
        <w:rPr>
          <w:rFonts w:hint="eastAsia"/>
          <w:snapToGrid w:val="0"/>
          <w:color w:val="000000" w:themeColor="text1"/>
          <w:kern w:val="0"/>
          <w:sz w:val="24"/>
          <w:szCs w:val="24"/>
          <w14:textFill>
            <w14:solidFill>
              <w14:schemeClr w14:val="tx1"/>
            </w14:solidFill>
          </w14:textFill>
        </w:rPr>
        <w:t>昆明有色冶金设计研究院股份公司</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snapToGrid w:val="0"/>
          <w:color w:val="000000" w:themeColor="text1"/>
          <w:kern w:val="0"/>
          <w:sz w:val="24"/>
          <w:szCs w:val="24"/>
          <w14:textFill>
            <w14:solidFill>
              <w14:schemeClr w14:val="tx1"/>
            </w14:solidFill>
          </w14:textFill>
        </w:rPr>
        <w:t>施工单位</w:t>
      </w:r>
      <w:r>
        <w:rPr>
          <w:snapToGrid w:val="0"/>
          <w:color w:val="000000" w:themeColor="text1"/>
          <w:kern w:val="0"/>
          <w:sz w:val="24"/>
          <w:szCs w:val="24"/>
          <w14:textFill>
            <w14:solidFill>
              <w14:schemeClr w14:val="tx1"/>
            </w14:solidFill>
          </w14:textFill>
        </w:rPr>
        <w:t>：</w:t>
      </w:r>
      <w:r>
        <w:rPr>
          <w:rFonts w:hint="eastAsia"/>
          <w:snapToGrid w:val="0"/>
          <w:color w:val="000000" w:themeColor="text1"/>
          <w:kern w:val="0"/>
          <w:sz w:val="24"/>
          <w:szCs w:val="24"/>
          <w14:textFill>
            <w14:solidFill>
              <w14:schemeClr w14:val="tx1"/>
            </w14:solidFill>
          </w14:textFill>
        </w:rPr>
        <w:t>云南</w:t>
      </w:r>
      <w:r>
        <w:rPr>
          <w:snapToGrid w:val="0"/>
          <w:color w:val="000000" w:themeColor="text1"/>
          <w:kern w:val="0"/>
          <w:sz w:val="24"/>
          <w:szCs w:val="24"/>
          <w14:textFill>
            <w14:solidFill>
              <w14:schemeClr w14:val="tx1"/>
            </w14:solidFill>
          </w14:textFill>
        </w:rPr>
        <w:t>建投第二安装工程公司</w:t>
      </w:r>
      <w:r>
        <w:rPr>
          <w:rFonts w:hint="eastAsia"/>
          <w:snapToGrid w:val="0"/>
          <w:color w:val="000000" w:themeColor="text1"/>
          <w:kern w:val="0"/>
          <w:sz w:val="24"/>
          <w:szCs w:val="24"/>
          <w14:textFill>
            <w14:solidFill>
              <w14:schemeClr w14:val="tx1"/>
            </w14:solidFill>
          </w14:textFill>
        </w:rPr>
        <w:t>，中鼎国际</w:t>
      </w:r>
      <w:r>
        <w:rPr>
          <w:snapToGrid w:val="0"/>
          <w:color w:val="000000" w:themeColor="text1"/>
          <w:kern w:val="0"/>
          <w:sz w:val="24"/>
          <w:szCs w:val="24"/>
          <w14:textFill>
            <w14:solidFill>
              <w14:schemeClr w14:val="tx1"/>
            </w14:solidFill>
          </w14:textFill>
        </w:rPr>
        <w:t>工程有限责任公司</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环境影响评价单位：中环联新（北京）环境保护有限公司</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环境监理单位：四川爱欧特环保科技有限公司</w:t>
      </w:r>
    </w:p>
    <w:p>
      <w:pPr>
        <w:pStyle w:val="3"/>
        <w:rPr>
          <w:color w:val="000000" w:themeColor="text1"/>
          <w14:textFill>
            <w14:solidFill>
              <w14:schemeClr w14:val="tx1"/>
            </w14:solidFill>
          </w14:textFill>
        </w:rPr>
      </w:pPr>
      <w:bookmarkStart w:id="14" w:name="_Toc62202379"/>
      <w:r>
        <w:rPr>
          <w:rFonts w:hint="eastAsia"/>
          <w:color w:val="000000" w:themeColor="text1"/>
          <w14:textFill>
            <w14:solidFill>
              <w14:schemeClr w14:val="tx1"/>
            </w14:solidFill>
          </w14:textFill>
        </w:rPr>
        <w:t>2</w:t>
      </w:r>
      <w:r>
        <w:rPr>
          <w:color w:val="000000" w:themeColor="text1"/>
          <w14:textFill>
            <w14:solidFill>
              <w14:schemeClr w14:val="tx1"/>
            </w14:solidFill>
          </w14:textFill>
        </w:rPr>
        <w:t>.2 工程概况</w:t>
      </w:r>
      <w:bookmarkEnd w:id="14"/>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.2.1 工程基本情况</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工程名称：业隆沟锂辉石矿采选尾工程（露天开采区及配套废石场）</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建设单位</w:t>
      </w:r>
      <w:r>
        <w:rPr>
          <w:rFonts w:hint="eastAsia" w:ascii="Times New Roman" w:hAnsi="Times New Roman" w:cs="Times New Roman"/>
          <w:color w:val="000000" w:themeColor="text1"/>
          <w:sz w:val="24"/>
          <w:szCs w:val="24"/>
          <w14:textFill>
            <w14:solidFill>
              <w14:schemeClr w14:val="tx1"/>
            </w14:solidFill>
          </w14:textFill>
        </w:rPr>
        <w:t>：金川奥伊诺矿业有限公司</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建设地点</w:t>
      </w:r>
      <w:r>
        <w:rPr>
          <w:rFonts w:hint="eastAsia" w:ascii="Times New Roman" w:hAnsi="Times New Roman" w:cs="Times New Roman"/>
          <w:color w:val="000000" w:themeColor="text1"/>
          <w:sz w:val="24"/>
          <w:szCs w:val="24"/>
          <w14:textFill>
            <w14:solidFill>
              <w14:schemeClr w14:val="tx1"/>
            </w14:solidFill>
          </w14:textFill>
        </w:rPr>
        <w:t>：阿坝州金川县集沐乡业隆村与毛日乡一村接壤处的业隆沟</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建设性质：新建</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总投资</w:t>
      </w:r>
      <w:r>
        <w:rPr>
          <w:rFonts w:hint="eastAsia" w:ascii="Times New Roman" w:hAnsi="Times New Roman" w:cs="Times New Roman"/>
          <w:color w:val="000000" w:themeColor="text1"/>
          <w:sz w:val="24"/>
          <w:szCs w:val="24"/>
          <w14:textFill>
            <w14:solidFill>
              <w14:schemeClr w14:val="tx1"/>
            </w14:solidFill>
          </w14:textFill>
        </w:rPr>
        <w:t>：5</w:t>
      </w:r>
      <w:r>
        <w:rPr>
          <w:rFonts w:ascii="Times New Roman" w:hAnsi="Times New Roman" w:cs="Times New Roman"/>
          <w:color w:val="000000" w:themeColor="text1"/>
          <w:sz w:val="24"/>
          <w:szCs w:val="24"/>
          <w14:textFill>
            <w14:solidFill>
              <w14:schemeClr w14:val="tx1"/>
            </w14:solidFill>
          </w14:textFill>
        </w:rPr>
        <w:t>9197</w:t>
      </w:r>
      <w:r>
        <w:rPr>
          <w:rFonts w:hint="eastAsia" w:ascii="Times New Roman" w:hAnsi="Times New Roman" w:cs="Times New Roman"/>
          <w:color w:val="000000" w:themeColor="text1"/>
          <w:sz w:val="24"/>
          <w:szCs w:val="24"/>
          <w14:textFill>
            <w14:solidFill>
              <w14:schemeClr w14:val="tx1"/>
            </w14:solidFill>
          </w14:textFill>
        </w:rPr>
        <w:t>万</w:t>
      </w:r>
      <w:r>
        <w:rPr>
          <w:rFonts w:ascii="Times New Roman" w:hAnsi="Times New Roman" w:cs="Times New Roman"/>
          <w:color w:val="000000" w:themeColor="text1"/>
          <w:sz w:val="24"/>
          <w:szCs w:val="24"/>
          <w14:textFill>
            <w14:solidFill>
              <w14:schemeClr w14:val="tx1"/>
            </w14:solidFill>
          </w14:textFill>
        </w:rPr>
        <w:t>元</w:t>
      </w:r>
    </w:p>
    <w:p>
      <w:pPr>
        <w:pStyle w:val="4"/>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 xml:space="preserve">2.2.2 </w:t>
      </w:r>
      <w:r>
        <w:rPr>
          <w:rFonts w:hint="eastAsia" w:eastAsia="宋体" w:cs="Times New Roman"/>
          <w:color w:val="000000" w:themeColor="text1"/>
          <w14:textFill>
            <w14:solidFill>
              <w14:schemeClr w14:val="tx1"/>
            </w14:solidFill>
          </w14:textFill>
        </w:rPr>
        <w:t>工程区域环境概况</w:t>
      </w:r>
    </w:p>
    <w:p>
      <w:pPr>
        <w:spacing w:line="360" w:lineRule="auto"/>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 xml:space="preserve">2.2.2.1 </w:t>
      </w:r>
      <w:r>
        <w:rPr>
          <w:rFonts w:hint="eastAsia" w:ascii="Times New Roman" w:hAnsi="Times New Roman" w:eastAsia="宋体" w:cs="Times New Roman"/>
          <w:b/>
          <w:bCs/>
          <w:color w:val="000000" w:themeColor="text1"/>
          <w:sz w:val="24"/>
          <w:szCs w:val="24"/>
          <w14:textFill>
            <w14:solidFill>
              <w14:schemeClr w14:val="tx1"/>
            </w14:solidFill>
          </w14:textFill>
        </w:rPr>
        <w:t>地理位置</w:t>
      </w:r>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金川县地理位置位于阿坝州西南部，介于东经</w:t>
      </w:r>
      <w:r>
        <w:rPr>
          <w:rFonts w:ascii="Times New Roman" w:hAnsi="Times New Roman" w:eastAsia="宋体" w:cs="Times New Roman"/>
          <w:color w:val="000000" w:themeColor="text1"/>
          <w:sz w:val="24"/>
          <w:szCs w:val="24"/>
          <w14:textFill>
            <w14:solidFill>
              <w14:schemeClr w14:val="tx1"/>
            </w14:solidFill>
          </w14:textFill>
        </w:rPr>
        <w:t xml:space="preserve"> 101°13'～102°19'，北纬 30°04'～ 31°58'之间。幅员面积5432平方公里，东邻小金县，西南与甘孜州的道孚县、丹巴</w:t>
      </w:r>
      <w:r>
        <w:rPr>
          <w:rFonts w:hint="eastAsia" w:ascii="Times New Roman" w:hAnsi="Times New Roman" w:eastAsia="宋体" w:cs="Times New Roman"/>
          <w:color w:val="000000" w:themeColor="text1"/>
          <w:sz w:val="24"/>
          <w:szCs w:val="24"/>
          <w14:textFill>
            <w14:solidFill>
              <w14:schemeClr w14:val="tx1"/>
            </w14:solidFill>
          </w14:textFill>
        </w:rPr>
        <w:t>县接壤，西北与壤塘县毗邻，东北与马尔康县相连。</w:t>
      </w:r>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矿区位于金川县城中心点</w:t>
      </w:r>
      <w:r>
        <w:rPr>
          <w:rFonts w:ascii="Times New Roman" w:hAnsi="Times New Roman" w:eastAsia="宋体" w:cs="Times New Roman"/>
          <w:color w:val="000000" w:themeColor="text1"/>
          <w:sz w:val="24"/>
          <w:szCs w:val="24"/>
          <w14:textFill>
            <w14:solidFill>
              <w14:schemeClr w14:val="tx1"/>
            </w14:solidFill>
          </w14:textFill>
        </w:rPr>
        <w:t>320°方向，平距42km处，位于金川县集沐乡业隆村与毛日乡七一村接壤处的业隆沟。矿区北有20km矿山公路与317国道相通，南东距金川县城52km，北东距马尔康市38km。本项目具体位置见附图1。</w:t>
      </w:r>
    </w:p>
    <w:p>
      <w:pPr>
        <w:pStyle w:val="4"/>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2.2.</w:t>
      </w:r>
      <w:r>
        <w:rPr>
          <w:rFonts w:hint="eastAsia" w:eastAsia="宋体" w:cs="Times New Roman"/>
          <w:color w:val="000000" w:themeColor="text1"/>
          <w:lang w:val="en-US" w:eastAsia="zh-CN"/>
          <w14:textFill>
            <w14:solidFill>
              <w14:schemeClr w14:val="tx1"/>
            </w14:solidFill>
          </w14:textFill>
        </w:rPr>
        <w:t>3</w:t>
      </w:r>
      <w:r>
        <w:rPr>
          <w:rFonts w:eastAsia="宋体" w:cs="Times New Roman"/>
          <w:color w:val="000000" w:themeColor="text1"/>
          <w14:textFill>
            <w14:solidFill>
              <w14:schemeClr w14:val="tx1"/>
            </w14:solidFill>
          </w14:textFill>
        </w:rPr>
        <w:t xml:space="preserve"> 工程规模与特性</w:t>
      </w:r>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业隆沟锂辉石矿采选工程主要包括露天采区、地下采区、选厂、尾矿库、废石场、工业场地、油品存放点等。本次业隆沟锂辉石矿采选尾工程（露天开采区及配套废石场）环境保护验收区域为项目露天开采区（一采区）和配套的露天矿基建废石场、露天矿生产废石场，项目其他区域不在本次验收范围内。</w:t>
      </w:r>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业隆沟锂辉石矿采选工程建设规模及服务年限详见表2.2-1：</w:t>
      </w:r>
    </w:p>
    <w:p>
      <w:pPr>
        <w:spacing w:line="360" w:lineRule="auto"/>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表2.2-1  项目全部建设内容及服务年限表</w:t>
      </w:r>
    </w:p>
    <w:tbl>
      <w:tblPr>
        <w:tblStyle w:val="28"/>
        <w:tblW w:w="891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9"/>
        <w:gridCol w:w="988"/>
        <w:gridCol w:w="1148"/>
        <w:gridCol w:w="1571"/>
        <w:gridCol w:w="2125"/>
        <w:gridCol w:w="239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4" w:hRule="atLeast"/>
          <w:jc w:val="center"/>
        </w:trPr>
        <w:tc>
          <w:tcPr>
            <w:tcW w:w="1677" w:type="dxa"/>
            <w:gridSpan w:val="2"/>
            <w:shd w:val="clear" w:color="auto" w:fill="auto"/>
            <w:vAlign w:val="center"/>
          </w:tcPr>
          <w:p>
            <w:pPr>
              <w:adjustRightInd w:val="0"/>
              <w:snapToGrid w:val="0"/>
              <w:jc w:val="center"/>
              <w:rPr>
                <w:rFonts w:ascii="Times New Roman" w:hAnsi="Times New Roman" w:eastAsia="宋体" w:cs="Times New Roman"/>
                <w:b/>
                <w:color w:val="000000" w:themeColor="text1"/>
                <w:sz w:val="22"/>
                <w:szCs w:val="21"/>
                <w14:textFill>
                  <w14:solidFill>
                    <w14:schemeClr w14:val="tx1"/>
                  </w14:solidFill>
                </w14:textFill>
              </w:rPr>
            </w:pPr>
            <w:r>
              <w:rPr>
                <w:rFonts w:ascii="Times New Roman" w:hAnsi="Times New Roman" w:eastAsia="宋体" w:cs="Times New Roman"/>
                <w:b/>
                <w:color w:val="000000" w:themeColor="text1"/>
                <w:sz w:val="22"/>
                <w:szCs w:val="21"/>
                <w14:textFill>
                  <w14:solidFill>
                    <w14:schemeClr w14:val="tx1"/>
                  </w14:solidFill>
                </w14:textFill>
              </w:rPr>
              <w:t>建设内容</w:t>
            </w:r>
          </w:p>
        </w:tc>
        <w:tc>
          <w:tcPr>
            <w:tcW w:w="1148" w:type="dxa"/>
            <w:shd w:val="clear" w:color="auto" w:fill="auto"/>
            <w:vAlign w:val="center"/>
          </w:tcPr>
          <w:p>
            <w:pPr>
              <w:adjustRightInd w:val="0"/>
              <w:snapToGrid w:val="0"/>
              <w:jc w:val="center"/>
              <w:rPr>
                <w:rFonts w:ascii="Times New Roman" w:hAnsi="Times New Roman" w:eastAsia="宋体" w:cs="Times New Roman"/>
                <w:b/>
                <w:color w:val="000000" w:themeColor="text1"/>
                <w:sz w:val="22"/>
                <w:szCs w:val="21"/>
                <w14:textFill>
                  <w14:solidFill>
                    <w14:schemeClr w14:val="tx1"/>
                  </w14:solidFill>
                </w14:textFill>
              </w:rPr>
            </w:pPr>
            <w:r>
              <w:rPr>
                <w:rFonts w:ascii="Times New Roman" w:hAnsi="Times New Roman" w:eastAsia="宋体" w:cs="Times New Roman"/>
                <w:b/>
                <w:color w:val="000000" w:themeColor="text1"/>
                <w:sz w:val="22"/>
                <w:szCs w:val="21"/>
                <w14:textFill>
                  <w14:solidFill>
                    <w14:schemeClr w14:val="tx1"/>
                  </w14:solidFill>
                </w14:textFill>
              </w:rPr>
              <w:t>开采矿体</w:t>
            </w:r>
          </w:p>
        </w:tc>
        <w:tc>
          <w:tcPr>
            <w:tcW w:w="1571" w:type="dxa"/>
            <w:shd w:val="clear" w:color="auto" w:fill="auto"/>
            <w:vAlign w:val="center"/>
          </w:tcPr>
          <w:p>
            <w:pPr>
              <w:adjustRightInd w:val="0"/>
              <w:snapToGrid w:val="0"/>
              <w:jc w:val="center"/>
              <w:rPr>
                <w:rFonts w:ascii="Times New Roman" w:hAnsi="Times New Roman" w:eastAsia="宋体" w:cs="Times New Roman"/>
                <w:b/>
                <w:color w:val="000000" w:themeColor="text1"/>
                <w:sz w:val="22"/>
                <w:szCs w:val="21"/>
                <w14:textFill>
                  <w14:solidFill>
                    <w14:schemeClr w14:val="tx1"/>
                  </w14:solidFill>
                </w14:textFill>
              </w:rPr>
            </w:pPr>
            <w:r>
              <w:rPr>
                <w:rFonts w:ascii="Times New Roman" w:hAnsi="Times New Roman" w:eastAsia="宋体" w:cs="Times New Roman"/>
                <w:b/>
                <w:color w:val="000000" w:themeColor="text1"/>
                <w:sz w:val="22"/>
                <w:szCs w:val="21"/>
                <w14:textFill>
                  <w14:solidFill>
                    <w14:schemeClr w14:val="tx1"/>
                  </w14:solidFill>
                </w14:textFill>
              </w:rPr>
              <w:t>设计利用资源储量（万t）</w:t>
            </w:r>
          </w:p>
        </w:tc>
        <w:tc>
          <w:tcPr>
            <w:tcW w:w="2125" w:type="dxa"/>
            <w:shd w:val="clear" w:color="auto" w:fill="auto"/>
            <w:vAlign w:val="center"/>
          </w:tcPr>
          <w:p>
            <w:pPr>
              <w:adjustRightInd w:val="0"/>
              <w:snapToGrid w:val="0"/>
              <w:jc w:val="center"/>
              <w:rPr>
                <w:rFonts w:ascii="Times New Roman" w:hAnsi="Times New Roman" w:eastAsia="宋体" w:cs="Times New Roman"/>
                <w:b/>
                <w:color w:val="000000" w:themeColor="text1"/>
                <w:sz w:val="22"/>
                <w:szCs w:val="21"/>
                <w14:textFill>
                  <w14:solidFill>
                    <w14:schemeClr w14:val="tx1"/>
                  </w14:solidFill>
                </w14:textFill>
              </w:rPr>
            </w:pPr>
            <w:r>
              <w:rPr>
                <w:rFonts w:ascii="Times New Roman" w:hAnsi="Times New Roman" w:eastAsia="宋体" w:cs="Times New Roman"/>
                <w:b/>
                <w:color w:val="000000" w:themeColor="text1"/>
                <w:sz w:val="22"/>
                <w:szCs w:val="21"/>
                <w14:textFill>
                  <w14:solidFill>
                    <w14:schemeClr w14:val="tx1"/>
                  </w14:solidFill>
                </w14:textFill>
              </w:rPr>
              <w:t>建设规模</w:t>
            </w:r>
          </w:p>
        </w:tc>
        <w:tc>
          <w:tcPr>
            <w:tcW w:w="2397" w:type="dxa"/>
            <w:shd w:val="clear" w:color="auto" w:fill="auto"/>
            <w:vAlign w:val="center"/>
          </w:tcPr>
          <w:p>
            <w:pPr>
              <w:adjustRightInd w:val="0"/>
              <w:snapToGrid w:val="0"/>
              <w:jc w:val="center"/>
              <w:rPr>
                <w:rFonts w:ascii="Times New Roman" w:hAnsi="Times New Roman" w:eastAsia="宋体" w:cs="Times New Roman"/>
                <w:b/>
                <w:color w:val="000000" w:themeColor="text1"/>
                <w:sz w:val="22"/>
                <w:szCs w:val="21"/>
                <w14:textFill>
                  <w14:solidFill>
                    <w14:schemeClr w14:val="tx1"/>
                  </w14:solidFill>
                </w14:textFill>
              </w:rPr>
            </w:pPr>
            <w:r>
              <w:rPr>
                <w:rFonts w:ascii="Times New Roman" w:hAnsi="Times New Roman" w:eastAsia="宋体" w:cs="Times New Roman"/>
                <w:b/>
                <w:color w:val="000000" w:themeColor="text1"/>
                <w:sz w:val="22"/>
                <w:szCs w:val="21"/>
                <w14:textFill>
                  <w14:solidFill>
                    <w14:schemeClr w14:val="tx1"/>
                  </w14:solidFill>
                </w14:textFill>
              </w:rPr>
              <w:t>服务年限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689" w:type="dxa"/>
            <w:shd w:val="clear" w:color="auto" w:fill="auto"/>
            <w:vAlign w:val="center"/>
          </w:tcPr>
          <w:p>
            <w:pPr>
              <w:autoSpaceDE w:val="0"/>
              <w:autoSpaceDN w:val="0"/>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露天开采</w:t>
            </w:r>
          </w:p>
        </w:tc>
        <w:tc>
          <w:tcPr>
            <w:tcW w:w="988" w:type="dxa"/>
            <w:shd w:val="clear" w:color="auto" w:fill="auto"/>
            <w:vAlign w:val="center"/>
          </w:tcPr>
          <w:p>
            <w:pPr>
              <w:autoSpaceDE w:val="0"/>
              <w:autoSpaceDN w:val="0"/>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一采区</w:t>
            </w:r>
          </w:p>
        </w:tc>
        <w:tc>
          <w:tcPr>
            <w:tcW w:w="1148" w:type="dxa"/>
            <w:shd w:val="clear" w:color="auto" w:fill="auto"/>
            <w:vAlign w:val="center"/>
          </w:tcPr>
          <w:p>
            <w:pPr>
              <w:autoSpaceDE w:val="0"/>
              <w:autoSpaceDN w:val="0"/>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1号矿体</w:t>
            </w:r>
          </w:p>
        </w:tc>
        <w:tc>
          <w:tcPr>
            <w:tcW w:w="1571" w:type="dxa"/>
            <w:shd w:val="clear" w:color="auto" w:fill="auto"/>
            <w:vAlign w:val="center"/>
          </w:tcPr>
          <w:p>
            <w:pPr>
              <w:autoSpaceDE w:val="0"/>
              <w:autoSpaceDN w:val="0"/>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122.42</w:t>
            </w:r>
          </w:p>
        </w:tc>
        <w:tc>
          <w:tcPr>
            <w:tcW w:w="2125" w:type="dxa"/>
            <w:shd w:val="clear" w:color="auto" w:fill="auto"/>
            <w:vAlign w:val="center"/>
          </w:tcPr>
          <w:p>
            <w:pPr>
              <w:autoSpaceDE w:val="0"/>
              <w:autoSpaceDN w:val="0"/>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18.9万t/a</w:t>
            </w:r>
          </w:p>
        </w:tc>
        <w:tc>
          <w:tcPr>
            <w:tcW w:w="2397" w:type="dxa"/>
            <w:shd w:val="clear" w:color="auto" w:fill="auto"/>
            <w:vAlign w:val="center"/>
          </w:tcPr>
          <w:p>
            <w:pPr>
              <w:autoSpaceDE w:val="0"/>
              <w:autoSpaceDN w:val="0"/>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基建期1年，生产期7年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689" w:type="dxa"/>
            <w:vMerge w:val="restart"/>
            <w:shd w:val="clear" w:color="auto" w:fill="auto"/>
            <w:vAlign w:val="center"/>
          </w:tcPr>
          <w:p>
            <w:pPr>
              <w:autoSpaceDE w:val="0"/>
              <w:autoSpaceDN w:val="0"/>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地下开采</w:t>
            </w:r>
          </w:p>
        </w:tc>
        <w:tc>
          <w:tcPr>
            <w:tcW w:w="988" w:type="dxa"/>
            <w:shd w:val="clear" w:color="auto" w:fill="auto"/>
            <w:vAlign w:val="center"/>
          </w:tcPr>
          <w:p>
            <w:pPr>
              <w:autoSpaceDE w:val="0"/>
              <w:autoSpaceDN w:val="0"/>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二采区</w:t>
            </w:r>
          </w:p>
        </w:tc>
        <w:tc>
          <w:tcPr>
            <w:tcW w:w="1148" w:type="dxa"/>
            <w:shd w:val="clear" w:color="auto" w:fill="auto"/>
            <w:vAlign w:val="center"/>
          </w:tcPr>
          <w:p>
            <w:pPr>
              <w:autoSpaceDE w:val="0"/>
              <w:autoSpaceDN w:val="0"/>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22、25-1、25号矿体</w:t>
            </w:r>
          </w:p>
        </w:tc>
        <w:tc>
          <w:tcPr>
            <w:tcW w:w="1571" w:type="dxa"/>
            <w:shd w:val="clear" w:color="auto" w:fill="auto"/>
            <w:vAlign w:val="center"/>
          </w:tcPr>
          <w:p>
            <w:pPr>
              <w:autoSpaceDE w:val="0"/>
              <w:autoSpaceDN w:val="0"/>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383.1</w:t>
            </w:r>
          </w:p>
        </w:tc>
        <w:tc>
          <w:tcPr>
            <w:tcW w:w="2125" w:type="dxa"/>
            <w:shd w:val="clear" w:color="auto" w:fill="auto"/>
            <w:vAlign w:val="center"/>
          </w:tcPr>
          <w:p>
            <w:pPr>
              <w:autoSpaceDE w:val="0"/>
              <w:autoSpaceDN w:val="0"/>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第2-6年，21.6万t/a；第7-15年，30万t/a</w:t>
            </w:r>
          </w:p>
        </w:tc>
        <w:tc>
          <w:tcPr>
            <w:tcW w:w="2397" w:type="dxa"/>
            <w:shd w:val="clear" w:color="auto" w:fill="auto"/>
            <w:vAlign w:val="center"/>
          </w:tcPr>
          <w:p>
            <w:pPr>
              <w:autoSpaceDE w:val="0"/>
              <w:autoSpaceDN w:val="0"/>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基建期1年，生产期16年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689" w:type="dxa"/>
            <w:vMerge w:val="continue"/>
            <w:shd w:val="clear" w:color="auto" w:fill="auto"/>
            <w:vAlign w:val="center"/>
          </w:tcPr>
          <w:p>
            <w:pPr>
              <w:autoSpaceDE w:val="0"/>
              <w:autoSpaceDN w:val="0"/>
              <w:jc w:val="center"/>
              <w:rPr>
                <w:rFonts w:ascii="Times New Roman" w:hAnsi="Times New Roman" w:eastAsia="宋体" w:cs="Times New Roman"/>
                <w:color w:val="000000" w:themeColor="text1"/>
                <w:kern w:val="0"/>
                <w:szCs w:val="21"/>
                <w14:textFill>
                  <w14:solidFill>
                    <w14:schemeClr w14:val="tx1"/>
                  </w14:solidFill>
                </w14:textFill>
              </w:rPr>
            </w:pPr>
          </w:p>
        </w:tc>
        <w:tc>
          <w:tcPr>
            <w:tcW w:w="988" w:type="dxa"/>
            <w:shd w:val="clear" w:color="auto" w:fill="auto"/>
            <w:vAlign w:val="center"/>
          </w:tcPr>
          <w:p>
            <w:pPr>
              <w:autoSpaceDE w:val="0"/>
              <w:autoSpaceDN w:val="0"/>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三采区</w:t>
            </w:r>
          </w:p>
        </w:tc>
        <w:tc>
          <w:tcPr>
            <w:tcW w:w="1148" w:type="dxa"/>
            <w:shd w:val="clear" w:color="auto" w:fill="auto"/>
            <w:vAlign w:val="center"/>
          </w:tcPr>
          <w:p>
            <w:pPr>
              <w:autoSpaceDE w:val="0"/>
              <w:autoSpaceDN w:val="0"/>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3号矿体</w:t>
            </w:r>
          </w:p>
        </w:tc>
        <w:tc>
          <w:tcPr>
            <w:tcW w:w="1571" w:type="dxa"/>
            <w:shd w:val="clear" w:color="auto" w:fill="auto"/>
            <w:vAlign w:val="center"/>
          </w:tcPr>
          <w:p>
            <w:pPr>
              <w:autoSpaceDE w:val="0"/>
              <w:autoSpaceDN w:val="0"/>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44.2</w:t>
            </w:r>
          </w:p>
        </w:tc>
        <w:tc>
          <w:tcPr>
            <w:tcW w:w="2125" w:type="dxa"/>
            <w:shd w:val="clear" w:color="auto" w:fill="auto"/>
            <w:vAlign w:val="center"/>
          </w:tcPr>
          <w:p>
            <w:pPr>
              <w:autoSpaceDE w:val="0"/>
              <w:autoSpaceDN w:val="0"/>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5万t/a</w:t>
            </w:r>
          </w:p>
        </w:tc>
        <w:tc>
          <w:tcPr>
            <w:tcW w:w="2397" w:type="dxa"/>
            <w:shd w:val="clear" w:color="auto" w:fill="auto"/>
            <w:vAlign w:val="center"/>
          </w:tcPr>
          <w:p>
            <w:pPr>
              <w:autoSpaceDE w:val="0"/>
              <w:autoSpaceDN w:val="0"/>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基建期1年，生产期9年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89" w:type="dxa"/>
            <w:vMerge w:val="continue"/>
            <w:shd w:val="clear" w:color="auto" w:fill="auto"/>
            <w:vAlign w:val="center"/>
          </w:tcPr>
          <w:p>
            <w:pPr>
              <w:autoSpaceDE w:val="0"/>
              <w:autoSpaceDN w:val="0"/>
              <w:jc w:val="center"/>
              <w:rPr>
                <w:rFonts w:ascii="Times New Roman" w:hAnsi="Times New Roman" w:eastAsia="宋体" w:cs="Times New Roman"/>
                <w:color w:val="000000" w:themeColor="text1"/>
                <w:kern w:val="0"/>
                <w:szCs w:val="21"/>
                <w14:textFill>
                  <w14:solidFill>
                    <w14:schemeClr w14:val="tx1"/>
                  </w14:solidFill>
                </w14:textFill>
              </w:rPr>
            </w:pPr>
          </w:p>
        </w:tc>
        <w:tc>
          <w:tcPr>
            <w:tcW w:w="988" w:type="dxa"/>
            <w:shd w:val="clear" w:color="auto" w:fill="auto"/>
            <w:vAlign w:val="center"/>
          </w:tcPr>
          <w:p>
            <w:pPr>
              <w:autoSpaceDE w:val="0"/>
              <w:autoSpaceDN w:val="0"/>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四采区</w:t>
            </w:r>
          </w:p>
        </w:tc>
        <w:tc>
          <w:tcPr>
            <w:tcW w:w="1148" w:type="dxa"/>
            <w:shd w:val="clear" w:color="auto" w:fill="auto"/>
            <w:vAlign w:val="center"/>
          </w:tcPr>
          <w:p>
            <w:pPr>
              <w:autoSpaceDE w:val="0"/>
              <w:autoSpaceDN w:val="0"/>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13号矿体</w:t>
            </w:r>
          </w:p>
        </w:tc>
        <w:tc>
          <w:tcPr>
            <w:tcW w:w="1571" w:type="dxa"/>
            <w:shd w:val="clear" w:color="auto" w:fill="auto"/>
            <w:vAlign w:val="center"/>
          </w:tcPr>
          <w:p>
            <w:pPr>
              <w:autoSpaceDE w:val="0"/>
              <w:autoSpaceDN w:val="0"/>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52.8</w:t>
            </w:r>
          </w:p>
        </w:tc>
        <w:tc>
          <w:tcPr>
            <w:tcW w:w="2125" w:type="dxa"/>
            <w:shd w:val="clear" w:color="auto" w:fill="auto"/>
            <w:vAlign w:val="center"/>
          </w:tcPr>
          <w:p>
            <w:pPr>
              <w:autoSpaceDE w:val="0"/>
              <w:autoSpaceDN w:val="0"/>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5.5万t/a</w:t>
            </w:r>
          </w:p>
        </w:tc>
        <w:tc>
          <w:tcPr>
            <w:tcW w:w="2397" w:type="dxa"/>
            <w:shd w:val="clear" w:color="auto" w:fill="auto"/>
            <w:vAlign w:val="center"/>
          </w:tcPr>
          <w:p>
            <w:pPr>
              <w:autoSpaceDE w:val="0"/>
              <w:autoSpaceDN w:val="0"/>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基建期1年，生产期9年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89" w:type="dxa"/>
            <w:vMerge w:val="continue"/>
            <w:shd w:val="clear" w:color="auto" w:fill="auto"/>
            <w:vAlign w:val="center"/>
          </w:tcPr>
          <w:p>
            <w:pPr>
              <w:autoSpaceDE w:val="0"/>
              <w:autoSpaceDN w:val="0"/>
              <w:jc w:val="center"/>
              <w:rPr>
                <w:rFonts w:ascii="Times New Roman" w:hAnsi="Times New Roman" w:eastAsia="宋体" w:cs="Times New Roman"/>
                <w:color w:val="000000" w:themeColor="text1"/>
                <w:kern w:val="0"/>
                <w:szCs w:val="21"/>
                <w14:textFill>
                  <w14:solidFill>
                    <w14:schemeClr w14:val="tx1"/>
                  </w14:solidFill>
                </w14:textFill>
              </w:rPr>
            </w:pPr>
          </w:p>
        </w:tc>
        <w:tc>
          <w:tcPr>
            <w:tcW w:w="988" w:type="dxa"/>
            <w:shd w:val="clear" w:color="auto" w:fill="auto"/>
            <w:vAlign w:val="center"/>
          </w:tcPr>
          <w:p>
            <w:pPr>
              <w:autoSpaceDE w:val="0"/>
              <w:autoSpaceDN w:val="0"/>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五采区</w:t>
            </w:r>
          </w:p>
        </w:tc>
        <w:tc>
          <w:tcPr>
            <w:tcW w:w="1148" w:type="dxa"/>
            <w:shd w:val="clear" w:color="auto" w:fill="auto"/>
            <w:vAlign w:val="center"/>
          </w:tcPr>
          <w:p>
            <w:pPr>
              <w:autoSpaceDE w:val="0"/>
              <w:autoSpaceDN w:val="0"/>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2号矿体</w:t>
            </w:r>
          </w:p>
        </w:tc>
        <w:tc>
          <w:tcPr>
            <w:tcW w:w="1571" w:type="dxa"/>
            <w:shd w:val="clear" w:color="auto" w:fill="auto"/>
            <w:vAlign w:val="center"/>
          </w:tcPr>
          <w:p>
            <w:pPr>
              <w:autoSpaceDE w:val="0"/>
              <w:autoSpaceDN w:val="0"/>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4.5</w:t>
            </w:r>
          </w:p>
        </w:tc>
        <w:tc>
          <w:tcPr>
            <w:tcW w:w="2125" w:type="dxa"/>
            <w:shd w:val="clear" w:color="auto" w:fill="auto"/>
            <w:vAlign w:val="center"/>
          </w:tcPr>
          <w:p>
            <w:pPr>
              <w:autoSpaceDE w:val="0"/>
              <w:autoSpaceDN w:val="0"/>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3.22万t/a</w:t>
            </w:r>
          </w:p>
        </w:tc>
        <w:tc>
          <w:tcPr>
            <w:tcW w:w="2397" w:type="dxa"/>
            <w:shd w:val="clear" w:color="auto" w:fill="auto"/>
            <w:vAlign w:val="center"/>
          </w:tcPr>
          <w:p>
            <w:pPr>
              <w:autoSpaceDE w:val="0"/>
              <w:autoSpaceDN w:val="0"/>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服务年限2年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89" w:type="dxa"/>
            <w:vMerge w:val="continue"/>
            <w:shd w:val="clear" w:color="auto" w:fill="auto"/>
            <w:vAlign w:val="center"/>
          </w:tcPr>
          <w:p>
            <w:pPr>
              <w:autoSpaceDE w:val="0"/>
              <w:autoSpaceDN w:val="0"/>
              <w:jc w:val="center"/>
              <w:rPr>
                <w:rFonts w:ascii="Times New Roman" w:hAnsi="Times New Roman" w:eastAsia="宋体" w:cs="Times New Roman"/>
                <w:color w:val="000000" w:themeColor="text1"/>
                <w:kern w:val="0"/>
                <w:szCs w:val="21"/>
                <w14:textFill>
                  <w14:solidFill>
                    <w14:schemeClr w14:val="tx1"/>
                  </w14:solidFill>
                </w14:textFill>
              </w:rPr>
            </w:pPr>
          </w:p>
        </w:tc>
        <w:tc>
          <w:tcPr>
            <w:tcW w:w="988" w:type="dxa"/>
            <w:shd w:val="clear" w:color="auto" w:fill="auto"/>
            <w:vAlign w:val="center"/>
          </w:tcPr>
          <w:p>
            <w:pPr>
              <w:autoSpaceDE w:val="0"/>
              <w:autoSpaceDN w:val="0"/>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六采区</w:t>
            </w:r>
          </w:p>
        </w:tc>
        <w:tc>
          <w:tcPr>
            <w:tcW w:w="1148" w:type="dxa"/>
            <w:shd w:val="clear" w:color="auto" w:fill="auto"/>
            <w:vAlign w:val="center"/>
          </w:tcPr>
          <w:p>
            <w:pPr>
              <w:autoSpaceDE w:val="0"/>
              <w:autoSpaceDN w:val="0"/>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14号矿体</w:t>
            </w:r>
          </w:p>
        </w:tc>
        <w:tc>
          <w:tcPr>
            <w:tcW w:w="1571" w:type="dxa"/>
            <w:shd w:val="clear" w:color="auto" w:fill="auto"/>
            <w:vAlign w:val="center"/>
          </w:tcPr>
          <w:p>
            <w:pPr>
              <w:autoSpaceDE w:val="0"/>
              <w:autoSpaceDN w:val="0"/>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2.6</w:t>
            </w:r>
          </w:p>
        </w:tc>
        <w:tc>
          <w:tcPr>
            <w:tcW w:w="2125" w:type="dxa"/>
            <w:shd w:val="clear" w:color="auto" w:fill="auto"/>
            <w:vAlign w:val="center"/>
          </w:tcPr>
          <w:p>
            <w:pPr>
              <w:autoSpaceDE w:val="0"/>
              <w:autoSpaceDN w:val="0"/>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1.86万t/a</w:t>
            </w:r>
          </w:p>
        </w:tc>
        <w:tc>
          <w:tcPr>
            <w:tcW w:w="2397" w:type="dxa"/>
            <w:shd w:val="clear" w:color="auto" w:fill="auto"/>
            <w:vAlign w:val="center"/>
          </w:tcPr>
          <w:p>
            <w:pPr>
              <w:autoSpaceDE w:val="0"/>
              <w:autoSpaceDN w:val="0"/>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服务年限2年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689" w:type="dxa"/>
            <w:vMerge w:val="continue"/>
            <w:shd w:val="clear" w:color="auto" w:fill="auto"/>
            <w:vAlign w:val="center"/>
          </w:tcPr>
          <w:p>
            <w:pPr>
              <w:autoSpaceDE w:val="0"/>
              <w:autoSpaceDN w:val="0"/>
              <w:jc w:val="center"/>
              <w:rPr>
                <w:rFonts w:ascii="Times New Roman" w:hAnsi="Times New Roman" w:eastAsia="宋体" w:cs="Times New Roman"/>
                <w:color w:val="000000" w:themeColor="text1"/>
                <w:kern w:val="0"/>
                <w:szCs w:val="21"/>
                <w14:textFill>
                  <w14:solidFill>
                    <w14:schemeClr w14:val="tx1"/>
                  </w14:solidFill>
                </w14:textFill>
              </w:rPr>
            </w:pPr>
          </w:p>
        </w:tc>
        <w:tc>
          <w:tcPr>
            <w:tcW w:w="988" w:type="dxa"/>
            <w:shd w:val="clear" w:color="auto" w:fill="auto"/>
            <w:vAlign w:val="center"/>
          </w:tcPr>
          <w:p>
            <w:pPr>
              <w:autoSpaceDE w:val="0"/>
              <w:autoSpaceDN w:val="0"/>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七采区</w:t>
            </w:r>
          </w:p>
        </w:tc>
        <w:tc>
          <w:tcPr>
            <w:tcW w:w="1148" w:type="dxa"/>
            <w:shd w:val="clear" w:color="auto" w:fill="auto"/>
            <w:vAlign w:val="center"/>
          </w:tcPr>
          <w:p>
            <w:pPr>
              <w:autoSpaceDE w:val="0"/>
              <w:autoSpaceDN w:val="0"/>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15、16号矿体</w:t>
            </w:r>
          </w:p>
        </w:tc>
        <w:tc>
          <w:tcPr>
            <w:tcW w:w="1571" w:type="dxa"/>
            <w:shd w:val="clear" w:color="auto" w:fill="auto"/>
            <w:vAlign w:val="center"/>
          </w:tcPr>
          <w:p>
            <w:pPr>
              <w:autoSpaceDE w:val="0"/>
              <w:autoSpaceDN w:val="0"/>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6.6</w:t>
            </w:r>
          </w:p>
        </w:tc>
        <w:tc>
          <w:tcPr>
            <w:tcW w:w="2125" w:type="dxa"/>
            <w:shd w:val="clear" w:color="auto" w:fill="auto"/>
            <w:vAlign w:val="center"/>
          </w:tcPr>
          <w:p>
            <w:pPr>
              <w:autoSpaceDE w:val="0"/>
              <w:autoSpaceDN w:val="0"/>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4.73万t/a</w:t>
            </w:r>
          </w:p>
        </w:tc>
        <w:tc>
          <w:tcPr>
            <w:tcW w:w="2397" w:type="dxa"/>
            <w:shd w:val="clear" w:color="auto" w:fill="auto"/>
            <w:vAlign w:val="center"/>
          </w:tcPr>
          <w:p>
            <w:pPr>
              <w:autoSpaceDE w:val="0"/>
              <w:autoSpaceDN w:val="0"/>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服务年限2年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89" w:type="dxa"/>
            <w:vMerge w:val="continue"/>
            <w:shd w:val="clear" w:color="auto" w:fill="auto"/>
            <w:vAlign w:val="center"/>
          </w:tcPr>
          <w:p>
            <w:pPr>
              <w:autoSpaceDE w:val="0"/>
              <w:autoSpaceDN w:val="0"/>
              <w:jc w:val="center"/>
              <w:rPr>
                <w:rFonts w:ascii="Times New Roman" w:hAnsi="Times New Roman" w:eastAsia="宋体" w:cs="Times New Roman"/>
                <w:color w:val="000000" w:themeColor="text1"/>
                <w:kern w:val="0"/>
                <w:szCs w:val="21"/>
                <w14:textFill>
                  <w14:solidFill>
                    <w14:schemeClr w14:val="tx1"/>
                  </w14:solidFill>
                </w14:textFill>
              </w:rPr>
            </w:pPr>
          </w:p>
        </w:tc>
        <w:tc>
          <w:tcPr>
            <w:tcW w:w="988" w:type="dxa"/>
            <w:shd w:val="clear" w:color="auto" w:fill="auto"/>
            <w:vAlign w:val="center"/>
          </w:tcPr>
          <w:p>
            <w:pPr>
              <w:autoSpaceDE w:val="0"/>
              <w:autoSpaceDN w:val="0"/>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八采区</w:t>
            </w:r>
          </w:p>
        </w:tc>
        <w:tc>
          <w:tcPr>
            <w:tcW w:w="1148" w:type="dxa"/>
            <w:shd w:val="clear" w:color="auto" w:fill="auto"/>
            <w:vAlign w:val="center"/>
          </w:tcPr>
          <w:p>
            <w:pPr>
              <w:autoSpaceDE w:val="0"/>
              <w:autoSpaceDN w:val="0"/>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18号矿体</w:t>
            </w:r>
          </w:p>
        </w:tc>
        <w:tc>
          <w:tcPr>
            <w:tcW w:w="1571" w:type="dxa"/>
            <w:shd w:val="clear" w:color="auto" w:fill="auto"/>
            <w:vAlign w:val="center"/>
          </w:tcPr>
          <w:p>
            <w:pPr>
              <w:autoSpaceDE w:val="0"/>
              <w:autoSpaceDN w:val="0"/>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3.5</w:t>
            </w:r>
          </w:p>
        </w:tc>
        <w:tc>
          <w:tcPr>
            <w:tcW w:w="2125" w:type="dxa"/>
            <w:shd w:val="clear" w:color="auto" w:fill="auto"/>
            <w:vAlign w:val="center"/>
          </w:tcPr>
          <w:p>
            <w:pPr>
              <w:autoSpaceDE w:val="0"/>
              <w:autoSpaceDN w:val="0"/>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2.51万t/a</w:t>
            </w:r>
          </w:p>
        </w:tc>
        <w:tc>
          <w:tcPr>
            <w:tcW w:w="2397" w:type="dxa"/>
            <w:shd w:val="clear" w:color="auto" w:fill="auto"/>
            <w:vAlign w:val="center"/>
          </w:tcPr>
          <w:p>
            <w:pPr>
              <w:autoSpaceDE w:val="0"/>
              <w:autoSpaceDN w:val="0"/>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服务年限2年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4396" w:type="dxa"/>
            <w:gridSpan w:val="4"/>
            <w:shd w:val="clear" w:color="auto" w:fill="auto"/>
            <w:vAlign w:val="center"/>
          </w:tcPr>
          <w:p>
            <w:pPr>
              <w:autoSpaceDE w:val="0"/>
              <w:autoSpaceDN w:val="0"/>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尾矿库</w:t>
            </w:r>
          </w:p>
        </w:tc>
        <w:tc>
          <w:tcPr>
            <w:tcW w:w="2125" w:type="dxa"/>
            <w:shd w:val="clear" w:color="auto" w:fill="auto"/>
            <w:vAlign w:val="center"/>
          </w:tcPr>
          <w:p>
            <w:pPr>
              <w:autoSpaceDE w:val="0"/>
              <w:autoSpaceDN w:val="0"/>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总库容约360万m</w:t>
            </w:r>
            <w:r>
              <w:rPr>
                <w:rFonts w:ascii="Times New Roman" w:hAnsi="Times New Roman" w:eastAsia="宋体" w:cs="Times New Roman"/>
                <w:color w:val="000000" w:themeColor="text1"/>
                <w:kern w:val="0"/>
                <w:szCs w:val="21"/>
                <w:vertAlign w:val="superscript"/>
                <w14:textFill>
                  <w14:solidFill>
                    <w14:schemeClr w14:val="tx1"/>
                  </w14:solidFill>
                </w14:textFill>
              </w:rPr>
              <w:t>3</w:t>
            </w:r>
            <w:r>
              <w:rPr>
                <w:rFonts w:ascii="Times New Roman" w:hAnsi="Times New Roman" w:eastAsia="宋体" w:cs="Times New Roman"/>
                <w:color w:val="000000" w:themeColor="text1"/>
                <w:kern w:val="0"/>
                <w:szCs w:val="21"/>
                <w14:textFill>
                  <w14:solidFill>
                    <w14:schemeClr w14:val="tx1"/>
                  </w14:solidFill>
                </w14:textFill>
              </w:rPr>
              <w:t>，有效库容306万m</w:t>
            </w:r>
            <w:r>
              <w:rPr>
                <w:rFonts w:ascii="Times New Roman" w:hAnsi="Times New Roman" w:eastAsia="宋体" w:cs="Times New Roman"/>
                <w:color w:val="000000" w:themeColor="text1"/>
                <w:kern w:val="0"/>
                <w:szCs w:val="21"/>
                <w:vertAlign w:val="superscript"/>
                <w14:textFill>
                  <w14:solidFill>
                    <w14:schemeClr w14:val="tx1"/>
                  </w14:solidFill>
                </w14:textFill>
              </w:rPr>
              <w:t>3</w:t>
            </w:r>
          </w:p>
        </w:tc>
        <w:tc>
          <w:tcPr>
            <w:tcW w:w="2397" w:type="dxa"/>
            <w:shd w:val="clear" w:color="auto" w:fill="auto"/>
            <w:vAlign w:val="center"/>
          </w:tcPr>
          <w:p>
            <w:pPr>
              <w:autoSpaceDE w:val="0"/>
              <w:autoSpaceDN w:val="0"/>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服务年限18年</w:t>
            </w:r>
          </w:p>
        </w:tc>
      </w:tr>
    </w:tbl>
    <w:p>
      <w:pPr>
        <w:pStyle w:val="4"/>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2.2.</w:t>
      </w:r>
      <w:r>
        <w:rPr>
          <w:rFonts w:hint="eastAsia" w:eastAsia="宋体" w:cs="Times New Roman"/>
          <w:color w:val="000000" w:themeColor="text1"/>
          <w:lang w:val="en-US" w:eastAsia="zh-CN"/>
          <w14:textFill>
            <w14:solidFill>
              <w14:schemeClr w14:val="tx1"/>
            </w14:solidFill>
          </w14:textFill>
        </w:rPr>
        <w:t>4</w:t>
      </w:r>
      <w:r>
        <w:rPr>
          <w:rFonts w:eastAsia="宋体" w:cs="Times New Roman"/>
          <w:color w:val="000000" w:themeColor="text1"/>
          <w14:textFill>
            <w14:solidFill>
              <w14:schemeClr w14:val="tx1"/>
            </w14:solidFill>
          </w14:textFill>
        </w:rPr>
        <w:t>项目组成及主要建筑物布置</w:t>
      </w:r>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本次业隆沟锂辉石矿采选尾工程（露天开采区及配套废石场）环境保护验收区域为露天开采区（一采区）和配套的露天矿基建废石场、露天矿生产废石场，验收内容组成具体情况见下表。</w:t>
      </w:r>
    </w:p>
    <w:p>
      <w:pPr>
        <w:spacing w:line="360" w:lineRule="auto"/>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表2.2-2  工程项目组成表</w:t>
      </w:r>
    </w:p>
    <w:tbl>
      <w:tblPr>
        <w:tblStyle w:val="28"/>
        <w:tblW w:w="907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1"/>
        <w:gridCol w:w="1294"/>
        <w:gridCol w:w="2835"/>
        <w:gridCol w:w="2551"/>
        <w:gridCol w:w="169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9" w:hRule="atLeast"/>
          <w:tblHeader/>
          <w:jc w:val="center"/>
        </w:trPr>
        <w:tc>
          <w:tcPr>
            <w:tcW w:w="1985" w:type="dxa"/>
            <w:gridSpan w:val="2"/>
            <w:shd w:val="clear" w:color="auto" w:fill="auto"/>
            <w:vAlign w:val="center"/>
          </w:tcPr>
          <w:p>
            <w:pPr>
              <w:adjustRightInd w:val="0"/>
              <w:snapToGrid w:val="0"/>
              <w:spacing w:line="300" w:lineRule="exact"/>
              <w:jc w:val="center"/>
              <w:rPr>
                <w:rFonts w:ascii="Times New Roman" w:hAnsi="Times New Roman" w:eastAsia="宋体" w:cs="Times New Roman"/>
                <w:b/>
                <w:color w:val="000000" w:themeColor="text1"/>
                <w:szCs w:val="21"/>
                <w14:textFill>
                  <w14:solidFill>
                    <w14:schemeClr w14:val="tx1"/>
                  </w14:solidFill>
                </w14:textFill>
              </w:rPr>
            </w:pPr>
            <w:bookmarkStart w:id="15" w:name="_Hlk57035414"/>
            <w:r>
              <w:rPr>
                <w:rFonts w:ascii="Times New Roman" w:hAnsi="Times New Roman" w:eastAsia="宋体" w:cs="Times New Roman"/>
                <w:b/>
                <w:color w:val="000000" w:themeColor="text1"/>
                <w:szCs w:val="21"/>
                <w14:textFill>
                  <w14:solidFill>
                    <w14:schemeClr w14:val="tx1"/>
                  </w14:solidFill>
                </w14:textFill>
              </w:rPr>
              <w:t>名称</w:t>
            </w:r>
          </w:p>
        </w:tc>
        <w:tc>
          <w:tcPr>
            <w:tcW w:w="2835" w:type="dxa"/>
            <w:shd w:val="clear" w:color="auto" w:fill="auto"/>
            <w:vAlign w:val="center"/>
          </w:tcPr>
          <w:p>
            <w:pPr>
              <w:adjustRightInd w:val="0"/>
              <w:snapToGrid w:val="0"/>
              <w:spacing w:line="300" w:lineRule="exact"/>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环评阶段</w:t>
            </w:r>
          </w:p>
        </w:tc>
        <w:tc>
          <w:tcPr>
            <w:tcW w:w="2551" w:type="dxa"/>
            <w:vAlign w:val="center"/>
          </w:tcPr>
          <w:p>
            <w:pPr>
              <w:adjustRightInd w:val="0"/>
              <w:snapToGrid w:val="0"/>
              <w:spacing w:line="300" w:lineRule="exact"/>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验收阶段</w:t>
            </w:r>
          </w:p>
        </w:tc>
        <w:tc>
          <w:tcPr>
            <w:tcW w:w="1699" w:type="dxa"/>
            <w:vAlign w:val="center"/>
          </w:tcPr>
          <w:p>
            <w:pPr>
              <w:adjustRightInd w:val="0"/>
              <w:snapToGrid w:val="0"/>
              <w:spacing w:line="300" w:lineRule="exact"/>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差异性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shd w:val="clear" w:color="auto" w:fill="auto"/>
            <w:vAlign w:val="center"/>
          </w:tcPr>
          <w:p>
            <w:pPr>
              <w:adjustRightInd w:val="0"/>
              <w:snapToGrid w:val="0"/>
              <w:spacing w:line="30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露天开采</w:t>
            </w:r>
          </w:p>
        </w:tc>
        <w:tc>
          <w:tcPr>
            <w:tcW w:w="1294" w:type="dxa"/>
            <w:shd w:val="clear" w:color="auto" w:fill="auto"/>
            <w:vAlign w:val="center"/>
          </w:tcPr>
          <w:p>
            <w:pPr>
              <w:adjustRightInd w:val="0"/>
              <w:snapToGrid w:val="0"/>
              <w:spacing w:line="30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一采区（1号矿体）</w:t>
            </w:r>
          </w:p>
        </w:tc>
        <w:tc>
          <w:tcPr>
            <w:tcW w:w="2835" w:type="dxa"/>
            <w:shd w:val="clear" w:color="auto" w:fill="auto"/>
            <w:vAlign w:val="center"/>
          </w:tcPr>
          <w:p>
            <w:pPr>
              <w:adjustRightInd w:val="0"/>
              <w:snapToGrid w:val="0"/>
              <w:spacing w:line="30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设计利用资源储量122.42万t，建设规模18.9万t/a。</w:t>
            </w:r>
          </w:p>
        </w:tc>
        <w:tc>
          <w:tcPr>
            <w:tcW w:w="2551" w:type="dxa"/>
            <w:vAlign w:val="center"/>
          </w:tcPr>
          <w:p>
            <w:pPr>
              <w:adjustRightInd w:val="0"/>
              <w:snapToGrid w:val="0"/>
              <w:spacing w:line="30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设计利用资源储量122.42万t，建设规模18.9万t/a。</w:t>
            </w:r>
          </w:p>
        </w:tc>
        <w:tc>
          <w:tcPr>
            <w:tcW w:w="1699" w:type="dxa"/>
            <w:vAlign w:val="center"/>
          </w:tcPr>
          <w:p>
            <w:pPr>
              <w:adjustRightInd w:val="0"/>
              <w:snapToGrid w:val="0"/>
              <w:spacing w:line="30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建设内容一致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vMerge w:val="restart"/>
            <w:shd w:val="clear" w:color="auto" w:fill="auto"/>
            <w:vAlign w:val="center"/>
          </w:tcPr>
          <w:p>
            <w:pPr>
              <w:adjustRightInd w:val="0"/>
              <w:snapToGrid w:val="0"/>
              <w:spacing w:line="30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废</w:t>
            </w:r>
          </w:p>
          <w:p>
            <w:pPr>
              <w:adjustRightInd w:val="0"/>
              <w:snapToGrid w:val="0"/>
              <w:spacing w:line="30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石</w:t>
            </w:r>
          </w:p>
          <w:p>
            <w:pPr>
              <w:adjustRightInd w:val="0"/>
              <w:snapToGrid w:val="0"/>
              <w:spacing w:line="30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场</w:t>
            </w:r>
          </w:p>
        </w:tc>
        <w:tc>
          <w:tcPr>
            <w:tcW w:w="1294" w:type="dxa"/>
            <w:shd w:val="clear" w:color="auto" w:fill="auto"/>
            <w:vAlign w:val="center"/>
          </w:tcPr>
          <w:p>
            <w:pPr>
              <w:adjustRightInd w:val="0"/>
              <w:snapToGrid w:val="0"/>
              <w:spacing w:line="30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露天矿基建废石场</w:t>
            </w:r>
          </w:p>
        </w:tc>
        <w:tc>
          <w:tcPr>
            <w:tcW w:w="2835" w:type="dxa"/>
            <w:shd w:val="clear" w:color="auto" w:fill="auto"/>
            <w:vAlign w:val="center"/>
          </w:tcPr>
          <w:p>
            <w:pPr>
              <w:adjustRightInd w:val="0"/>
              <w:snapToGrid w:val="0"/>
              <w:spacing w:line="30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有效容积为58万m</w:t>
            </w:r>
            <w:r>
              <w:rPr>
                <w:rFonts w:ascii="Times New Roman" w:hAnsi="Times New Roman" w:eastAsia="宋体" w:cs="Times New Roman"/>
                <w:color w:val="000000" w:themeColor="text1"/>
                <w:szCs w:val="21"/>
                <w:vertAlign w:val="superscript"/>
                <w14:textFill>
                  <w14:solidFill>
                    <w14:schemeClr w14:val="tx1"/>
                  </w14:solidFill>
                </w14:textFill>
              </w:rPr>
              <w:t>3</w:t>
            </w:r>
          </w:p>
        </w:tc>
        <w:tc>
          <w:tcPr>
            <w:tcW w:w="2551" w:type="dxa"/>
            <w:vAlign w:val="center"/>
          </w:tcPr>
          <w:p>
            <w:pPr>
              <w:adjustRightInd w:val="0"/>
              <w:snapToGrid w:val="0"/>
              <w:spacing w:line="30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有效容积为58万m</w:t>
            </w:r>
            <w:r>
              <w:rPr>
                <w:rFonts w:ascii="Times New Roman" w:hAnsi="Times New Roman" w:eastAsia="宋体" w:cs="Times New Roman"/>
                <w:color w:val="000000" w:themeColor="text1"/>
                <w:szCs w:val="21"/>
                <w:vertAlign w:val="superscript"/>
                <w14:textFill>
                  <w14:solidFill>
                    <w14:schemeClr w14:val="tx1"/>
                  </w14:solidFill>
                </w14:textFill>
              </w:rPr>
              <w:t>3</w:t>
            </w:r>
          </w:p>
        </w:tc>
        <w:tc>
          <w:tcPr>
            <w:tcW w:w="1699" w:type="dxa"/>
            <w:vAlign w:val="center"/>
          </w:tcPr>
          <w:p>
            <w:pPr>
              <w:adjustRightInd w:val="0"/>
              <w:snapToGrid w:val="0"/>
              <w:spacing w:line="30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建设内容一致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vMerge w:val="continue"/>
            <w:shd w:val="clear" w:color="auto" w:fill="auto"/>
            <w:vAlign w:val="center"/>
          </w:tcPr>
          <w:p>
            <w:pPr>
              <w:adjustRightInd w:val="0"/>
              <w:snapToGrid w:val="0"/>
              <w:spacing w:line="300" w:lineRule="exact"/>
              <w:jc w:val="center"/>
              <w:rPr>
                <w:rFonts w:ascii="Times New Roman" w:hAnsi="Times New Roman" w:eastAsia="宋体" w:cs="Times New Roman"/>
                <w:color w:val="000000" w:themeColor="text1"/>
                <w:szCs w:val="21"/>
                <w14:textFill>
                  <w14:solidFill>
                    <w14:schemeClr w14:val="tx1"/>
                  </w14:solidFill>
                </w14:textFill>
              </w:rPr>
            </w:pPr>
          </w:p>
        </w:tc>
        <w:tc>
          <w:tcPr>
            <w:tcW w:w="1294" w:type="dxa"/>
            <w:shd w:val="clear" w:color="auto" w:fill="auto"/>
            <w:vAlign w:val="center"/>
          </w:tcPr>
          <w:p>
            <w:pPr>
              <w:adjustRightInd w:val="0"/>
              <w:snapToGrid w:val="0"/>
              <w:spacing w:line="30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露天矿生产废石场</w:t>
            </w:r>
          </w:p>
        </w:tc>
        <w:tc>
          <w:tcPr>
            <w:tcW w:w="2835" w:type="dxa"/>
            <w:shd w:val="clear" w:color="auto" w:fill="auto"/>
            <w:vAlign w:val="center"/>
          </w:tcPr>
          <w:p>
            <w:pPr>
              <w:adjustRightInd w:val="0"/>
              <w:snapToGrid w:val="0"/>
              <w:spacing w:line="30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有效容积为500万m</w:t>
            </w:r>
            <w:r>
              <w:rPr>
                <w:rFonts w:ascii="Times New Roman" w:hAnsi="Times New Roman" w:eastAsia="宋体" w:cs="Times New Roman"/>
                <w:color w:val="000000" w:themeColor="text1"/>
                <w:szCs w:val="21"/>
                <w:vertAlign w:val="superscript"/>
                <w14:textFill>
                  <w14:solidFill>
                    <w14:schemeClr w14:val="tx1"/>
                  </w14:solidFill>
                </w14:textFill>
              </w:rPr>
              <w:t>3</w:t>
            </w:r>
          </w:p>
        </w:tc>
        <w:tc>
          <w:tcPr>
            <w:tcW w:w="2551" w:type="dxa"/>
            <w:vAlign w:val="center"/>
          </w:tcPr>
          <w:p>
            <w:pPr>
              <w:adjustRightInd w:val="0"/>
              <w:snapToGrid w:val="0"/>
              <w:spacing w:line="30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有效容积为500万m</w:t>
            </w:r>
            <w:r>
              <w:rPr>
                <w:rFonts w:ascii="Times New Roman" w:hAnsi="Times New Roman" w:eastAsia="宋体" w:cs="Times New Roman"/>
                <w:color w:val="000000" w:themeColor="text1"/>
                <w:szCs w:val="21"/>
                <w:vertAlign w:val="superscript"/>
                <w14:textFill>
                  <w14:solidFill>
                    <w14:schemeClr w14:val="tx1"/>
                  </w14:solidFill>
                </w14:textFill>
              </w:rPr>
              <w:t>3</w:t>
            </w:r>
          </w:p>
        </w:tc>
        <w:tc>
          <w:tcPr>
            <w:tcW w:w="1699" w:type="dxa"/>
            <w:vAlign w:val="center"/>
          </w:tcPr>
          <w:p>
            <w:pPr>
              <w:adjustRightInd w:val="0"/>
              <w:snapToGrid w:val="0"/>
              <w:spacing w:line="30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建设内容一致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shd w:val="clear" w:color="auto" w:fill="auto"/>
            <w:vAlign w:val="center"/>
          </w:tcPr>
          <w:p>
            <w:pPr>
              <w:adjustRightInd w:val="0"/>
              <w:snapToGrid w:val="0"/>
              <w:spacing w:line="30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辅助工程</w:t>
            </w:r>
          </w:p>
        </w:tc>
        <w:tc>
          <w:tcPr>
            <w:tcW w:w="1294" w:type="dxa"/>
            <w:shd w:val="clear" w:color="auto" w:fill="auto"/>
            <w:vAlign w:val="center"/>
          </w:tcPr>
          <w:p>
            <w:pPr>
              <w:adjustRightInd w:val="0"/>
              <w:snapToGrid w:val="0"/>
              <w:spacing w:line="30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生活区</w:t>
            </w:r>
          </w:p>
        </w:tc>
        <w:tc>
          <w:tcPr>
            <w:tcW w:w="2835" w:type="dxa"/>
            <w:shd w:val="clear" w:color="auto" w:fill="auto"/>
            <w:vAlign w:val="center"/>
          </w:tcPr>
          <w:p>
            <w:pPr>
              <w:adjustRightInd w:val="0"/>
              <w:snapToGrid w:val="0"/>
              <w:spacing w:line="30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依托现有探矿指挥部，探矿期已建内容包括：警务室、值班室、值班室、停车场、1#~5#宿舍、食堂、临时仓库、垃圾站、卫生间、浴室，在此基础上扩建6#~8#宿舍、停车场等，其中1#~3#、6#~8#宿舍为双层，其余建筑物为单层。</w:t>
            </w:r>
          </w:p>
        </w:tc>
        <w:tc>
          <w:tcPr>
            <w:tcW w:w="2551" w:type="dxa"/>
            <w:vAlign w:val="center"/>
          </w:tcPr>
          <w:p>
            <w:pPr>
              <w:adjustRightInd w:val="0"/>
              <w:snapToGrid w:val="0"/>
              <w:spacing w:line="30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生活区依托原有探矿指挥部。</w:t>
            </w:r>
          </w:p>
        </w:tc>
        <w:tc>
          <w:tcPr>
            <w:tcW w:w="1699" w:type="dxa"/>
            <w:vAlign w:val="center"/>
          </w:tcPr>
          <w:p>
            <w:pPr>
              <w:adjustRightInd w:val="0"/>
              <w:snapToGrid w:val="0"/>
              <w:spacing w:line="30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已完成验收，不在本次验收范围内。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vMerge w:val="restart"/>
            <w:shd w:val="clear" w:color="auto" w:fill="auto"/>
            <w:vAlign w:val="center"/>
          </w:tcPr>
          <w:p>
            <w:pPr>
              <w:adjustRightInd w:val="0"/>
              <w:snapToGrid w:val="0"/>
              <w:spacing w:line="30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公用工程</w:t>
            </w:r>
          </w:p>
        </w:tc>
        <w:tc>
          <w:tcPr>
            <w:tcW w:w="1294" w:type="dxa"/>
            <w:shd w:val="clear" w:color="auto" w:fill="auto"/>
            <w:vAlign w:val="center"/>
          </w:tcPr>
          <w:p>
            <w:pPr>
              <w:adjustRightInd w:val="0"/>
              <w:snapToGrid w:val="0"/>
              <w:spacing w:line="30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供水工程</w:t>
            </w:r>
          </w:p>
        </w:tc>
        <w:tc>
          <w:tcPr>
            <w:tcW w:w="2835" w:type="dxa"/>
            <w:shd w:val="clear" w:color="auto" w:fill="auto"/>
            <w:vAlign w:val="center"/>
          </w:tcPr>
          <w:p>
            <w:pPr>
              <w:adjustRightInd w:val="0"/>
              <w:snapToGrid w:val="0"/>
              <w:spacing w:line="300" w:lineRule="exact"/>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修建取水点1座，水源取至业隆沟；露天采区修建高位水池，工业废水经处理后全部回用于生产。</w:t>
            </w:r>
          </w:p>
        </w:tc>
        <w:tc>
          <w:tcPr>
            <w:tcW w:w="2551" w:type="dxa"/>
            <w:vAlign w:val="center"/>
          </w:tcPr>
          <w:p>
            <w:pPr>
              <w:adjustRightInd w:val="0"/>
              <w:snapToGrid w:val="0"/>
              <w:spacing w:line="30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修建业隆沟取水点1座，</w:t>
            </w:r>
            <w:r>
              <w:rPr>
                <w:rFonts w:hint="eastAsia" w:ascii="Times New Roman" w:hAnsi="Times New Roman" w:eastAsia="宋体" w:cs="Times New Roman"/>
                <w:color w:val="000000" w:themeColor="text1"/>
                <w:szCs w:val="21"/>
                <w14:textFill>
                  <w14:solidFill>
                    <w14:schemeClr w14:val="tx1"/>
                  </w14:solidFill>
                </w14:textFill>
              </w:rPr>
              <w:t>露天采区</w:t>
            </w:r>
            <w:r>
              <w:rPr>
                <w:rFonts w:ascii="Times New Roman" w:hAnsi="Times New Roman" w:eastAsia="宋体" w:cs="Times New Roman"/>
                <w:color w:val="000000" w:themeColor="text1"/>
                <w:szCs w:val="21"/>
                <w14:textFill>
                  <w14:solidFill>
                    <w14:schemeClr w14:val="tx1"/>
                  </w14:solidFill>
                </w14:textFill>
              </w:rPr>
              <w:t>修建高位水池，工业废水经过处理设施处理后回用于生产。</w:t>
            </w:r>
          </w:p>
        </w:tc>
        <w:tc>
          <w:tcPr>
            <w:tcW w:w="1699" w:type="dxa"/>
            <w:vAlign w:val="center"/>
          </w:tcPr>
          <w:p>
            <w:pPr>
              <w:adjustRightInd w:val="0"/>
              <w:snapToGrid w:val="0"/>
              <w:spacing w:line="300" w:lineRule="exact"/>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建设内容一致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vMerge w:val="continue"/>
            <w:shd w:val="clear" w:color="auto" w:fill="auto"/>
            <w:vAlign w:val="center"/>
          </w:tcPr>
          <w:p>
            <w:pPr>
              <w:adjustRightInd w:val="0"/>
              <w:snapToGrid w:val="0"/>
              <w:spacing w:line="300" w:lineRule="exact"/>
              <w:jc w:val="center"/>
              <w:rPr>
                <w:rFonts w:ascii="Times New Roman" w:hAnsi="Times New Roman" w:eastAsia="宋体" w:cs="Times New Roman"/>
                <w:color w:val="000000" w:themeColor="text1"/>
                <w:szCs w:val="21"/>
                <w14:textFill>
                  <w14:solidFill>
                    <w14:schemeClr w14:val="tx1"/>
                  </w14:solidFill>
                </w14:textFill>
              </w:rPr>
            </w:pPr>
          </w:p>
        </w:tc>
        <w:tc>
          <w:tcPr>
            <w:tcW w:w="1294" w:type="dxa"/>
            <w:shd w:val="clear" w:color="auto" w:fill="auto"/>
            <w:vAlign w:val="center"/>
          </w:tcPr>
          <w:p>
            <w:pPr>
              <w:adjustRightInd w:val="0"/>
              <w:snapToGrid w:val="0"/>
              <w:spacing w:line="30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供电工程</w:t>
            </w:r>
          </w:p>
        </w:tc>
        <w:tc>
          <w:tcPr>
            <w:tcW w:w="2835" w:type="dxa"/>
            <w:shd w:val="clear" w:color="auto" w:fill="auto"/>
            <w:vAlign w:val="center"/>
          </w:tcPr>
          <w:p>
            <w:pPr>
              <w:adjustRightInd w:val="0"/>
              <w:snapToGrid w:val="0"/>
              <w:spacing w:line="30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供电依托“金川业隆沟35千伏输电变电工程”</w:t>
            </w:r>
          </w:p>
        </w:tc>
        <w:tc>
          <w:tcPr>
            <w:tcW w:w="2551" w:type="dxa"/>
            <w:vAlign w:val="center"/>
          </w:tcPr>
          <w:p>
            <w:pPr>
              <w:adjustRightInd w:val="0"/>
              <w:snapToGrid w:val="0"/>
              <w:spacing w:line="30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依托“金川业隆沟35千伏输电变电工程”</w:t>
            </w:r>
          </w:p>
        </w:tc>
        <w:tc>
          <w:tcPr>
            <w:tcW w:w="1699" w:type="dxa"/>
          </w:tcPr>
          <w:p>
            <w:pPr>
              <w:adjustRightInd w:val="0"/>
              <w:snapToGrid w:val="0"/>
              <w:spacing w:line="30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已完成验收，不在本次验收范围内。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vMerge w:val="restart"/>
            <w:shd w:val="clear" w:color="auto" w:fill="auto"/>
            <w:vAlign w:val="center"/>
          </w:tcPr>
          <w:p>
            <w:pPr>
              <w:adjustRightInd w:val="0"/>
              <w:snapToGrid w:val="0"/>
              <w:spacing w:line="30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环保工程</w:t>
            </w:r>
          </w:p>
        </w:tc>
        <w:tc>
          <w:tcPr>
            <w:tcW w:w="1294" w:type="dxa"/>
            <w:shd w:val="clear" w:color="auto" w:fill="auto"/>
            <w:vAlign w:val="center"/>
          </w:tcPr>
          <w:p>
            <w:pPr>
              <w:adjustRightInd w:val="0"/>
              <w:snapToGrid w:val="0"/>
              <w:spacing w:line="30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废气治理</w:t>
            </w:r>
          </w:p>
        </w:tc>
        <w:tc>
          <w:tcPr>
            <w:tcW w:w="2835" w:type="dxa"/>
            <w:shd w:val="clear" w:color="auto" w:fill="auto"/>
            <w:vAlign w:val="center"/>
          </w:tcPr>
          <w:p>
            <w:pPr>
              <w:adjustRightInd w:val="0"/>
              <w:snapToGrid w:val="0"/>
              <w:spacing w:line="30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设置截洪沟、排水盲沟等排洪设施；设置淋溶废水收集池，池体上方搭棚，防止雨水落入；安装回喷、降尘系统等</w:t>
            </w:r>
          </w:p>
        </w:tc>
        <w:tc>
          <w:tcPr>
            <w:tcW w:w="2551" w:type="dxa"/>
            <w:vAlign w:val="center"/>
          </w:tcPr>
          <w:p>
            <w:pPr>
              <w:adjustRightInd w:val="0"/>
              <w:snapToGrid w:val="0"/>
              <w:spacing w:line="30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项目设置了截洪沟、排水盲沟等排洪设施；配置有淋溶废水收集池、回喷降尘系统等设施。</w:t>
            </w:r>
          </w:p>
        </w:tc>
        <w:tc>
          <w:tcPr>
            <w:tcW w:w="1699" w:type="dxa"/>
            <w:vAlign w:val="center"/>
          </w:tcPr>
          <w:p>
            <w:pPr>
              <w:adjustRightInd w:val="0"/>
              <w:snapToGrid w:val="0"/>
              <w:spacing w:line="30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建设内容一致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vMerge w:val="continue"/>
            <w:shd w:val="clear" w:color="auto" w:fill="auto"/>
            <w:vAlign w:val="center"/>
          </w:tcPr>
          <w:p>
            <w:pPr>
              <w:adjustRightInd w:val="0"/>
              <w:snapToGrid w:val="0"/>
              <w:spacing w:line="300" w:lineRule="exact"/>
              <w:jc w:val="center"/>
              <w:rPr>
                <w:rFonts w:ascii="Times New Roman" w:hAnsi="Times New Roman" w:eastAsia="宋体" w:cs="Times New Roman"/>
                <w:color w:val="000000" w:themeColor="text1"/>
                <w:szCs w:val="21"/>
                <w14:textFill>
                  <w14:solidFill>
                    <w14:schemeClr w14:val="tx1"/>
                  </w14:solidFill>
                </w14:textFill>
              </w:rPr>
            </w:pPr>
          </w:p>
        </w:tc>
        <w:tc>
          <w:tcPr>
            <w:tcW w:w="1294" w:type="dxa"/>
            <w:shd w:val="clear" w:color="auto" w:fill="auto"/>
            <w:vAlign w:val="center"/>
          </w:tcPr>
          <w:p>
            <w:pPr>
              <w:adjustRightInd w:val="0"/>
              <w:snapToGrid w:val="0"/>
              <w:spacing w:line="30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废水治理、风险防范</w:t>
            </w:r>
          </w:p>
        </w:tc>
        <w:tc>
          <w:tcPr>
            <w:tcW w:w="2835" w:type="dxa"/>
            <w:shd w:val="clear" w:color="auto" w:fill="auto"/>
            <w:vAlign w:val="center"/>
          </w:tcPr>
          <w:p>
            <w:pPr>
              <w:adjustRightInd w:val="0"/>
              <w:snapToGrid w:val="0"/>
              <w:spacing w:line="30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沿露天境界外10m-15m设截洪沟，用以拦截露天采区境界外的雨水。在每个开采平台与上一台阶坡面交界处设置排水沟，排水沟末端设置沉淀池100m</w:t>
            </w:r>
            <w:r>
              <w:rPr>
                <w:rFonts w:ascii="Times New Roman" w:hAnsi="Times New Roman" w:eastAsia="宋体" w:cs="Times New Roman"/>
                <w:color w:val="000000" w:themeColor="text1"/>
                <w:szCs w:val="21"/>
                <w:vertAlign w:val="superscript"/>
                <w14:textFill>
                  <w14:solidFill>
                    <w14:schemeClr w14:val="tx1"/>
                  </w14:solidFill>
                </w14:textFill>
              </w:rPr>
              <w:t>3</w:t>
            </w:r>
            <w:r>
              <w:rPr>
                <w:rFonts w:ascii="Times New Roman" w:hAnsi="Times New Roman" w:eastAsia="宋体" w:cs="Times New Roman"/>
                <w:color w:val="000000" w:themeColor="text1"/>
                <w:szCs w:val="21"/>
                <w14:textFill>
                  <w14:solidFill>
                    <w14:schemeClr w14:val="tx1"/>
                  </w14:solidFill>
                </w14:textFill>
              </w:rPr>
              <w:t>。</w:t>
            </w:r>
          </w:p>
        </w:tc>
        <w:tc>
          <w:tcPr>
            <w:tcW w:w="2551" w:type="dxa"/>
            <w:vAlign w:val="center"/>
          </w:tcPr>
          <w:p>
            <w:pPr>
              <w:adjustRightInd w:val="0"/>
              <w:snapToGrid w:val="0"/>
              <w:spacing w:line="30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eastAsia="zh-CN"/>
                <w14:textFill>
                  <w14:solidFill>
                    <w14:schemeClr w14:val="tx1"/>
                  </w14:solidFill>
                </w14:textFill>
              </w:rPr>
              <w:t>露天开采区设置截水沟</w:t>
            </w:r>
            <w:r>
              <w:rPr>
                <w:rFonts w:hint="eastAsia" w:ascii="Times New Roman" w:hAnsi="Times New Roman" w:eastAsia="宋体" w:cs="Times New Roman"/>
                <w:color w:val="000000" w:themeColor="text1"/>
                <w:szCs w:val="21"/>
                <w:lang w:val="en-US" w:eastAsia="zh-CN"/>
                <w14:textFill>
                  <w14:solidFill>
                    <w14:schemeClr w14:val="tx1"/>
                  </w14:solidFill>
                </w14:textFill>
              </w:rPr>
              <w:t>870m，排水沟1558m，10m</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Cs w:val="21"/>
                <w:lang w:val="en-US" w:eastAsia="zh-CN"/>
                <w14:textFill>
                  <w14:solidFill>
                    <w14:schemeClr w14:val="tx1"/>
                  </w14:solidFill>
                </w14:textFill>
              </w:rPr>
              <w:t>沉砂池1口。</w:t>
            </w:r>
          </w:p>
        </w:tc>
        <w:tc>
          <w:tcPr>
            <w:tcW w:w="1699" w:type="dxa"/>
            <w:vAlign w:val="center"/>
          </w:tcPr>
          <w:p>
            <w:pPr>
              <w:adjustRightInd w:val="0"/>
              <w:snapToGrid w:val="0"/>
              <w:spacing w:line="300" w:lineRule="exact"/>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沉淀池容积减少</w:t>
            </w:r>
          </w:p>
        </w:tc>
      </w:tr>
      <w:bookmarkEnd w:id="15"/>
    </w:tbl>
    <w:p>
      <w:pPr>
        <w:pStyle w:val="4"/>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2.2.</w:t>
      </w:r>
      <w:r>
        <w:rPr>
          <w:rFonts w:hint="eastAsia" w:eastAsia="宋体" w:cs="Times New Roman"/>
          <w:color w:val="000000" w:themeColor="text1"/>
          <w:lang w:val="en-US" w:eastAsia="zh-CN"/>
          <w14:textFill>
            <w14:solidFill>
              <w14:schemeClr w14:val="tx1"/>
            </w14:solidFill>
          </w14:textFill>
        </w:rPr>
        <w:t>5</w:t>
      </w:r>
      <w:r>
        <w:rPr>
          <w:rFonts w:eastAsia="宋体" w:cs="Times New Roman"/>
          <w:color w:val="000000" w:themeColor="text1"/>
          <w14:textFill>
            <w14:solidFill>
              <w14:schemeClr w14:val="tx1"/>
            </w14:solidFill>
          </w14:textFill>
        </w:rPr>
        <w:t xml:space="preserve"> 工程总布置及主要设备</w:t>
      </w:r>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本次业隆沟锂辉石矿采选尾工程（露天开采区及配套废石场）环境保护验收区域为项目露天开采区（即环评报书中的一采区）以及配套的废石场。</w:t>
      </w:r>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（1）公用工程</w:t>
      </w:r>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①</w:t>
      </w:r>
      <w:r>
        <w:rPr>
          <w:rFonts w:ascii="Times New Roman" w:hAnsi="Times New Roman" w:eastAsia="宋体" w:cs="Times New Roman"/>
          <w:color w:val="000000" w:themeColor="text1"/>
          <w:sz w:val="24"/>
          <w:szCs w:val="24"/>
          <w14:textFill>
            <w14:solidFill>
              <w14:schemeClr w14:val="tx1"/>
            </w14:solidFill>
          </w14:textFill>
        </w:rPr>
        <w:t>供电工程</w:t>
      </w:r>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本项目供电依托</w:t>
      </w:r>
      <w:r>
        <w:rPr>
          <w:rFonts w:hint="eastAsia" w:ascii="Times New Roman" w:hAnsi="Times New Roman" w:eastAsia="宋体" w:cs="Times New Roman"/>
          <w:color w:val="000000" w:themeColor="text1"/>
          <w:sz w:val="24"/>
          <w:szCs w:val="24"/>
          <w14:textFill>
            <w14:solidFill>
              <w14:schemeClr w14:val="tx1"/>
            </w14:solidFill>
          </w14:textFill>
        </w:rPr>
        <w:t>“</w:t>
      </w:r>
      <w:r>
        <w:rPr>
          <w:rFonts w:ascii="Times New Roman" w:hAnsi="Times New Roman" w:eastAsia="宋体" w:cs="Times New Roman"/>
          <w:color w:val="000000" w:themeColor="text1"/>
          <w:sz w:val="24"/>
          <w:szCs w:val="24"/>
          <w14:textFill>
            <w14:solidFill>
              <w14:schemeClr w14:val="tx1"/>
            </w14:solidFill>
          </w14:textFill>
        </w:rPr>
        <w:t>金川业隆沟35千伏输变电工程</w:t>
      </w:r>
      <w:r>
        <w:rPr>
          <w:rFonts w:hint="eastAsia" w:ascii="Times New Roman" w:hAnsi="Times New Roman" w:eastAsia="宋体" w:cs="Times New Roman"/>
          <w:color w:val="000000" w:themeColor="text1"/>
          <w:sz w:val="24"/>
          <w:szCs w:val="24"/>
          <w14:textFill>
            <w14:solidFill>
              <w14:schemeClr w14:val="tx1"/>
            </w14:solidFill>
          </w14:textFill>
        </w:rPr>
        <w:t>”</w:t>
      </w:r>
      <w:r>
        <w:rPr>
          <w:rFonts w:ascii="Times New Roman" w:hAnsi="Times New Roman" w:eastAsia="宋体" w:cs="Times New Roman"/>
          <w:color w:val="000000" w:themeColor="text1"/>
          <w:sz w:val="24"/>
          <w:szCs w:val="24"/>
          <w14:textFill>
            <w14:solidFill>
              <w14:schemeClr w14:val="tx1"/>
            </w14:solidFill>
          </w14:textFill>
        </w:rPr>
        <w:t>，该项目经阿坝藏族羌族自治州发展和改革委员会以阿州发改行审〔2017〕34号核准，不计入本项目评价内容。</w:t>
      </w:r>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金川业隆沟35千伏变电站位于本项目选厂西北侧，该变电站的电源由110kV石广东变电站引来，变电容量12.6兆伏安，新建单回业隆沟变电站-石广东变电站35千伏线路19.7公里，金川业隆沟35千伏输变电工程建成后可满足本项目生产、生活用电需求。</w:t>
      </w:r>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②</w:t>
      </w:r>
      <w:r>
        <w:rPr>
          <w:rFonts w:ascii="Times New Roman" w:hAnsi="Times New Roman" w:eastAsia="宋体" w:cs="Times New Roman"/>
          <w:color w:val="000000" w:themeColor="text1"/>
          <w:sz w:val="24"/>
          <w:szCs w:val="24"/>
          <w14:textFill>
            <w14:solidFill>
              <w14:schemeClr w14:val="tx1"/>
            </w14:solidFill>
          </w14:textFill>
        </w:rPr>
        <w:t>供水水源</w:t>
      </w:r>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本项目供水水源为业隆沟。业隆沟位于杜柯河河口上游约2km处的右岸支沟，源头为海拔高达4280m的加斯阔海子，业隆沟由南向北汇入杜柯河，流域西部与太阳河分界，北边为杜柯河干流，东部与可尔因沟分流，全沟长约19km，流域面积78.4km</w:t>
      </w:r>
      <w:r>
        <w:rPr>
          <w:rFonts w:ascii="Times New Roman" w:hAnsi="Times New Roman" w:eastAsia="宋体" w:cs="Times New Roman"/>
          <w:color w:val="000000" w:themeColor="text1"/>
          <w:sz w:val="24"/>
          <w:szCs w:val="24"/>
          <w:vertAlign w:val="superscript"/>
          <w14:textFill>
            <w14:solidFill>
              <w14:schemeClr w14:val="tx1"/>
            </w14:solidFill>
          </w14:textFill>
        </w:rPr>
        <w:t>2</w:t>
      </w:r>
      <w:r>
        <w:rPr>
          <w:rFonts w:ascii="Times New Roman" w:hAnsi="Times New Roman" w:eastAsia="宋体" w:cs="Times New Roman"/>
          <w:color w:val="000000" w:themeColor="text1"/>
          <w:sz w:val="24"/>
          <w:szCs w:val="24"/>
          <w14:textFill>
            <w14:solidFill>
              <w14:schemeClr w14:val="tx1"/>
            </w14:solidFill>
          </w14:textFill>
        </w:rPr>
        <w:t>，取水地点位于业隆沟上游。取水口以上沟长6km，取水口以上流域面积25km</w:t>
      </w:r>
      <w:r>
        <w:rPr>
          <w:rFonts w:ascii="Times New Roman" w:hAnsi="Times New Roman" w:eastAsia="宋体" w:cs="Times New Roman"/>
          <w:color w:val="000000" w:themeColor="text1"/>
          <w:sz w:val="24"/>
          <w:szCs w:val="24"/>
          <w:vertAlign w:val="superscript"/>
          <w14:textFill>
            <w14:solidFill>
              <w14:schemeClr w14:val="tx1"/>
            </w14:solidFill>
          </w14:textFill>
        </w:rPr>
        <w:t>2</w:t>
      </w:r>
      <w:r>
        <w:rPr>
          <w:rFonts w:ascii="Times New Roman" w:hAnsi="Times New Roman" w:eastAsia="宋体" w:cs="Times New Roman"/>
          <w:color w:val="000000" w:themeColor="text1"/>
          <w:sz w:val="24"/>
          <w:szCs w:val="24"/>
          <w14:textFill>
            <w14:solidFill>
              <w14:schemeClr w14:val="tx1"/>
            </w14:solidFill>
          </w14:textFill>
        </w:rPr>
        <w:t>。</w:t>
      </w:r>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③</w:t>
      </w:r>
      <w:r>
        <w:rPr>
          <w:rFonts w:ascii="Times New Roman" w:hAnsi="Times New Roman" w:eastAsia="宋体" w:cs="Times New Roman"/>
          <w:color w:val="000000" w:themeColor="text1"/>
          <w:sz w:val="24"/>
          <w:szCs w:val="24"/>
          <w14:textFill>
            <w14:solidFill>
              <w14:schemeClr w14:val="tx1"/>
            </w14:solidFill>
          </w14:textFill>
        </w:rPr>
        <w:t>外部给水</w:t>
      </w:r>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业隆沟的水首先通过重力作用进入沉砂池，预处理后再经过一体化净水器处理后水进入清水池（12.9m×12.9m×4.5m）。本项目生产用新水全部取至清水池。</w:t>
      </w:r>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④</w:t>
      </w:r>
      <w:r>
        <w:rPr>
          <w:rFonts w:ascii="Times New Roman" w:hAnsi="Times New Roman" w:eastAsia="宋体" w:cs="Times New Roman"/>
          <w:color w:val="000000" w:themeColor="text1"/>
          <w:sz w:val="24"/>
          <w:szCs w:val="24"/>
          <w14:textFill>
            <w14:solidFill>
              <w14:schemeClr w14:val="tx1"/>
            </w14:solidFill>
          </w14:textFill>
        </w:rPr>
        <w:t>供暖</w:t>
      </w:r>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冬季生产车间、办公区、生活区等需要取暖，采用家用小型电暖器取暖。矿区作业机械操作室自带供暖系统，保障操作人员供暖需求。柴油机械采用-10度柴油，冬季机械性能不受低温影响。</w:t>
      </w:r>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（2）主体工程</w:t>
      </w:r>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业隆沟锂辉石矿采选尾工程（露天开采区及配套废石场）组成情况见下表。</w:t>
      </w:r>
    </w:p>
    <w:p>
      <w:pPr>
        <w:spacing w:line="360" w:lineRule="auto"/>
        <w:jc w:val="center"/>
        <w:rPr>
          <w:rFonts w:ascii="Times New Roman" w:hAnsi="Times New Roman" w:eastAsia="宋体" w:cs="Times New Roman"/>
          <w:b/>
          <w:szCs w:val="21"/>
        </w:rPr>
      </w:pPr>
      <w:r>
        <w:rPr>
          <w:rFonts w:hint="eastAsia" w:ascii="Times New Roman" w:hAnsi="Times New Roman" w:eastAsia="宋体" w:cs="Times New Roman"/>
          <w:b/>
          <w:szCs w:val="21"/>
        </w:rPr>
        <w:t>表2.2-3 露天采区组成一览表</w:t>
      </w:r>
    </w:p>
    <w:tbl>
      <w:tblPr>
        <w:tblStyle w:val="29"/>
        <w:tblW w:w="853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96"/>
        <w:gridCol w:w="414"/>
        <w:gridCol w:w="2025"/>
        <w:gridCol w:w="559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6" w:type="dxa"/>
            <w:vAlign w:val="center"/>
          </w:tcPr>
          <w:p>
            <w:pPr>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序号</w:t>
            </w:r>
          </w:p>
        </w:tc>
        <w:tc>
          <w:tcPr>
            <w:tcW w:w="2439" w:type="dxa"/>
            <w:gridSpan w:val="2"/>
            <w:vAlign w:val="center"/>
          </w:tcPr>
          <w:p>
            <w:pPr>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名称</w:t>
            </w:r>
          </w:p>
        </w:tc>
        <w:tc>
          <w:tcPr>
            <w:tcW w:w="5597" w:type="dxa"/>
            <w:vAlign w:val="center"/>
          </w:tcPr>
          <w:p>
            <w:pPr>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建设内容及规模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6" w:type="dxa"/>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w:t>
            </w:r>
          </w:p>
        </w:tc>
        <w:tc>
          <w:tcPr>
            <w:tcW w:w="414" w:type="dxa"/>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主体工程</w:t>
            </w:r>
          </w:p>
        </w:tc>
        <w:tc>
          <w:tcPr>
            <w:tcW w:w="2025" w:type="dxa"/>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露天采区（一采区）</w:t>
            </w:r>
          </w:p>
        </w:tc>
        <w:tc>
          <w:tcPr>
            <w:tcW w:w="5597" w:type="dxa"/>
            <w:vAlign w:val="center"/>
          </w:tcPr>
          <w:p>
            <w:pPr>
              <w:rPr>
                <w:rFonts w:ascii="Times New Roman" w:hAnsi="Times New Roman" w:eastAsia="宋体" w:cs="Times New Roman"/>
                <w:kern w:val="0"/>
                <w:szCs w:val="21"/>
              </w:rPr>
            </w:pPr>
            <w:r>
              <w:rPr>
                <w:rFonts w:hint="eastAsia" w:ascii="Times New Roman" w:hAnsi="Times New Roman" w:eastAsia="宋体" w:cs="Times New Roman"/>
                <w:kern w:val="0"/>
                <w:szCs w:val="21"/>
              </w:rPr>
              <w:t>开采对象为1号矿体，永久占地11.11hm</w:t>
            </w:r>
            <w:r>
              <w:rPr>
                <w:rFonts w:hint="eastAsia" w:ascii="Times New Roman" w:hAnsi="Times New Roman" w:eastAsia="宋体" w:cs="Times New Roman"/>
                <w:kern w:val="0"/>
                <w:szCs w:val="21"/>
                <w:vertAlign w:val="superscript"/>
              </w:rPr>
              <w:t>2</w:t>
            </w:r>
            <w:r>
              <w:rPr>
                <w:rFonts w:hint="eastAsia" w:ascii="Times New Roman" w:hAnsi="Times New Roman" w:eastAsia="宋体" w:cs="Times New Roman"/>
                <w:kern w:val="0"/>
                <w:szCs w:val="21"/>
              </w:rPr>
              <w:t>，底部标高4300m，最高台阶标高4530m，上口尺寸480m×440m，下口尺寸120m×16m，最大采深230m，露天经界内地质资源量112.42万t。露天开采采矿方法为台阶纵向采矿法，开采顺序为自上而下水平分层台阶采矿，采用公路开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6" w:type="dxa"/>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w:t>
            </w:r>
          </w:p>
        </w:tc>
        <w:tc>
          <w:tcPr>
            <w:tcW w:w="414" w:type="dxa"/>
            <w:vMerge w:val="restart"/>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辅助工程</w:t>
            </w:r>
          </w:p>
        </w:tc>
        <w:tc>
          <w:tcPr>
            <w:tcW w:w="2025" w:type="dxa"/>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配套废石场</w:t>
            </w:r>
          </w:p>
        </w:tc>
        <w:tc>
          <w:tcPr>
            <w:tcW w:w="5597" w:type="dxa"/>
            <w:vAlign w:val="center"/>
          </w:tcPr>
          <w:p>
            <w:pPr>
              <w:rPr>
                <w:rFonts w:ascii="Times New Roman" w:hAnsi="Times New Roman" w:eastAsia="宋体" w:cs="Times New Roman"/>
                <w:kern w:val="0"/>
                <w:szCs w:val="21"/>
              </w:rPr>
            </w:pPr>
            <w:r>
              <w:rPr>
                <w:rFonts w:hint="eastAsia" w:ascii="Times New Roman" w:hAnsi="Times New Roman" w:eastAsia="宋体" w:cs="Times New Roman"/>
                <w:kern w:val="0"/>
                <w:szCs w:val="21"/>
              </w:rPr>
              <w:t>露天矿基建废石场有效容积约为58万m</w:t>
            </w:r>
            <w:r>
              <w:rPr>
                <w:rFonts w:hint="eastAsia" w:ascii="Times New Roman" w:hAnsi="Times New Roman" w:eastAsia="宋体" w:cs="Times New Roman"/>
                <w:kern w:val="0"/>
                <w:szCs w:val="21"/>
                <w:vertAlign w:val="superscript"/>
              </w:rPr>
              <w:t>3</w:t>
            </w:r>
            <w:r>
              <w:rPr>
                <w:rFonts w:hint="eastAsia" w:ascii="Times New Roman" w:hAnsi="Times New Roman" w:eastAsia="宋体" w:cs="Times New Roman"/>
                <w:kern w:val="0"/>
                <w:szCs w:val="21"/>
              </w:rPr>
              <w:t>；露天矿生产废石场有效容积约为500万m</w:t>
            </w:r>
            <w:r>
              <w:rPr>
                <w:rFonts w:hint="eastAsia" w:ascii="Times New Roman" w:hAnsi="Times New Roman" w:eastAsia="宋体" w:cs="Times New Roman"/>
                <w:kern w:val="0"/>
                <w:szCs w:val="21"/>
                <w:vertAlign w:val="superscript"/>
              </w:rPr>
              <w:t>3</w:t>
            </w:r>
            <w:r>
              <w:rPr>
                <w:rFonts w:hint="eastAsia" w:ascii="Times New Roman" w:hAnsi="Times New Roman" w:eastAsia="宋体" w:cs="Times New Roman"/>
                <w:kern w:val="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6" w:type="dxa"/>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w:t>
            </w:r>
          </w:p>
        </w:tc>
        <w:tc>
          <w:tcPr>
            <w:tcW w:w="414" w:type="dxa"/>
            <w:vMerge w:val="continue"/>
            <w:vAlign w:val="center"/>
          </w:tcPr>
          <w:p>
            <w:pPr>
              <w:jc w:val="center"/>
              <w:rPr>
                <w:rFonts w:ascii="Times New Roman" w:hAnsi="Times New Roman" w:eastAsia="宋体" w:cs="Times New Roman"/>
                <w:kern w:val="0"/>
                <w:szCs w:val="21"/>
              </w:rPr>
            </w:pPr>
          </w:p>
        </w:tc>
        <w:tc>
          <w:tcPr>
            <w:tcW w:w="2025" w:type="dxa"/>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运输道路</w:t>
            </w:r>
          </w:p>
        </w:tc>
        <w:tc>
          <w:tcPr>
            <w:tcW w:w="5597" w:type="dxa"/>
            <w:vAlign w:val="center"/>
          </w:tcPr>
          <w:p>
            <w:pPr>
              <w:rPr>
                <w:rFonts w:ascii="Times New Roman" w:hAnsi="Times New Roman" w:eastAsia="宋体" w:cs="Times New Roman"/>
                <w:kern w:val="0"/>
                <w:szCs w:val="21"/>
              </w:rPr>
            </w:pPr>
            <w:r>
              <w:rPr>
                <w:rFonts w:hint="eastAsia" w:ascii="Times New Roman" w:hAnsi="Times New Roman" w:eastAsia="宋体" w:cs="Times New Roman"/>
                <w:kern w:val="0"/>
                <w:szCs w:val="21"/>
              </w:rPr>
              <w:t>新建矿区道路10km，主要为从现有矿区公路至露天采区各个生产台阶的连接公路，路面宽度约4.5m左右，路面结构采用泥结碎石路面。</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6" w:type="dxa"/>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4</w:t>
            </w:r>
          </w:p>
        </w:tc>
        <w:tc>
          <w:tcPr>
            <w:tcW w:w="414" w:type="dxa"/>
            <w:vMerge w:val="continue"/>
            <w:vAlign w:val="center"/>
          </w:tcPr>
          <w:p>
            <w:pPr>
              <w:jc w:val="center"/>
              <w:rPr>
                <w:rFonts w:ascii="Times New Roman" w:hAnsi="Times New Roman" w:eastAsia="宋体" w:cs="Times New Roman"/>
                <w:kern w:val="0"/>
                <w:szCs w:val="21"/>
              </w:rPr>
            </w:pPr>
          </w:p>
        </w:tc>
        <w:tc>
          <w:tcPr>
            <w:tcW w:w="2025" w:type="dxa"/>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露天工业场地</w:t>
            </w:r>
          </w:p>
        </w:tc>
        <w:tc>
          <w:tcPr>
            <w:tcW w:w="5597" w:type="dxa"/>
            <w:vAlign w:val="center"/>
          </w:tcPr>
          <w:p>
            <w:pPr>
              <w:rPr>
                <w:rFonts w:ascii="Times New Roman" w:hAnsi="Times New Roman" w:eastAsia="宋体" w:cs="Times New Roman"/>
                <w:kern w:val="0"/>
                <w:szCs w:val="21"/>
              </w:rPr>
            </w:pPr>
            <w:r>
              <w:rPr>
                <w:rFonts w:hint="eastAsia" w:ascii="Times New Roman" w:hAnsi="Times New Roman" w:eastAsia="宋体" w:cs="Times New Roman"/>
                <w:kern w:val="0"/>
                <w:szCs w:val="21"/>
              </w:rPr>
              <w:t>建设内容包括综合仓库、桶装油品间、早厕等。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6" w:type="dxa"/>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w:t>
            </w:r>
          </w:p>
        </w:tc>
        <w:tc>
          <w:tcPr>
            <w:tcW w:w="414" w:type="dxa"/>
            <w:vMerge w:val="continue"/>
            <w:vAlign w:val="center"/>
          </w:tcPr>
          <w:p>
            <w:pPr>
              <w:jc w:val="center"/>
              <w:rPr>
                <w:rFonts w:ascii="Times New Roman" w:hAnsi="Times New Roman" w:eastAsia="宋体" w:cs="Times New Roman"/>
                <w:kern w:val="0"/>
                <w:szCs w:val="21"/>
              </w:rPr>
            </w:pPr>
          </w:p>
        </w:tc>
        <w:tc>
          <w:tcPr>
            <w:tcW w:w="2025" w:type="dxa"/>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生活区</w:t>
            </w:r>
          </w:p>
        </w:tc>
        <w:tc>
          <w:tcPr>
            <w:tcW w:w="5597" w:type="dxa"/>
            <w:vAlign w:val="center"/>
          </w:tcPr>
          <w:p>
            <w:pPr>
              <w:rPr>
                <w:rFonts w:ascii="Times New Roman" w:hAnsi="Times New Roman" w:eastAsia="宋体" w:cs="Times New Roman"/>
                <w:kern w:val="0"/>
                <w:szCs w:val="21"/>
              </w:rPr>
            </w:pPr>
            <w:r>
              <w:rPr>
                <w:rFonts w:hint="eastAsia" w:ascii="Times New Roman" w:hAnsi="Times New Roman" w:eastAsia="宋体" w:cs="Times New Roman"/>
                <w:kern w:val="0"/>
                <w:szCs w:val="21"/>
              </w:rPr>
              <w:t>依托现有探矿指挥部，探矿期已建内容包括：警务室、值班室、值班室、停车场、1#~5#宿舍、食堂、临时仓库、垃圾站、卫生间、浴室，在此基础上扩建6#~8#宿舍、停车场等，其中1#~3#、6#~8#宿舍为双层，其余建筑物为单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6" w:type="dxa"/>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6</w:t>
            </w:r>
          </w:p>
        </w:tc>
        <w:tc>
          <w:tcPr>
            <w:tcW w:w="414" w:type="dxa"/>
            <w:vMerge w:val="restart"/>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公用工程</w:t>
            </w:r>
          </w:p>
        </w:tc>
        <w:tc>
          <w:tcPr>
            <w:tcW w:w="2025" w:type="dxa"/>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供水工程</w:t>
            </w:r>
          </w:p>
        </w:tc>
        <w:tc>
          <w:tcPr>
            <w:tcW w:w="5597" w:type="dxa"/>
            <w:vAlign w:val="center"/>
          </w:tcPr>
          <w:p>
            <w:pPr>
              <w:rPr>
                <w:rFonts w:ascii="Times New Roman" w:hAnsi="Times New Roman" w:eastAsia="宋体" w:cs="Times New Roman"/>
                <w:kern w:val="0"/>
                <w:szCs w:val="21"/>
              </w:rPr>
            </w:pPr>
            <w:r>
              <w:rPr>
                <w:rFonts w:hint="eastAsia" w:ascii="Times New Roman" w:hAnsi="Times New Roman" w:eastAsia="宋体" w:cs="Times New Roman"/>
                <w:kern w:val="0"/>
                <w:szCs w:val="21"/>
              </w:rPr>
              <w:t>修建取水点1座，水源取自业隆沟；露天采区修建高位水池，工业废水经处理后全部回用于生产。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6" w:type="dxa"/>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7</w:t>
            </w:r>
          </w:p>
        </w:tc>
        <w:tc>
          <w:tcPr>
            <w:tcW w:w="414" w:type="dxa"/>
            <w:vMerge w:val="continue"/>
            <w:vAlign w:val="center"/>
          </w:tcPr>
          <w:p>
            <w:pPr>
              <w:jc w:val="center"/>
              <w:rPr>
                <w:rFonts w:ascii="Times New Roman" w:hAnsi="Times New Roman" w:eastAsia="宋体" w:cs="Times New Roman"/>
                <w:kern w:val="0"/>
                <w:szCs w:val="21"/>
              </w:rPr>
            </w:pPr>
          </w:p>
        </w:tc>
        <w:tc>
          <w:tcPr>
            <w:tcW w:w="2025" w:type="dxa"/>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供电工程</w:t>
            </w:r>
          </w:p>
        </w:tc>
        <w:tc>
          <w:tcPr>
            <w:tcW w:w="5597" w:type="dxa"/>
            <w:vAlign w:val="center"/>
          </w:tcPr>
          <w:p>
            <w:pPr>
              <w:rPr>
                <w:rFonts w:ascii="Times New Roman" w:hAnsi="Times New Roman" w:eastAsia="宋体" w:cs="Times New Roman"/>
                <w:kern w:val="0"/>
                <w:szCs w:val="21"/>
              </w:rPr>
            </w:pPr>
            <w:r>
              <w:rPr>
                <w:rFonts w:hint="eastAsia" w:ascii="Times New Roman" w:hAnsi="Times New Roman" w:eastAsia="宋体" w:cs="Times New Roman"/>
                <w:kern w:val="0"/>
                <w:szCs w:val="21"/>
              </w:rPr>
              <w:t>供电依托“金川业隆沟35千伏输电变电工程”。</w:t>
            </w:r>
          </w:p>
        </w:tc>
      </w:tr>
    </w:tbl>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（3）主要设备</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根据现场调查，选矿厂采用的选矿设备与环评阶段基本一致，具体主要设备情况见下表。</w:t>
      </w:r>
    </w:p>
    <w:p>
      <w:pPr>
        <w:spacing w:line="360" w:lineRule="auto"/>
        <w:jc w:val="center"/>
        <w:rPr>
          <w:rFonts w:ascii="Times New Roman" w:hAnsi="Times New Roman" w:eastAsia="宋体" w:cs="Times New Roman"/>
          <w:b/>
          <w:szCs w:val="21"/>
        </w:rPr>
      </w:pPr>
      <w:r>
        <w:rPr>
          <w:rFonts w:ascii="Times New Roman" w:hAnsi="Times New Roman" w:eastAsia="宋体" w:cs="Times New Roman"/>
          <w:b/>
          <w:szCs w:val="21"/>
        </w:rPr>
        <w:t>表2.2-</w:t>
      </w:r>
      <w:r>
        <w:rPr>
          <w:rFonts w:hint="eastAsia" w:ascii="Times New Roman" w:hAnsi="Times New Roman" w:eastAsia="宋体" w:cs="Times New Roman"/>
          <w:b/>
          <w:szCs w:val="21"/>
        </w:rPr>
        <w:t>4</w:t>
      </w:r>
      <w:r>
        <w:rPr>
          <w:rFonts w:ascii="Times New Roman" w:hAnsi="Times New Roman" w:eastAsia="宋体" w:cs="Times New Roman"/>
          <w:b/>
          <w:szCs w:val="21"/>
        </w:rPr>
        <w:t xml:space="preserve">  </w:t>
      </w:r>
      <w:r>
        <w:rPr>
          <w:rFonts w:hint="eastAsia" w:ascii="Times New Roman" w:hAnsi="Times New Roman" w:eastAsia="宋体" w:cs="Times New Roman"/>
          <w:b/>
          <w:szCs w:val="21"/>
        </w:rPr>
        <w:t>露天采区</w:t>
      </w:r>
      <w:r>
        <w:rPr>
          <w:rFonts w:ascii="Times New Roman" w:hAnsi="Times New Roman" w:eastAsia="宋体" w:cs="Times New Roman"/>
          <w:b/>
          <w:szCs w:val="21"/>
        </w:rPr>
        <w:t>设备一览表</w:t>
      </w:r>
    </w:p>
    <w:tbl>
      <w:tblPr>
        <w:tblStyle w:val="29"/>
        <w:tblW w:w="853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15"/>
        <w:gridCol w:w="1537"/>
        <w:gridCol w:w="2250"/>
        <w:gridCol w:w="690"/>
        <w:gridCol w:w="1102"/>
        <w:gridCol w:w="1102"/>
        <w:gridCol w:w="12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5" w:type="dxa"/>
            <w:vAlign w:val="center"/>
          </w:tcPr>
          <w:p>
            <w:pPr>
              <w:keepNext w:val="0"/>
              <w:keepLines w:val="0"/>
              <w:pageBreakBefore w:val="0"/>
              <w:kinsoku/>
              <w:wordWrap/>
              <w:overflowPunct/>
              <w:topLinePunct w:val="0"/>
              <w:autoSpaceDE/>
              <w:autoSpaceDN/>
              <w:bidi w:val="0"/>
              <w:adjustRightInd/>
              <w:snapToGrid/>
              <w:ind w:left="0" w:firstLine="0"/>
              <w:jc w:val="center"/>
              <w:textAlignment w:val="auto"/>
              <w:outlineLvl w:val="9"/>
              <w:rPr>
                <w:rFonts w:ascii="Times New Roman" w:hAnsi="Times New Roman" w:eastAsia="宋体" w:cs="Times New Roman"/>
                <w:b/>
                <w:bCs/>
                <w:kern w:val="0"/>
                <w:szCs w:val="21"/>
              </w:rPr>
            </w:pPr>
            <w:r>
              <w:rPr>
                <w:rFonts w:ascii="Times New Roman" w:hAnsi="Times New Roman" w:eastAsia="宋体" w:cs="Times New Roman"/>
                <w:b/>
                <w:bCs/>
                <w:kern w:val="0"/>
                <w:szCs w:val="21"/>
              </w:rPr>
              <w:t>序号</w:t>
            </w:r>
          </w:p>
        </w:tc>
        <w:tc>
          <w:tcPr>
            <w:tcW w:w="1537" w:type="dxa"/>
            <w:vAlign w:val="center"/>
          </w:tcPr>
          <w:p>
            <w:pPr>
              <w:keepNext w:val="0"/>
              <w:keepLines w:val="0"/>
              <w:pageBreakBefore w:val="0"/>
              <w:kinsoku/>
              <w:wordWrap/>
              <w:overflowPunct/>
              <w:topLinePunct w:val="0"/>
              <w:autoSpaceDE/>
              <w:autoSpaceDN/>
              <w:bidi w:val="0"/>
              <w:adjustRightInd/>
              <w:snapToGrid/>
              <w:ind w:left="0" w:firstLine="0"/>
              <w:jc w:val="center"/>
              <w:textAlignment w:val="auto"/>
              <w:outlineLvl w:val="9"/>
              <w:rPr>
                <w:rFonts w:ascii="Times New Roman" w:hAnsi="Times New Roman" w:eastAsia="宋体" w:cs="Times New Roman"/>
                <w:b/>
                <w:bCs/>
                <w:kern w:val="0"/>
                <w:szCs w:val="21"/>
              </w:rPr>
            </w:pPr>
            <w:r>
              <w:rPr>
                <w:rFonts w:ascii="Times New Roman" w:hAnsi="Times New Roman" w:eastAsia="宋体" w:cs="Times New Roman"/>
                <w:b/>
                <w:bCs/>
                <w:kern w:val="0"/>
                <w:szCs w:val="21"/>
              </w:rPr>
              <w:t>名称</w:t>
            </w:r>
          </w:p>
        </w:tc>
        <w:tc>
          <w:tcPr>
            <w:tcW w:w="2250" w:type="dxa"/>
            <w:vAlign w:val="center"/>
          </w:tcPr>
          <w:p>
            <w:pPr>
              <w:keepNext w:val="0"/>
              <w:keepLines w:val="0"/>
              <w:pageBreakBefore w:val="0"/>
              <w:kinsoku/>
              <w:wordWrap/>
              <w:overflowPunct/>
              <w:topLinePunct w:val="0"/>
              <w:autoSpaceDE/>
              <w:autoSpaceDN/>
              <w:bidi w:val="0"/>
              <w:adjustRightInd/>
              <w:snapToGrid/>
              <w:ind w:left="0" w:firstLine="0"/>
              <w:jc w:val="center"/>
              <w:textAlignment w:val="auto"/>
              <w:outlineLvl w:val="9"/>
              <w:rPr>
                <w:rFonts w:ascii="Times New Roman" w:hAnsi="Times New Roman" w:eastAsia="宋体" w:cs="Times New Roman"/>
                <w:b/>
                <w:bCs/>
                <w:kern w:val="0"/>
                <w:szCs w:val="21"/>
              </w:rPr>
            </w:pPr>
            <w:r>
              <w:rPr>
                <w:rFonts w:ascii="Times New Roman" w:hAnsi="Times New Roman" w:eastAsia="宋体" w:cs="Times New Roman"/>
                <w:b/>
                <w:bCs/>
                <w:kern w:val="0"/>
                <w:szCs w:val="21"/>
              </w:rPr>
              <w:t>型号规格</w:t>
            </w:r>
          </w:p>
        </w:tc>
        <w:tc>
          <w:tcPr>
            <w:tcW w:w="690" w:type="dxa"/>
            <w:vAlign w:val="center"/>
          </w:tcPr>
          <w:p>
            <w:pPr>
              <w:keepNext w:val="0"/>
              <w:keepLines w:val="0"/>
              <w:pageBreakBefore w:val="0"/>
              <w:kinsoku/>
              <w:wordWrap/>
              <w:overflowPunct/>
              <w:topLinePunct w:val="0"/>
              <w:autoSpaceDE/>
              <w:autoSpaceDN/>
              <w:bidi w:val="0"/>
              <w:adjustRightInd/>
              <w:snapToGrid/>
              <w:ind w:left="0" w:firstLine="0"/>
              <w:jc w:val="center"/>
              <w:textAlignment w:val="auto"/>
              <w:outlineLvl w:val="9"/>
              <w:rPr>
                <w:rFonts w:ascii="Times New Roman" w:hAnsi="Times New Roman" w:eastAsia="宋体" w:cs="Times New Roman"/>
                <w:b/>
                <w:bCs/>
                <w:kern w:val="0"/>
                <w:szCs w:val="21"/>
              </w:rPr>
            </w:pPr>
            <w:r>
              <w:rPr>
                <w:rFonts w:ascii="Times New Roman" w:hAnsi="Times New Roman" w:eastAsia="宋体" w:cs="Times New Roman"/>
                <w:b/>
                <w:bCs/>
                <w:kern w:val="0"/>
                <w:szCs w:val="21"/>
              </w:rPr>
              <w:t>单位</w:t>
            </w:r>
          </w:p>
        </w:tc>
        <w:tc>
          <w:tcPr>
            <w:tcW w:w="1102" w:type="dxa"/>
            <w:vAlign w:val="center"/>
          </w:tcPr>
          <w:p>
            <w:pPr>
              <w:keepNext w:val="0"/>
              <w:keepLines w:val="0"/>
              <w:pageBreakBefore w:val="0"/>
              <w:kinsoku/>
              <w:wordWrap/>
              <w:overflowPunct/>
              <w:topLinePunct w:val="0"/>
              <w:autoSpaceDE/>
              <w:autoSpaceDN/>
              <w:bidi w:val="0"/>
              <w:adjustRightInd/>
              <w:snapToGrid/>
              <w:ind w:left="0" w:firstLine="0"/>
              <w:jc w:val="center"/>
              <w:textAlignment w:val="auto"/>
              <w:outlineLvl w:val="9"/>
              <w:rPr>
                <w:rFonts w:hint="eastAsia" w:ascii="Times New Roman" w:hAnsi="Times New Roman" w:eastAsia="宋体" w:cs="Times New Roman"/>
                <w:b/>
                <w:bCs/>
                <w:kern w:val="0"/>
                <w:szCs w:val="21"/>
                <w:lang w:val="en-US" w:eastAsia="zh-CN"/>
              </w:rPr>
            </w:pPr>
            <w:r>
              <w:rPr>
                <w:rFonts w:hint="eastAsia" w:ascii="Times New Roman" w:hAnsi="Times New Roman" w:eastAsia="宋体" w:cs="Times New Roman"/>
                <w:b/>
                <w:bCs/>
                <w:kern w:val="0"/>
                <w:szCs w:val="21"/>
                <w:lang w:val="en-US" w:eastAsia="zh-CN"/>
              </w:rPr>
              <w:t>拟投入</w:t>
            </w:r>
          </w:p>
          <w:p>
            <w:pPr>
              <w:keepNext w:val="0"/>
              <w:keepLines w:val="0"/>
              <w:pageBreakBefore w:val="0"/>
              <w:kinsoku/>
              <w:wordWrap/>
              <w:overflowPunct/>
              <w:topLinePunct w:val="0"/>
              <w:autoSpaceDE/>
              <w:autoSpaceDN/>
              <w:bidi w:val="0"/>
              <w:adjustRightInd/>
              <w:snapToGrid/>
              <w:ind w:left="0" w:firstLine="0"/>
              <w:jc w:val="center"/>
              <w:textAlignment w:val="auto"/>
              <w:outlineLvl w:val="9"/>
              <w:rPr>
                <w:rFonts w:ascii="Times New Roman" w:hAnsi="Times New Roman" w:eastAsia="宋体" w:cs="Times New Roman"/>
                <w:b/>
                <w:bCs/>
                <w:kern w:val="0"/>
                <w:szCs w:val="21"/>
              </w:rPr>
            </w:pPr>
            <w:r>
              <w:rPr>
                <w:rFonts w:ascii="Times New Roman" w:hAnsi="Times New Roman" w:eastAsia="宋体" w:cs="Times New Roman"/>
                <w:b/>
                <w:bCs/>
                <w:kern w:val="0"/>
                <w:szCs w:val="21"/>
              </w:rPr>
              <w:t>数量</w:t>
            </w:r>
          </w:p>
        </w:tc>
        <w:tc>
          <w:tcPr>
            <w:tcW w:w="1102" w:type="dxa"/>
            <w:vAlign w:val="center"/>
          </w:tcPr>
          <w:p>
            <w:pPr>
              <w:keepNext w:val="0"/>
              <w:keepLines w:val="0"/>
              <w:pageBreakBefore w:val="0"/>
              <w:kinsoku/>
              <w:wordWrap/>
              <w:overflowPunct/>
              <w:topLinePunct w:val="0"/>
              <w:autoSpaceDE/>
              <w:autoSpaceDN/>
              <w:bidi w:val="0"/>
              <w:adjustRightInd/>
              <w:snapToGrid/>
              <w:ind w:left="0" w:firstLine="0"/>
              <w:jc w:val="center"/>
              <w:textAlignment w:val="auto"/>
              <w:outlineLvl w:val="9"/>
              <w:rPr>
                <w:rFonts w:hint="eastAsia" w:ascii="Times New Roman" w:hAnsi="Times New Roman" w:eastAsia="宋体" w:cs="Times New Roman"/>
                <w:b/>
                <w:bCs/>
                <w:kern w:val="0"/>
                <w:szCs w:val="21"/>
                <w:lang w:val="en-US" w:eastAsia="zh-CN"/>
              </w:rPr>
            </w:pPr>
            <w:r>
              <w:rPr>
                <w:rFonts w:hint="eastAsia" w:ascii="Times New Roman" w:hAnsi="Times New Roman" w:eastAsia="宋体" w:cs="Times New Roman"/>
                <w:b/>
                <w:bCs/>
                <w:kern w:val="0"/>
                <w:szCs w:val="21"/>
                <w:lang w:val="en-US" w:eastAsia="zh-CN"/>
              </w:rPr>
              <w:t>实际投入数量</w:t>
            </w:r>
          </w:p>
        </w:tc>
        <w:tc>
          <w:tcPr>
            <w:tcW w:w="1237" w:type="dxa"/>
            <w:vAlign w:val="center"/>
          </w:tcPr>
          <w:p>
            <w:pPr>
              <w:keepNext w:val="0"/>
              <w:keepLines w:val="0"/>
              <w:pageBreakBefore w:val="0"/>
              <w:kinsoku/>
              <w:wordWrap/>
              <w:overflowPunct/>
              <w:topLinePunct w:val="0"/>
              <w:autoSpaceDE/>
              <w:autoSpaceDN/>
              <w:bidi w:val="0"/>
              <w:adjustRightInd/>
              <w:snapToGrid/>
              <w:ind w:left="0" w:firstLine="0"/>
              <w:jc w:val="center"/>
              <w:textAlignment w:val="auto"/>
              <w:outlineLvl w:val="9"/>
              <w:rPr>
                <w:rFonts w:ascii="Times New Roman" w:hAnsi="Times New Roman" w:eastAsia="宋体" w:cs="Times New Roman"/>
                <w:b/>
                <w:bCs/>
                <w:kern w:val="0"/>
                <w:szCs w:val="21"/>
              </w:rPr>
            </w:pPr>
            <w:r>
              <w:rPr>
                <w:rFonts w:ascii="Times New Roman" w:hAnsi="Times New Roman" w:eastAsia="宋体" w:cs="Times New Roman"/>
                <w:b/>
                <w:bCs/>
                <w:kern w:val="0"/>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5" w:type="dxa"/>
            <w:vAlign w:val="center"/>
          </w:tcPr>
          <w:p>
            <w:pPr>
              <w:keepNext w:val="0"/>
              <w:keepLines w:val="0"/>
              <w:pageBreakBefore w:val="0"/>
              <w:kinsoku/>
              <w:wordWrap/>
              <w:overflowPunct/>
              <w:topLinePunct w:val="0"/>
              <w:autoSpaceDE/>
              <w:autoSpaceDN/>
              <w:bidi w:val="0"/>
              <w:adjustRightInd/>
              <w:snapToGrid/>
              <w:ind w:left="0" w:firstLine="0"/>
              <w:jc w:val="center"/>
              <w:textAlignment w:val="auto"/>
              <w:outlineLvl w:val="9"/>
              <w:rPr>
                <w:rFonts w:ascii="Times New Roman" w:hAnsi="Times New Roman" w:eastAsia="宋体" w:cs="Times New Roman"/>
                <w:kern w:val="0"/>
                <w:szCs w:val="21"/>
              </w:rPr>
            </w:pPr>
            <w:r>
              <w:rPr>
                <w:rFonts w:hint="eastAsia" w:ascii="Times New Roman" w:hAnsi="Times New Roman" w:eastAsia="宋体" w:cs="Times New Roman"/>
                <w:kern w:val="0"/>
                <w:szCs w:val="21"/>
              </w:rPr>
              <w:t>1</w:t>
            </w:r>
          </w:p>
        </w:tc>
        <w:tc>
          <w:tcPr>
            <w:tcW w:w="1537" w:type="dxa"/>
            <w:vAlign w:val="center"/>
          </w:tcPr>
          <w:p>
            <w:pPr>
              <w:keepNext w:val="0"/>
              <w:keepLines w:val="0"/>
              <w:pageBreakBefore w:val="0"/>
              <w:kinsoku/>
              <w:wordWrap/>
              <w:overflowPunct/>
              <w:topLinePunct w:val="0"/>
              <w:autoSpaceDE/>
              <w:autoSpaceDN/>
              <w:bidi w:val="0"/>
              <w:adjustRightInd/>
              <w:snapToGrid/>
              <w:ind w:left="0" w:firstLine="0"/>
              <w:jc w:val="center"/>
              <w:textAlignment w:val="auto"/>
              <w:outlineLvl w:val="9"/>
              <w:rPr>
                <w:rFonts w:ascii="Times New Roman" w:hAnsi="Times New Roman" w:eastAsia="宋体" w:cs="Times New Roman"/>
                <w:kern w:val="0"/>
                <w:szCs w:val="21"/>
              </w:rPr>
            </w:pPr>
            <w:r>
              <w:rPr>
                <w:rFonts w:hint="eastAsia" w:ascii="Times New Roman" w:hAnsi="Times New Roman" w:eastAsia="宋体" w:cs="Times New Roman"/>
                <w:kern w:val="0"/>
                <w:szCs w:val="21"/>
              </w:rPr>
              <w:t>穿孔设备</w:t>
            </w:r>
          </w:p>
        </w:tc>
        <w:tc>
          <w:tcPr>
            <w:tcW w:w="2250" w:type="dxa"/>
            <w:vAlign w:val="center"/>
          </w:tcPr>
          <w:p>
            <w:pPr>
              <w:keepNext w:val="0"/>
              <w:keepLines w:val="0"/>
              <w:pageBreakBefore w:val="0"/>
              <w:widowControl/>
              <w:kinsoku/>
              <w:wordWrap/>
              <w:overflowPunct/>
              <w:topLinePunct w:val="0"/>
              <w:autoSpaceDE/>
              <w:autoSpaceDN/>
              <w:bidi w:val="0"/>
              <w:adjustRightInd/>
              <w:snapToGrid/>
              <w:ind w:left="0" w:firstLine="0"/>
              <w:jc w:val="center"/>
              <w:textAlignment w:val="auto"/>
              <w:outlineLvl w:val="9"/>
              <w:rPr>
                <w:rFonts w:ascii="Calibri" w:hAnsi="Calibri" w:cs="Times New Roman"/>
                <w:kern w:val="0"/>
                <w:sz w:val="20"/>
                <w:szCs w:val="20"/>
              </w:rPr>
            </w:pPr>
            <w:r>
              <w:rPr>
                <w:rStyle w:val="78"/>
                <w:rFonts w:cs="Times New Roman"/>
                <w:color w:val="auto"/>
                <w:kern w:val="0"/>
              </w:rPr>
              <w:t>AtlasCopcoROCL8</w:t>
            </w:r>
            <w:r>
              <w:rPr>
                <w:rStyle w:val="78"/>
                <w:rFonts w:cs="Times New Roman"/>
                <w:color w:val="auto"/>
                <w:kern w:val="0"/>
                <w:sz w:val="14"/>
                <w:szCs w:val="14"/>
              </w:rPr>
              <w:t>25</w:t>
            </w:r>
            <w:r>
              <w:rPr>
                <w:rStyle w:val="80"/>
                <w:rFonts w:hint="default" w:cs="Times New Roman"/>
                <w:color w:val="auto"/>
                <w:kern w:val="0"/>
              </w:rPr>
              <w:t>型</w:t>
            </w:r>
          </w:p>
        </w:tc>
        <w:tc>
          <w:tcPr>
            <w:tcW w:w="690" w:type="dxa"/>
            <w:vAlign w:val="center"/>
          </w:tcPr>
          <w:p>
            <w:pPr>
              <w:keepNext w:val="0"/>
              <w:keepLines w:val="0"/>
              <w:pageBreakBefore w:val="0"/>
              <w:kinsoku/>
              <w:wordWrap/>
              <w:overflowPunct/>
              <w:topLinePunct w:val="0"/>
              <w:autoSpaceDE/>
              <w:autoSpaceDN/>
              <w:bidi w:val="0"/>
              <w:adjustRightInd/>
              <w:snapToGrid/>
              <w:ind w:left="0" w:firstLine="0"/>
              <w:jc w:val="center"/>
              <w:textAlignment w:val="auto"/>
              <w:outlineLvl w:val="9"/>
              <w:rPr>
                <w:rFonts w:ascii="Times New Roman" w:hAnsi="Times New Roman" w:eastAsia="宋体" w:cs="Times New Roman"/>
                <w:kern w:val="0"/>
                <w:szCs w:val="21"/>
              </w:rPr>
            </w:pPr>
            <w:r>
              <w:rPr>
                <w:rFonts w:hint="eastAsia" w:ascii="Times New Roman" w:hAnsi="Times New Roman" w:eastAsia="宋体" w:cs="Times New Roman"/>
                <w:kern w:val="0"/>
                <w:szCs w:val="21"/>
              </w:rPr>
              <w:t>台</w:t>
            </w:r>
          </w:p>
        </w:tc>
        <w:tc>
          <w:tcPr>
            <w:tcW w:w="1102" w:type="dxa"/>
            <w:vAlign w:val="center"/>
          </w:tcPr>
          <w:p>
            <w:pPr>
              <w:keepNext w:val="0"/>
              <w:keepLines w:val="0"/>
              <w:pageBreakBefore w:val="0"/>
              <w:kinsoku/>
              <w:wordWrap/>
              <w:overflowPunct/>
              <w:topLinePunct w:val="0"/>
              <w:autoSpaceDE/>
              <w:autoSpaceDN/>
              <w:bidi w:val="0"/>
              <w:adjustRightInd/>
              <w:snapToGrid/>
              <w:ind w:left="0" w:firstLine="0"/>
              <w:jc w:val="center"/>
              <w:textAlignment w:val="auto"/>
              <w:outlineLvl w:val="9"/>
              <w:rPr>
                <w:rFonts w:ascii="Times New Roman" w:hAnsi="Times New Roman" w:eastAsia="宋体" w:cs="Times New Roman"/>
                <w:kern w:val="0"/>
                <w:szCs w:val="21"/>
              </w:rPr>
            </w:pPr>
            <w:r>
              <w:rPr>
                <w:rFonts w:hint="eastAsia" w:ascii="Times New Roman" w:hAnsi="Times New Roman" w:eastAsia="宋体" w:cs="Times New Roman"/>
                <w:kern w:val="0"/>
                <w:szCs w:val="21"/>
              </w:rPr>
              <w:t>2</w:t>
            </w:r>
          </w:p>
        </w:tc>
        <w:tc>
          <w:tcPr>
            <w:tcW w:w="1102" w:type="dxa"/>
            <w:vAlign w:val="center"/>
          </w:tcPr>
          <w:p>
            <w:pPr>
              <w:keepNext w:val="0"/>
              <w:keepLines w:val="0"/>
              <w:pageBreakBefore w:val="0"/>
              <w:kinsoku/>
              <w:wordWrap/>
              <w:overflowPunct/>
              <w:topLinePunct w:val="0"/>
              <w:autoSpaceDE/>
              <w:autoSpaceDN/>
              <w:bidi w:val="0"/>
              <w:adjustRightInd/>
              <w:snapToGrid/>
              <w:ind w:left="0" w:firstLine="0"/>
              <w:jc w:val="center"/>
              <w:textAlignment w:val="auto"/>
              <w:outlineLvl w:val="9"/>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2</w:t>
            </w:r>
          </w:p>
        </w:tc>
        <w:tc>
          <w:tcPr>
            <w:tcW w:w="1237" w:type="dxa"/>
            <w:vAlign w:val="center"/>
          </w:tcPr>
          <w:p>
            <w:pPr>
              <w:keepNext w:val="0"/>
              <w:keepLines w:val="0"/>
              <w:pageBreakBefore w:val="0"/>
              <w:kinsoku/>
              <w:wordWrap/>
              <w:overflowPunct/>
              <w:topLinePunct w:val="0"/>
              <w:autoSpaceDE/>
              <w:autoSpaceDN/>
              <w:bidi w:val="0"/>
              <w:adjustRightInd/>
              <w:snapToGrid/>
              <w:ind w:left="0" w:firstLine="0"/>
              <w:jc w:val="center"/>
              <w:textAlignment w:val="auto"/>
              <w:outlineLvl w:val="9"/>
              <w:rPr>
                <w:rFonts w:ascii="Times New Roman" w:hAnsi="Times New Roman" w:eastAsia="宋体"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5" w:type="dxa"/>
            <w:vAlign w:val="center"/>
          </w:tcPr>
          <w:p>
            <w:pPr>
              <w:keepNext w:val="0"/>
              <w:keepLines w:val="0"/>
              <w:pageBreakBefore w:val="0"/>
              <w:kinsoku/>
              <w:wordWrap/>
              <w:overflowPunct/>
              <w:topLinePunct w:val="0"/>
              <w:autoSpaceDE/>
              <w:autoSpaceDN/>
              <w:bidi w:val="0"/>
              <w:adjustRightInd/>
              <w:snapToGrid/>
              <w:ind w:left="0" w:firstLine="0"/>
              <w:jc w:val="center"/>
              <w:textAlignment w:val="auto"/>
              <w:outlineLvl w:val="9"/>
              <w:rPr>
                <w:rFonts w:ascii="Times New Roman" w:hAnsi="Times New Roman" w:eastAsia="宋体" w:cs="Times New Roman"/>
                <w:kern w:val="0"/>
                <w:szCs w:val="21"/>
              </w:rPr>
            </w:pPr>
            <w:r>
              <w:rPr>
                <w:rFonts w:hint="eastAsia" w:ascii="Times New Roman" w:hAnsi="Times New Roman" w:eastAsia="宋体" w:cs="Times New Roman"/>
                <w:kern w:val="0"/>
                <w:szCs w:val="21"/>
              </w:rPr>
              <w:t>2</w:t>
            </w:r>
          </w:p>
        </w:tc>
        <w:tc>
          <w:tcPr>
            <w:tcW w:w="1537" w:type="dxa"/>
            <w:vAlign w:val="center"/>
          </w:tcPr>
          <w:p>
            <w:pPr>
              <w:keepNext w:val="0"/>
              <w:keepLines w:val="0"/>
              <w:pageBreakBefore w:val="0"/>
              <w:kinsoku/>
              <w:wordWrap/>
              <w:overflowPunct/>
              <w:topLinePunct w:val="0"/>
              <w:autoSpaceDE/>
              <w:autoSpaceDN/>
              <w:bidi w:val="0"/>
              <w:adjustRightInd/>
              <w:snapToGrid/>
              <w:ind w:left="0" w:firstLine="0"/>
              <w:jc w:val="center"/>
              <w:textAlignment w:val="auto"/>
              <w:outlineLvl w:val="9"/>
              <w:rPr>
                <w:rFonts w:ascii="Times New Roman" w:hAnsi="Times New Roman" w:eastAsia="宋体" w:cs="Times New Roman"/>
                <w:kern w:val="0"/>
                <w:szCs w:val="21"/>
              </w:rPr>
            </w:pPr>
            <w:r>
              <w:rPr>
                <w:rFonts w:hint="eastAsia" w:ascii="Times New Roman" w:hAnsi="Times New Roman" w:eastAsia="宋体" w:cs="Times New Roman"/>
                <w:kern w:val="0"/>
                <w:szCs w:val="21"/>
              </w:rPr>
              <w:t>铲装设备</w:t>
            </w:r>
          </w:p>
        </w:tc>
        <w:tc>
          <w:tcPr>
            <w:tcW w:w="2250" w:type="dxa"/>
            <w:vAlign w:val="center"/>
          </w:tcPr>
          <w:p>
            <w:pPr>
              <w:keepNext w:val="0"/>
              <w:keepLines w:val="0"/>
              <w:pageBreakBefore w:val="0"/>
              <w:kinsoku/>
              <w:wordWrap/>
              <w:overflowPunct/>
              <w:topLinePunct w:val="0"/>
              <w:autoSpaceDE/>
              <w:autoSpaceDN/>
              <w:bidi w:val="0"/>
              <w:adjustRightInd/>
              <w:snapToGrid/>
              <w:ind w:left="0" w:firstLine="0"/>
              <w:jc w:val="center"/>
              <w:textAlignment w:val="auto"/>
              <w:outlineLvl w:val="9"/>
              <w:rPr>
                <w:rFonts w:ascii="Times New Roman" w:hAnsi="Times New Roman" w:eastAsia="宋体" w:cs="Times New Roman"/>
                <w:kern w:val="0"/>
                <w:szCs w:val="21"/>
              </w:rPr>
            </w:pPr>
          </w:p>
        </w:tc>
        <w:tc>
          <w:tcPr>
            <w:tcW w:w="690" w:type="dxa"/>
            <w:vAlign w:val="center"/>
          </w:tcPr>
          <w:p>
            <w:pPr>
              <w:keepNext w:val="0"/>
              <w:keepLines w:val="0"/>
              <w:pageBreakBefore w:val="0"/>
              <w:kinsoku/>
              <w:wordWrap/>
              <w:overflowPunct/>
              <w:topLinePunct w:val="0"/>
              <w:autoSpaceDE/>
              <w:autoSpaceDN/>
              <w:bidi w:val="0"/>
              <w:adjustRightInd/>
              <w:snapToGrid/>
              <w:ind w:left="0" w:firstLine="0"/>
              <w:jc w:val="center"/>
              <w:textAlignment w:val="auto"/>
              <w:outlineLvl w:val="9"/>
              <w:rPr>
                <w:rFonts w:ascii="Times New Roman" w:hAnsi="Times New Roman" w:eastAsia="宋体" w:cs="Times New Roman"/>
                <w:kern w:val="0"/>
                <w:szCs w:val="21"/>
              </w:rPr>
            </w:pPr>
          </w:p>
        </w:tc>
        <w:tc>
          <w:tcPr>
            <w:tcW w:w="1102" w:type="dxa"/>
            <w:vAlign w:val="center"/>
          </w:tcPr>
          <w:p>
            <w:pPr>
              <w:keepNext w:val="0"/>
              <w:keepLines w:val="0"/>
              <w:pageBreakBefore w:val="0"/>
              <w:kinsoku/>
              <w:wordWrap/>
              <w:overflowPunct/>
              <w:topLinePunct w:val="0"/>
              <w:autoSpaceDE/>
              <w:autoSpaceDN/>
              <w:bidi w:val="0"/>
              <w:adjustRightInd/>
              <w:snapToGrid/>
              <w:ind w:left="0" w:firstLine="0"/>
              <w:jc w:val="center"/>
              <w:textAlignment w:val="auto"/>
              <w:outlineLvl w:val="9"/>
              <w:rPr>
                <w:rFonts w:ascii="Times New Roman" w:hAnsi="Times New Roman" w:eastAsia="宋体" w:cs="Times New Roman"/>
                <w:kern w:val="0"/>
                <w:szCs w:val="21"/>
              </w:rPr>
            </w:pPr>
          </w:p>
        </w:tc>
        <w:tc>
          <w:tcPr>
            <w:tcW w:w="1102" w:type="dxa"/>
            <w:vAlign w:val="center"/>
          </w:tcPr>
          <w:p>
            <w:pPr>
              <w:keepNext w:val="0"/>
              <w:keepLines w:val="0"/>
              <w:pageBreakBefore w:val="0"/>
              <w:kinsoku/>
              <w:wordWrap/>
              <w:overflowPunct/>
              <w:topLinePunct w:val="0"/>
              <w:autoSpaceDE/>
              <w:autoSpaceDN/>
              <w:bidi w:val="0"/>
              <w:adjustRightInd/>
              <w:snapToGrid/>
              <w:ind w:left="0" w:firstLine="0"/>
              <w:jc w:val="center"/>
              <w:textAlignment w:val="auto"/>
              <w:outlineLvl w:val="9"/>
              <w:rPr>
                <w:rFonts w:ascii="Times New Roman" w:hAnsi="Times New Roman" w:eastAsia="宋体" w:cs="Times New Roman"/>
                <w:kern w:val="0"/>
                <w:szCs w:val="21"/>
              </w:rPr>
            </w:pPr>
          </w:p>
        </w:tc>
        <w:tc>
          <w:tcPr>
            <w:tcW w:w="1237" w:type="dxa"/>
            <w:vAlign w:val="center"/>
          </w:tcPr>
          <w:p>
            <w:pPr>
              <w:keepNext w:val="0"/>
              <w:keepLines w:val="0"/>
              <w:pageBreakBefore w:val="0"/>
              <w:kinsoku/>
              <w:wordWrap/>
              <w:overflowPunct/>
              <w:topLinePunct w:val="0"/>
              <w:autoSpaceDE/>
              <w:autoSpaceDN/>
              <w:bidi w:val="0"/>
              <w:adjustRightInd/>
              <w:snapToGrid/>
              <w:ind w:left="0" w:firstLine="0"/>
              <w:jc w:val="center"/>
              <w:textAlignment w:val="auto"/>
              <w:outlineLvl w:val="9"/>
              <w:rPr>
                <w:rFonts w:ascii="Times New Roman" w:hAnsi="Times New Roman" w:eastAsia="宋体"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5" w:type="dxa"/>
            <w:vAlign w:val="center"/>
          </w:tcPr>
          <w:p>
            <w:pPr>
              <w:keepNext w:val="0"/>
              <w:keepLines w:val="0"/>
              <w:pageBreakBefore w:val="0"/>
              <w:kinsoku/>
              <w:wordWrap/>
              <w:overflowPunct/>
              <w:topLinePunct w:val="0"/>
              <w:autoSpaceDE/>
              <w:autoSpaceDN/>
              <w:bidi w:val="0"/>
              <w:adjustRightInd/>
              <w:snapToGrid/>
              <w:ind w:left="0" w:firstLine="0"/>
              <w:jc w:val="center"/>
              <w:textAlignment w:val="auto"/>
              <w:outlineLvl w:val="9"/>
              <w:rPr>
                <w:rFonts w:ascii="Times New Roman" w:hAnsi="Times New Roman" w:eastAsia="宋体" w:cs="Times New Roman"/>
                <w:kern w:val="0"/>
                <w:szCs w:val="21"/>
              </w:rPr>
            </w:pPr>
          </w:p>
        </w:tc>
        <w:tc>
          <w:tcPr>
            <w:tcW w:w="1537" w:type="dxa"/>
            <w:vAlign w:val="center"/>
          </w:tcPr>
          <w:p>
            <w:pPr>
              <w:keepNext w:val="0"/>
              <w:keepLines w:val="0"/>
              <w:pageBreakBefore w:val="0"/>
              <w:kinsoku/>
              <w:wordWrap/>
              <w:overflowPunct/>
              <w:topLinePunct w:val="0"/>
              <w:autoSpaceDE/>
              <w:autoSpaceDN/>
              <w:bidi w:val="0"/>
              <w:adjustRightInd/>
              <w:snapToGrid/>
              <w:ind w:left="0" w:firstLine="0"/>
              <w:jc w:val="center"/>
              <w:textAlignment w:val="auto"/>
              <w:outlineLvl w:val="9"/>
              <w:rPr>
                <w:rFonts w:ascii="Times New Roman" w:hAnsi="Times New Roman" w:eastAsia="宋体" w:cs="Times New Roman"/>
                <w:kern w:val="0"/>
                <w:szCs w:val="21"/>
              </w:rPr>
            </w:pPr>
            <w:r>
              <w:rPr>
                <w:rFonts w:hint="eastAsia" w:ascii="Times New Roman" w:hAnsi="Times New Roman" w:eastAsia="宋体" w:cs="Times New Roman"/>
                <w:kern w:val="0"/>
                <w:szCs w:val="21"/>
              </w:rPr>
              <w:t>2m</w:t>
            </w:r>
            <w:r>
              <w:rPr>
                <w:rFonts w:ascii="Times New Roman" w:hAnsi="Times New Roman" w:eastAsia="宋体" w:cs="Times New Roman"/>
                <w:kern w:val="0"/>
                <w:szCs w:val="21"/>
                <w:vertAlign w:val="superscript"/>
              </w:rPr>
              <w:t>3</w:t>
            </w:r>
            <w:r>
              <w:rPr>
                <w:rFonts w:hint="eastAsia" w:ascii="Times New Roman" w:hAnsi="Times New Roman" w:eastAsia="宋体" w:cs="Times New Roman"/>
                <w:kern w:val="0"/>
                <w:szCs w:val="21"/>
              </w:rPr>
              <w:t>液压铲</w:t>
            </w:r>
          </w:p>
        </w:tc>
        <w:tc>
          <w:tcPr>
            <w:tcW w:w="2250" w:type="dxa"/>
            <w:vAlign w:val="center"/>
          </w:tcPr>
          <w:p>
            <w:pPr>
              <w:keepNext w:val="0"/>
              <w:keepLines w:val="0"/>
              <w:pageBreakBefore w:val="0"/>
              <w:kinsoku/>
              <w:wordWrap/>
              <w:overflowPunct/>
              <w:topLinePunct w:val="0"/>
              <w:autoSpaceDE/>
              <w:autoSpaceDN/>
              <w:bidi w:val="0"/>
              <w:adjustRightInd/>
              <w:snapToGrid/>
              <w:ind w:left="0" w:firstLine="0"/>
              <w:jc w:val="center"/>
              <w:textAlignment w:val="auto"/>
              <w:outlineLvl w:val="9"/>
              <w:rPr>
                <w:rFonts w:ascii="Times New Roman" w:hAnsi="Times New Roman" w:eastAsia="宋体" w:cs="Times New Roman"/>
                <w:kern w:val="0"/>
                <w:szCs w:val="21"/>
              </w:rPr>
            </w:pPr>
            <w:r>
              <w:rPr>
                <w:rFonts w:hint="eastAsia" w:ascii="Times New Roman" w:hAnsi="Times New Roman" w:eastAsia="宋体" w:cs="Times New Roman"/>
                <w:kern w:val="0"/>
                <w:szCs w:val="21"/>
              </w:rPr>
              <w:t>X</w:t>
            </w:r>
            <w:r>
              <w:rPr>
                <w:rFonts w:ascii="Times New Roman" w:hAnsi="Times New Roman" w:eastAsia="宋体" w:cs="Times New Roman"/>
                <w:kern w:val="0"/>
                <w:szCs w:val="21"/>
              </w:rPr>
              <w:t>E470D</w:t>
            </w:r>
          </w:p>
        </w:tc>
        <w:tc>
          <w:tcPr>
            <w:tcW w:w="690" w:type="dxa"/>
            <w:vAlign w:val="center"/>
          </w:tcPr>
          <w:p>
            <w:pPr>
              <w:keepNext w:val="0"/>
              <w:keepLines w:val="0"/>
              <w:pageBreakBefore w:val="0"/>
              <w:kinsoku/>
              <w:wordWrap/>
              <w:overflowPunct/>
              <w:topLinePunct w:val="0"/>
              <w:autoSpaceDE/>
              <w:autoSpaceDN/>
              <w:bidi w:val="0"/>
              <w:adjustRightInd/>
              <w:snapToGrid/>
              <w:ind w:left="0" w:firstLine="0"/>
              <w:jc w:val="center"/>
              <w:textAlignment w:val="auto"/>
              <w:outlineLvl w:val="9"/>
              <w:rPr>
                <w:rFonts w:ascii="Times New Roman" w:hAnsi="Times New Roman" w:eastAsia="宋体" w:cs="Times New Roman"/>
                <w:kern w:val="0"/>
                <w:szCs w:val="21"/>
              </w:rPr>
            </w:pPr>
            <w:r>
              <w:rPr>
                <w:rFonts w:hint="eastAsia" w:ascii="Times New Roman" w:hAnsi="Times New Roman" w:eastAsia="宋体" w:cs="Times New Roman"/>
                <w:kern w:val="0"/>
                <w:szCs w:val="21"/>
              </w:rPr>
              <w:t>台</w:t>
            </w:r>
          </w:p>
        </w:tc>
        <w:tc>
          <w:tcPr>
            <w:tcW w:w="1102" w:type="dxa"/>
            <w:vAlign w:val="center"/>
          </w:tcPr>
          <w:p>
            <w:pPr>
              <w:keepNext w:val="0"/>
              <w:keepLines w:val="0"/>
              <w:pageBreakBefore w:val="0"/>
              <w:kinsoku/>
              <w:wordWrap/>
              <w:overflowPunct/>
              <w:topLinePunct w:val="0"/>
              <w:autoSpaceDE/>
              <w:autoSpaceDN/>
              <w:bidi w:val="0"/>
              <w:adjustRightInd/>
              <w:snapToGrid/>
              <w:ind w:left="0" w:firstLine="0"/>
              <w:jc w:val="center"/>
              <w:textAlignment w:val="auto"/>
              <w:outlineLvl w:val="9"/>
              <w:rPr>
                <w:rFonts w:ascii="Times New Roman" w:hAnsi="Times New Roman" w:eastAsia="宋体" w:cs="Times New Roman"/>
                <w:kern w:val="0"/>
                <w:szCs w:val="21"/>
              </w:rPr>
            </w:pPr>
            <w:r>
              <w:rPr>
                <w:rFonts w:hint="eastAsia" w:ascii="Times New Roman" w:hAnsi="Times New Roman" w:eastAsia="宋体" w:cs="Times New Roman"/>
                <w:kern w:val="0"/>
                <w:szCs w:val="21"/>
              </w:rPr>
              <w:t>4</w:t>
            </w:r>
          </w:p>
        </w:tc>
        <w:tc>
          <w:tcPr>
            <w:tcW w:w="1102" w:type="dxa"/>
            <w:vAlign w:val="center"/>
          </w:tcPr>
          <w:p>
            <w:pPr>
              <w:keepNext w:val="0"/>
              <w:keepLines w:val="0"/>
              <w:pageBreakBefore w:val="0"/>
              <w:kinsoku/>
              <w:wordWrap/>
              <w:overflowPunct/>
              <w:topLinePunct w:val="0"/>
              <w:autoSpaceDE/>
              <w:autoSpaceDN/>
              <w:bidi w:val="0"/>
              <w:adjustRightInd/>
              <w:snapToGrid/>
              <w:ind w:left="0" w:firstLine="0"/>
              <w:jc w:val="center"/>
              <w:textAlignment w:val="auto"/>
              <w:outlineLvl w:val="9"/>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4</w:t>
            </w:r>
          </w:p>
        </w:tc>
        <w:tc>
          <w:tcPr>
            <w:tcW w:w="1237" w:type="dxa"/>
            <w:vAlign w:val="center"/>
          </w:tcPr>
          <w:p>
            <w:pPr>
              <w:keepNext w:val="0"/>
              <w:keepLines w:val="0"/>
              <w:pageBreakBefore w:val="0"/>
              <w:kinsoku/>
              <w:wordWrap/>
              <w:overflowPunct/>
              <w:topLinePunct w:val="0"/>
              <w:autoSpaceDE/>
              <w:autoSpaceDN/>
              <w:bidi w:val="0"/>
              <w:adjustRightInd/>
              <w:snapToGrid/>
              <w:ind w:left="0" w:firstLine="0"/>
              <w:jc w:val="center"/>
              <w:textAlignment w:val="auto"/>
              <w:outlineLvl w:val="9"/>
              <w:rPr>
                <w:rFonts w:ascii="Times New Roman" w:hAnsi="Times New Roman" w:eastAsia="宋体"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5" w:type="dxa"/>
            <w:vAlign w:val="center"/>
          </w:tcPr>
          <w:p>
            <w:pPr>
              <w:keepNext w:val="0"/>
              <w:keepLines w:val="0"/>
              <w:pageBreakBefore w:val="0"/>
              <w:kinsoku/>
              <w:wordWrap/>
              <w:overflowPunct/>
              <w:topLinePunct w:val="0"/>
              <w:autoSpaceDE/>
              <w:autoSpaceDN/>
              <w:bidi w:val="0"/>
              <w:adjustRightInd/>
              <w:snapToGrid/>
              <w:ind w:left="0" w:firstLine="0"/>
              <w:jc w:val="center"/>
              <w:textAlignment w:val="auto"/>
              <w:outlineLvl w:val="9"/>
              <w:rPr>
                <w:rFonts w:ascii="Times New Roman" w:hAnsi="Times New Roman" w:eastAsia="宋体" w:cs="Times New Roman"/>
                <w:kern w:val="0"/>
                <w:szCs w:val="21"/>
              </w:rPr>
            </w:pPr>
          </w:p>
        </w:tc>
        <w:tc>
          <w:tcPr>
            <w:tcW w:w="1537" w:type="dxa"/>
            <w:vAlign w:val="center"/>
          </w:tcPr>
          <w:p>
            <w:pPr>
              <w:keepNext w:val="0"/>
              <w:keepLines w:val="0"/>
              <w:pageBreakBefore w:val="0"/>
              <w:kinsoku/>
              <w:wordWrap/>
              <w:overflowPunct/>
              <w:topLinePunct w:val="0"/>
              <w:autoSpaceDE/>
              <w:autoSpaceDN/>
              <w:bidi w:val="0"/>
              <w:adjustRightInd/>
              <w:snapToGrid/>
              <w:ind w:left="0" w:firstLine="0"/>
              <w:jc w:val="center"/>
              <w:textAlignment w:val="auto"/>
              <w:outlineLvl w:val="9"/>
              <w:rPr>
                <w:rFonts w:ascii="Times New Roman" w:hAnsi="Times New Roman" w:eastAsia="宋体" w:cs="Times New Roman"/>
                <w:kern w:val="0"/>
                <w:szCs w:val="21"/>
              </w:rPr>
            </w:pPr>
            <w:r>
              <w:rPr>
                <w:rFonts w:hint="eastAsia" w:ascii="Times New Roman" w:hAnsi="Times New Roman" w:eastAsia="宋体" w:cs="Times New Roman"/>
                <w:kern w:val="0"/>
                <w:szCs w:val="21"/>
              </w:rPr>
              <w:t>推土机</w:t>
            </w:r>
          </w:p>
        </w:tc>
        <w:tc>
          <w:tcPr>
            <w:tcW w:w="2250" w:type="dxa"/>
            <w:vAlign w:val="center"/>
          </w:tcPr>
          <w:p>
            <w:pPr>
              <w:keepNext w:val="0"/>
              <w:keepLines w:val="0"/>
              <w:pageBreakBefore w:val="0"/>
              <w:kinsoku/>
              <w:wordWrap/>
              <w:overflowPunct/>
              <w:topLinePunct w:val="0"/>
              <w:autoSpaceDE/>
              <w:autoSpaceDN/>
              <w:bidi w:val="0"/>
              <w:adjustRightInd/>
              <w:snapToGrid/>
              <w:ind w:left="0" w:firstLine="0"/>
              <w:jc w:val="center"/>
              <w:textAlignment w:val="auto"/>
              <w:outlineLvl w:val="9"/>
              <w:rPr>
                <w:rFonts w:ascii="Times New Roman" w:hAnsi="Times New Roman" w:eastAsia="宋体" w:cs="Times New Roman"/>
                <w:kern w:val="0"/>
                <w:szCs w:val="21"/>
              </w:rPr>
            </w:pPr>
            <w:r>
              <w:rPr>
                <w:rFonts w:hint="eastAsia" w:ascii="Times New Roman" w:hAnsi="Times New Roman" w:eastAsia="宋体" w:cs="Times New Roman"/>
                <w:kern w:val="0"/>
                <w:szCs w:val="21"/>
              </w:rPr>
              <w:t>T</w:t>
            </w:r>
            <w:r>
              <w:rPr>
                <w:rFonts w:ascii="Times New Roman" w:hAnsi="Times New Roman" w:eastAsia="宋体" w:cs="Times New Roman"/>
                <w:kern w:val="0"/>
                <w:szCs w:val="21"/>
              </w:rPr>
              <w:t>Y320</w:t>
            </w:r>
          </w:p>
        </w:tc>
        <w:tc>
          <w:tcPr>
            <w:tcW w:w="690" w:type="dxa"/>
            <w:vAlign w:val="center"/>
          </w:tcPr>
          <w:p>
            <w:pPr>
              <w:keepNext w:val="0"/>
              <w:keepLines w:val="0"/>
              <w:pageBreakBefore w:val="0"/>
              <w:kinsoku/>
              <w:wordWrap/>
              <w:overflowPunct/>
              <w:topLinePunct w:val="0"/>
              <w:autoSpaceDE/>
              <w:autoSpaceDN/>
              <w:bidi w:val="0"/>
              <w:adjustRightInd/>
              <w:snapToGrid/>
              <w:ind w:left="0" w:firstLine="0"/>
              <w:jc w:val="center"/>
              <w:textAlignment w:val="auto"/>
              <w:outlineLvl w:val="9"/>
              <w:rPr>
                <w:rFonts w:ascii="Times New Roman" w:hAnsi="Times New Roman" w:eastAsia="宋体" w:cs="Times New Roman"/>
                <w:kern w:val="0"/>
                <w:szCs w:val="21"/>
              </w:rPr>
            </w:pPr>
            <w:r>
              <w:rPr>
                <w:rFonts w:hint="eastAsia" w:ascii="Times New Roman" w:hAnsi="Times New Roman" w:eastAsia="宋体" w:cs="Times New Roman"/>
                <w:kern w:val="0"/>
                <w:szCs w:val="21"/>
              </w:rPr>
              <w:t>台</w:t>
            </w:r>
          </w:p>
        </w:tc>
        <w:tc>
          <w:tcPr>
            <w:tcW w:w="1102" w:type="dxa"/>
            <w:vAlign w:val="center"/>
          </w:tcPr>
          <w:p>
            <w:pPr>
              <w:keepNext w:val="0"/>
              <w:keepLines w:val="0"/>
              <w:pageBreakBefore w:val="0"/>
              <w:kinsoku/>
              <w:wordWrap/>
              <w:overflowPunct/>
              <w:topLinePunct w:val="0"/>
              <w:autoSpaceDE/>
              <w:autoSpaceDN/>
              <w:bidi w:val="0"/>
              <w:adjustRightInd/>
              <w:snapToGrid/>
              <w:ind w:left="0" w:firstLine="0"/>
              <w:jc w:val="center"/>
              <w:textAlignment w:val="auto"/>
              <w:outlineLvl w:val="9"/>
              <w:rPr>
                <w:rFonts w:ascii="Times New Roman" w:hAnsi="Times New Roman" w:eastAsia="宋体" w:cs="Times New Roman"/>
                <w:kern w:val="0"/>
                <w:szCs w:val="21"/>
              </w:rPr>
            </w:pPr>
            <w:r>
              <w:rPr>
                <w:rFonts w:hint="eastAsia" w:ascii="Times New Roman" w:hAnsi="Times New Roman" w:eastAsia="宋体" w:cs="Times New Roman"/>
                <w:kern w:val="0"/>
                <w:szCs w:val="21"/>
              </w:rPr>
              <w:t>1</w:t>
            </w:r>
          </w:p>
        </w:tc>
        <w:tc>
          <w:tcPr>
            <w:tcW w:w="1102" w:type="dxa"/>
            <w:vAlign w:val="center"/>
          </w:tcPr>
          <w:p>
            <w:pPr>
              <w:keepNext w:val="0"/>
              <w:keepLines w:val="0"/>
              <w:pageBreakBefore w:val="0"/>
              <w:kinsoku/>
              <w:wordWrap/>
              <w:overflowPunct/>
              <w:topLinePunct w:val="0"/>
              <w:autoSpaceDE/>
              <w:autoSpaceDN/>
              <w:bidi w:val="0"/>
              <w:adjustRightInd/>
              <w:snapToGrid/>
              <w:ind w:left="0" w:firstLine="0"/>
              <w:jc w:val="center"/>
              <w:textAlignment w:val="auto"/>
              <w:outlineLvl w:val="9"/>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1</w:t>
            </w:r>
          </w:p>
        </w:tc>
        <w:tc>
          <w:tcPr>
            <w:tcW w:w="1237" w:type="dxa"/>
            <w:vAlign w:val="center"/>
          </w:tcPr>
          <w:p>
            <w:pPr>
              <w:keepNext w:val="0"/>
              <w:keepLines w:val="0"/>
              <w:pageBreakBefore w:val="0"/>
              <w:kinsoku/>
              <w:wordWrap/>
              <w:overflowPunct/>
              <w:topLinePunct w:val="0"/>
              <w:autoSpaceDE/>
              <w:autoSpaceDN/>
              <w:bidi w:val="0"/>
              <w:adjustRightInd/>
              <w:snapToGrid/>
              <w:ind w:left="0" w:firstLine="0"/>
              <w:jc w:val="center"/>
              <w:textAlignment w:val="auto"/>
              <w:outlineLvl w:val="9"/>
              <w:rPr>
                <w:rFonts w:ascii="Times New Roman" w:hAnsi="Times New Roman" w:eastAsia="宋体"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5" w:type="dxa"/>
            <w:vAlign w:val="center"/>
          </w:tcPr>
          <w:p>
            <w:pPr>
              <w:keepNext w:val="0"/>
              <w:keepLines w:val="0"/>
              <w:pageBreakBefore w:val="0"/>
              <w:kinsoku/>
              <w:wordWrap/>
              <w:overflowPunct/>
              <w:topLinePunct w:val="0"/>
              <w:autoSpaceDE/>
              <w:autoSpaceDN/>
              <w:bidi w:val="0"/>
              <w:adjustRightInd/>
              <w:snapToGrid/>
              <w:ind w:left="0" w:firstLine="0"/>
              <w:jc w:val="center"/>
              <w:textAlignment w:val="auto"/>
              <w:outlineLvl w:val="9"/>
              <w:rPr>
                <w:rFonts w:ascii="Times New Roman" w:hAnsi="Times New Roman" w:eastAsia="宋体" w:cs="Times New Roman"/>
                <w:kern w:val="0"/>
                <w:szCs w:val="21"/>
              </w:rPr>
            </w:pPr>
          </w:p>
        </w:tc>
        <w:tc>
          <w:tcPr>
            <w:tcW w:w="1537" w:type="dxa"/>
            <w:vAlign w:val="center"/>
          </w:tcPr>
          <w:p>
            <w:pPr>
              <w:keepNext w:val="0"/>
              <w:keepLines w:val="0"/>
              <w:pageBreakBefore w:val="0"/>
              <w:kinsoku/>
              <w:wordWrap/>
              <w:overflowPunct/>
              <w:topLinePunct w:val="0"/>
              <w:autoSpaceDE/>
              <w:autoSpaceDN/>
              <w:bidi w:val="0"/>
              <w:adjustRightInd/>
              <w:snapToGrid/>
              <w:ind w:left="0" w:firstLine="0"/>
              <w:jc w:val="center"/>
              <w:textAlignment w:val="auto"/>
              <w:outlineLvl w:val="9"/>
              <w:rPr>
                <w:rFonts w:ascii="Times New Roman" w:hAnsi="Times New Roman" w:eastAsia="宋体" w:cs="Times New Roman"/>
                <w:kern w:val="0"/>
                <w:szCs w:val="21"/>
              </w:rPr>
            </w:pPr>
            <w:r>
              <w:rPr>
                <w:rFonts w:hint="eastAsia" w:ascii="Times New Roman" w:hAnsi="Times New Roman" w:eastAsia="宋体" w:cs="Times New Roman"/>
                <w:kern w:val="0"/>
                <w:szCs w:val="21"/>
              </w:rPr>
              <w:t>前装机</w:t>
            </w:r>
          </w:p>
        </w:tc>
        <w:tc>
          <w:tcPr>
            <w:tcW w:w="2250" w:type="dxa"/>
            <w:vAlign w:val="center"/>
          </w:tcPr>
          <w:p>
            <w:pPr>
              <w:keepNext w:val="0"/>
              <w:keepLines w:val="0"/>
              <w:pageBreakBefore w:val="0"/>
              <w:kinsoku/>
              <w:wordWrap/>
              <w:overflowPunct/>
              <w:topLinePunct w:val="0"/>
              <w:autoSpaceDE/>
              <w:autoSpaceDN/>
              <w:bidi w:val="0"/>
              <w:adjustRightInd/>
              <w:snapToGrid/>
              <w:ind w:left="0" w:firstLine="0"/>
              <w:jc w:val="center"/>
              <w:textAlignment w:val="auto"/>
              <w:outlineLvl w:val="9"/>
              <w:rPr>
                <w:rFonts w:ascii="Times New Roman" w:hAnsi="Times New Roman" w:eastAsia="宋体" w:cs="Times New Roman"/>
                <w:kern w:val="0"/>
                <w:szCs w:val="21"/>
              </w:rPr>
            </w:pPr>
            <w:r>
              <w:rPr>
                <w:rFonts w:hint="eastAsia" w:ascii="Times New Roman" w:hAnsi="Times New Roman" w:eastAsia="宋体" w:cs="Times New Roman"/>
                <w:kern w:val="0"/>
                <w:szCs w:val="21"/>
              </w:rPr>
              <w:t>Z</w:t>
            </w:r>
            <w:r>
              <w:rPr>
                <w:rFonts w:ascii="Times New Roman" w:hAnsi="Times New Roman" w:eastAsia="宋体" w:cs="Times New Roman"/>
                <w:kern w:val="0"/>
                <w:szCs w:val="21"/>
              </w:rPr>
              <w:t>L-50C</w:t>
            </w:r>
          </w:p>
        </w:tc>
        <w:tc>
          <w:tcPr>
            <w:tcW w:w="690" w:type="dxa"/>
            <w:vAlign w:val="center"/>
          </w:tcPr>
          <w:p>
            <w:pPr>
              <w:keepNext w:val="0"/>
              <w:keepLines w:val="0"/>
              <w:pageBreakBefore w:val="0"/>
              <w:kinsoku/>
              <w:wordWrap/>
              <w:overflowPunct/>
              <w:topLinePunct w:val="0"/>
              <w:autoSpaceDE/>
              <w:autoSpaceDN/>
              <w:bidi w:val="0"/>
              <w:adjustRightInd/>
              <w:snapToGrid/>
              <w:ind w:left="0" w:firstLine="0"/>
              <w:jc w:val="center"/>
              <w:textAlignment w:val="auto"/>
              <w:outlineLvl w:val="9"/>
              <w:rPr>
                <w:rFonts w:ascii="Times New Roman" w:hAnsi="Times New Roman" w:eastAsia="宋体" w:cs="Times New Roman"/>
                <w:kern w:val="0"/>
                <w:szCs w:val="21"/>
              </w:rPr>
            </w:pPr>
            <w:r>
              <w:rPr>
                <w:rFonts w:hint="eastAsia" w:ascii="Times New Roman" w:hAnsi="Times New Roman" w:eastAsia="宋体" w:cs="Times New Roman"/>
                <w:kern w:val="0"/>
                <w:szCs w:val="21"/>
              </w:rPr>
              <w:t>台</w:t>
            </w:r>
          </w:p>
        </w:tc>
        <w:tc>
          <w:tcPr>
            <w:tcW w:w="1102" w:type="dxa"/>
            <w:vAlign w:val="center"/>
          </w:tcPr>
          <w:p>
            <w:pPr>
              <w:keepNext w:val="0"/>
              <w:keepLines w:val="0"/>
              <w:pageBreakBefore w:val="0"/>
              <w:kinsoku/>
              <w:wordWrap/>
              <w:overflowPunct/>
              <w:topLinePunct w:val="0"/>
              <w:autoSpaceDE/>
              <w:autoSpaceDN/>
              <w:bidi w:val="0"/>
              <w:adjustRightInd/>
              <w:snapToGrid/>
              <w:ind w:left="0" w:firstLine="0"/>
              <w:jc w:val="center"/>
              <w:textAlignment w:val="auto"/>
              <w:outlineLvl w:val="9"/>
              <w:rPr>
                <w:rFonts w:ascii="Times New Roman" w:hAnsi="Times New Roman" w:eastAsia="宋体" w:cs="Times New Roman"/>
                <w:kern w:val="0"/>
                <w:szCs w:val="21"/>
              </w:rPr>
            </w:pPr>
            <w:r>
              <w:rPr>
                <w:rFonts w:hint="eastAsia" w:ascii="Times New Roman" w:hAnsi="Times New Roman" w:eastAsia="宋体" w:cs="Times New Roman"/>
                <w:kern w:val="0"/>
                <w:szCs w:val="21"/>
              </w:rPr>
              <w:t>2</w:t>
            </w:r>
          </w:p>
        </w:tc>
        <w:tc>
          <w:tcPr>
            <w:tcW w:w="1102" w:type="dxa"/>
            <w:vAlign w:val="center"/>
          </w:tcPr>
          <w:p>
            <w:pPr>
              <w:keepNext w:val="0"/>
              <w:keepLines w:val="0"/>
              <w:pageBreakBefore w:val="0"/>
              <w:kinsoku/>
              <w:wordWrap/>
              <w:overflowPunct/>
              <w:topLinePunct w:val="0"/>
              <w:autoSpaceDE/>
              <w:autoSpaceDN/>
              <w:bidi w:val="0"/>
              <w:adjustRightInd/>
              <w:snapToGrid/>
              <w:ind w:left="0" w:firstLine="0"/>
              <w:jc w:val="center"/>
              <w:textAlignment w:val="auto"/>
              <w:outlineLvl w:val="9"/>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2</w:t>
            </w:r>
          </w:p>
        </w:tc>
        <w:tc>
          <w:tcPr>
            <w:tcW w:w="1237" w:type="dxa"/>
            <w:vAlign w:val="center"/>
          </w:tcPr>
          <w:p>
            <w:pPr>
              <w:keepNext w:val="0"/>
              <w:keepLines w:val="0"/>
              <w:pageBreakBefore w:val="0"/>
              <w:kinsoku/>
              <w:wordWrap/>
              <w:overflowPunct/>
              <w:topLinePunct w:val="0"/>
              <w:autoSpaceDE/>
              <w:autoSpaceDN/>
              <w:bidi w:val="0"/>
              <w:adjustRightInd/>
              <w:snapToGrid/>
              <w:ind w:left="0" w:firstLine="0"/>
              <w:jc w:val="center"/>
              <w:textAlignment w:val="auto"/>
              <w:outlineLvl w:val="9"/>
              <w:rPr>
                <w:rFonts w:ascii="Times New Roman" w:hAnsi="Times New Roman" w:eastAsia="宋体"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5" w:type="dxa"/>
            <w:vAlign w:val="center"/>
          </w:tcPr>
          <w:p>
            <w:pPr>
              <w:keepNext w:val="0"/>
              <w:keepLines w:val="0"/>
              <w:pageBreakBefore w:val="0"/>
              <w:kinsoku/>
              <w:wordWrap/>
              <w:overflowPunct/>
              <w:topLinePunct w:val="0"/>
              <w:autoSpaceDE/>
              <w:autoSpaceDN/>
              <w:bidi w:val="0"/>
              <w:adjustRightInd/>
              <w:snapToGrid/>
              <w:ind w:left="0" w:firstLine="0"/>
              <w:jc w:val="center"/>
              <w:textAlignment w:val="auto"/>
              <w:outlineLvl w:val="9"/>
              <w:rPr>
                <w:rFonts w:ascii="Times New Roman" w:hAnsi="Times New Roman" w:eastAsia="宋体" w:cs="Times New Roman"/>
                <w:kern w:val="0"/>
                <w:szCs w:val="21"/>
              </w:rPr>
            </w:pPr>
            <w:r>
              <w:rPr>
                <w:rFonts w:ascii="Times New Roman" w:hAnsi="Times New Roman" w:eastAsia="宋体" w:cs="Times New Roman"/>
                <w:kern w:val="0"/>
                <w:szCs w:val="21"/>
              </w:rPr>
              <w:t>3</w:t>
            </w:r>
          </w:p>
        </w:tc>
        <w:tc>
          <w:tcPr>
            <w:tcW w:w="1537" w:type="dxa"/>
            <w:vAlign w:val="center"/>
          </w:tcPr>
          <w:p>
            <w:pPr>
              <w:keepNext w:val="0"/>
              <w:keepLines w:val="0"/>
              <w:pageBreakBefore w:val="0"/>
              <w:kinsoku/>
              <w:wordWrap/>
              <w:overflowPunct/>
              <w:topLinePunct w:val="0"/>
              <w:autoSpaceDE/>
              <w:autoSpaceDN/>
              <w:bidi w:val="0"/>
              <w:adjustRightInd/>
              <w:snapToGrid/>
              <w:ind w:left="0" w:firstLine="0"/>
              <w:jc w:val="center"/>
              <w:textAlignment w:val="auto"/>
              <w:outlineLvl w:val="9"/>
              <w:rPr>
                <w:rFonts w:ascii="Times New Roman" w:hAnsi="Times New Roman" w:eastAsia="宋体" w:cs="Times New Roman"/>
                <w:kern w:val="0"/>
                <w:szCs w:val="21"/>
              </w:rPr>
            </w:pPr>
            <w:r>
              <w:rPr>
                <w:rFonts w:hint="eastAsia" w:ascii="Times New Roman" w:hAnsi="Times New Roman" w:eastAsia="宋体" w:cs="Times New Roman"/>
                <w:kern w:val="0"/>
                <w:szCs w:val="21"/>
              </w:rPr>
              <w:t>运输设备</w:t>
            </w:r>
          </w:p>
        </w:tc>
        <w:tc>
          <w:tcPr>
            <w:tcW w:w="2250" w:type="dxa"/>
            <w:vAlign w:val="center"/>
          </w:tcPr>
          <w:p>
            <w:pPr>
              <w:keepNext w:val="0"/>
              <w:keepLines w:val="0"/>
              <w:pageBreakBefore w:val="0"/>
              <w:kinsoku/>
              <w:wordWrap/>
              <w:overflowPunct/>
              <w:topLinePunct w:val="0"/>
              <w:autoSpaceDE/>
              <w:autoSpaceDN/>
              <w:bidi w:val="0"/>
              <w:adjustRightInd/>
              <w:snapToGrid/>
              <w:ind w:left="0" w:firstLine="0"/>
              <w:jc w:val="center"/>
              <w:textAlignment w:val="auto"/>
              <w:outlineLvl w:val="9"/>
              <w:rPr>
                <w:rFonts w:ascii="Times New Roman" w:hAnsi="Times New Roman" w:eastAsia="宋体" w:cs="Times New Roman"/>
                <w:kern w:val="0"/>
                <w:szCs w:val="21"/>
              </w:rPr>
            </w:pPr>
          </w:p>
        </w:tc>
        <w:tc>
          <w:tcPr>
            <w:tcW w:w="690" w:type="dxa"/>
            <w:vAlign w:val="center"/>
          </w:tcPr>
          <w:p>
            <w:pPr>
              <w:keepNext w:val="0"/>
              <w:keepLines w:val="0"/>
              <w:pageBreakBefore w:val="0"/>
              <w:kinsoku/>
              <w:wordWrap/>
              <w:overflowPunct/>
              <w:topLinePunct w:val="0"/>
              <w:autoSpaceDE/>
              <w:autoSpaceDN/>
              <w:bidi w:val="0"/>
              <w:adjustRightInd/>
              <w:snapToGrid/>
              <w:ind w:left="0" w:firstLine="0"/>
              <w:jc w:val="center"/>
              <w:textAlignment w:val="auto"/>
              <w:outlineLvl w:val="9"/>
              <w:rPr>
                <w:rFonts w:ascii="Times New Roman" w:hAnsi="Times New Roman" w:eastAsia="宋体" w:cs="Times New Roman"/>
                <w:kern w:val="0"/>
                <w:szCs w:val="21"/>
              </w:rPr>
            </w:pPr>
          </w:p>
        </w:tc>
        <w:tc>
          <w:tcPr>
            <w:tcW w:w="1102" w:type="dxa"/>
            <w:vAlign w:val="center"/>
          </w:tcPr>
          <w:p>
            <w:pPr>
              <w:keepNext w:val="0"/>
              <w:keepLines w:val="0"/>
              <w:pageBreakBefore w:val="0"/>
              <w:kinsoku/>
              <w:wordWrap/>
              <w:overflowPunct/>
              <w:topLinePunct w:val="0"/>
              <w:autoSpaceDE/>
              <w:autoSpaceDN/>
              <w:bidi w:val="0"/>
              <w:adjustRightInd/>
              <w:snapToGrid/>
              <w:ind w:left="0" w:firstLine="0"/>
              <w:jc w:val="center"/>
              <w:textAlignment w:val="auto"/>
              <w:outlineLvl w:val="9"/>
              <w:rPr>
                <w:rFonts w:ascii="Times New Roman" w:hAnsi="Times New Roman" w:eastAsia="宋体" w:cs="Times New Roman"/>
                <w:kern w:val="0"/>
                <w:szCs w:val="21"/>
              </w:rPr>
            </w:pPr>
          </w:p>
        </w:tc>
        <w:tc>
          <w:tcPr>
            <w:tcW w:w="1102" w:type="dxa"/>
            <w:vAlign w:val="center"/>
          </w:tcPr>
          <w:p>
            <w:pPr>
              <w:keepNext w:val="0"/>
              <w:keepLines w:val="0"/>
              <w:pageBreakBefore w:val="0"/>
              <w:kinsoku/>
              <w:wordWrap/>
              <w:overflowPunct/>
              <w:topLinePunct w:val="0"/>
              <w:autoSpaceDE/>
              <w:autoSpaceDN/>
              <w:bidi w:val="0"/>
              <w:adjustRightInd/>
              <w:snapToGrid/>
              <w:ind w:left="0" w:firstLine="0"/>
              <w:jc w:val="center"/>
              <w:textAlignment w:val="auto"/>
              <w:outlineLvl w:val="9"/>
              <w:rPr>
                <w:rFonts w:ascii="Times New Roman" w:hAnsi="Times New Roman" w:eastAsia="宋体" w:cs="Times New Roman"/>
                <w:kern w:val="0"/>
                <w:szCs w:val="21"/>
              </w:rPr>
            </w:pPr>
          </w:p>
        </w:tc>
        <w:tc>
          <w:tcPr>
            <w:tcW w:w="1237" w:type="dxa"/>
            <w:vAlign w:val="center"/>
          </w:tcPr>
          <w:p>
            <w:pPr>
              <w:keepNext w:val="0"/>
              <w:keepLines w:val="0"/>
              <w:pageBreakBefore w:val="0"/>
              <w:kinsoku/>
              <w:wordWrap/>
              <w:overflowPunct/>
              <w:topLinePunct w:val="0"/>
              <w:autoSpaceDE/>
              <w:autoSpaceDN/>
              <w:bidi w:val="0"/>
              <w:adjustRightInd/>
              <w:snapToGrid/>
              <w:ind w:left="0" w:firstLine="0"/>
              <w:jc w:val="center"/>
              <w:textAlignment w:val="auto"/>
              <w:outlineLvl w:val="9"/>
              <w:rPr>
                <w:rFonts w:ascii="Times New Roman" w:hAnsi="Times New Roman" w:eastAsia="宋体"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5" w:type="dxa"/>
            <w:vAlign w:val="center"/>
          </w:tcPr>
          <w:p>
            <w:pPr>
              <w:keepNext w:val="0"/>
              <w:keepLines w:val="0"/>
              <w:pageBreakBefore w:val="0"/>
              <w:kinsoku/>
              <w:wordWrap/>
              <w:overflowPunct/>
              <w:topLinePunct w:val="0"/>
              <w:autoSpaceDE/>
              <w:autoSpaceDN/>
              <w:bidi w:val="0"/>
              <w:adjustRightInd/>
              <w:snapToGrid/>
              <w:ind w:left="0" w:firstLine="0"/>
              <w:jc w:val="center"/>
              <w:textAlignment w:val="auto"/>
              <w:outlineLvl w:val="9"/>
              <w:rPr>
                <w:rFonts w:ascii="Times New Roman" w:hAnsi="Times New Roman" w:eastAsia="宋体" w:cs="Times New Roman"/>
                <w:kern w:val="0"/>
                <w:szCs w:val="21"/>
              </w:rPr>
            </w:pPr>
          </w:p>
        </w:tc>
        <w:tc>
          <w:tcPr>
            <w:tcW w:w="1537" w:type="dxa"/>
            <w:vMerge w:val="restart"/>
            <w:vAlign w:val="center"/>
          </w:tcPr>
          <w:p>
            <w:pPr>
              <w:keepNext w:val="0"/>
              <w:keepLines w:val="0"/>
              <w:pageBreakBefore w:val="0"/>
              <w:kinsoku/>
              <w:wordWrap/>
              <w:overflowPunct/>
              <w:topLinePunct w:val="0"/>
              <w:autoSpaceDE/>
              <w:autoSpaceDN/>
              <w:bidi w:val="0"/>
              <w:adjustRightInd/>
              <w:snapToGrid/>
              <w:ind w:left="0" w:firstLine="0"/>
              <w:jc w:val="center"/>
              <w:textAlignment w:val="auto"/>
              <w:outlineLvl w:val="9"/>
              <w:rPr>
                <w:rFonts w:ascii="Times New Roman" w:hAnsi="Times New Roman" w:eastAsia="宋体" w:cs="Times New Roman"/>
                <w:kern w:val="0"/>
                <w:szCs w:val="21"/>
              </w:rPr>
            </w:pPr>
            <w:r>
              <w:rPr>
                <w:rFonts w:hint="eastAsia" w:ascii="Times New Roman" w:hAnsi="Times New Roman" w:eastAsia="宋体" w:cs="Times New Roman"/>
                <w:kern w:val="0"/>
                <w:szCs w:val="21"/>
              </w:rPr>
              <w:t>矿用自卸汽车</w:t>
            </w:r>
          </w:p>
        </w:tc>
        <w:tc>
          <w:tcPr>
            <w:tcW w:w="2250" w:type="dxa"/>
            <w:vAlign w:val="center"/>
          </w:tcPr>
          <w:p>
            <w:pPr>
              <w:keepNext w:val="0"/>
              <w:keepLines w:val="0"/>
              <w:pageBreakBefore w:val="0"/>
              <w:kinsoku/>
              <w:wordWrap/>
              <w:overflowPunct/>
              <w:topLinePunct w:val="0"/>
              <w:autoSpaceDE/>
              <w:autoSpaceDN/>
              <w:bidi w:val="0"/>
              <w:adjustRightInd/>
              <w:snapToGrid/>
              <w:ind w:left="0" w:firstLine="0"/>
              <w:jc w:val="center"/>
              <w:textAlignment w:val="auto"/>
              <w:outlineLvl w:val="9"/>
              <w:rPr>
                <w:rFonts w:ascii="Times New Roman" w:hAnsi="Times New Roman" w:eastAsia="宋体" w:cs="Times New Roman"/>
                <w:kern w:val="0"/>
                <w:szCs w:val="21"/>
              </w:rPr>
            </w:pPr>
            <w:r>
              <w:rPr>
                <w:rFonts w:hint="eastAsia" w:ascii="Times New Roman" w:hAnsi="Times New Roman" w:eastAsia="宋体" w:cs="Times New Roman"/>
                <w:kern w:val="0"/>
                <w:szCs w:val="21"/>
              </w:rPr>
              <w:t>1</w:t>
            </w:r>
            <w:r>
              <w:rPr>
                <w:rFonts w:ascii="Times New Roman" w:hAnsi="Times New Roman" w:eastAsia="宋体" w:cs="Times New Roman"/>
                <w:kern w:val="0"/>
                <w:szCs w:val="21"/>
              </w:rPr>
              <w:t>0</w:t>
            </w:r>
            <w:r>
              <w:rPr>
                <w:rFonts w:hint="eastAsia" w:ascii="Times New Roman" w:hAnsi="Times New Roman" w:eastAsia="宋体" w:cs="Times New Roman"/>
                <w:kern w:val="0"/>
                <w:szCs w:val="21"/>
              </w:rPr>
              <w:t>t</w:t>
            </w:r>
          </w:p>
        </w:tc>
        <w:tc>
          <w:tcPr>
            <w:tcW w:w="690" w:type="dxa"/>
            <w:vAlign w:val="center"/>
          </w:tcPr>
          <w:p>
            <w:pPr>
              <w:keepNext w:val="0"/>
              <w:keepLines w:val="0"/>
              <w:pageBreakBefore w:val="0"/>
              <w:kinsoku/>
              <w:wordWrap/>
              <w:overflowPunct/>
              <w:topLinePunct w:val="0"/>
              <w:autoSpaceDE/>
              <w:autoSpaceDN/>
              <w:bidi w:val="0"/>
              <w:adjustRightInd/>
              <w:snapToGrid/>
              <w:ind w:left="0" w:firstLine="0"/>
              <w:jc w:val="center"/>
              <w:textAlignment w:val="auto"/>
              <w:outlineLvl w:val="9"/>
              <w:rPr>
                <w:rFonts w:ascii="Times New Roman" w:hAnsi="Times New Roman" w:eastAsia="宋体" w:cs="Times New Roman"/>
                <w:kern w:val="0"/>
                <w:szCs w:val="21"/>
              </w:rPr>
            </w:pPr>
          </w:p>
        </w:tc>
        <w:tc>
          <w:tcPr>
            <w:tcW w:w="1102" w:type="dxa"/>
            <w:vAlign w:val="center"/>
          </w:tcPr>
          <w:p>
            <w:pPr>
              <w:keepNext w:val="0"/>
              <w:keepLines w:val="0"/>
              <w:pageBreakBefore w:val="0"/>
              <w:kinsoku/>
              <w:wordWrap/>
              <w:overflowPunct/>
              <w:topLinePunct w:val="0"/>
              <w:autoSpaceDE/>
              <w:autoSpaceDN/>
              <w:bidi w:val="0"/>
              <w:adjustRightInd/>
              <w:snapToGrid/>
              <w:ind w:left="0" w:firstLine="0"/>
              <w:jc w:val="center"/>
              <w:textAlignment w:val="auto"/>
              <w:outlineLvl w:val="9"/>
              <w:rPr>
                <w:rFonts w:ascii="Times New Roman" w:hAnsi="Times New Roman" w:eastAsia="宋体" w:cs="Times New Roman"/>
                <w:kern w:val="0"/>
                <w:szCs w:val="21"/>
              </w:rPr>
            </w:pPr>
            <w:r>
              <w:rPr>
                <w:rFonts w:hint="eastAsia" w:ascii="Times New Roman" w:hAnsi="Times New Roman" w:eastAsia="宋体" w:cs="Times New Roman"/>
                <w:kern w:val="0"/>
                <w:szCs w:val="21"/>
              </w:rPr>
              <w:t>5</w:t>
            </w:r>
          </w:p>
        </w:tc>
        <w:tc>
          <w:tcPr>
            <w:tcW w:w="1102" w:type="dxa"/>
            <w:vAlign w:val="center"/>
          </w:tcPr>
          <w:p>
            <w:pPr>
              <w:keepNext w:val="0"/>
              <w:keepLines w:val="0"/>
              <w:pageBreakBefore w:val="0"/>
              <w:kinsoku/>
              <w:wordWrap/>
              <w:overflowPunct/>
              <w:topLinePunct w:val="0"/>
              <w:autoSpaceDE/>
              <w:autoSpaceDN/>
              <w:bidi w:val="0"/>
              <w:adjustRightInd/>
              <w:snapToGrid/>
              <w:ind w:left="0" w:firstLine="0"/>
              <w:jc w:val="center"/>
              <w:textAlignment w:val="auto"/>
              <w:outlineLvl w:val="9"/>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5</w:t>
            </w:r>
          </w:p>
        </w:tc>
        <w:tc>
          <w:tcPr>
            <w:tcW w:w="1237" w:type="dxa"/>
            <w:vAlign w:val="center"/>
          </w:tcPr>
          <w:p>
            <w:pPr>
              <w:keepNext w:val="0"/>
              <w:keepLines w:val="0"/>
              <w:pageBreakBefore w:val="0"/>
              <w:kinsoku/>
              <w:wordWrap/>
              <w:overflowPunct/>
              <w:topLinePunct w:val="0"/>
              <w:autoSpaceDE/>
              <w:autoSpaceDN/>
              <w:bidi w:val="0"/>
              <w:adjustRightInd/>
              <w:snapToGrid/>
              <w:ind w:left="0" w:firstLine="0"/>
              <w:jc w:val="center"/>
              <w:textAlignment w:val="auto"/>
              <w:outlineLvl w:val="9"/>
              <w:rPr>
                <w:rFonts w:ascii="Times New Roman" w:hAnsi="Times New Roman" w:eastAsia="宋体" w:cs="Times New Roman"/>
                <w:kern w:val="0"/>
                <w:szCs w:val="21"/>
              </w:rPr>
            </w:pPr>
            <w:r>
              <w:rPr>
                <w:rFonts w:hint="eastAsia" w:ascii="Times New Roman" w:hAnsi="Times New Roman" w:eastAsia="宋体" w:cs="Times New Roman"/>
                <w:kern w:val="0"/>
                <w:szCs w:val="21"/>
              </w:rPr>
              <w:t>运输矿石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5" w:type="dxa"/>
            <w:vAlign w:val="center"/>
          </w:tcPr>
          <w:p>
            <w:pPr>
              <w:keepNext w:val="0"/>
              <w:keepLines w:val="0"/>
              <w:pageBreakBefore w:val="0"/>
              <w:kinsoku/>
              <w:wordWrap/>
              <w:overflowPunct/>
              <w:topLinePunct w:val="0"/>
              <w:autoSpaceDE/>
              <w:autoSpaceDN/>
              <w:bidi w:val="0"/>
              <w:adjustRightInd/>
              <w:snapToGrid/>
              <w:ind w:left="0" w:firstLine="0"/>
              <w:jc w:val="center"/>
              <w:textAlignment w:val="auto"/>
              <w:outlineLvl w:val="9"/>
              <w:rPr>
                <w:rFonts w:ascii="Times New Roman" w:hAnsi="Times New Roman" w:eastAsia="宋体" w:cs="Times New Roman"/>
                <w:kern w:val="0"/>
                <w:szCs w:val="21"/>
              </w:rPr>
            </w:pPr>
          </w:p>
        </w:tc>
        <w:tc>
          <w:tcPr>
            <w:tcW w:w="1537" w:type="dxa"/>
            <w:vMerge w:val="continue"/>
            <w:vAlign w:val="center"/>
          </w:tcPr>
          <w:p>
            <w:pPr>
              <w:keepNext w:val="0"/>
              <w:keepLines w:val="0"/>
              <w:pageBreakBefore w:val="0"/>
              <w:kinsoku/>
              <w:wordWrap/>
              <w:overflowPunct/>
              <w:topLinePunct w:val="0"/>
              <w:autoSpaceDE/>
              <w:autoSpaceDN/>
              <w:bidi w:val="0"/>
              <w:adjustRightInd/>
              <w:snapToGrid/>
              <w:ind w:left="0" w:firstLine="0"/>
              <w:jc w:val="center"/>
              <w:textAlignment w:val="auto"/>
              <w:outlineLvl w:val="9"/>
              <w:rPr>
                <w:rFonts w:ascii="Times New Roman" w:hAnsi="Times New Roman" w:eastAsia="宋体" w:cs="Times New Roman"/>
                <w:kern w:val="0"/>
                <w:szCs w:val="21"/>
              </w:rPr>
            </w:pPr>
          </w:p>
        </w:tc>
        <w:tc>
          <w:tcPr>
            <w:tcW w:w="2250" w:type="dxa"/>
            <w:vAlign w:val="center"/>
          </w:tcPr>
          <w:p>
            <w:pPr>
              <w:keepNext w:val="0"/>
              <w:keepLines w:val="0"/>
              <w:pageBreakBefore w:val="0"/>
              <w:kinsoku/>
              <w:wordWrap/>
              <w:overflowPunct/>
              <w:topLinePunct w:val="0"/>
              <w:autoSpaceDE/>
              <w:autoSpaceDN/>
              <w:bidi w:val="0"/>
              <w:adjustRightInd/>
              <w:snapToGrid/>
              <w:ind w:left="0" w:firstLine="0"/>
              <w:jc w:val="center"/>
              <w:textAlignment w:val="auto"/>
              <w:outlineLvl w:val="9"/>
              <w:rPr>
                <w:rFonts w:ascii="Times New Roman" w:hAnsi="Times New Roman" w:eastAsia="宋体" w:cs="Times New Roman"/>
                <w:kern w:val="0"/>
                <w:szCs w:val="21"/>
              </w:rPr>
            </w:pPr>
            <w:r>
              <w:rPr>
                <w:rFonts w:hint="eastAsia" w:ascii="Times New Roman" w:hAnsi="Times New Roman" w:eastAsia="宋体" w:cs="Times New Roman"/>
                <w:kern w:val="0"/>
                <w:szCs w:val="21"/>
              </w:rPr>
              <w:t>2</w:t>
            </w:r>
            <w:r>
              <w:rPr>
                <w:rFonts w:ascii="Times New Roman" w:hAnsi="Times New Roman" w:eastAsia="宋体" w:cs="Times New Roman"/>
                <w:kern w:val="0"/>
                <w:szCs w:val="21"/>
              </w:rPr>
              <w:t>0</w:t>
            </w:r>
            <w:r>
              <w:rPr>
                <w:rFonts w:hint="eastAsia" w:ascii="Times New Roman" w:hAnsi="Times New Roman" w:eastAsia="宋体" w:cs="Times New Roman"/>
                <w:kern w:val="0"/>
                <w:szCs w:val="21"/>
              </w:rPr>
              <w:t>t</w:t>
            </w:r>
          </w:p>
        </w:tc>
        <w:tc>
          <w:tcPr>
            <w:tcW w:w="690" w:type="dxa"/>
            <w:vAlign w:val="center"/>
          </w:tcPr>
          <w:p>
            <w:pPr>
              <w:keepNext w:val="0"/>
              <w:keepLines w:val="0"/>
              <w:pageBreakBefore w:val="0"/>
              <w:kinsoku/>
              <w:wordWrap/>
              <w:overflowPunct/>
              <w:topLinePunct w:val="0"/>
              <w:autoSpaceDE/>
              <w:autoSpaceDN/>
              <w:bidi w:val="0"/>
              <w:adjustRightInd/>
              <w:snapToGrid/>
              <w:ind w:left="0" w:firstLine="0"/>
              <w:jc w:val="center"/>
              <w:textAlignment w:val="auto"/>
              <w:outlineLvl w:val="9"/>
              <w:rPr>
                <w:rFonts w:ascii="Times New Roman" w:hAnsi="Times New Roman" w:eastAsia="宋体" w:cs="Times New Roman"/>
                <w:kern w:val="0"/>
                <w:szCs w:val="21"/>
              </w:rPr>
            </w:pPr>
          </w:p>
        </w:tc>
        <w:tc>
          <w:tcPr>
            <w:tcW w:w="1102" w:type="dxa"/>
            <w:vAlign w:val="center"/>
          </w:tcPr>
          <w:p>
            <w:pPr>
              <w:keepNext w:val="0"/>
              <w:keepLines w:val="0"/>
              <w:pageBreakBefore w:val="0"/>
              <w:kinsoku/>
              <w:wordWrap/>
              <w:overflowPunct/>
              <w:topLinePunct w:val="0"/>
              <w:autoSpaceDE/>
              <w:autoSpaceDN/>
              <w:bidi w:val="0"/>
              <w:adjustRightInd/>
              <w:snapToGrid/>
              <w:ind w:left="0" w:firstLine="0"/>
              <w:jc w:val="center"/>
              <w:textAlignment w:val="auto"/>
              <w:outlineLvl w:val="9"/>
              <w:rPr>
                <w:rFonts w:ascii="Times New Roman" w:hAnsi="Times New Roman" w:eastAsia="宋体" w:cs="Times New Roman"/>
                <w:kern w:val="0"/>
                <w:szCs w:val="21"/>
              </w:rPr>
            </w:pPr>
            <w:r>
              <w:rPr>
                <w:rFonts w:hint="eastAsia" w:ascii="Times New Roman" w:hAnsi="Times New Roman" w:eastAsia="宋体" w:cs="Times New Roman"/>
                <w:kern w:val="0"/>
                <w:szCs w:val="21"/>
              </w:rPr>
              <w:t>5</w:t>
            </w:r>
          </w:p>
        </w:tc>
        <w:tc>
          <w:tcPr>
            <w:tcW w:w="1102" w:type="dxa"/>
            <w:vAlign w:val="center"/>
          </w:tcPr>
          <w:p>
            <w:pPr>
              <w:keepNext w:val="0"/>
              <w:keepLines w:val="0"/>
              <w:pageBreakBefore w:val="0"/>
              <w:kinsoku/>
              <w:wordWrap/>
              <w:overflowPunct/>
              <w:topLinePunct w:val="0"/>
              <w:autoSpaceDE/>
              <w:autoSpaceDN/>
              <w:bidi w:val="0"/>
              <w:adjustRightInd/>
              <w:snapToGrid/>
              <w:ind w:left="0" w:firstLine="0"/>
              <w:jc w:val="center"/>
              <w:textAlignment w:val="auto"/>
              <w:outlineLvl w:val="9"/>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5</w:t>
            </w:r>
          </w:p>
        </w:tc>
        <w:tc>
          <w:tcPr>
            <w:tcW w:w="1237" w:type="dxa"/>
            <w:vAlign w:val="center"/>
          </w:tcPr>
          <w:p>
            <w:pPr>
              <w:keepNext w:val="0"/>
              <w:keepLines w:val="0"/>
              <w:pageBreakBefore w:val="0"/>
              <w:kinsoku/>
              <w:wordWrap/>
              <w:overflowPunct/>
              <w:topLinePunct w:val="0"/>
              <w:autoSpaceDE/>
              <w:autoSpaceDN/>
              <w:bidi w:val="0"/>
              <w:adjustRightInd/>
              <w:snapToGrid/>
              <w:ind w:left="0" w:firstLine="0"/>
              <w:jc w:val="center"/>
              <w:textAlignment w:val="auto"/>
              <w:outlineLvl w:val="9"/>
              <w:rPr>
                <w:rFonts w:ascii="Times New Roman" w:hAnsi="Times New Roman" w:eastAsia="宋体" w:cs="Times New Roman"/>
                <w:kern w:val="0"/>
                <w:szCs w:val="21"/>
              </w:rPr>
            </w:pPr>
            <w:r>
              <w:rPr>
                <w:rFonts w:hint="eastAsia" w:ascii="Times New Roman" w:hAnsi="Times New Roman" w:eastAsia="宋体" w:cs="Times New Roman"/>
                <w:kern w:val="0"/>
                <w:szCs w:val="21"/>
              </w:rPr>
              <w:t>运输废石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5" w:type="dxa"/>
            <w:vAlign w:val="center"/>
          </w:tcPr>
          <w:p>
            <w:pPr>
              <w:keepNext w:val="0"/>
              <w:keepLines w:val="0"/>
              <w:pageBreakBefore w:val="0"/>
              <w:kinsoku/>
              <w:wordWrap/>
              <w:overflowPunct/>
              <w:topLinePunct w:val="0"/>
              <w:autoSpaceDE/>
              <w:autoSpaceDN/>
              <w:bidi w:val="0"/>
              <w:adjustRightInd/>
              <w:snapToGrid/>
              <w:ind w:left="0" w:firstLine="0"/>
              <w:jc w:val="center"/>
              <w:textAlignment w:val="auto"/>
              <w:outlineLvl w:val="9"/>
              <w:rPr>
                <w:rFonts w:ascii="Times New Roman" w:hAnsi="Times New Roman" w:eastAsia="宋体" w:cs="Times New Roman"/>
                <w:kern w:val="0"/>
                <w:szCs w:val="21"/>
              </w:rPr>
            </w:pPr>
            <w:r>
              <w:rPr>
                <w:rFonts w:ascii="Times New Roman" w:hAnsi="Times New Roman" w:eastAsia="宋体" w:cs="Times New Roman"/>
                <w:kern w:val="0"/>
                <w:szCs w:val="21"/>
              </w:rPr>
              <w:t>4</w:t>
            </w:r>
          </w:p>
        </w:tc>
        <w:tc>
          <w:tcPr>
            <w:tcW w:w="1537" w:type="dxa"/>
            <w:vAlign w:val="center"/>
          </w:tcPr>
          <w:p>
            <w:pPr>
              <w:keepNext w:val="0"/>
              <w:keepLines w:val="0"/>
              <w:pageBreakBefore w:val="0"/>
              <w:kinsoku/>
              <w:wordWrap/>
              <w:overflowPunct/>
              <w:topLinePunct w:val="0"/>
              <w:autoSpaceDE/>
              <w:autoSpaceDN/>
              <w:bidi w:val="0"/>
              <w:adjustRightInd/>
              <w:snapToGrid/>
              <w:ind w:left="0" w:firstLine="0"/>
              <w:jc w:val="center"/>
              <w:textAlignment w:val="auto"/>
              <w:outlineLvl w:val="9"/>
              <w:rPr>
                <w:rFonts w:ascii="Times New Roman" w:hAnsi="Times New Roman" w:eastAsia="宋体" w:cs="Times New Roman"/>
                <w:kern w:val="0"/>
                <w:szCs w:val="21"/>
              </w:rPr>
            </w:pPr>
            <w:r>
              <w:rPr>
                <w:rFonts w:hint="eastAsia" w:ascii="Times New Roman" w:hAnsi="Times New Roman" w:eastAsia="宋体" w:cs="Times New Roman"/>
                <w:kern w:val="0"/>
                <w:szCs w:val="21"/>
              </w:rPr>
              <w:t>辅助设备</w:t>
            </w:r>
          </w:p>
        </w:tc>
        <w:tc>
          <w:tcPr>
            <w:tcW w:w="2250" w:type="dxa"/>
            <w:vAlign w:val="center"/>
          </w:tcPr>
          <w:p>
            <w:pPr>
              <w:keepNext w:val="0"/>
              <w:keepLines w:val="0"/>
              <w:pageBreakBefore w:val="0"/>
              <w:kinsoku/>
              <w:wordWrap/>
              <w:overflowPunct/>
              <w:topLinePunct w:val="0"/>
              <w:autoSpaceDE/>
              <w:autoSpaceDN/>
              <w:bidi w:val="0"/>
              <w:adjustRightInd/>
              <w:snapToGrid/>
              <w:ind w:left="0" w:firstLine="0"/>
              <w:jc w:val="center"/>
              <w:textAlignment w:val="auto"/>
              <w:outlineLvl w:val="9"/>
              <w:rPr>
                <w:rFonts w:ascii="Times New Roman" w:hAnsi="Times New Roman" w:eastAsia="宋体" w:cs="Times New Roman"/>
                <w:kern w:val="0"/>
                <w:szCs w:val="21"/>
              </w:rPr>
            </w:pPr>
          </w:p>
        </w:tc>
        <w:tc>
          <w:tcPr>
            <w:tcW w:w="690" w:type="dxa"/>
            <w:vAlign w:val="center"/>
          </w:tcPr>
          <w:p>
            <w:pPr>
              <w:keepNext w:val="0"/>
              <w:keepLines w:val="0"/>
              <w:pageBreakBefore w:val="0"/>
              <w:kinsoku/>
              <w:wordWrap/>
              <w:overflowPunct/>
              <w:topLinePunct w:val="0"/>
              <w:autoSpaceDE/>
              <w:autoSpaceDN/>
              <w:bidi w:val="0"/>
              <w:adjustRightInd/>
              <w:snapToGrid/>
              <w:ind w:left="0" w:firstLine="0"/>
              <w:jc w:val="center"/>
              <w:textAlignment w:val="auto"/>
              <w:outlineLvl w:val="9"/>
              <w:rPr>
                <w:rFonts w:ascii="Times New Roman" w:hAnsi="Times New Roman" w:eastAsia="宋体" w:cs="Times New Roman"/>
                <w:kern w:val="0"/>
                <w:szCs w:val="21"/>
              </w:rPr>
            </w:pPr>
          </w:p>
        </w:tc>
        <w:tc>
          <w:tcPr>
            <w:tcW w:w="1102" w:type="dxa"/>
            <w:vAlign w:val="center"/>
          </w:tcPr>
          <w:p>
            <w:pPr>
              <w:keepNext w:val="0"/>
              <w:keepLines w:val="0"/>
              <w:pageBreakBefore w:val="0"/>
              <w:kinsoku/>
              <w:wordWrap/>
              <w:overflowPunct/>
              <w:topLinePunct w:val="0"/>
              <w:autoSpaceDE/>
              <w:autoSpaceDN/>
              <w:bidi w:val="0"/>
              <w:adjustRightInd/>
              <w:snapToGrid/>
              <w:ind w:left="0" w:firstLine="0"/>
              <w:jc w:val="center"/>
              <w:textAlignment w:val="auto"/>
              <w:outlineLvl w:val="9"/>
              <w:rPr>
                <w:rFonts w:ascii="Times New Roman" w:hAnsi="Times New Roman" w:eastAsia="宋体" w:cs="Times New Roman"/>
                <w:kern w:val="0"/>
                <w:szCs w:val="21"/>
              </w:rPr>
            </w:pPr>
          </w:p>
        </w:tc>
        <w:tc>
          <w:tcPr>
            <w:tcW w:w="1102" w:type="dxa"/>
            <w:vAlign w:val="center"/>
          </w:tcPr>
          <w:p>
            <w:pPr>
              <w:keepNext w:val="0"/>
              <w:keepLines w:val="0"/>
              <w:pageBreakBefore w:val="0"/>
              <w:kinsoku/>
              <w:wordWrap/>
              <w:overflowPunct/>
              <w:topLinePunct w:val="0"/>
              <w:autoSpaceDE/>
              <w:autoSpaceDN/>
              <w:bidi w:val="0"/>
              <w:adjustRightInd/>
              <w:snapToGrid/>
              <w:ind w:left="0" w:firstLine="0"/>
              <w:jc w:val="center"/>
              <w:textAlignment w:val="auto"/>
              <w:outlineLvl w:val="9"/>
              <w:rPr>
                <w:rFonts w:ascii="Times New Roman" w:hAnsi="Times New Roman" w:eastAsia="宋体" w:cs="Times New Roman"/>
                <w:kern w:val="0"/>
                <w:szCs w:val="21"/>
              </w:rPr>
            </w:pPr>
          </w:p>
        </w:tc>
        <w:tc>
          <w:tcPr>
            <w:tcW w:w="1237" w:type="dxa"/>
            <w:vAlign w:val="center"/>
          </w:tcPr>
          <w:p>
            <w:pPr>
              <w:keepNext w:val="0"/>
              <w:keepLines w:val="0"/>
              <w:pageBreakBefore w:val="0"/>
              <w:kinsoku/>
              <w:wordWrap/>
              <w:overflowPunct/>
              <w:topLinePunct w:val="0"/>
              <w:autoSpaceDE/>
              <w:autoSpaceDN/>
              <w:bidi w:val="0"/>
              <w:adjustRightInd/>
              <w:snapToGrid/>
              <w:ind w:left="0" w:firstLine="0"/>
              <w:jc w:val="center"/>
              <w:textAlignment w:val="auto"/>
              <w:outlineLvl w:val="9"/>
              <w:rPr>
                <w:rFonts w:ascii="Times New Roman" w:hAnsi="Times New Roman" w:eastAsia="宋体"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615" w:type="dxa"/>
            <w:vAlign w:val="center"/>
          </w:tcPr>
          <w:p>
            <w:pPr>
              <w:keepNext w:val="0"/>
              <w:keepLines w:val="0"/>
              <w:pageBreakBefore w:val="0"/>
              <w:kinsoku/>
              <w:wordWrap/>
              <w:overflowPunct/>
              <w:topLinePunct w:val="0"/>
              <w:autoSpaceDE/>
              <w:autoSpaceDN/>
              <w:bidi w:val="0"/>
              <w:adjustRightInd/>
              <w:snapToGrid/>
              <w:ind w:left="0" w:firstLine="0"/>
              <w:jc w:val="center"/>
              <w:textAlignment w:val="auto"/>
              <w:outlineLvl w:val="9"/>
              <w:rPr>
                <w:rFonts w:ascii="Times New Roman" w:hAnsi="Times New Roman" w:eastAsia="宋体" w:cs="Times New Roman"/>
                <w:kern w:val="0"/>
                <w:szCs w:val="21"/>
              </w:rPr>
            </w:pPr>
          </w:p>
        </w:tc>
        <w:tc>
          <w:tcPr>
            <w:tcW w:w="1537" w:type="dxa"/>
            <w:vAlign w:val="center"/>
          </w:tcPr>
          <w:p>
            <w:pPr>
              <w:keepNext w:val="0"/>
              <w:keepLines w:val="0"/>
              <w:pageBreakBefore w:val="0"/>
              <w:kinsoku/>
              <w:wordWrap/>
              <w:overflowPunct/>
              <w:topLinePunct w:val="0"/>
              <w:autoSpaceDE/>
              <w:autoSpaceDN/>
              <w:bidi w:val="0"/>
              <w:adjustRightInd/>
              <w:snapToGrid/>
              <w:ind w:left="0" w:firstLine="0"/>
              <w:jc w:val="center"/>
              <w:textAlignment w:val="auto"/>
              <w:outlineLvl w:val="9"/>
              <w:rPr>
                <w:rFonts w:ascii="Times New Roman" w:hAnsi="Times New Roman" w:eastAsia="宋体" w:cs="Times New Roman"/>
                <w:kern w:val="0"/>
                <w:szCs w:val="21"/>
              </w:rPr>
            </w:pPr>
            <w:r>
              <w:rPr>
                <w:rFonts w:hint="eastAsia" w:ascii="Times New Roman" w:hAnsi="Times New Roman" w:eastAsia="宋体" w:cs="Times New Roman"/>
                <w:kern w:val="0"/>
                <w:szCs w:val="21"/>
              </w:rPr>
              <w:t>推土机</w:t>
            </w:r>
          </w:p>
        </w:tc>
        <w:tc>
          <w:tcPr>
            <w:tcW w:w="2250" w:type="dxa"/>
            <w:vAlign w:val="center"/>
          </w:tcPr>
          <w:p>
            <w:pPr>
              <w:keepNext w:val="0"/>
              <w:keepLines w:val="0"/>
              <w:pageBreakBefore w:val="0"/>
              <w:kinsoku/>
              <w:wordWrap/>
              <w:overflowPunct/>
              <w:topLinePunct w:val="0"/>
              <w:autoSpaceDE/>
              <w:autoSpaceDN/>
              <w:bidi w:val="0"/>
              <w:adjustRightInd/>
              <w:snapToGrid/>
              <w:ind w:left="0" w:firstLine="0"/>
              <w:jc w:val="center"/>
              <w:textAlignment w:val="auto"/>
              <w:outlineLvl w:val="9"/>
              <w:rPr>
                <w:rFonts w:ascii="Times New Roman" w:hAnsi="Times New Roman" w:eastAsia="宋体" w:cs="Times New Roman"/>
                <w:kern w:val="0"/>
                <w:szCs w:val="21"/>
              </w:rPr>
            </w:pPr>
            <w:r>
              <w:rPr>
                <w:rFonts w:hint="eastAsia" w:ascii="Times New Roman" w:hAnsi="Times New Roman" w:eastAsia="宋体" w:cs="Times New Roman"/>
                <w:kern w:val="0"/>
                <w:szCs w:val="21"/>
              </w:rPr>
              <w:t>T</w:t>
            </w:r>
            <w:r>
              <w:rPr>
                <w:rFonts w:ascii="Times New Roman" w:hAnsi="Times New Roman" w:eastAsia="宋体" w:cs="Times New Roman"/>
                <w:kern w:val="0"/>
                <w:szCs w:val="21"/>
              </w:rPr>
              <w:t>Y320</w:t>
            </w:r>
          </w:p>
        </w:tc>
        <w:tc>
          <w:tcPr>
            <w:tcW w:w="690" w:type="dxa"/>
            <w:vAlign w:val="center"/>
          </w:tcPr>
          <w:p>
            <w:pPr>
              <w:keepNext w:val="0"/>
              <w:keepLines w:val="0"/>
              <w:pageBreakBefore w:val="0"/>
              <w:kinsoku/>
              <w:wordWrap/>
              <w:overflowPunct/>
              <w:topLinePunct w:val="0"/>
              <w:autoSpaceDE/>
              <w:autoSpaceDN/>
              <w:bidi w:val="0"/>
              <w:adjustRightInd/>
              <w:snapToGrid/>
              <w:ind w:left="0" w:firstLine="0"/>
              <w:jc w:val="center"/>
              <w:textAlignment w:val="auto"/>
              <w:outlineLvl w:val="9"/>
              <w:rPr>
                <w:rFonts w:ascii="Times New Roman" w:hAnsi="Times New Roman" w:eastAsia="宋体" w:cs="Times New Roman"/>
                <w:kern w:val="0"/>
                <w:szCs w:val="21"/>
              </w:rPr>
            </w:pPr>
            <w:r>
              <w:rPr>
                <w:rFonts w:hint="eastAsia" w:ascii="Times New Roman" w:hAnsi="Times New Roman" w:eastAsia="宋体" w:cs="Times New Roman"/>
                <w:kern w:val="0"/>
                <w:szCs w:val="21"/>
              </w:rPr>
              <w:t>台</w:t>
            </w:r>
          </w:p>
        </w:tc>
        <w:tc>
          <w:tcPr>
            <w:tcW w:w="1102" w:type="dxa"/>
            <w:vAlign w:val="center"/>
          </w:tcPr>
          <w:p>
            <w:pPr>
              <w:keepNext w:val="0"/>
              <w:keepLines w:val="0"/>
              <w:pageBreakBefore w:val="0"/>
              <w:kinsoku/>
              <w:wordWrap/>
              <w:overflowPunct/>
              <w:topLinePunct w:val="0"/>
              <w:autoSpaceDE/>
              <w:autoSpaceDN/>
              <w:bidi w:val="0"/>
              <w:adjustRightInd/>
              <w:snapToGrid/>
              <w:ind w:left="0" w:firstLine="0"/>
              <w:jc w:val="center"/>
              <w:textAlignment w:val="auto"/>
              <w:outlineLvl w:val="9"/>
              <w:rPr>
                <w:rFonts w:ascii="Times New Roman" w:hAnsi="Times New Roman" w:eastAsia="宋体" w:cs="Times New Roman"/>
                <w:kern w:val="0"/>
                <w:szCs w:val="21"/>
              </w:rPr>
            </w:pPr>
            <w:r>
              <w:rPr>
                <w:rFonts w:hint="eastAsia" w:ascii="Times New Roman" w:hAnsi="Times New Roman" w:eastAsia="宋体" w:cs="Times New Roman"/>
                <w:kern w:val="0"/>
                <w:szCs w:val="21"/>
              </w:rPr>
              <w:t>1</w:t>
            </w:r>
          </w:p>
        </w:tc>
        <w:tc>
          <w:tcPr>
            <w:tcW w:w="1102" w:type="dxa"/>
            <w:vAlign w:val="center"/>
          </w:tcPr>
          <w:p>
            <w:pPr>
              <w:keepNext w:val="0"/>
              <w:keepLines w:val="0"/>
              <w:pageBreakBefore w:val="0"/>
              <w:kinsoku/>
              <w:wordWrap/>
              <w:overflowPunct/>
              <w:topLinePunct w:val="0"/>
              <w:autoSpaceDE/>
              <w:autoSpaceDN/>
              <w:bidi w:val="0"/>
              <w:adjustRightInd/>
              <w:snapToGrid/>
              <w:ind w:left="0" w:firstLine="0"/>
              <w:jc w:val="center"/>
              <w:textAlignment w:val="auto"/>
              <w:outlineLvl w:val="9"/>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1</w:t>
            </w:r>
          </w:p>
        </w:tc>
        <w:tc>
          <w:tcPr>
            <w:tcW w:w="1237" w:type="dxa"/>
            <w:vAlign w:val="center"/>
          </w:tcPr>
          <w:p>
            <w:pPr>
              <w:keepNext w:val="0"/>
              <w:keepLines w:val="0"/>
              <w:pageBreakBefore w:val="0"/>
              <w:kinsoku/>
              <w:wordWrap/>
              <w:overflowPunct/>
              <w:topLinePunct w:val="0"/>
              <w:autoSpaceDE/>
              <w:autoSpaceDN/>
              <w:bidi w:val="0"/>
              <w:adjustRightInd/>
              <w:snapToGrid/>
              <w:ind w:left="0" w:firstLine="0"/>
              <w:jc w:val="center"/>
              <w:textAlignment w:val="auto"/>
              <w:outlineLvl w:val="9"/>
              <w:rPr>
                <w:rFonts w:ascii="Times New Roman" w:hAnsi="Times New Roman" w:eastAsia="宋体"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5" w:type="dxa"/>
            <w:vAlign w:val="center"/>
          </w:tcPr>
          <w:p>
            <w:pPr>
              <w:keepNext w:val="0"/>
              <w:keepLines w:val="0"/>
              <w:pageBreakBefore w:val="0"/>
              <w:kinsoku/>
              <w:wordWrap/>
              <w:overflowPunct/>
              <w:topLinePunct w:val="0"/>
              <w:autoSpaceDE/>
              <w:autoSpaceDN/>
              <w:bidi w:val="0"/>
              <w:adjustRightInd/>
              <w:snapToGrid/>
              <w:ind w:left="0" w:firstLine="0"/>
              <w:jc w:val="center"/>
              <w:textAlignment w:val="auto"/>
              <w:outlineLvl w:val="9"/>
              <w:rPr>
                <w:rFonts w:ascii="Times New Roman" w:hAnsi="Times New Roman" w:eastAsia="宋体" w:cs="Times New Roman"/>
                <w:kern w:val="0"/>
                <w:szCs w:val="21"/>
              </w:rPr>
            </w:pPr>
          </w:p>
        </w:tc>
        <w:tc>
          <w:tcPr>
            <w:tcW w:w="1537" w:type="dxa"/>
            <w:vAlign w:val="center"/>
          </w:tcPr>
          <w:p>
            <w:pPr>
              <w:keepNext w:val="0"/>
              <w:keepLines w:val="0"/>
              <w:pageBreakBefore w:val="0"/>
              <w:kinsoku/>
              <w:wordWrap/>
              <w:overflowPunct/>
              <w:topLinePunct w:val="0"/>
              <w:autoSpaceDE/>
              <w:autoSpaceDN/>
              <w:bidi w:val="0"/>
              <w:adjustRightInd/>
              <w:snapToGrid/>
              <w:ind w:left="0" w:firstLine="0"/>
              <w:jc w:val="center"/>
              <w:textAlignment w:val="auto"/>
              <w:outlineLvl w:val="9"/>
              <w:rPr>
                <w:rFonts w:ascii="Times New Roman" w:hAnsi="Times New Roman" w:eastAsia="宋体" w:cs="Times New Roman"/>
                <w:kern w:val="0"/>
                <w:szCs w:val="21"/>
              </w:rPr>
            </w:pPr>
            <w:r>
              <w:rPr>
                <w:rFonts w:hint="eastAsia" w:ascii="Times New Roman" w:hAnsi="Times New Roman" w:eastAsia="宋体" w:cs="Times New Roman"/>
                <w:kern w:val="0"/>
                <w:szCs w:val="21"/>
              </w:rPr>
              <w:t>材料车</w:t>
            </w:r>
          </w:p>
        </w:tc>
        <w:tc>
          <w:tcPr>
            <w:tcW w:w="2250" w:type="dxa"/>
            <w:vAlign w:val="center"/>
          </w:tcPr>
          <w:p>
            <w:pPr>
              <w:keepNext w:val="0"/>
              <w:keepLines w:val="0"/>
              <w:pageBreakBefore w:val="0"/>
              <w:kinsoku/>
              <w:wordWrap/>
              <w:overflowPunct/>
              <w:topLinePunct w:val="0"/>
              <w:autoSpaceDE/>
              <w:autoSpaceDN/>
              <w:bidi w:val="0"/>
              <w:adjustRightInd/>
              <w:snapToGrid/>
              <w:ind w:left="0" w:firstLine="0"/>
              <w:jc w:val="center"/>
              <w:textAlignment w:val="auto"/>
              <w:outlineLvl w:val="9"/>
              <w:rPr>
                <w:rFonts w:ascii="Times New Roman" w:hAnsi="Times New Roman" w:eastAsia="宋体" w:cs="Times New Roman"/>
                <w:kern w:val="0"/>
                <w:szCs w:val="21"/>
              </w:rPr>
            </w:pPr>
            <w:r>
              <w:rPr>
                <w:rFonts w:hint="eastAsia" w:ascii="Times New Roman" w:hAnsi="Times New Roman" w:eastAsia="宋体" w:cs="Times New Roman"/>
                <w:kern w:val="0"/>
                <w:szCs w:val="21"/>
              </w:rPr>
              <w:t>东风5t</w:t>
            </w:r>
          </w:p>
        </w:tc>
        <w:tc>
          <w:tcPr>
            <w:tcW w:w="690" w:type="dxa"/>
            <w:vAlign w:val="center"/>
          </w:tcPr>
          <w:p>
            <w:pPr>
              <w:keepNext w:val="0"/>
              <w:keepLines w:val="0"/>
              <w:pageBreakBefore w:val="0"/>
              <w:kinsoku/>
              <w:wordWrap/>
              <w:overflowPunct/>
              <w:topLinePunct w:val="0"/>
              <w:autoSpaceDE/>
              <w:autoSpaceDN/>
              <w:bidi w:val="0"/>
              <w:adjustRightInd/>
              <w:snapToGrid/>
              <w:ind w:left="0" w:firstLine="0"/>
              <w:jc w:val="center"/>
              <w:textAlignment w:val="auto"/>
              <w:outlineLvl w:val="9"/>
              <w:rPr>
                <w:rFonts w:ascii="Times New Roman" w:hAnsi="Times New Roman" w:eastAsia="宋体" w:cs="Times New Roman"/>
                <w:kern w:val="0"/>
                <w:szCs w:val="21"/>
              </w:rPr>
            </w:pPr>
            <w:r>
              <w:rPr>
                <w:rFonts w:hint="eastAsia" w:ascii="Times New Roman" w:hAnsi="Times New Roman" w:eastAsia="宋体" w:cs="Times New Roman"/>
                <w:kern w:val="0"/>
                <w:szCs w:val="21"/>
              </w:rPr>
              <w:t>台</w:t>
            </w:r>
          </w:p>
        </w:tc>
        <w:tc>
          <w:tcPr>
            <w:tcW w:w="1102" w:type="dxa"/>
            <w:vAlign w:val="center"/>
          </w:tcPr>
          <w:p>
            <w:pPr>
              <w:keepNext w:val="0"/>
              <w:keepLines w:val="0"/>
              <w:pageBreakBefore w:val="0"/>
              <w:kinsoku/>
              <w:wordWrap/>
              <w:overflowPunct/>
              <w:topLinePunct w:val="0"/>
              <w:autoSpaceDE/>
              <w:autoSpaceDN/>
              <w:bidi w:val="0"/>
              <w:adjustRightInd/>
              <w:snapToGrid/>
              <w:ind w:left="0" w:firstLine="0"/>
              <w:jc w:val="center"/>
              <w:textAlignment w:val="auto"/>
              <w:outlineLvl w:val="9"/>
              <w:rPr>
                <w:rFonts w:ascii="Times New Roman" w:hAnsi="Times New Roman" w:eastAsia="宋体" w:cs="Times New Roman"/>
                <w:kern w:val="0"/>
                <w:szCs w:val="21"/>
              </w:rPr>
            </w:pPr>
            <w:r>
              <w:rPr>
                <w:rFonts w:hint="eastAsia" w:ascii="Times New Roman" w:hAnsi="Times New Roman" w:eastAsia="宋体" w:cs="Times New Roman"/>
                <w:kern w:val="0"/>
                <w:szCs w:val="21"/>
              </w:rPr>
              <w:t>2</w:t>
            </w:r>
          </w:p>
        </w:tc>
        <w:tc>
          <w:tcPr>
            <w:tcW w:w="1102" w:type="dxa"/>
            <w:vAlign w:val="center"/>
          </w:tcPr>
          <w:p>
            <w:pPr>
              <w:keepNext w:val="0"/>
              <w:keepLines w:val="0"/>
              <w:pageBreakBefore w:val="0"/>
              <w:kinsoku/>
              <w:wordWrap/>
              <w:overflowPunct/>
              <w:topLinePunct w:val="0"/>
              <w:autoSpaceDE/>
              <w:autoSpaceDN/>
              <w:bidi w:val="0"/>
              <w:adjustRightInd/>
              <w:snapToGrid/>
              <w:ind w:left="0" w:firstLine="0"/>
              <w:jc w:val="center"/>
              <w:textAlignment w:val="auto"/>
              <w:outlineLvl w:val="9"/>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2</w:t>
            </w:r>
          </w:p>
        </w:tc>
        <w:tc>
          <w:tcPr>
            <w:tcW w:w="1237" w:type="dxa"/>
            <w:vAlign w:val="center"/>
          </w:tcPr>
          <w:p>
            <w:pPr>
              <w:keepNext w:val="0"/>
              <w:keepLines w:val="0"/>
              <w:pageBreakBefore w:val="0"/>
              <w:kinsoku/>
              <w:wordWrap/>
              <w:overflowPunct/>
              <w:topLinePunct w:val="0"/>
              <w:autoSpaceDE/>
              <w:autoSpaceDN/>
              <w:bidi w:val="0"/>
              <w:adjustRightInd/>
              <w:snapToGrid/>
              <w:ind w:left="0" w:firstLine="0"/>
              <w:jc w:val="center"/>
              <w:textAlignment w:val="auto"/>
              <w:outlineLvl w:val="9"/>
              <w:rPr>
                <w:rFonts w:ascii="Times New Roman" w:hAnsi="Times New Roman" w:eastAsia="宋体"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5" w:type="dxa"/>
            <w:vAlign w:val="center"/>
          </w:tcPr>
          <w:p>
            <w:pPr>
              <w:keepNext w:val="0"/>
              <w:keepLines w:val="0"/>
              <w:pageBreakBefore w:val="0"/>
              <w:kinsoku/>
              <w:wordWrap/>
              <w:overflowPunct/>
              <w:topLinePunct w:val="0"/>
              <w:autoSpaceDE/>
              <w:autoSpaceDN/>
              <w:bidi w:val="0"/>
              <w:adjustRightInd/>
              <w:snapToGrid/>
              <w:ind w:left="0" w:firstLine="0"/>
              <w:jc w:val="center"/>
              <w:textAlignment w:val="auto"/>
              <w:outlineLvl w:val="9"/>
              <w:rPr>
                <w:rFonts w:ascii="Times New Roman" w:hAnsi="Times New Roman" w:eastAsia="宋体" w:cs="Times New Roman"/>
                <w:kern w:val="0"/>
                <w:szCs w:val="21"/>
              </w:rPr>
            </w:pPr>
          </w:p>
        </w:tc>
        <w:tc>
          <w:tcPr>
            <w:tcW w:w="1537" w:type="dxa"/>
            <w:vAlign w:val="center"/>
          </w:tcPr>
          <w:p>
            <w:pPr>
              <w:keepNext w:val="0"/>
              <w:keepLines w:val="0"/>
              <w:pageBreakBefore w:val="0"/>
              <w:kinsoku/>
              <w:wordWrap/>
              <w:overflowPunct/>
              <w:topLinePunct w:val="0"/>
              <w:autoSpaceDE/>
              <w:autoSpaceDN/>
              <w:bidi w:val="0"/>
              <w:adjustRightInd/>
              <w:snapToGrid/>
              <w:ind w:left="0" w:firstLine="0"/>
              <w:jc w:val="center"/>
              <w:textAlignment w:val="auto"/>
              <w:outlineLvl w:val="9"/>
              <w:rPr>
                <w:rFonts w:ascii="Times New Roman" w:hAnsi="Times New Roman" w:eastAsia="宋体" w:cs="Times New Roman"/>
                <w:kern w:val="0"/>
                <w:szCs w:val="21"/>
              </w:rPr>
            </w:pPr>
            <w:r>
              <w:rPr>
                <w:rFonts w:hint="eastAsia" w:ascii="Times New Roman" w:hAnsi="Times New Roman" w:eastAsia="宋体" w:cs="Times New Roman"/>
                <w:kern w:val="0"/>
                <w:szCs w:val="21"/>
              </w:rPr>
              <w:t>破碎锤</w:t>
            </w:r>
          </w:p>
        </w:tc>
        <w:tc>
          <w:tcPr>
            <w:tcW w:w="2250" w:type="dxa"/>
            <w:vAlign w:val="center"/>
          </w:tcPr>
          <w:p>
            <w:pPr>
              <w:keepNext w:val="0"/>
              <w:keepLines w:val="0"/>
              <w:pageBreakBefore w:val="0"/>
              <w:kinsoku/>
              <w:wordWrap/>
              <w:overflowPunct/>
              <w:topLinePunct w:val="0"/>
              <w:autoSpaceDE/>
              <w:autoSpaceDN/>
              <w:bidi w:val="0"/>
              <w:adjustRightInd/>
              <w:snapToGrid/>
              <w:ind w:left="0" w:firstLine="0"/>
              <w:jc w:val="center"/>
              <w:textAlignment w:val="auto"/>
              <w:outlineLvl w:val="9"/>
              <w:rPr>
                <w:rFonts w:ascii="Times New Roman" w:hAnsi="Times New Roman" w:eastAsia="宋体" w:cs="Times New Roman"/>
                <w:kern w:val="0"/>
                <w:szCs w:val="21"/>
              </w:rPr>
            </w:pPr>
          </w:p>
        </w:tc>
        <w:tc>
          <w:tcPr>
            <w:tcW w:w="690" w:type="dxa"/>
            <w:vAlign w:val="center"/>
          </w:tcPr>
          <w:p>
            <w:pPr>
              <w:keepNext w:val="0"/>
              <w:keepLines w:val="0"/>
              <w:pageBreakBefore w:val="0"/>
              <w:kinsoku/>
              <w:wordWrap/>
              <w:overflowPunct/>
              <w:topLinePunct w:val="0"/>
              <w:autoSpaceDE/>
              <w:autoSpaceDN/>
              <w:bidi w:val="0"/>
              <w:adjustRightInd/>
              <w:snapToGrid/>
              <w:ind w:left="0" w:firstLine="0"/>
              <w:jc w:val="center"/>
              <w:textAlignment w:val="auto"/>
              <w:outlineLvl w:val="9"/>
              <w:rPr>
                <w:rFonts w:ascii="Times New Roman" w:hAnsi="Times New Roman" w:eastAsia="宋体" w:cs="Times New Roman"/>
                <w:kern w:val="0"/>
                <w:szCs w:val="21"/>
              </w:rPr>
            </w:pPr>
            <w:r>
              <w:rPr>
                <w:rFonts w:hint="eastAsia" w:ascii="Times New Roman" w:hAnsi="Times New Roman" w:eastAsia="宋体" w:cs="Times New Roman"/>
                <w:kern w:val="0"/>
                <w:szCs w:val="21"/>
              </w:rPr>
              <w:t>台</w:t>
            </w:r>
          </w:p>
        </w:tc>
        <w:tc>
          <w:tcPr>
            <w:tcW w:w="1102" w:type="dxa"/>
            <w:vAlign w:val="center"/>
          </w:tcPr>
          <w:p>
            <w:pPr>
              <w:keepNext w:val="0"/>
              <w:keepLines w:val="0"/>
              <w:pageBreakBefore w:val="0"/>
              <w:kinsoku/>
              <w:wordWrap/>
              <w:overflowPunct/>
              <w:topLinePunct w:val="0"/>
              <w:autoSpaceDE/>
              <w:autoSpaceDN/>
              <w:bidi w:val="0"/>
              <w:adjustRightInd/>
              <w:snapToGrid/>
              <w:ind w:left="0" w:firstLine="0"/>
              <w:jc w:val="center"/>
              <w:textAlignment w:val="auto"/>
              <w:outlineLvl w:val="9"/>
              <w:rPr>
                <w:rFonts w:ascii="Times New Roman" w:hAnsi="Times New Roman" w:eastAsia="宋体" w:cs="Times New Roman"/>
                <w:kern w:val="0"/>
                <w:szCs w:val="21"/>
              </w:rPr>
            </w:pPr>
            <w:r>
              <w:rPr>
                <w:rFonts w:hint="eastAsia" w:ascii="Times New Roman" w:hAnsi="Times New Roman" w:eastAsia="宋体" w:cs="Times New Roman"/>
                <w:kern w:val="0"/>
                <w:szCs w:val="21"/>
              </w:rPr>
              <w:t>1</w:t>
            </w:r>
          </w:p>
        </w:tc>
        <w:tc>
          <w:tcPr>
            <w:tcW w:w="1102" w:type="dxa"/>
            <w:vAlign w:val="center"/>
          </w:tcPr>
          <w:p>
            <w:pPr>
              <w:keepNext w:val="0"/>
              <w:keepLines w:val="0"/>
              <w:pageBreakBefore w:val="0"/>
              <w:kinsoku/>
              <w:wordWrap/>
              <w:overflowPunct/>
              <w:topLinePunct w:val="0"/>
              <w:autoSpaceDE/>
              <w:autoSpaceDN/>
              <w:bidi w:val="0"/>
              <w:adjustRightInd/>
              <w:snapToGrid/>
              <w:ind w:left="0" w:firstLine="0"/>
              <w:jc w:val="center"/>
              <w:textAlignment w:val="auto"/>
              <w:outlineLvl w:val="9"/>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1</w:t>
            </w:r>
          </w:p>
        </w:tc>
        <w:tc>
          <w:tcPr>
            <w:tcW w:w="1237" w:type="dxa"/>
            <w:vAlign w:val="center"/>
          </w:tcPr>
          <w:p>
            <w:pPr>
              <w:keepNext w:val="0"/>
              <w:keepLines w:val="0"/>
              <w:pageBreakBefore w:val="0"/>
              <w:kinsoku/>
              <w:wordWrap/>
              <w:overflowPunct/>
              <w:topLinePunct w:val="0"/>
              <w:autoSpaceDE/>
              <w:autoSpaceDN/>
              <w:bidi w:val="0"/>
              <w:adjustRightInd/>
              <w:snapToGrid/>
              <w:ind w:left="0" w:firstLine="0"/>
              <w:jc w:val="center"/>
              <w:textAlignment w:val="auto"/>
              <w:outlineLvl w:val="9"/>
              <w:rPr>
                <w:rFonts w:ascii="Times New Roman" w:hAnsi="Times New Roman" w:eastAsia="宋体"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5" w:type="dxa"/>
            <w:vAlign w:val="center"/>
          </w:tcPr>
          <w:p>
            <w:pPr>
              <w:keepNext w:val="0"/>
              <w:keepLines w:val="0"/>
              <w:pageBreakBefore w:val="0"/>
              <w:kinsoku/>
              <w:wordWrap/>
              <w:overflowPunct/>
              <w:topLinePunct w:val="0"/>
              <w:autoSpaceDE/>
              <w:autoSpaceDN/>
              <w:bidi w:val="0"/>
              <w:adjustRightInd/>
              <w:snapToGrid/>
              <w:ind w:left="0" w:firstLine="0"/>
              <w:jc w:val="center"/>
              <w:textAlignment w:val="auto"/>
              <w:outlineLvl w:val="9"/>
              <w:rPr>
                <w:rFonts w:ascii="Times New Roman" w:hAnsi="Times New Roman" w:eastAsia="宋体" w:cs="Times New Roman"/>
                <w:kern w:val="0"/>
                <w:szCs w:val="21"/>
              </w:rPr>
            </w:pPr>
          </w:p>
        </w:tc>
        <w:tc>
          <w:tcPr>
            <w:tcW w:w="1537" w:type="dxa"/>
            <w:vAlign w:val="center"/>
          </w:tcPr>
          <w:p>
            <w:pPr>
              <w:keepNext w:val="0"/>
              <w:keepLines w:val="0"/>
              <w:pageBreakBefore w:val="0"/>
              <w:kinsoku/>
              <w:wordWrap/>
              <w:overflowPunct/>
              <w:topLinePunct w:val="0"/>
              <w:autoSpaceDE/>
              <w:autoSpaceDN/>
              <w:bidi w:val="0"/>
              <w:adjustRightInd/>
              <w:snapToGrid/>
              <w:ind w:left="0" w:firstLine="0"/>
              <w:jc w:val="center"/>
              <w:textAlignment w:val="auto"/>
              <w:outlineLvl w:val="9"/>
              <w:rPr>
                <w:rFonts w:ascii="Times New Roman" w:hAnsi="Times New Roman" w:eastAsia="宋体" w:cs="Times New Roman"/>
                <w:kern w:val="0"/>
                <w:szCs w:val="21"/>
              </w:rPr>
            </w:pPr>
            <w:r>
              <w:rPr>
                <w:rFonts w:hint="eastAsia" w:ascii="Times New Roman" w:hAnsi="Times New Roman" w:eastAsia="宋体" w:cs="Times New Roman"/>
                <w:kern w:val="0"/>
                <w:szCs w:val="21"/>
              </w:rPr>
              <w:t>工具车</w:t>
            </w:r>
          </w:p>
        </w:tc>
        <w:tc>
          <w:tcPr>
            <w:tcW w:w="2250" w:type="dxa"/>
            <w:vAlign w:val="center"/>
          </w:tcPr>
          <w:p>
            <w:pPr>
              <w:keepNext w:val="0"/>
              <w:keepLines w:val="0"/>
              <w:pageBreakBefore w:val="0"/>
              <w:kinsoku/>
              <w:wordWrap/>
              <w:overflowPunct/>
              <w:topLinePunct w:val="0"/>
              <w:autoSpaceDE/>
              <w:autoSpaceDN/>
              <w:bidi w:val="0"/>
              <w:adjustRightInd/>
              <w:snapToGrid/>
              <w:ind w:left="0" w:firstLine="0"/>
              <w:jc w:val="center"/>
              <w:textAlignment w:val="auto"/>
              <w:outlineLvl w:val="9"/>
              <w:rPr>
                <w:rFonts w:ascii="Times New Roman" w:hAnsi="Times New Roman" w:eastAsia="宋体" w:cs="Times New Roman"/>
                <w:kern w:val="0"/>
                <w:szCs w:val="21"/>
              </w:rPr>
            </w:pPr>
            <w:r>
              <w:rPr>
                <w:rFonts w:hint="eastAsia" w:ascii="Times New Roman" w:hAnsi="Times New Roman" w:eastAsia="宋体" w:cs="Times New Roman"/>
                <w:kern w:val="0"/>
                <w:szCs w:val="21"/>
              </w:rPr>
              <w:t>丰田皮卡</w:t>
            </w:r>
          </w:p>
        </w:tc>
        <w:tc>
          <w:tcPr>
            <w:tcW w:w="690" w:type="dxa"/>
            <w:vAlign w:val="center"/>
          </w:tcPr>
          <w:p>
            <w:pPr>
              <w:keepNext w:val="0"/>
              <w:keepLines w:val="0"/>
              <w:pageBreakBefore w:val="0"/>
              <w:kinsoku/>
              <w:wordWrap/>
              <w:overflowPunct/>
              <w:topLinePunct w:val="0"/>
              <w:autoSpaceDE/>
              <w:autoSpaceDN/>
              <w:bidi w:val="0"/>
              <w:adjustRightInd/>
              <w:snapToGrid/>
              <w:ind w:left="0" w:firstLine="0"/>
              <w:jc w:val="center"/>
              <w:textAlignment w:val="auto"/>
              <w:outlineLvl w:val="9"/>
              <w:rPr>
                <w:rFonts w:ascii="Times New Roman" w:hAnsi="Times New Roman" w:eastAsia="宋体" w:cs="Times New Roman"/>
                <w:kern w:val="0"/>
                <w:szCs w:val="21"/>
              </w:rPr>
            </w:pPr>
            <w:r>
              <w:rPr>
                <w:rFonts w:hint="eastAsia" w:ascii="Times New Roman" w:hAnsi="Times New Roman" w:eastAsia="宋体" w:cs="Times New Roman"/>
                <w:kern w:val="0"/>
                <w:szCs w:val="21"/>
              </w:rPr>
              <w:t>辆</w:t>
            </w:r>
          </w:p>
        </w:tc>
        <w:tc>
          <w:tcPr>
            <w:tcW w:w="1102" w:type="dxa"/>
            <w:vAlign w:val="center"/>
          </w:tcPr>
          <w:p>
            <w:pPr>
              <w:keepNext w:val="0"/>
              <w:keepLines w:val="0"/>
              <w:pageBreakBefore w:val="0"/>
              <w:kinsoku/>
              <w:wordWrap/>
              <w:overflowPunct/>
              <w:topLinePunct w:val="0"/>
              <w:autoSpaceDE/>
              <w:autoSpaceDN/>
              <w:bidi w:val="0"/>
              <w:adjustRightInd/>
              <w:snapToGrid/>
              <w:ind w:left="0" w:firstLine="0"/>
              <w:jc w:val="center"/>
              <w:textAlignment w:val="auto"/>
              <w:outlineLvl w:val="9"/>
              <w:rPr>
                <w:rFonts w:ascii="Times New Roman" w:hAnsi="Times New Roman" w:eastAsia="宋体" w:cs="Times New Roman"/>
                <w:kern w:val="0"/>
                <w:szCs w:val="21"/>
              </w:rPr>
            </w:pPr>
            <w:r>
              <w:rPr>
                <w:rFonts w:hint="eastAsia" w:ascii="Times New Roman" w:hAnsi="Times New Roman" w:eastAsia="宋体" w:cs="Times New Roman"/>
                <w:kern w:val="0"/>
                <w:szCs w:val="21"/>
              </w:rPr>
              <w:t>2</w:t>
            </w:r>
          </w:p>
        </w:tc>
        <w:tc>
          <w:tcPr>
            <w:tcW w:w="1102" w:type="dxa"/>
            <w:vAlign w:val="center"/>
          </w:tcPr>
          <w:p>
            <w:pPr>
              <w:keepNext w:val="0"/>
              <w:keepLines w:val="0"/>
              <w:pageBreakBefore w:val="0"/>
              <w:kinsoku/>
              <w:wordWrap/>
              <w:overflowPunct/>
              <w:topLinePunct w:val="0"/>
              <w:autoSpaceDE/>
              <w:autoSpaceDN/>
              <w:bidi w:val="0"/>
              <w:adjustRightInd/>
              <w:snapToGrid/>
              <w:ind w:left="0" w:firstLine="0"/>
              <w:jc w:val="center"/>
              <w:textAlignment w:val="auto"/>
              <w:outlineLvl w:val="9"/>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2</w:t>
            </w:r>
          </w:p>
        </w:tc>
        <w:tc>
          <w:tcPr>
            <w:tcW w:w="1237" w:type="dxa"/>
            <w:vAlign w:val="center"/>
          </w:tcPr>
          <w:p>
            <w:pPr>
              <w:keepNext w:val="0"/>
              <w:keepLines w:val="0"/>
              <w:pageBreakBefore w:val="0"/>
              <w:kinsoku/>
              <w:wordWrap/>
              <w:overflowPunct/>
              <w:topLinePunct w:val="0"/>
              <w:autoSpaceDE/>
              <w:autoSpaceDN/>
              <w:bidi w:val="0"/>
              <w:adjustRightInd/>
              <w:snapToGrid/>
              <w:ind w:left="0" w:firstLine="0"/>
              <w:jc w:val="center"/>
              <w:textAlignment w:val="auto"/>
              <w:outlineLvl w:val="9"/>
              <w:rPr>
                <w:rFonts w:ascii="Times New Roman" w:hAnsi="Times New Roman" w:eastAsia="宋体"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5" w:type="dxa"/>
            <w:vAlign w:val="center"/>
          </w:tcPr>
          <w:p>
            <w:pPr>
              <w:keepNext w:val="0"/>
              <w:keepLines w:val="0"/>
              <w:pageBreakBefore w:val="0"/>
              <w:kinsoku/>
              <w:wordWrap/>
              <w:overflowPunct/>
              <w:topLinePunct w:val="0"/>
              <w:autoSpaceDE/>
              <w:autoSpaceDN/>
              <w:bidi w:val="0"/>
              <w:adjustRightInd/>
              <w:snapToGrid/>
              <w:ind w:left="0" w:firstLine="0"/>
              <w:jc w:val="center"/>
              <w:textAlignment w:val="auto"/>
              <w:outlineLvl w:val="9"/>
              <w:rPr>
                <w:rFonts w:ascii="Times New Roman" w:hAnsi="Times New Roman" w:eastAsia="宋体" w:cs="Times New Roman"/>
                <w:kern w:val="0"/>
                <w:szCs w:val="21"/>
              </w:rPr>
            </w:pPr>
          </w:p>
        </w:tc>
        <w:tc>
          <w:tcPr>
            <w:tcW w:w="1537" w:type="dxa"/>
            <w:vAlign w:val="center"/>
          </w:tcPr>
          <w:p>
            <w:pPr>
              <w:keepNext w:val="0"/>
              <w:keepLines w:val="0"/>
              <w:pageBreakBefore w:val="0"/>
              <w:kinsoku/>
              <w:wordWrap/>
              <w:overflowPunct/>
              <w:topLinePunct w:val="0"/>
              <w:autoSpaceDE/>
              <w:autoSpaceDN/>
              <w:bidi w:val="0"/>
              <w:adjustRightInd/>
              <w:snapToGrid/>
              <w:ind w:left="0" w:firstLine="0"/>
              <w:jc w:val="center"/>
              <w:textAlignment w:val="auto"/>
              <w:outlineLvl w:val="9"/>
              <w:rPr>
                <w:rFonts w:ascii="Times New Roman" w:hAnsi="Times New Roman" w:eastAsia="宋体" w:cs="Times New Roman"/>
                <w:kern w:val="0"/>
                <w:szCs w:val="21"/>
              </w:rPr>
            </w:pPr>
            <w:r>
              <w:rPr>
                <w:rFonts w:hint="eastAsia" w:ascii="Times New Roman" w:hAnsi="Times New Roman" w:eastAsia="宋体" w:cs="Times New Roman"/>
                <w:kern w:val="0"/>
                <w:szCs w:val="21"/>
              </w:rPr>
              <w:t>洒水车</w:t>
            </w:r>
          </w:p>
        </w:tc>
        <w:tc>
          <w:tcPr>
            <w:tcW w:w="2250" w:type="dxa"/>
            <w:vAlign w:val="center"/>
          </w:tcPr>
          <w:p>
            <w:pPr>
              <w:keepNext w:val="0"/>
              <w:keepLines w:val="0"/>
              <w:pageBreakBefore w:val="0"/>
              <w:kinsoku/>
              <w:wordWrap/>
              <w:overflowPunct/>
              <w:topLinePunct w:val="0"/>
              <w:autoSpaceDE/>
              <w:autoSpaceDN/>
              <w:bidi w:val="0"/>
              <w:adjustRightInd/>
              <w:snapToGrid/>
              <w:ind w:left="0" w:firstLine="0"/>
              <w:jc w:val="center"/>
              <w:textAlignment w:val="auto"/>
              <w:outlineLvl w:val="9"/>
              <w:rPr>
                <w:rFonts w:ascii="Times New Roman" w:hAnsi="Times New Roman" w:eastAsia="宋体" w:cs="Times New Roman"/>
                <w:kern w:val="0"/>
                <w:szCs w:val="21"/>
              </w:rPr>
            </w:pPr>
            <w:r>
              <w:rPr>
                <w:rFonts w:hint="eastAsia" w:ascii="Times New Roman" w:hAnsi="Times New Roman" w:eastAsia="宋体" w:cs="Times New Roman"/>
                <w:kern w:val="0"/>
                <w:szCs w:val="21"/>
              </w:rPr>
              <w:t>东风1</w:t>
            </w:r>
            <w:r>
              <w:rPr>
                <w:rFonts w:ascii="Times New Roman" w:hAnsi="Times New Roman" w:eastAsia="宋体" w:cs="Times New Roman"/>
                <w:kern w:val="0"/>
                <w:szCs w:val="21"/>
              </w:rPr>
              <w:t>208</w:t>
            </w:r>
          </w:p>
        </w:tc>
        <w:tc>
          <w:tcPr>
            <w:tcW w:w="690" w:type="dxa"/>
            <w:vAlign w:val="center"/>
          </w:tcPr>
          <w:p>
            <w:pPr>
              <w:keepNext w:val="0"/>
              <w:keepLines w:val="0"/>
              <w:pageBreakBefore w:val="0"/>
              <w:kinsoku/>
              <w:wordWrap/>
              <w:overflowPunct/>
              <w:topLinePunct w:val="0"/>
              <w:autoSpaceDE/>
              <w:autoSpaceDN/>
              <w:bidi w:val="0"/>
              <w:adjustRightInd/>
              <w:snapToGrid/>
              <w:ind w:left="0" w:firstLine="0"/>
              <w:jc w:val="center"/>
              <w:textAlignment w:val="auto"/>
              <w:outlineLvl w:val="9"/>
              <w:rPr>
                <w:rFonts w:ascii="Times New Roman" w:hAnsi="Times New Roman" w:eastAsia="宋体" w:cs="Times New Roman"/>
                <w:kern w:val="0"/>
                <w:szCs w:val="21"/>
              </w:rPr>
            </w:pPr>
            <w:r>
              <w:rPr>
                <w:rFonts w:hint="eastAsia" w:ascii="Times New Roman" w:hAnsi="Times New Roman" w:eastAsia="宋体" w:cs="Times New Roman"/>
                <w:kern w:val="0"/>
                <w:szCs w:val="21"/>
              </w:rPr>
              <w:t>辆</w:t>
            </w:r>
          </w:p>
        </w:tc>
        <w:tc>
          <w:tcPr>
            <w:tcW w:w="1102" w:type="dxa"/>
            <w:vAlign w:val="center"/>
          </w:tcPr>
          <w:p>
            <w:pPr>
              <w:keepNext w:val="0"/>
              <w:keepLines w:val="0"/>
              <w:pageBreakBefore w:val="0"/>
              <w:kinsoku/>
              <w:wordWrap/>
              <w:overflowPunct/>
              <w:topLinePunct w:val="0"/>
              <w:autoSpaceDE/>
              <w:autoSpaceDN/>
              <w:bidi w:val="0"/>
              <w:adjustRightInd/>
              <w:snapToGrid/>
              <w:ind w:left="0" w:firstLine="0"/>
              <w:jc w:val="center"/>
              <w:textAlignment w:val="auto"/>
              <w:outlineLvl w:val="9"/>
              <w:rPr>
                <w:rFonts w:ascii="Times New Roman" w:hAnsi="Times New Roman" w:eastAsia="宋体" w:cs="Times New Roman"/>
                <w:kern w:val="0"/>
                <w:szCs w:val="21"/>
              </w:rPr>
            </w:pPr>
            <w:r>
              <w:rPr>
                <w:rFonts w:hint="eastAsia" w:ascii="Times New Roman" w:hAnsi="Times New Roman" w:eastAsia="宋体" w:cs="Times New Roman"/>
                <w:kern w:val="0"/>
                <w:szCs w:val="21"/>
              </w:rPr>
              <w:t>2</w:t>
            </w:r>
          </w:p>
        </w:tc>
        <w:tc>
          <w:tcPr>
            <w:tcW w:w="1102" w:type="dxa"/>
            <w:vAlign w:val="center"/>
          </w:tcPr>
          <w:p>
            <w:pPr>
              <w:keepNext w:val="0"/>
              <w:keepLines w:val="0"/>
              <w:pageBreakBefore w:val="0"/>
              <w:kinsoku/>
              <w:wordWrap/>
              <w:overflowPunct/>
              <w:topLinePunct w:val="0"/>
              <w:autoSpaceDE/>
              <w:autoSpaceDN/>
              <w:bidi w:val="0"/>
              <w:adjustRightInd/>
              <w:snapToGrid/>
              <w:ind w:left="0" w:firstLine="0"/>
              <w:jc w:val="center"/>
              <w:textAlignment w:val="auto"/>
              <w:outlineLvl w:val="9"/>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1</w:t>
            </w:r>
          </w:p>
        </w:tc>
        <w:tc>
          <w:tcPr>
            <w:tcW w:w="1237" w:type="dxa"/>
            <w:vAlign w:val="center"/>
          </w:tcPr>
          <w:p>
            <w:pPr>
              <w:keepNext w:val="0"/>
              <w:keepLines w:val="0"/>
              <w:pageBreakBefore w:val="0"/>
              <w:kinsoku/>
              <w:wordWrap/>
              <w:overflowPunct/>
              <w:topLinePunct w:val="0"/>
              <w:autoSpaceDE/>
              <w:autoSpaceDN/>
              <w:bidi w:val="0"/>
              <w:adjustRightInd/>
              <w:snapToGrid/>
              <w:ind w:left="0" w:firstLine="0"/>
              <w:jc w:val="center"/>
              <w:textAlignment w:val="auto"/>
              <w:outlineLvl w:val="9"/>
              <w:rPr>
                <w:rFonts w:ascii="Times New Roman" w:hAnsi="Times New Roman" w:eastAsia="宋体" w:cs="Times New Roman"/>
                <w:kern w:val="0"/>
                <w:szCs w:val="21"/>
              </w:rPr>
            </w:pPr>
          </w:p>
        </w:tc>
      </w:tr>
    </w:tbl>
    <w:p>
      <w:pPr>
        <w:pStyle w:val="4"/>
        <w:rPr>
          <w:rFonts w:eastAsia="宋体" w:cs="Times New Roman"/>
        </w:rPr>
      </w:pPr>
      <w:r>
        <w:rPr>
          <w:rFonts w:eastAsia="宋体" w:cs="Times New Roman"/>
        </w:rPr>
        <w:t>2.2.</w:t>
      </w:r>
      <w:r>
        <w:rPr>
          <w:rFonts w:hint="eastAsia" w:eastAsia="宋体" w:cs="Times New Roman"/>
          <w:lang w:val="en-US" w:eastAsia="zh-CN"/>
        </w:rPr>
        <w:t>6</w:t>
      </w:r>
      <w:r>
        <w:rPr>
          <w:rFonts w:eastAsia="宋体" w:cs="Times New Roman"/>
        </w:rPr>
        <w:t xml:space="preserve"> </w:t>
      </w:r>
      <w:r>
        <w:rPr>
          <w:rFonts w:hint="eastAsia" w:eastAsia="宋体" w:cs="Times New Roman"/>
        </w:rPr>
        <w:t>生产工艺</w:t>
      </w:r>
    </w:p>
    <w:p>
      <w:pPr>
        <w:spacing w:line="360" w:lineRule="auto"/>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2</w:t>
      </w:r>
      <w:r>
        <w:rPr>
          <w:rFonts w:ascii="Times New Roman" w:hAnsi="Times New Roman" w:eastAsia="宋体" w:cs="Times New Roman"/>
          <w:b/>
          <w:bCs/>
          <w:sz w:val="24"/>
          <w:szCs w:val="24"/>
        </w:rPr>
        <w:t xml:space="preserve">.2.5.1 </w:t>
      </w:r>
      <w:r>
        <w:rPr>
          <w:rFonts w:hint="eastAsia" w:ascii="Times New Roman" w:hAnsi="Times New Roman" w:eastAsia="宋体" w:cs="Times New Roman"/>
          <w:b/>
          <w:bCs/>
          <w:sz w:val="24"/>
          <w:szCs w:val="24"/>
        </w:rPr>
        <w:t>露天开采境界</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1．露天矿开采境界的原则</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按照境界剥采比不大于境界合理剥采比的原则，</w:t>
      </w:r>
      <w:r>
        <w:rPr>
          <w:rFonts w:ascii="Times New Roman" w:hAnsi="Times New Roman" w:eastAsia="宋体" w:cs="Times New Roman"/>
          <w:sz w:val="24"/>
          <w:szCs w:val="24"/>
        </w:rPr>
        <w:t>一号采区</w:t>
      </w:r>
      <w:r>
        <w:rPr>
          <w:rFonts w:hint="eastAsia" w:ascii="Times New Roman" w:hAnsi="Times New Roman" w:eastAsia="宋体" w:cs="Times New Roman"/>
          <w:sz w:val="24"/>
          <w:szCs w:val="24"/>
        </w:rPr>
        <w:t>以</w:t>
      </w:r>
      <w:r>
        <w:rPr>
          <w:rFonts w:ascii="Times New Roman" w:hAnsi="Times New Roman" w:eastAsia="宋体" w:cs="Times New Roman"/>
          <w:sz w:val="24"/>
          <w:szCs w:val="24"/>
        </w:rPr>
        <w:t>14.25t/t剥采比圈定露天境界</w:t>
      </w:r>
      <w:r>
        <w:rPr>
          <w:rFonts w:hint="eastAsia" w:ascii="Times New Roman" w:hAnsi="Times New Roman" w:eastAsia="宋体" w:cs="Times New Roman"/>
          <w:sz w:val="24"/>
          <w:szCs w:val="24"/>
        </w:rPr>
        <w:t>。</w:t>
      </w:r>
    </w:p>
    <w:p>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2、露天采场结构参数</w:t>
      </w:r>
    </w:p>
    <w:p>
      <w:pPr>
        <w:spacing w:line="360" w:lineRule="auto"/>
        <w:ind w:firstLine="480" w:firstLineChars="200"/>
        <w:rPr>
          <w:rFonts w:ascii="Times New Roman" w:hAnsi="Times New Roman" w:eastAsia="宋体"/>
          <w:sz w:val="24"/>
          <w:szCs w:val="24"/>
        </w:rPr>
      </w:pPr>
      <w:r>
        <w:rPr>
          <w:rFonts w:ascii="Times New Roman" w:hAnsi="Times New Roman" w:eastAsia="宋体"/>
          <w:sz w:val="24"/>
          <w:szCs w:val="24"/>
        </w:rPr>
        <w:t>根据开采地段矿岩的物理力学性质及矿岩的结构、构造，边坡参数如下：</w:t>
      </w:r>
      <w:r>
        <w:rPr>
          <w:rFonts w:hint="eastAsia" w:ascii="Times New Roman" w:hAnsi="Times New Roman" w:eastAsia="宋体"/>
          <w:sz w:val="24"/>
          <w:szCs w:val="24"/>
        </w:rPr>
        <w:t>①</w:t>
      </w:r>
      <w:r>
        <w:rPr>
          <w:rFonts w:ascii="Times New Roman" w:hAnsi="Times New Roman" w:eastAsia="宋体"/>
          <w:sz w:val="24"/>
          <w:szCs w:val="24"/>
        </w:rPr>
        <w:t>生产台阶高度10m；</w:t>
      </w:r>
      <w:r>
        <w:rPr>
          <w:rFonts w:hint="eastAsia" w:ascii="Times New Roman" w:hAnsi="Times New Roman" w:eastAsia="宋体"/>
          <w:sz w:val="24"/>
          <w:szCs w:val="24"/>
        </w:rPr>
        <w:t>②</w:t>
      </w:r>
      <w:r>
        <w:rPr>
          <w:rFonts w:ascii="Times New Roman" w:hAnsi="Times New Roman" w:eastAsia="宋体"/>
          <w:sz w:val="24"/>
          <w:szCs w:val="24"/>
        </w:rPr>
        <w:t>最终台阶坡面角65°；</w:t>
      </w:r>
      <w:r>
        <w:rPr>
          <w:rFonts w:hint="eastAsia" w:ascii="Times New Roman" w:hAnsi="Times New Roman" w:eastAsia="宋体"/>
          <w:sz w:val="24"/>
          <w:szCs w:val="24"/>
        </w:rPr>
        <w:t>③</w:t>
      </w:r>
      <w:r>
        <w:rPr>
          <w:rFonts w:ascii="Times New Roman" w:hAnsi="Times New Roman" w:eastAsia="宋体"/>
          <w:sz w:val="24"/>
          <w:szCs w:val="24"/>
        </w:rPr>
        <w:t>安全平台宽度6m；</w:t>
      </w:r>
      <w:r>
        <w:rPr>
          <w:rFonts w:hint="eastAsia" w:ascii="Times New Roman" w:hAnsi="Times New Roman" w:eastAsia="宋体"/>
          <w:sz w:val="24"/>
          <w:szCs w:val="24"/>
        </w:rPr>
        <w:t>④</w:t>
      </w:r>
      <w:r>
        <w:rPr>
          <w:rFonts w:ascii="Times New Roman" w:hAnsi="Times New Roman" w:eastAsia="宋体"/>
          <w:sz w:val="24"/>
          <w:szCs w:val="24"/>
        </w:rPr>
        <w:t>清扫平台宽度10</w:t>
      </w:r>
      <w:r>
        <w:rPr>
          <w:rFonts w:hint="eastAsia" w:ascii="Times New Roman" w:hAnsi="Times New Roman" w:eastAsia="宋体"/>
          <w:sz w:val="24"/>
          <w:szCs w:val="24"/>
        </w:rPr>
        <w:t>m；⑤</w:t>
      </w:r>
      <w:r>
        <w:rPr>
          <w:rFonts w:ascii="Times New Roman" w:hAnsi="Times New Roman" w:eastAsia="宋体"/>
          <w:sz w:val="24"/>
          <w:szCs w:val="24"/>
        </w:rPr>
        <w:t>露天底最小宽度16m</w:t>
      </w:r>
      <w:r>
        <w:rPr>
          <w:rFonts w:hint="eastAsia" w:ascii="Times New Roman" w:hAnsi="Times New Roman" w:eastAsia="宋体"/>
          <w:sz w:val="24"/>
          <w:szCs w:val="24"/>
        </w:rPr>
        <w:t>；⑥</w:t>
      </w:r>
      <w:r>
        <w:rPr>
          <w:rFonts w:ascii="Times New Roman" w:hAnsi="Times New Roman" w:eastAsia="宋体"/>
          <w:sz w:val="24"/>
          <w:szCs w:val="24"/>
        </w:rPr>
        <w:t>最终边坡角42-45°。</w:t>
      </w:r>
    </w:p>
    <w:p>
      <w:pPr>
        <w:spacing w:line="360" w:lineRule="auto"/>
        <w:ind w:firstLine="480" w:firstLineChars="200"/>
        <w:rPr>
          <w:rFonts w:ascii="宋体" w:hAnsi="宋体" w:eastAsia="宋体"/>
          <w:sz w:val="24"/>
          <w:szCs w:val="24"/>
        </w:rPr>
      </w:pPr>
      <w:r>
        <w:rPr>
          <w:rFonts w:ascii="宋体" w:hAnsi="宋体" w:eastAsia="宋体"/>
          <w:sz w:val="24"/>
          <w:szCs w:val="24"/>
        </w:rPr>
        <w:t>3</w:t>
      </w:r>
      <w:r>
        <w:rPr>
          <w:rFonts w:hint="eastAsia" w:ascii="宋体" w:hAnsi="宋体" w:eastAsia="宋体"/>
          <w:sz w:val="24"/>
          <w:szCs w:val="24"/>
        </w:rPr>
        <w:t>、露天采场最终境界的圈定</w:t>
      </w:r>
    </w:p>
    <w:p>
      <w:pPr>
        <w:spacing w:line="360" w:lineRule="auto"/>
        <w:ind w:firstLine="480" w:firstLineChars="200"/>
        <w:rPr>
          <w:rFonts w:ascii="Times New Roman" w:hAnsi="Times New Roman" w:eastAsia="宋体"/>
          <w:sz w:val="24"/>
          <w:szCs w:val="24"/>
        </w:rPr>
      </w:pPr>
      <w:r>
        <w:rPr>
          <w:rFonts w:ascii="Times New Roman" w:hAnsi="Times New Roman" w:eastAsia="宋体"/>
          <w:sz w:val="24"/>
          <w:szCs w:val="24"/>
        </w:rPr>
        <w:t>露天开采境界主要指标见表2</w:t>
      </w:r>
      <w:r>
        <w:rPr>
          <w:rFonts w:hint="eastAsia" w:ascii="Times New Roman" w:hAnsi="Times New Roman" w:eastAsia="宋体"/>
          <w:sz w:val="24"/>
          <w:szCs w:val="24"/>
        </w:rPr>
        <w:t>-</w:t>
      </w:r>
      <w:r>
        <w:rPr>
          <w:rFonts w:ascii="Times New Roman" w:hAnsi="Times New Roman" w:eastAsia="宋体"/>
          <w:sz w:val="24"/>
          <w:szCs w:val="24"/>
        </w:rPr>
        <w:t>2</w:t>
      </w:r>
      <w:r>
        <w:rPr>
          <w:rFonts w:hint="eastAsia" w:ascii="Times New Roman" w:hAnsi="Times New Roman" w:eastAsia="宋体"/>
          <w:sz w:val="24"/>
          <w:szCs w:val="24"/>
        </w:rPr>
        <w:t>-</w:t>
      </w:r>
      <w:r>
        <w:rPr>
          <w:rFonts w:ascii="Times New Roman" w:hAnsi="Times New Roman" w:eastAsia="宋体"/>
          <w:sz w:val="24"/>
          <w:szCs w:val="24"/>
        </w:rPr>
        <w:t>5</w:t>
      </w:r>
      <w:r>
        <w:rPr>
          <w:rFonts w:hint="eastAsia" w:ascii="Times New Roman" w:hAnsi="Times New Roman" w:eastAsia="宋体"/>
          <w:sz w:val="24"/>
          <w:szCs w:val="24"/>
        </w:rPr>
        <w:t>。</w:t>
      </w:r>
    </w:p>
    <w:p>
      <w:pPr>
        <w:spacing w:line="360" w:lineRule="auto"/>
        <w:jc w:val="center"/>
        <w:rPr>
          <w:rFonts w:ascii="Times New Roman" w:hAnsi="Times New Roman" w:eastAsia="宋体" w:cs="Times New Roman"/>
          <w:b/>
          <w:szCs w:val="21"/>
        </w:rPr>
      </w:pPr>
      <w:r>
        <w:rPr>
          <w:rFonts w:ascii="Times New Roman" w:hAnsi="Times New Roman" w:eastAsia="宋体" w:cs="Times New Roman"/>
          <w:b/>
          <w:szCs w:val="21"/>
        </w:rPr>
        <w:t>表2</w:t>
      </w:r>
      <w:r>
        <w:rPr>
          <w:rFonts w:hint="eastAsia" w:ascii="Times New Roman" w:hAnsi="Times New Roman" w:eastAsia="宋体" w:cs="Times New Roman"/>
          <w:b/>
          <w:szCs w:val="21"/>
        </w:rPr>
        <w:t>-</w:t>
      </w:r>
      <w:r>
        <w:rPr>
          <w:rFonts w:ascii="Times New Roman" w:hAnsi="Times New Roman" w:eastAsia="宋体" w:cs="Times New Roman"/>
          <w:b/>
          <w:szCs w:val="21"/>
        </w:rPr>
        <w:t>2</w:t>
      </w:r>
      <w:r>
        <w:rPr>
          <w:rFonts w:hint="eastAsia" w:ascii="Times New Roman" w:hAnsi="Times New Roman" w:eastAsia="宋体" w:cs="Times New Roman"/>
          <w:b/>
          <w:szCs w:val="21"/>
        </w:rPr>
        <w:t>-</w:t>
      </w:r>
      <w:r>
        <w:rPr>
          <w:rFonts w:ascii="Times New Roman" w:hAnsi="Times New Roman" w:eastAsia="宋体" w:cs="Times New Roman"/>
          <w:b/>
          <w:szCs w:val="21"/>
        </w:rPr>
        <w:t>5  露天采区主要参数表</w:t>
      </w:r>
    </w:p>
    <w:tbl>
      <w:tblPr>
        <w:tblStyle w:val="28"/>
        <w:tblW w:w="8022"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87"/>
        <w:gridCol w:w="2324"/>
        <w:gridCol w:w="1362"/>
        <w:gridCol w:w="1474"/>
        <w:gridCol w:w="127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87" w:type="dxa"/>
            <w:vAlign w:val="center"/>
          </w:tcPr>
          <w:p>
            <w:pPr>
              <w:widowControl/>
              <w:jc w:val="center"/>
              <w:rPr>
                <w:rFonts w:ascii="Times New Roman" w:hAnsi="Times New Roman" w:eastAsia="宋体" w:cs="宋体"/>
                <w:bCs/>
                <w:kern w:val="0"/>
                <w:szCs w:val="24"/>
              </w:rPr>
            </w:pPr>
            <w:r>
              <w:rPr>
                <w:rFonts w:ascii="Times New Roman" w:hAnsi="Times New Roman" w:eastAsia="宋体" w:cs="宋体"/>
                <w:bCs/>
                <w:kern w:val="0"/>
              </w:rPr>
              <w:t>序</w:t>
            </w:r>
            <w:r>
              <w:rPr>
                <w:rFonts w:hint="eastAsia" w:ascii="Times New Roman" w:hAnsi="Times New Roman" w:eastAsia="宋体" w:cs="宋体"/>
                <w:bCs/>
                <w:kern w:val="0"/>
              </w:rPr>
              <w:t xml:space="preserve"> </w:t>
            </w:r>
            <w:r>
              <w:rPr>
                <w:rFonts w:ascii="Times New Roman" w:hAnsi="Times New Roman" w:eastAsia="宋体" w:cs="宋体"/>
                <w:bCs/>
                <w:kern w:val="0"/>
              </w:rPr>
              <w:t>号</w:t>
            </w:r>
          </w:p>
        </w:tc>
        <w:tc>
          <w:tcPr>
            <w:tcW w:w="2324" w:type="dxa"/>
            <w:vAlign w:val="center"/>
          </w:tcPr>
          <w:p>
            <w:pPr>
              <w:widowControl/>
              <w:jc w:val="center"/>
              <w:rPr>
                <w:rFonts w:ascii="Times New Roman" w:hAnsi="Times New Roman" w:eastAsia="宋体" w:cs="宋体"/>
                <w:bCs/>
                <w:kern w:val="0"/>
                <w:szCs w:val="24"/>
              </w:rPr>
            </w:pPr>
            <w:r>
              <w:rPr>
                <w:rFonts w:ascii="Times New Roman" w:hAnsi="Times New Roman" w:eastAsia="宋体" w:cs="宋体"/>
                <w:bCs/>
                <w:kern w:val="0"/>
              </w:rPr>
              <w:t>项 目</w:t>
            </w:r>
          </w:p>
        </w:tc>
        <w:tc>
          <w:tcPr>
            <w:tcW w:w="1362" w:type="dxa"/>
            <w:vAlign w:val="center"/>
          </w:tcPr>
          <w:p>
            <w:pPr>
              <w:widowControl/>
              <w:jc w:val="center"/>
              <w:rPr>
                <w:rFonts w:ascii="Times New Roman" w:hAnsi="Times New Roman" w:eastAsia="宋体" w:cs="宋体"/>
                <w:bCs/>
                <w:kern w:val="0"/>
                <w:szCs w:val="24"/>
              </w:rPr>
            </w:pPr>
            <w:r>
              <w:rPr>
                <w:rFonts w:ascii="Times New Roman" w:hAnsi="Times New Roman" w:eastAsia="宋体" w:cs="宋体"/>
                <w:bCs/>
                <w:kern w:val="0"/>
              </w:rPr>
              <w:t>单 位</w:t>
            </w:r>
          </w:p>
        </w:tc>
        <w:tc>
          <w:tcPr>
            <w:tcW w:w="1474" w:type="dxa"/>
            <w:vAlign w:val="center"/>
          </w:tcPr>
          <w:p>
            <w:pPr>
              <w:widowControl/>
              <w:jc w:val="center"/>
              <w:rPr>
                <w:rFonts w:ascii="Times New Roman" w:hAnsi="Times New Roman" w:eastAsia="宋体" w:cs="宋体"/>
                <w:bCs/>
                <w:kern w:val="0"/>
                <w:szCs w:val="24"/>
              </w:rPr>
            </w:pPr>
          </w:p>
        </w:tc>
        <w:tc>
          <w:tcPr>
            <w:tcW w:w="1275" w:type="dxa"/>
            <w:vAlign w:val="center"/>
          </w:tcPr>
          <w:p>
            <w:pPr>
              <w:widowControl/>
              <w:jc w:val="center"/>
              <w:rPr>
                <w:rFonts w:ascii="Times New Roman" w:hAnsi="Times New Roman" w:eastAsia="宋体" w:cs="宋体"/>
                <w:bCs/>
                <w:kern w:val="0"/>
              </w:rPr>
            </w:pPr>
            <w:r>
              <w:rPr>
                <w:rFonts w:ascii="Times New Roman" w:hAnsi="Times New Roman" w:eastAsia="宋体" w:cs="宋体"/>
                <w:bCs/>
                <w:kern w:val="0"/>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87" w:type="dxa"/>
            <w:vAlign w:val="center"/>
          </w:tcPr>
          <w:p>
            <w:pPr>
              <w:widowControl/>
              <w:jc w:val="center"/>
              <w:rPr>
                <w:rFonts w:ascii="Times New Roman" w:hAnsi="Times New Roman" w:eastAsia="宋体" w:cs="宋体"/>
                <w:kern w:val="0"/>
                <w:szCs w:val="24"/>
              </w:rPr>
            </w:pPr>
            <w:r>
              <w:rPr>
                <w:rFonts w:ascii="Times New Roman" w:hAnsi="Times New Roman" w:eastAsia="宋体" w:cs="宋体"/>
                <w:kern w:val="0"/>
              </w:rPr>
              <w:t>1</w:t>
            </w:r>
          </w:p>
        </w:tc>
        <w:tc>
          <w:tcPr>
            <w:tcW w:w="2324" w:type="dxa"/>
            <w:vAlign w:val="center"/>
          </w:tcPr>
          <w:p>
            <w:pPr>
              <w:widowControl/>
              <w:jc w:val="center"/>
              <w:rPr>
                <w:rFonts w:ascii="Times New Roman" w:hAnsi="Times New Roman" w:eastAsia="宋体" w:cs="宋体"/>
                <w:kern w:val="0"/>
                <w:szCs w:val="24"/>
              </w:rPr>
            </w:pPr>
            <w:r>
              <w:rPr>
                <w:rFonts w:ascii="Times New Roman" w:hAnsi="Times New Roman" w:eastAsia="宋体" w:cs="宋体"/>
                <w:kern w:val="0"/>
              </w:rPr>
              <w:t>露天采区底部标高</w:t>
            </w:r>
          </w:p>
        </w:tc>
        <w:tc>
          <w:tcPr>
            <w:tcW w:w="1362" w:type="dxa"/>
            <w:vAlign w:val="center"/>
          </w:tcPr>
          <w:p>
            <w:pPr>
              <w:widowControl/>
              <w:jc w:val="center"/>
              <w:rPr>
                <w:rFonts w:ascii="Times New Roman" w:hAnsi="Times New Roman" w:eastAsia="宋体" w:cs="宋体"/>
                <w:kern w:val="0"/>
                <w:szCs w:val="24"/>
              </w:rPr>
            </w:pPr>
            <w:r>
              <w:rPr>
                <w:rFonts w:ascii="Times New Roman" w:hAnsi="Times New Roman" w:eastAsia="宋体" w:cs="宋体"/>
                <w:kern w:val="0"/>
              </w:rPr>
              <w:t>m</w:t>
            </w:r>
          </w:p>
        </w:tc>
        <w:tc>
          <w:tcPr>
            <w:tcW w:w="1474" w:type="dxa"/>
            <w:vAlign w:val="center"/>
          </w:tcPr>
          <w:p>
            <w:pPr>
              <w:widowControl/>
              <w:jc w:val="center"/>
              <w:rPr>
                <w:rFonts w:ascii="Times New Roman" w:hAnsi="Times New Roman" w:eastAsia="宋体" w:cs="宋体"/>
                <w:kern w:val="0"/>
                <w:szCs w:val="24"/>
              </w:rPr>
            </w:pPr>
            <w:r>
              <w:rPr>
                <w:rFonts w:ascii="Times New Roman" w:hAnsi="Times New Roman" w:eastAsia="宋体" w:cs="宋体"/>
                <w:kern w:val="0"/>
              </w:rPr>
              <w:t>4300</w:t>
            </w:r>
          </w:p>
        </w:tc>
        <w:tc>
          <w:tcPr>
            <w:tcW w:w="1275" w:type="dxa"/>
          </w:tcPr>
          <w:p>
            <w:pPr>
              <w:widowControl/>
              <w:jc w:val="center"/>
              <w:rPr>
                <w:rFonts w:ascii="Times New Roman" w:hAnsi="Times New Roman" w:eastAsia="宋体" w:cs="宋体"/>
                <w:kern w:val="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87" w:type="dxa"/>
            <w:vAlign w:val="center"/>
          </w:tcPr>
          <w:p>
            <w:pPr>
              <w:widowControl/>
              <w:jc w:val="center"/>
              <w:rPr>
                <w:rFonts w:ascii="Times New Roman" w:hAnsi="Times New Roman" w:eastAsia="宋体" w:cs="宋体"/>
                <w:kern w:val="0"/>
                <w:szCs w:val="24"/>
              </w:rPr>
            </w:pPr>
            <w:r>
              <w:rPr>
                <w:rFonts w:ascii="Times New Roman" w:hAnsi="Times New Roman" w:eastAsia="宋体" w:cs="宋体"/>
                <w:kern w:val="0"/>
              </w:rPr>
              <w:t>2</w:t>
            </w:r>
          </w:p>
        </w:tc>
        <w:tc>
          <w:tcPr>
            <w:tcW w:w="2324" w:type="dxa"/>
            <w:vAlign w:val="center"/>
          </w:tcPr>
          <w:p>
            <w:pPr>
              <w:widowControl/>
              <w:jc w:val="center"/>
              <w:rPr>
                <w:rFonts w:ascii="Times New Roman" w:hAnsi="Times New Roman" w:eastAsia="宋体" w:cs="宋体"/>
                <w:kern w:val="0"/>
                <w:szCs w:val="24"/>
              </w:rPr>
            </w:pPr>
            <w:r>
              <w:rPr>
                <w:rFonts w:ascii="Times New Roman" w:hAnsi="Times New Roman" w:eastAsia="宋体" w:cs="宋体"/>
                <w:kern w:val="0"/>
              </w:rPr>
              <w:t>露天采区最高台阶标高</w:t>
            </w:r>
          </w:p>
        </w:tc>
        <w:tc>
          <w:tcPr>
            <w:tcW w:w="1362" w:type="dxa"/>
            <w:vAlign w:val="center"/>
          </w:tcPr>
          <w:p>
            <w:pPr>
              <w:widowControl/>
              <w:jc w:val="center"/>
              <w:rPr>
                <w:rFonts w:ascii="Times New Roman" w:hAnsi="Times New Roman" w:eastAsia="宋体" w:cs="宋体"/>
                <w:kern w:val="0"/>
                <w:szCs w:val="24"/>
              </w:rPr>
            </w:pPr>
            <w:r>
              <w:rPr>
                <w:rFonts w:ascii="Times New Roman" w:hAnsi="Times New Roman" w:eastAsia="宋体" w:cs="宋体"/>
                <w:kern w:val="0"/>
              </w:rPr>
              <w:t>m</w:t>
            </w:r>
          </w:p>
        </w:tc>
        <w:tc>
          <w:tcPr>
            <w:tcW w:w="1474" w:type="dxa"/>
            <w:vAlign w:val="center"/>
          </w:tcPr>
          <w:p>
            <w:pPr>
              <w:widowControl/>
              <w:jc w:val="center"/>
              <w:rPr>
                <w:rFonts w:ascii="Times New Roman" w:hAnsi="Times New Roman" w:eastAsia="宋体" w:cs="宋体"/>
                <w:kern w:val="0"/>
                <w:szCs w:val="24"/>
              </w:rPr>
            </w:pPr>
            <w:r>
              <w:rPr>
                <w:rFonts w:ascii="Times New Roman" w:hAnsi="Times New Roman" w:eastAsia="宋体" w:cs="宋体"/>
                <w:kern w:val="0"/>
              </w:rPr>
              <w:t>4530</w:t>
            </w:r>
          </w:p>
        </w:tc>
        <w:tc>
          <w:tcPr>
            <w:tcW w:w="1275" w:type="dxa"/>
          </w:tcPr>
          <w:p>
            <w:pPr>
              <w:widowControl/>
              <w:jc w:val="center"/>
              <w:rPr>
                <w:rFonts w:ascii="Times New Roman" w:hAnsi="Times New Roman" w:eastAsia="宋体" w:cs="宋体"/>
                <w:kern w:val="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87" w:type="dxa"/>
            <w:vAlign w:val="center"/>
          </w:tcPr>
          <w:p>
            <w:pPr>
              <w:widowControl/>
              <w:jc w:val="center"/>
              <w:rPr>
                <w:rFonts w:ascii="Times New Roman" w:hAnsi="Times New Roman" w:eastAsia="宋体" w:cs="宋体"/>
                <w:kern w:val="0"/>
                <w:szCs w:val="24"/>
              </w:rPr>
            </w:pPr>
            <w:r>
              <w:rPr>
                <w:rFonts w:ascii="Times New Roman" w:hAnsi="Times New Roman" w:eastAsia="宋体" w:cs="宋体"/>
                <w:kern w:val="0"/>
              </w:rPr>
              <w:t>3</w:t>
            </w:r>
          </w:p>
        </w:tc>
        <w:tc>
          <w:tcPr>
            <w:tcW w:w="2324" w:type="dxa"/>
            <w:vAlign w:val="center"/>
          </w:tcPr>
          <w:p>
            <w:pPr>
              <w:widowControl/>
              <w:jc w:val="center"/>
              <w:rPr>
                <w:rFonts w:ascii="Times New Roman" w:hAnsi="Times New Roman" w:eastAsia="宋体" w:cs="宋体"/>
                <w:kern w:val="0"/>
                <w:szCs w:val="24"/>
              </w:rPr>
            </w:pPr>
            <w:r>
              <w:rPr>
                <w:rFonts w:ascii="Times New Roman" w:hAnsi="Times New Roman" w:eastAsia="宋体" w:cs="宋体"/>
                <w:kern w:val="0"/>
              </w:rPr>
              <w:t>露天采区上口尺寸</w:t>
            </w:r>
          </w:p>
        </w:tc>
        <w:tc>
          <w:tcPr>
            <w:tcW w:w="1362" w:type="dxa"/>
            <w:vAlign w:val="center"/>
          </w:tcPr>
          <w:p>
            <w:pPr>
              <w:widowControl/>
              <w:jc w:val="center"/>
              <w:rPr>
                <w:rFonts w:ascii="Times New Roman" w:hAnsi="Times New Roman" w:eastAsia="宋体" w:cs="宋体"/>
                <w:kern w:val="0"/>
                <w:szCs w:val="24"/>
              </w:rPr>
            </w:pPr>
            <w:r>
              <w:rPr>
                <w:rFonts w:ascii="Times New Roman" w:hAnsi="Times New Roman" w:eastAsia="宋体" w:cs="宋体"/>
                <w:kern w:val="0"/>
              </w:rPr>
              <w:t>m*m</w:t>
            </w:r>
          </w:p>
        </w:tc>
        <w:tc>
          <w:tcPr>
            <w:tcW w:w="1474" w:type="dxa"/>
            <w:vAlign w:val="center"/>
          </w:tcPr>
          <w:p>
            <w:pPr>
              <w:widowControl/>
              <w:jc w:val="center"/>
              <w:rPr>
                <w:rFonts w:ascii="Times New Roman" w:hAnsi="Times New Roman" w:eastAsia="宋体" w:cs="宋体"/>
                <w:kern w:val="0"/>
                <w:szCs w:val="24"/>
              </w:rPr>
            </w:pPr>
            <w:r>
              <w:rPr>
                <w:rFonts w:ascii="Times New Roman" w:hAnsi="Times New Roman" w:eastAsia="宋体" w:cs="宋体"/>
                <w:kern w:val="0"/>
              </w:rPr>
              <w:t>480*440</w:t>
            </w:r>
          </w:p>
        </w:tc>
        <w:tc>
          <w:tcPr>
            <w:tcW w:w="1275" w:type="dxa"/>
          </w:tcPr>
          <w:p>
            <w:pPr>
              <w:widowControl/>
              <w:jc w:val="center"/>
              <w:rPr>
                <w:rFonts w:ascii="Times New Roman" w:hAnsi="Times New Roman" w:eastAsia="宋体" w:cs="宋体"/>
                <w:kern w:val="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87" w:type="dxa"/>
            <w:vAlign w:val="center"/>
          </w:tcPr>
          <w:p>
            <w:pPr>
              <w:widowControl/>
              <w:jc w:val="center"/>
              <w:rPr>
                <w:rFonts w:ascii="Times New Roman" w:hAnsi="Times New Roman" w:eastAsia="宋体" w:cs="宋体"/>
                <w:kern w:val="0"/>
                <w:szCs w:val="24"/>
              </w:rPr>
            </w:pPr>
            <w:r>
              <w:rPr>
                <w:rFonts w:ascii="Times New Roman" w:hAnsi="Times New Roman" w:eastAsia="宋体" w:cs="宋体"/>
                <w:kern w:val="0"/>
              </w:rPr>
              <w:t>4</w:t>
            </w:r>
          </w:p>
        </w:tc>
        <w:tc>
          <w:tcPr>
            <w:tcW w:w="2324" w:type="dxa"/>
            <w:vAlign w:val="center"/>
          </w:tcPr>
          <w:p>
            <w:pPr>
              <w:widowControl/>
              <w:jc w:val="center"/>
              <w:rPr>
                <w:rFonts w:ascii="Times New Roman" w:hAnsi="Times New Roman" w:eastAsia="宋体" w:cs="宋体"/>
                <w:kern w:val="0"/>
                <w:szCs w:val="24"/>
              </w:rPr>
            </w:pPr>
            <w:r>
              <w:rPr>
                <w:rFonts w:ascii="Times New Roman" w:hAnsi="Times New Roman" w:eastAsia="宋体" w:cs="宋体"/>
                <w:kern w:val="0"/>
              </w:rPr>
              <w:t>露天采区下口尺寸</w:t>
            </w:r>
          </w:p>
        </w:tc>
        <w:tc>
          <w:tcPr>
            <w:tcW w:w="1362" w:type="dxa"/>
            <w:vAlign w:val="center"/>
          </w:tcPr>
          <w:p>
            <w:pPr>
              <w:widowControl/>
              <w:jc w:val="center"/>
              <w:rPr>
                <w:rFonts w:ascii="Times New Roman" w:hAnsi="Times New Roman" w:eastAsia="宋体" w:cs="宋体"/>
                <w:kern w:val="0"/>
                <w:szCs w:val="24"/>
              </w:rPr>
            </w:pPr>
            <w:r>
              <w:rPr>
                <w:rFonts w:ascii="Times New Roman" w:hAnsi="Times New Roman" w:eastAsia="宋体" w:cs="宋体"/>
                <w:kern w:val="0"/>
              </w:rPr>
              <w:t>m*m</w:t>
            </w:r>
          </w:p>
        </w:tc>
        <w:tc>
          <w:tcPr>
            <w:tcW w:w="1474" w:type="dxa"/>
            <w:vAlign w:val="center"/>
          </w:tcPr>
          <w:p>
            <w:pPr>
              <w:widowControl/>
              <w:jc w:val="center"/>
              <w:rPr>
                <w:rFonts w:ascii="Times New Roman" w:hAnsi="Times New Roman" w:eastAsia="宋体" w:cs="宋体"/>
                <w:kern w:val="0"/>
                <w:szCs w:val="24"/>
              </w:rPr>
            </w:pPr>
            <w:r>
              <w:rPr>
                <w:rFonts w:ascii="Times New Roman" w:hAnsi="Times New Roman" w:eastAsia="宋体" w:cs="宋体"/>
                <w:kern w:val="0"/>
              </w:rPr>
              <w:t>120*16</w:t>
            </w:r>
          </w:p>
        </w:tc>
        <w:tc>
          <w:tcPr>
            <w:tcW w:w="1275" w:type="dxa"/>
          </w:tcPr>
          <w:p>
            <w:pPr>
              <w:widowControl/>
              <w:jc w:val="center"/>
              <w:rPr>
                <w:rFonts w:ascii="Times New Roman" w:hAnsi="Times New Roman" w:eastAsia="宋体" w:cs="宋体"/>
                <w:kern w:val="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87" w:type="dxa"/>
            <w:vAlign w:val="center"/>
          </w:tcPr>
          <w:p>
            <w:pPr>
              <w:widowControl/>
              <w:jc w:val="center"/>
              <w:rPr>
                <w:rFonts w:ascii="Times New Roman" w:hAnsi="Times New Roman" w:eastAsia="宋体" w:cs="宋体"/>
                <w:kern w:val="0"/>
                <w:szCs w:val="24"/>
              </w:rPr>
            </w:pPr>
            <w:r>
              <w:rPr>
                <w:rFonts w:ascii="Times New Roman" w:hAnsi="Times New Roman" w:eastAsia="宋体" w:cs="宋体"/>
                <w:kern w:val="0"/>
              </w:rPr>
              <w:t>5</w:t>
            </w:r>
          </w:p>
        </w:tc>
        <w:tc>
          <w:tcPr>
            <w:tcW w:w="2324" w:type="dxa"/>
            <w:vAlign w:val="center"/>
          </w:tcPr>
          <w:p>
            <w:pPr>
              <w:widowControl/>
              <w:jc w:val="center"/>
              <w:rPr>
                <w:rFonts w:ascii="Times New Roman" w:hAnsi="Times New Roman" w:eastAsia="宋体" w:cs="宋体"/>
                <w:kern w:val="0"/>
                <w:szCs w:val="24"/>
              </w:rPr>
            </w:pPr>
            <w:r>
              <w:rPr>
                <w:rFonts w:ascii="Times New Roman" w:hAnsi="Times New Roman" w:eastAsia="宋体" w:cs="宋体"/>
                <w:kern w:val="0"/>
              </w:rPr>
              <w:t>露天采区最大采深</w:t>
            </w:r>
          </w:p>
        </w:tc>
        <w:tc>
          <w:tcPr>
            <w:tcW w:w="1362" w:type="dxa"/>
            <w:vAlign w:val="center"/>
          </w:tcPr>
          <w:p>
            <w:pPr>
              <w:widowControl/>
              <w:jc w:val="center"/>
              <w:rPr>
                <w:rFonts w:ascii="Times New Roman" w:hAnsi="Times New Roman" w:eastAsia="宋体" w:cs="宋体"/>
                <w:kern w:val="0"/>
                <w:szCs w:val="24"/>
              </w:rPr>
            </w:pPr>
            <w:r>
              <w:rPr>
                <w:rFonts w:ascii="Times New Roman" w:hAnsi="Times New Roman" w:eastAsia="宋体" w:cs="宋体"/>
                <w:kern w:val="0"/>
              </w:rPr>
              <w:t>m</w:t>
            </w:r>
          </w:p>
        </w:tc>
        <w:tc>
          <w:tcPr>
            <w:tcW w:w="1474" w:type="dxa"/>
            <w:vAlign w:val="center"/>
          </w:tcPr>
          <w:p>
            <w:pPr>
              <w:widowControl/>
              <w:jc w:val="center"/>
              <w:rPr>
                <w:rFonts w:ascii="Times New Roman" w:hAnsi="Times New Roman" w:eastAsia="宋体" w:cs="宋体"/>
                <w:kern w:val="0"/>
                <w:szCs w:val="24"/>
              </w:rPr>
            </w:pPr>
            <w:r>
              <w:rPr>
                <w:rFonts w:ascii="Times New Roman" w:hAnsi="Times New Roman" w:eastAsia="宋体" w:cs="宋体"/>
                <w:kern w:val="0"/>
              </w:rPr>
              <w:t>230</w:t>
            </w:r>
          </w:p>
        </w:tc>
        <w:tc>
          <w:tcPr>
            <w:tcW w:w="1275" w:type="dxa"/>
          </w:tcPr>
          <w:p>
            <w:pPr>
              <w:widowControl/>
              <w:jc w:val="center"/>
              <w:rPr>
                <w:rFonts w:ascii="Times New Roman" w:hAnsi="Times New Roman" w:eastAsia="宋体" w:cs="宋体"/>
                <w:kern w:val="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87" w:type="dxa"/>
            <w:vAlign w:val="center"/>
          </w:tcPr>
          <w:p>
            <w:pPr>
              <w:widowControl/>
              <w:jc w:val="center"/>
              <w:rPr>
                <w:rFonts w:ascii="Times New Roman" w:hAnsi="Times New Roman" w:eastAsia="宋体" w:cs="宋体"/>
                <w:kern w:val="0"/>
                <w:szCs w:val="24"/>
              </w:rPr>
            </w:pPr>
            <w:r>
              <w:rPr>
                <w:rFonts w:ascii="Times New Roman" w:hAnsi="Times New Roman" w:eastAsia="宋体" w:cs="宋体"/>
                <w:kern w:val="0"/>
              </w:rPr>
              <w:t>6</w:t>
            </w:r>
          </w:p>
        </w:tc>
        <w:tc>
          <w:tcPr>
            <w:tcW w:w="2324" w:type="dxa"/>
            <w:vAlign w:val="center"/>
          </w:tcPr>
          <w:p>
            <w:pPr>
              <w:widowControl/>
              <w:jc w:val="center"/>
              <w:rPr>
                <w:rFonts w:ascii="Times New Roman" w:hAnsi="Times New Roman" w:eastAsia="宋体" w:cs="宋体"/>
                <w:kern w:val="0"/>
                <w:szCs w:val="24"/>
              </w:rPr>
            </w:pPr>
            <w:r>
              <w:rPr>
                <w:rFonts w:ascii="Times New Roman" w:hAnsi="Times New Roman" w:eastAsia="宋体" w:cs="宋体"/>
                <w:kern w:val="0"/>
              </w:rPr>
              <w:t>露天境界内地质资源量</w:t>
            </w:r>
          </w:p>
        </w:tc>
        <w:tc>
          <w:tcPr>
            <w:tcW w:w="1362" w:type="dxa"/>
            <w:vAlign w:val="center"/>
          </w:tcPr>
          <w:p>
            <w:pPr>
              <w:widowControl/>
              <w:jc w:val="center"/>
              <w:rPr>
                <w:rFonts w:ascii="Times New Roman" w:hAnsi="Times New Roman" w:eastAsia="宋体" w:cs="宋体"/>
                <w:kern w:val="0"/>
                <w:szCs w:val="24"/>
              </w:rPr>
            </w:pPr>
            <w:r>
              <w:rPr>
                <w:rFonts w:ascii="Times New Roman" w:hAnsi="Times New Roman" w:eastAsia="宋体" w:cs="宋体"/>
                <w:kern w:val="0"/>
              </w:rPr>
              <w:t>万 t</w:t>
            </w:r>
          </w:p>
        </w:tc>
        <w:tc>
          <w:tcPr>
            <w:tcW w:w="1474" w:type="dxa"/>
            <w:vAlign w:val="center"/>
          </w:tcPr>
          <w:p>
            <w:pPr>
              <w:widowControl/>
              <w:jc w:val="center"/>
              <w:rPr>
                <w:rFonts w:ascii="Times New Roman" w:hAnsi="Times New Roman" w:eastAsia="宋体" w:cs="宋体"/>
                <w:kern w:val="0"/>
                <w:szCs w:val="24"/>
              </w:rPr>
            </w:pPr>
            <w:r>
              <w:rPr>
                <w:rFonts w:ascii="Times New Roman" w:hAnsi="Times New Roman" w:eastAsia="宋体" w:cs="宋体"/>
                <w:kern w:val="0"/>
              </w:rPr>
              <w:t>122.42</w:t>
            </w:r>
          </w:p>
        </w:tc>
        <w:tc>
          <w:tcPr>
            <w:tcW w:w="1275" w:type="dxa"/>
          </w:tcPr>
          <w:p>
            <w:pPr>
              <w:widowControl/>
              <w:jc w:val="center"/>
              <w:rPr>
                <w:rFonts w:ascii="Times New Roman" w:hAnsi="Times New Roman" w:eastAsia="宋体" w:cs="宋体"/>
                <w:kern w:val="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87" w:type="dxa"/>
            <w:vAlign w:val="center"/>
          </w:tcPr>
          <w:p>
            <w:pPr>
              <w:widowControl/>
              <w:jc w:val="center"/>
              <w:rPr>
                <w:rFonts w:ascii="Times New Roman" w:hAnsi="Times New Roman" w:eastAsia="宋体" w:cs="宋体"/>
                <w:kern w:val="0"/>
                <w:szCs w:val="24"/>
              </w:rPr>
            </w:pPr>
            <w:r>
              <w:rPr>
                <w:rFonts w:ascii="Times New Roman" w:hAnsi="Times New Roman" w:eastAsia="宋体" w:cs="宋体"/>
                <w:kern w:val="0"/>
              </w:rPr>
              <w:t>7</w:t>
            </w:r>
          </w:p>
        </w:tc>
        <w:tc>
          <w:tcPr>
            <w:tcW w:w="2324" w:type="dxa"/>
            <w:vAlign w:val="center"/>
          </w:tcPr>
          <w:p>
            <w:pPr>
              <w:widowControl/>
              <w:jc w:val="center"/>
              <w:rPr>
                <w:rFonts w:ascii="Times New Roman" w:hAnsi="Times New Roman" w:eastAsia="宋体" w:cs="宋体"/>
                <w:kern w:val="0"/>
                <w:szCs w:val="24"/>
              </w:rPr>
            </w:pPr>
            <w:r>
              <w:rPr>
                <w:rFonts w:ascii="Times New Roman" w:hAnsi="Times New Roman" w:eastAsia="宋体" w:cs="宋体"/>
                <w:kern w:val="0"/>
              </w:rPr>
              <w:t>地质品位</w:t>
            </w:r>
          </w:p>
        </w:tc>
        <w:tc>
          <w:tcPr>
            <w:tcW w:w="1362" w:type="dxa"/>
            <w:vAlign w:val="center"/>
          </w:tcPr>
          <w:p>
            <w:pPr>
              <w:widowControl/>
              <w:jc w:val="center"/>
              <w:rPr>
                <w:rFonts w:ascii="Times New Roman" w:hAnsi="Times New Roman" w:eastAsia="宋体" w:cs="Times New Roman"/>
                <w:kern w:val="0"/>
                <w:szCs w:val="20"/>
              </w:rPr>
            </w:pPr>
          </w:p>
        </w:tc>
        <w:tc>
          <w:tcPr>
            <w:tcW w:w="1474" w:type="dxa"/>
            <w:vAlign w:val="center"/>
          </w:tcPr>
          <w:p>
            <w:pPr>
              <w:widowControl/>
              <w:jc w:val="center"/>
              <w:rPr>
                <w:rFonts w:ascii="Times New Roman" w:hAnsi="Times New Roman" w:eastAsia="宋体" w:cs="Times New Roman"/>
                <w:kern w:val="0"/>
                <w:szCs w:val="20"/>
              </w:rPr>
            </w:pPr>
          </w:p>
        </w:tc>
        <w:tc>
          <w:tcPr>
            <w:tcW w:w="1275" w:type="dxa"/>
          </w:tcPr>
          <w:p>
            <w:pPr>
              <w:widowControl/>
              <w:jc w:val="center"/>
              <w:rPr>
                <w:rFonts w:ascii="Times New Roman" w:hAnsi="Times New Roman" w:eastAsia="宋体" w:cs="Times New Roman"/>
                <w:kern w:val="0"/>
                <w:szCs w:val="2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87" w:type="dxa"/>
            <w:vAlign w:val="center"/>
          </w:tcPr>
          <w:p>
            <w:pPr>
              <w:widowControl/>
              <w:jc w:val="center"/>
              <w:rPr>
                <w:rFonts w:ascii="Times New Roman" w:hAnsi="Times New Roman" w:eastAsia="宋体" w:cs="宋体"/>
                <w:kern w:val="0"/>
                <w:szCs w:val="24"/>
              </w:rPr>
            </w:pPr>
          </w:p>
        </w:tc>
        <w:tc>
          <w:tcPr>
            <w:tcW w:w="2324" w:type="dxa"/>
            <w:vAlign w:val="center"/>
          </w:tcPr>
          <w:p>
            <w:pPr>
              <w:widowControl/>
              <w:jc w:val="center"/>
              <w:rPr>
                <w:rFonts w:ascii="Times New Roman" w:hAnsi="Times New Roman" w:eastAsia="宋体" w:cs="宋体"/>
                <w:kern w:val="0"/>
                <w:szCs w:val="24"/>
              </w:rPr>
            </w:pPr>
            <w:r>
              <w:rPr>
                <w:rFonts w:ascii="Times New Roman" w:hAnsi="Times New Roman" w:eastAsia="宋体" w:cs="宋体"/>
                <w:kern w:val="0"/>
              </w:rPr>
              <w:t>Li</w:t>
            </w:r>
            <w:r>
              <w:rPr>
                <w:rFonts w:ascii="Times New Roman" w:hAnsi="Times New Roman" w:eastAsia="宋体" w:cs="宋体"/>
                <w:kern w:val="0"/>
                <w:szCs w:val="14"/>
                <w:vertAlign w:val="subscript"/>
              </w:rPr>
              <w:t>2</w:t>
            </w:r>
            <w:r>
              <w:rPr>
                <w:rFonts w:ascii="Times New Roman" w:hAnsi="Times New Roman" w:eastAsia="宋体" w:cs="宋体"/>
                <w:kern w:val="0"/>
              </w:rPr>
              <w:t>O</w:t>
            </w:r>
          </w:p>
        </w:tc>
        <w:tc>
          <w:tcPr>
            <w:tcW w:w="1362" w:type="dxa"/>
            <w:vAlign w:val="center"/>
          </w:tcPr>
          <w:p>
            <w:pPr>
              <w:widowControl/>
              <w:jc w:val="center"/>
              <w:rPr>
                <w:rFonts w:ascii="Times New Roman" w:hAnsi="Times New Roman" w:eastAsia="宋体" w:cs="宋体"/>
                <w:kern w:val="0"/>
                <w:szCs w:val="24"/>
              </w:rPr>
            </w:pPr>
            <w:r>
              <w:rPr>
                <w:rFonts w:ascii="Times New Roman" w:hAnsi="Times New Roman" w:eastAsia="宋体" w:cs="宋体"/>
                <w:kern w:val="0"/>
              </w:rPr>
              <w:t>%</w:t>
            </w:r>
          </w:p>
        </w:tc>
        <w:tc>
          <w:tcPr>
            <w:tcW w:w="1474" w:type="dxa"/>
            <w:vAlign w:val="center"/>
          </w:tcPr>
          <w:p>
            <w:pPr>
              <w:widowControl/>
              <w:jc w:val="center"/>
              <w:rPr>
                <w:rFonts w:ascii="Times New Roman" w:hAnsi="Times New Roman" w:eastAsia="宋体" w:cs="Times New Roman"/>
                <w:kern w:val="0"/>
                <w:szCs w:val="20"/>
              </w:rPr>
            </w:pPr>
            <w:r>
              <w:rPr>
                <w:rFonts w:ascii="Times New Roman" w:hAnsi="Times New Roman" w:eastAsia="宋体" w:cs="宋体"/>
                <w:kern w:val="0"/>
              </w:rPr>
              <w:t>1.44</w:t>
            </w:r>
          </w:p>
        </w:tc>
        <w:tc>
          <w:tcPr>
            <w:tcW w:w="1275" w:type="dxa"/>
          </w:tcPr>
          <w:p>
            <w:pPr>
              <w:widowControl/>
              <w:jc w:val="center"/>
              <w:rPr>
                <w:rFonts w:ascii="Times New Roman" w:hAnsi="Times New Roman" w:eastAsia="宋体" w:cs="Times New Roman"/>
                <w:kern w:val="0"/>
                <w:szCs w:val="2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87" w:type="dxa"/>
            <w:vAlign w:val="center"/>
          </w:tcPr>
          <w:p>
            <w:pPr>
              <w:widowControl/>
              <w:jc w:val="center"/>
              <w:rPr>
                <w:rFonts w:ascii="Times New Roman" w:hAnsi="Times New Roman" w:eastAsia="宋体" w:cs="宋体"/>
                <w:kern w:val="0"/>
                <w:szCs w:val="24"/>
              </w:rPr>
            </w:pPr>
          </w:p>
        </w:tc>
        <w:tc>
          <w:tcPr>
            <w:tcW w:w="2324" w:type="dxa"/>
            <w:vAlign w:val="center"/>
          </w:tcPr>
          <w:p>
            <w:pPr>
              <w:widowControl/>
              <w:jc w:val="center"/>
              <w:rPr>
                <w:rFonts w:ascii="Times New Roman" w:hAnsi="Times New Roman" w:eastAsia="宋体" w:cs="宋体"/>
                <w:kern w:val="0"/>
                <w:szCs w:val="24"/>
              </w:rPr>
            </w:pPr>
            <w:r>
              <w:rPr>
                <w:rFonts w:ascii="Times New Roman" w:hAnsi="Times New Roman" w:eastAsia="宋体" w:cs="宋体"/>
                <w:kern w:val="0"/>
              </w:rPr>
              <w:t>Nb</w:t>
            </w:r>
            <w:r>
              <w:rPr>
                <w:rFonts w:ascii="Times New Roman" w:hAnsi="Times New Roman" w:eastAsia="宋体" w:cs="宋体"/>
                <w:kern w:val="0"/>
                <w:szCs w:val="14"/>
                <w:vertAlign w:val="subscript"/>
              </w:rPr>
              <w:t>2</w:t>
            </w:r>
            <w:r>
              <w:rPr>
                <w:rFonts w:ascii="Times New Roman" w:hAnsi="Times New Roman" w:eastAsia="宋体" w:cs="宋体"/>
                <w:kern w:val="0"/>
              </w:rPr>
              <w:t>O</w:t>
            </w:r>
            <w:r>
              <w:rPr>
                <w:rFonts w:ascii="Times New Roman" w:hAnsi="Times New Roman" w:eastAsia="宋体" w:cs="宋体"/>
                <w:kern w:val="0"/>
                <w:szCs w:val="14"/>
                <w:vertAlign w:val="subscript"/>
              </w:rPr>
              <w:t>5</w:t>
            </w:r>
          </w:p>
        </w:tc>
        <w:tc>
          <w:tcPr>
            <w:tcW w:w="1362" w:type="dxa"/>
            <w:vAlign w:val="center"/>
          </w:tcPr>
          <w:p>
            <w:pPr>
              <w:widowControl/>
              <w:jc w:val="center"/>
              <w:rPr>
                <w:rFonts w:ascii="Times New Roman" w:hAnsi="Times New Roman" w:eastAsia="宋体" w:cs="宋体"/>
                <w:kern w:val="0"/>
                <w:szCs w:val="24"/>
              </w:rPr>
            </w:pPr>
            <w:r>
              <w:rPr>
                <w:rFonts w:ascii="Times New Roman" w:hAnsi="Times New Roman" w:eastAsia="宋体" w:cs="宋体"/>
                <w:kern w:val="0"/>
              </w:rPr>
              <w:t>%</w:t>
            </w:r>
          </w:p>
        </w:tc>
        <w:tc>
          <w:tcPr>
            <w:tcW w:w="1474" w:type="dxa"/>
            <w:vAlign w:val="center"/>
          </w:tcPr>
          <w:p>
            <w:pPr>
              <w:widowControl/>
              <w:jc w:val="center"/>
              <w:rPr>
                <w:rFonts w:ascii="Times New Roman" w:hAnsi="Times New Roman" w:eastAsia="宋体" w:cs="Times New Roman"/>
                <w:kern w:val="0"/>
                <w:szCs w:val="20"/>
              </w:rPr>
            </w:pPr>
            <w:r>
              <w:rPr>
                <w:rFonts w:ascii="Times New Roman" w:hAnsi="Times New Roman" w:eastAsia="宋体" w:cs="宋体"/>
                <w:kern w:val="0"/>
              </w:rPr>
              <w:t>0.0083</w:t>
            </w:r>
          </w:p>
        </w:tc>
        <w:tc>
          <w:tcPr>
            <w:tcW w:w="1275" w:type="dxa"/>
          </w:tcPr>
          <w:p>
            <w:pPr>
              <w:widowControl/>
              <w:jc w:val="center"/>
              <w:rPr>
                <w:rFonts w:ascii="Times New Roman" w:hAnsi="Times New Roman" w:eastAsia="宋体" w:cs="Times New Roman"/>
                <w:kern w:val="0"/>
                <w:szCs w:val="2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87" w:type="dxa"/>
            <w:vAlign w:val="center"/>
          </w:tcPr>
          <w:p>
            <w:pPr>
              <w:widowControl/>
              <w:jc w:val="center"/>
              <w:rPr>
                <w:rFonts w:ascii="Times New Roman" w:hAnsi="Times New Roman" w:eastAsia="宋体" w:cs="宋体"/>
                <w:kern w:val="0"/>
                <w:szCs w:val="24"/>
              </w:rPr>
            </w:pPr>
          </w:p>
        </w:tc>
        <w:tc>
          <w:tcPr>
            <w:tcW w:w="2324" w:type="dxa"/>
            <w:vAlign w:val="center"/>
          </w:tcPr>
          <w:p>
            <w:pPr>
              <w:widowControl/>
              <w:jc w:val="center"/>
              <w:rPr>
                <w:rFonts w:ascii="Times New Roman" w:hAnsi="Times New Roman" w:eastAsia="宋体" w:cs="宋体"/>
                <w:kern w:val="0"/>
                <w:szCs w:val="24"/>
              </w:rPr>
            </w:pPr>
            <w:r>
              <w:rPr>
                <w:rFonts w:ascii="Times New Roman" w:hAnsi="Times New Roman" w:eastAsia="宋体" w:cs="宋体"/>
                <w:kern w:val="0"/>
              </w:rPr>
              <w:t>Ta</w:t>
            </w:r>
            <w:r>
              <w:rPr>
                <w:rFonts w:ascii="Times New Roman" w:hAnsi="Times New Roman" w:eastAsia="宋体" w:cs="宋体"/>
                <w:kern w:val="0"/>
                <w:szCs w:val="14"/>
                <w:vertAlign w:val="subscript"/>
              </w:rPr>
              <w:t>2</w:t>
            </w:r>
            <w:r>
              <w:rPr>
                <w:rFonts w:ascii="Times New Roman" w:hAnsi="Times New Roman" w:eastAsia="宋体" w:cs="宋体"/>
                <w:kern w:val="0"/>
              </w:rPr>
              <w:t>O</w:t>
            </w:r>
            <w:r>
              <w:rPr>
                <w:rFonts w:ascii="Times New Roman" w:hAnsi="Times New Roman" w:eastAsia="宋体" w:cs="宋体"/>
                <w:kern w:val="0"/>
                <w:szCs w:val="14"/>
                <w:vertAlign w:val="subscript"/>
              </w:rPr>
              <w:t>5</w:t>
            </w:r>
          </w:p>
        </w:tc>
        <w:tc>
          <w:tcPr>
            <w:tcW w:w="1362" w:type="dxa"/>
            <w:vAlign w:val="center"/>
          </w:tcPr>
          <w:p>
            <w:pPr>
              <w:widowControl/>
              <w:jc w:val="center"/>
              <w:rPr>
                <w:rFonts w:ascii="Times New Roman" w:hAnsi="Times New Roman" w:eastAsia="宋体" w:cs="宋体"/>
                <w:kern w:val="0"/>
                <w:szCs w:val="24"/>
              </w:rPr>
            </w:pPr>
            <w:r>
              <w:rPr>
                <w:rFonts w:ascii="Times New Roman" w:hAnsi="Times New Roman" w:eastAsia="宋体" w:cs="宋体"/>
                <w:kern w:val="0"/>
              </w:rPr>
              <w:t>%</w:t>
            </w:r>
          </w:p>
        </w:tc>
        <w:tc>
          <w:tcPr>
            <w:tcW w:w="1474" w:type="dxa"/>
            <w:vAlign w:val="center"/>
          </w:tcPr>
          <w:p>
            <w:pPr>
              <w:widowControl/>
              <w:jc w:val="center"/>
              <w:rPr>
                <w:rFonts w:ascii="Times New Roman" w:hAnsi="Times New Roman" w:eastAsia="宋体" w:cs="Times New Roman"/>
                <w:kern w:val="0"/>
                <w:szCs w:val="20"/>
              </w:rPr>
            </w:pPr>
            <w:r>
              <w:rPr>
                <w:rFonts w:ascii="Times New Roman" w:hAnsi="Times New Roman" w:eastAsia="宋体" w:cs="宋体"/>
                <w:kern w:val="0"/>
              </w:rPr>
              <w:t>0.0060</w:t>
            </w:r>
          </w:p>
        </w:tc>
        <w:tc>
          <w:tcPr>
            <w:tcW w:w="1275" w:type="dxa"/>
          </w:tcPr>
          <w:p>
            <w:pPr>
              <w:widowControl/>
              <w:jc w:val="center"/>
              <w:rPr>
                <w:rFonts w:ascii="Times New Roman" w:hAnsi="Times New Roman" w:eastAsia="宋体" w:cs="Times New Roman"/>
                <w:kern w:val="0"/>
                <w:szCs w:val="2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87" w:type="dxa"/>
            <w:vAlign w:val="center"/>
          </w:tcPr>
          <w:p>
            <w:pPr>
              <w:widowControl/>
              <w:jc w:val="center"/>
              <w:rPr>
                <w:rFonts w:ascii="Times New Roman" w:hAnsi="Times New Roman" w:eastAsia="宋体" w:cs="宋体"/>
                <w:kern w:val="0"/>
                <w:szCs w:val="24"/>
              </w:rPr>
            </w:pPr>
            <w:r>
              <w:rPr>
                <w:rFonts w:ascii="Times New Roman" w:hAnsi="Times New Roman" w:eastAsia="宋体" w:cs="宋体"/>
                <w:kern w:val="0"/>
              </w:rPr>
              <w:t>8</w:t>
            </w:r>
          </w:p>
        </w:tc>
        <w:tc>
          <w:tcPr>
            <w:tcW w:w="2324" w:type="dxa"/>
            <w:vAlign w:val="center"/>
          </w:tcPr>
          <w:p>
            <w:pPr>
              <w:widowControl/>
              <w:jc w:val="center"/>
              <w:rPr>
                <w:rFonts w:ascii="Times New Roman" w:hAnsi="Times New Roman" w:eastAsia="宋体" w:cs="宋体"/>
                <w:kern w:val="0"/>
                <w:szCs w:val="24"/>
              </w:rPr>
            </w:pPr>
            <w:r>
              <w:rPr>
                <w:rFonts w:ascii="Times New Roman" w:hAnsi="Times New Roman" w:eastAsia="宋体" w:cs="宋体"/>
                <w:kern w:val="0"/>
              </w:rPr>
              <w:t>境界内采剥总量</w:t>
            </w:r>
          </w:p>
        </w:tc>
        <w:tc>
          <w:tcPr>
            <w:tcW w:w="1362" w:type="dxa"/>
            <w:vAlign w:val="center"/>
          </w:tcPr>
          <w:p>
            <w:pPr>
              <w:widowControl/>
              <w:jc w:val="center"/>
              <w:rPr>
                <w:rFonts w:ascii="Times New Roman" w:hAnsi="Times New Roman" w:eastAsia="宋体" w:cs="宋体"/>
                <w:kern w:val="0"/>
                <w:szCs w:val="24"/>
              </w:rPr>
            </w:pPr>
            <w:r>
              <w:rPr>
                <w:rFonts w:ascii="Times New Roman" w:hAnsi="Times New Roman" w:eastAsia="宋体" w:cs="宋体"/>
                <w:kern w:val="0"/>
              </w:rPr>
              <w:t>万 m</w:t>
            </w:r>
            <w:r>
              <w:rPr>
                <w:rFonts w:ascii="Times New Roman" w:hAnsi="Times New Roman" w:eastAsia="宋体" w:cs="宋体"/>
                <w:kern w:val="0"/>
                <w:szCs w:val="14"/>
                <w:vertAlign w:val="superscript"/>
              </w:rPr>
              <w:t>3</w:t>
            </w:r>
          </w:p>
        </w:tc>
        <w:tc>
          <w:tcPr>
            <w:tcW w:w="1474" w:type="dxa"/>
            <w:vAlign w:val="center"/>
          </w:tcPr>
          <w:p>
            <w:pPr>
              <w:widowControl/>
              <w:jc w:val="center"/>
              <w:rPr>
                <w:rFonts w:ascii="Times New Roman" w:hAnsi="Times New Roman" w:eastAsia="宋体" w:cs="宋体"/>
                <w:kern w:val="0"/>
                <w:szCs w:val="24"/>
              </w:rPr>
            </w:pPr>
            <w:r>
              <w:rPr>
                <w:rFonts w:ascii="Times New Roman" w:hAnsi="Times New Roman" w:eastAsia="宋体" w:cs="宋体"/>
                <w:kern w:val="0"/>
              </w:rPr>
              <w:t>397.46</w:t>
            </w:r>
          </w:p>
        </w:tc>
        <w:tc>
          <w:tcPr>
            <w:tcW w:w="1275" w:type="dxa"/>
          </w:tcPr>
          <w:p>
            <w:pPr>
              <w:widowControl/>
              <w:jc w:val="center"/>
              <w:rPr>
                <w:rFonts w:ascii="Times New Roman" w:hAnsi="Times New Roman" w:eastAsia="宋体" w:cs="宋体"/>
                <w:kern w:val="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87" w:type="dxa"/>
            <w:vAlign w:val="center"/>
          </w:tcPr>
          <w:p>
            <w:pPr>
              <w:widowControl/>
              <w:jc w:val="center"/>
              <w:rPr>
                <w:rFonts w:ascii="Times New Roman" w:hAnsi="Times New Roman" w:eastAsia="宋体" w:cs="宋体"/>
                <w:kern w:val="0"/>
                <w:szCs w:val="24"/>
              </w:rPr>
            </w:pPr>
            <w:r>
              <w:rPr>
                <w:rFonts w:ascii="Times New Roman" w:hAnsi="Times New Roman" w:eastAsia="宋体" w:cs="宋体"/>
                <w:kern w:val="0"/>
              </w:rPr>
              <w:t>9</w:t>
            </w:r>
          </w:p>
        </w:tc>
        <w:tc>
          <w:tcPr>
            <w:tcW w:w="2324" w:type="dxa"/>
            <w:vAlign w:val="center"/>
          </w:tcPr>
          <w:p>
            <w:pPr>
              <w:widowControl/>
              <w:jc w:val="center"/>
              <w:rPr>
                <w:rFonts w:ascii="Times New Roman" w:hAnsi="Times New Roman" w:eastAsia="宋体" w:cs="宋体"/>
                <w:kern w:val="0"/>
                <w:szCs w:val="24"/>
              </w:rPr>
            </w:pPr>
            <w:r>
              <w:rPr>
                <w:rFonts w:ascii="Times New Roman" w:hAnsi="Times New Roman" w:eastAsia="宋体" w:cs="宋体"/>
                <w:kern w:val="0"/>
              </w:rPr>
              <w:t>采出矿石量</w:t>
            </w:r>
          </w:p>
        </w:tc>
        <w:tc>
          <w:tcPr>
            <w:tcW w:w="1362" w:type="dxa"/>
            <w:vAlign w:val="center"/>
          </w:tcPr>
          <w:p>
            <w:pPr>
              <w:widowControl/>
              <w:jc w:val="center"/>
              <w:rPr>
                <w:rFonts w:ascii="Times New Roman" w:hAnsi="Times New Roman" w:eastAsia="宋体" w:cs="宋体"/>
                <w:kern w:val="0"/>
                <w:szCs w:val="24"/>
              </w:rPr>
            </w:pPr>
            <w:r>
              <w:rPr>
                <w:rFonts w:ascii="Times New Roman" w:hAnsi="Times New Roman" w:eastAsia="宋体" w:cs="宋体"/>
                <w:kern w:val="0"/>
              </w:rPr>
              <w:t>万 t</w:t>
            </w:r>
          </w:p>
        </w:tc>
        <w:tc>
          <w:tcPr>
            <w:tcW w:w="1474" w:type="dxa"/>
            <w:vAlign w:val="center"/>
          </w:tcPr>
          <w:p>
            <w:pPr>
              <w:widowControl/>
              <w:jc w:val="center"/>
              <w:rPr>
                <w:rFonts w:ascii="Times New Roman" w:hAnsi="Times New Roman" w:eastAsia="宋体" w:cs="宋体"/>
                <w:kern w:val="0"/>
                <w:szCs w:val="24"/>
              </w:rPr>
            </w:pPr>
            <w:r>
              <w:rPr>
                <w:rFonts w:ascii="Times New Roman" w:hAnsi="Times New Roman" w:eastAsia="宋体" w:cs="宋体"/>
                <w:kern w:val="0"/>
              </w:rPr>
              <w:t>122.42</w:t>
            </w:r>
          </w:p>
        </w:tc>
        <w:tc>
          <w:tcPr>
            <w:tcW w:w="1275" w:type="dxa"/>
          </w:tcPr>
          <w:p>
            <w:pPr>
              <w:widowControl/>
              <w:jc w:val="center"/>
              <w:rPr>
                <w:rFonts w:ascii="Times New Roman" w:hAnsi="Times New Roman" w:eastAsia="宋体" w:cs="宋体"/>
                <w:kern w:val="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87" w:type="dxa"/>
            <w:vAlign w:val="center"/>
          </w:tcPr>
          <w:p>
            <w:pPr>
              <w:widowControl/>
              <w:jc w:val="center"/>
              <w:rPr>
                <w:rFonts w:ascii="Times New Roman" w:hAnsi="Times New Roman" w:eastAsia="宋体" w:cs="宋体"/>
                <w:kern w:val="0"/>
                <w:szCs w:val="24"/>
              </w:rPr>
            </w:pPr>
            <w:r>
              <w:rPr>
                <w:rFonts w:ascii="Times New Roman" w:hAnsi="Times New Roman" w:eastAsia="宋体" w:cs="宋体"/>
                <w:kern w:val="0"/>
              </w:rPr>
              <w:t>10</w:t>
            </w:r>
          </w:p>
        </w:tc>
        <w:tc>
          <w:tcPr>
            <w:tcW w:w="2324" w:type="dxa"/>
            <w:vAlign w:val="center"/>
          </w:tcPr>
          <w:p>
            <w:pPr>
              <w:widowControl/>
              <w:jc w:val="center"/>
              <w:rPr>
                <w:rFonts w:ascii="Times New Roman" w:hAnsi="Times New Roman" w:eastAsia="宋体" w:cs="宋体"/>
                <w:kern w:val="0"/>
                <w:szCs w:val="24"/>
              </w:rPr>
            </w:pPr>
            <w:r>
              <w:rPr>
                <w:rFonts w:ascii="Times New Roman" w:hAnsi="Times New Roman" w:eastAsia="宋体" w:cs="宋体"/>
                <w:kern w:val="0"/>
              </w:rPr>
              <w:t>采出品位</w:t>
            </w:r>
          </w:p>
        </w:tc>
        <w:tc>
          <w:tcPr>
            <w:tcW w:w="1362" w:type="dxa"/>
            <w:vAlign w:val="center"/>
          </w:tcPr>
          <w:p>
            <w:pPr>
              <w:widowControl/>
              <w:jc w:val="center"/>
              <w:rPr>
                <w:rFonts w:ascii="Times New Roman" w:hAnsi="Times New Roman" w:eastAsia="宋体" w:cs="Times New Roman"/>
                <w:kern w:val="0"/>
                <w:szCs w:val="20"/>
              </w:rPr>
            </w:pPr>
          </w:p>
        </w:tc>
        <w:tc>
          <w:tcPr>
            <w:tcW w:w="1474" w:type="dxa"/>
            <w:vAlign w:val="center"/>
          </w:tcPr>
          <w:p>
            <w:pPr>
              <w:widowControl/>
              <w:jc w:val="center"/>
              <w:rPr>
                <w:rFonts w:ascii="Times New Roman" w:hAnsi="Times New Roman" w:eastAsia="宋体" w:cs="Times New Roman"/>
                <w:kern w:val="0"/>
                <w:szCs w:val="20"/>
              </w:rPr>
            </w:pPr>
          </w:p>
        </w:tc>
        <w:tc>
          <w:tcPr>
            <w:tcW w:w="1275" w:type="dxa"/>
          </w:tcPr>
          <w:p>
            <w:pPr>
              <w:widowControl/>
              <w:jc w:val="center"/>
              <w:rPr>
                <w:rFonts w:ascii="Times New Roman" w:hAnsi="Times New Roman" w:eastAsia="宋体" w:cs="Times New Roman"/>
                <w:kern w:val="0"/>
                <w:szCs w:val="2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87" w:type="dxa"/>
            <w:vAlign w:val="center"/>
          </w:tcPr>
          <w:p>
            <w:pPr>
              <w:widowControl/>
              <w:jc w:val="center"/>
              <w:rPr>
                <w:rFonts w:ascii="Times New Roman" w:hAnsi="Times New Roman" w:eastAsia="宋体" w:cs="宋体"/>
                <w:kern w:val="0"/>
                <w:szCs w:val="24"/>
              </w:rPr>
            </w:pPr>
          </w:p>
        </w:tc>
        <w:tc>
          <w:tcPr>
            <w:tcW w:w="2324" w:type="dxa"/>
            <w:vAlign w:val="center"/>
          </w:tcPr>
          <w:p>
            <w:pPr>
              <w:widowControl/>
              <w:jc w:val="center"/>
              <w:rPr>
                <w:rFonts w:ascii="Times New Roman" w:hAnsi="Times New Roman" w:eastAsia="宋体" w:cs="宋体"/>
                <w:kern w:val="0"/>
                <w:szCs w:val="24"/>
              </w:rPr>
            </w:pPr>
            <w:r>
              <w:rPr>
                <w:rFonts w:ascii="Times New Roman" w:hAnsi="Times New Roman" w:eastAsia="宋体" w:cs="宋体"/>
                <w:kern w:val="0"/>
              </w:rPr>
              <w:t>Li</w:t>
            </w:r>
            <w:r>
              <w:rPr>
                <w:rFonts w:ascii="Times New Roman" w:hAnsi="Times New Roman" w:eastAsia="宋体" w:cs="宋体"/>
                <w:kern w:val="0"/>
                <w:szCs w:val="14"/>
                <w:vertAlign w:val="subscript"/>
              </w:rPr>
              <w:t>2</w:t>
            </w:r>
            <w:r>
              <w:rPr>
                <w:rFonts w:hint="eastAsia" w:ascii="Times New Roman" w:hAnsi="Times New Roman" w:eastAsia="宋体" w:cs="宋体"/>
                <w:kern w:val="0"/>
                <w:szCs w:val="14"/>
              </w:rPr>
              <w:t>O</w:t>
            </w:r>
          </w:p>
        </w:tc>
        <w:tc>
          <w:tcPr>
            <w:tcW w:w="1362" w:type="dxa"/>
            <w:vAlign w:val="center"/>
          </w:tcPr>
          <w:p>
            <w:pPr>
              <w:widowControl/>
              <w:jc w:val="center"/>
              <w:rPr>
                <w:rFonts w:ascii="Times New Roman" w:hAnsi="Times New Roman" w:eastAsia="宋体" w:cs="宋体"/>
                <w:kern w:val="0"/>
                <w:szCs w:val="24"/>
              </w:rPr>
            </w:pPr>
            <w:r>
              <w:rPr>
                <w:rFonts w:ascii="Times New Roman" w:hAnsi="Times New Roman" w:eastAsia="宋体" w:cs="宋体"/>
                <w:kern w:val="0"/>
              </w:rPr>
              <w:t>%</w:t>
            </w:r>
          </w:p>
        </w:tc>
        <w:tc>
          <w:tcPr>
            <w:tcW w:w="1474" w:type="dxa"/>
            <w:vAlign w:val="center"/>
          </w:tcPr>
          <w:p>
            <w:pPr>
              <w:widowControl/>
              <w:jc w:val="center"/>
              <w:rPr>
                <w:rFonts w:ascii="Times New Roman" w:hAnsi="Times New Roman" w:eastAsia="宋体" w:cs="Times New Roman"/>
                <w:kern w:val="0"/>
                <w:szCs w:val="20"/>
              </w:rPr>
            </w:pPr>
            <w:r>
              <w:rPr>
                <w:rFonts w:ascii="Times New Roman" w:hAnsi="Times New Roman" w:eastAsia="宋体" w:cs="宋体"/>
                <w:kern w:val="0"/>
              </w:rPr>
              <w:t>1.40</w:t>
            </w:r>
          </w:p>
        </w:tc>
        <w:tc>
          <w:tcPr>
            <w:tcW w:w="1275" w:type="dxa"/>
          </w:tcPr>
          <w:p>
            <w:pPr>
              <w:widowControl/>
              <w:jc w:val="center"/>
              <w:rPr>
                <w:rFonts w:ascii="Times New Roman" w:hAnsi="Times New Roman" w:eastAsia="宋体" w:cs="Times New Roman"/>
                <w:kern w:val="0"/>
                <w:szCs w:val="2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87" w:type="dxa"/>
            <w:vAlign w:val="center"/>
          </w:tcPr>
          <w:p>
            <w:pPr>
              <w:widowControl/>
              <w:jc w:val="center"/>
              <w:rPr>
                <w:rFonts w:ascii="Times New Roman" w:hAnsi="Times New Roman" w:eastAsia="宋体" w:cs="宋体"/>
                <w:kern w:val="0"/>
                <w:szCs w:val="24"/>
              </w:rPr>
            </w:pPr>
          </w:p>
        </w:tc>
        <w:tc>
          <w:tcPr>
            <w:tcW w:w="2324" w:type="dxa"/>
            <w:vAlign w:val="center"/>
          </w:tcPr>
          <w:p>
            <w:pPr>
              <w:widowControl/>
              <w:jc w:val="center"/>
              <w:rPr>
                <w:rFonts w:ascii="Times New Roman" w:hAnsi="Times New Roman" w:eastAsia="宋体" w:cs="宋体"/>
                <w:kern w:val="0"/>
                <w:szCs w:val="24"/>
              </w:rPr>
            </w:pPr>
            <w:r>
              <w:rPr>
                <w:rFonts w:ascii="Times New Roman" w:hAnsi="Times New Roman" w:eastAsia="宋体" w:cs="宋体"/>
                <w:kern w:val="0"/>
              </w:rPr>
              <w:t>Nb</w:t>
            </w:r>
            <w:r>
              <w:rPr>
                <w:rFonts w:ascii="Times New Roman" w:hAnsi="Times New Roman" w:eastAsia="宋体" w:cs="宋体"/>
                <w:kern w:val="0"/>
                <w:szCs w:val="14"/>
                <w:vertAlign w:val="subscript"/>
              </w:rPr>
              <w:t>2</w:t>
            </w:r>
            <w:r>
              <w:rPr>
                <w:rFonts w:ascii="Times New Roman" w:hAnsi="Times New Roman" w:eastAsia="宋体" w:cs="宋体"/>
                <w:kern w:val="0"/>
              </w:rPr>
              <w:t>O</w:t>
            </w:r>
            <w:r>
              <w:rPr>
                <w:rFonts w:ascii="Times New Roman" w:hAnsi="Times New Roman" w:eastAsia="宋体" w:cs="宋体"/>
                <w:kern w:val="0"/>
                <w:szCs w:val="14"/>
                <w:vertAlign w:val="subscript"/>
              </w:rPr>
              <w:t>5</w:t>
            </w:r>
          </w:p>
        </w:tc>
        <w:tc>
          <w:tcPr>
            <w:tcW w:w="1362" w:type="dxa"/>
            <w:vAlign w:val="center"/>
          </w:tcPr>
          <w:p>
            <w:pPr>
              <w:widowControl/>
              <w:jc w:val="center"/>
              <w:rPr>
                <w:rFonts w:ascii="Times New Roman" w:hAnsi="Times New Roman" w:eastAsia="宋体" w:cs="宋体"/>
                <w:kern w:val="0"/>
                <w:szCs w:val="24"/>
              </w:rPr>
            </w:pPr>
            <w:r>
              <w:rPr>
                <w:rFonts w:ascii="Times New Roman" w:hAnsi="Times New Roman" w:eastAsia="宋体" w:cs="宋体"/>
                <w:kern w:val="0"/>
              </w:rPr>
              <w:t>%</w:t>
            </w:r>
          </w:p>
        </w:tc>
        <w:tc>
          <w:tcPr>
            <w:tcW w:w="1474" w:type="dxa"/>
            <w:vAlign w:val="center"/>
          </w:tcPr>
          <w:p>
            <w:pPr>
              <w:widowControl/>
              <w:jc w:val="center"/>
              <w:rPr>
                <w:rFonts w:ascii="Times New Roman" w:hAnsi="Times New Roman" w:eastAsia="宋体" w:cs="Times New Roman"/>
                <w:kern w:val="0"/>
                <w:szCs w:val="20"/>
              </w:rPr>
            </w:pPr>
            <w:r>
              <w:rPr>
                <w:rFonts w:ascii="Times New Roman" w:hAnsi="Times New Roman" w:eastAsia="宋体" w:cs="宋体"/>
                <w:kern w:val="0"/>
              </w:rPr>
              <w:t>0.0080</w:t>
            </w:r>
          </w:p>
        </w:tc>
        <w:tc>
          <w:tcPr>
            <w:tcW w:w="1275" w:type="dxa"/>
          </w:tcPr>
          <w:p>
            <w:pPr>
              <w:widowControl/>
              <w:jc w:val="center"/>
              <w:rPr>
                <w:rFonts w:ascii="Times New Roman" w:hAnsi="Times New Roman" w:eastAsia="宋体" w:cs="Times New Roman"/>
                <w:kern w:val="0"/>
                <w:szCs w:val="2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87" w:type="dxa"/>
            <w:vAlign w:val="center"/>
          </w:tcPr>
          <w:p>
            <w:pPr>
              <w:widowControl/>
              <w:jc w:val="center"/>
              <w:rPr>
                <w:rFonts w:ascii="Times New Roman" w:hAnsi="Times New Roman" w:eastAsia="宋体" w:cs="宋体"/>
                <w:kern w:val="0"/>
                <w:szCs w:val="24"/>
              </w:rPr>
            </w:pPr>
          </w:p>
        </w:tc>
        <w:tc>
          <w:tcPr>
            <w:tcW w:w="2324" w:type="dxa"/>
            <w:vAlign w:val="center"/>
          </w:tcPr>
          <w:p>
            <w:pPr>
              <w:widowControl/>
              <w:jc w:val="center"/>
              <w:rPr>
                <w:rFonts w:ascii="Times New Roman" w:hAnsi="Times New Roman" w:eastAsia="宋体" w:cs="宋体"/>
                <w:kern w:val="0"/>
                <w:szCs w:val="24"/>
              </w:rPr>
            </w:pPr>
            <w:r>
              <w:rPr>
                <w:rFonts w:ascii="Times New Roman" w:hAnsi="Times New Roman" w:eastAsia="宋体" w:cs="宋体"/>
                <w:kern w:val="0"/>
              </w:rPr>
              <w:t>Ta</w:t>
            </w:r>
            <w:r>
              <w:rPr>
                <w:rFonts w:ascii="Times New Roman" w:hAnsi="Times New Roman" w:eastAsia="宋体" w:cs="宋体"/>
                <w:kern w:val="0"/>
                <w:szCs w:val="14"/>
                <w:vertAlign w:val="subscript"/>
              </w:rPr>
              <w:t>2</w:t>
            </w:r>
            <w:r>
              <w:rPr>
                <w:rFonts w:ascii="Times New Roman" w:hAnsi="Times New Roman" w:eastAsia="宋体" w:cs="宋体"/>
                <w:kern w:val="0"/>
              </w:rPr>
              <w:t>O</w:t>
            </w:r>
            <w:r>
              <w:rPr>
                <w:rFonts w:ascii="Times New Roman" w:hAnsi="Times New Roman" w:eastAsia="宋体" w:cs="宋体"/>
                <w:kern w:val="0"/>
                <w:szCs w:val="14"/>
                <w:vertAlign w:val="subscript"/>
              </w:rPr>
              <w:t>5</w:t>
            </w:r>
          </w:p>
        </w:tc>
        <w:tc>
          <w:tcPr>
            <w:tcW w:w="1362" w:type="dxa"/>
            <w:vAlign w:val="center"/>
          </w:tcPr>
          <w:p>
            <w:pPr>
              <w:widowControl/>
              <w:jc w:val="center"/>
              <w:rPr>
                <w:rFonts w:ascii="Times New Roman" w:hAnsi="Times New Roman" w:eastAsia="宋体" w:cs="宋体"/>
                <w:kern w:val="0"/>
                <w:szCs w:val="24"/>
              </w:rPr>
            </w:pPr>
            <w:r>
              <w:rPr>
                <w:rFonts w:ascii="Times New Roman" w:hAnsi="Times New Roman" w:eastAsia="宋体" w:cs="宋体"/>
                <w:kern w:val="0"/>
              </w:rPr>
              <w:t>%</w:t>
            </w:r>
          </w:p>
        </w:tc>
        <w:tc>
          <w:tcPr>
            <w:tcW w:w="1474" w:type="dxa"/>
            <w:vAlign w:val="center"/>
          </w:tcPr>
          <w:p>
            <w:pPr>
              <w:widowControl/>
              <w:jc w:val="center"/>
              <w:rPr>
                <w:rFonts w:ascii="Times New Roman" w:hAnsi="Times New Roman" w:eastAsia="宋体" w:cs="Times New Roman"/>
                <w:kern w:val="0"/>
                <w:szCs w:val="20"/>
              </w:rPr>
            </w:pPr>
            <w:r>
              <w:rPr>
                <w:rFonts w:ascii="Times New Roman" w:hAnsi="Times New Roman" w:eastAsia="宋体" w:cs="宋体"/>
                <w:kern w:val="0"/>
              </w:rPr>
              <w:t>0.0058</w:t>
            </w:r>
          </w:p>
        </w:tc>
        <w:tc>
          <w:tcPr>
            <w:tcW w:w="1275" w:type="dxa"/>
          </w:tcPr>
          <w:p>
            <w:pPr>
              <w:widowControl/>
              <w:jc w:val="center"/>
              <w:rPr>
                <w:rFonts w:ascii="Times New Roman" w:hAnsi="Times New Roman" w:eastAsia="宋体" w:cs="Times New Roman"/>
                <w:kern w:val="0"/>
                <w:szCs w:val="2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87" w:type="dxa"/>
            <w:vAlign w:val="center"/>
          </w:tcPr>
          <w:p>
            <w:pPr>
              <w:widowControl/>
              <w:jc w:val="center"/>
              <w:rPr>
                <w:rFonts w:ascii="Times New Roman" w:hAnsi="Times New Roman" w:eastAsia="宋体" w:cs="宋体"/>
                <w:kern w:val="0"/>
                <w:szCs w:val="24"/>
              </w:rPr>
            </w:pPr>
            <w:r>
              <w:rPr>
                <w:rFonts w:ascii="Times New Roman" w:hAnsi="Times New Roman" w:eastAsia="宋体" w:cs="宋体"/>
                <w:kern w:val="0"/>
              </w:rPr>
              <w:t>11</w:t>
            </w:r>
          </w:p>
        </w:tc>
        <w:tc>
          <w:tcPr>
            <w:tcW w:w="2324" w:type="dxa"/>
            <w:vAlign w:val="center"/>
          </w:tcPr>
          <w:p>
            <w:pPr>
              <w:widowControl/>
              <w:jc w:val="center"/>
              <w:rPr>
                <w:rFonts w:ascii="Times New Roman" w:hAnsi="Times New Roman" w:eastAsia="宋体" w:cs="宋体"/>
                <w:kern w:val="0"/>
                <w:szCs w:val="24"/>
              </w:rPr>
            </w:pPr>
            <w:r>
              <w:rPr>
                <w:rFonts w:ascii="Times New Roman" w:hAnsi="Times New Roman" w:eastAsia="宋体" w:cs="宋体"/>
                <w:kern w:val="0"/>
              </w:rPr>
              <w:t>剥离岩土量</w:t>
            </w:r>
          </w:p>
        </w:tc>
        <w:tc>
          <w:tcPr>
            <w:tcW w:w="1362" w:type="dxa"/>
            <w:vAlign w:val="center"/>
          </w:tcPr>
          <w:p>
            <w:pPr>
              <w:widowControl/>
              <w:jc w:val="center"/>
              <w:rPr>
                <w:rFonts w:ascii="Times New Roman" w:hAnsi="Times New Roman" w:eastAsia="宋体" w:cs="宋体"/>
                <w:kern w:val="0"/>
                <w:szCs w:val="24"/>
              </w:rPr>
            </w:pPr>
            <w:r>
              <w:rPr>
                <w:rFonts w:ascii="Times New Roman" w:hAnsi="Times New Roman" w:eastAsia="宋体" w:cs="宋体"/>
                <w:kern w:val="0"/>
              </w:rPr>
              <w:t>万m</w:t>
            </w:r>
            <w:r>
              <w:rPr>
                <w:rFonts w:ascii="Times New Roman" w:hAnsi="Times New Roman" w:eastAsia="宋体" w:cs="宋体"/>
                <w:kern w:val="0"/>
                <w:szCs w:val="14"/>
                <w:vertAlign w:val="superscript"/>
              </w:rPr>
              <w:t>3</w:t>
            </w:r>
          </w:p>
        </w:tc>
        <w:tc>
          <w:tcPr>
            <w:tcW w:w="1474" w:type="dxa"/>
            <w:vAlign w:val="center"/>
          </w:tcPr>
          <w:p>
            <w:pPr>
              <w:widowControl/>
              <w:jc w:val="center"/>
              <w:rPr>
                <w:rFonts w:ascii="Times New Roman" w:hAnsi="Times New Roman" w:eastAsia="宋体" w:cs="宋体"/>
                <w:kern w:val="0"/>
                <w:szCs w:val="24"/>
              </w:rPr>
            </w:pPr>
            <w:r>
              <w:rPr>
                <w:rFonts w:ascii="Times New Roman" w:hAnsi="Times New Roman" w:eastAsia="宋体" w:cs="宋体"/>
                <w:kern w:val="0"/>
              </w:rPr>
              <w:t>351.77</w:t>
            </w:r>
          </w:p>
        </w:tc>
        <w:tc>
          <w:tcPr>
            <w:tcW w:w="1275" w:type="dxa"/>
          </w:tcPr>
          <w:p>
            <w:pPr>
              <w:widowControl/>
              <w:jc w:val="center"/>
              <w:rPr>
                <w:rFonts w:ascii="Times New Roman" w:hAnsi="Times New Roman" w:eastAsia="宋体" w:cs="宋体"/>
                <w:kern w:val="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87" w:type="dxa"/>
            <w:vAlign w:val="center"/>
          </w:tcPr>
          <w:p>
            <w:pPr>
              <w:widowControl/>
              <w:jc w:val="center"/>
              <w:rPr>
                <w:rFonts w:ascii="Times New Roman" w:hAnsi="Times New Roman" w:eastAsia="宋体" w:cs="宋体"/>
                <w:kern w:val="0"/>
                <w:szCs w:val="24"/>
              </w:rPr>
            </w:pPr>
          </w:p>
        </w:tc>
        <w:tc>
          <w:tcPr>
            <w:tcW w:w="2324" w:type="dxa"/>
            <w:vAlign w:val="center"/>
          </w:tcPr>
          <w:p>
            <w:pPr>
              <w:widowControl/>
              <w:jc w:val="center"/>
              <w:rPr>
                <w:rFonts w:ascii="Times New Roman" w:hAnsi="Times New Roman" w:eastAsia="宋体" w:cs="宋体"/>
                <w:kern w:val="0"/>
                <w:szCs w:val="24"/>
              </w:rPr>
            </w:pPr>
          </w:p>
        </w:tc>
        <w:tc>
          <w:tcPr>
            <w:tcW w:w="1362" w:type="dxa"/>
            <w:vAlign w:val="center"/>
          </w:tcPr>
          <w:p>
            <w:pPr>
              <w:widowControl/>
              <w:jc w:val="center"/>
              <w:rPr>
                <w:rFonts w:ascii="Times New Roman" w:hAnsi="Times New Roman" w:eastAsia="宋体" w:cs="Times New Roman"/>
                <w:kern w:val="0"/>
                <w:szCs w:val="20"/>
              </w:rPr>
            </w:pPr>
            <w:r>
              <w:rPr>
                <w:rFonts w:ascii="Times New Roman" w:hAnsi="Times New Roman" w:eastAsia="宋体" w:cs="宋体"/>
                <w:kern w:val="0"/>
              </w:rPr>
              <w:t>万t</w:t>
            </w:r>
          </w:p>
        </w:tc>
        <w:tc>
          <w:tcPr>
            <w:tcW w:w="1474" w:type="dxa"/>
            <w:vAlign w:val="center"/>
          </w:tcPr>
          <w:p>
            <w:pPr>
              <w:widowControl/>
              <w:jc w:val="center"/>
              <w:rPr>
                <w:rFonts w:ascii="Times New Roman" w:hAnsi="Times New Roman" w:eastAsia="宋体" w:cs="Times New Roman"/>
                <w:kern w:val="0"/>
                <w:szCs w:val="20"/>
              </w:rPr>
            </w:pPr>
            <w:r>
              <w:rPr>
                <w:rFonts w:ascii="Times New Roman" w:hAnsi="Times New Roman" w:eastAsia="宋体" w:cs="宋体"/>
                <w:kern w:val="0"/>
              </w:rPr>
              <w:t>949.78</w:t>
            </w:r>
          </w:p>
        </w:tc>
        <w:tc>
          <w:tcPr>
            <w:tcW w:w="1275" w:type="dxa"/>
            <w:vAlign w:val="center"/>
          </w:tcPr>
          <w:p>
            <w:pPr>
              <w:widowControl/>
              <w:jc w:val="center"/>
              <w:rPr>
                <w:rFonts w:ascii="Times New Roman" w:hAnsi="Times New Roman" w:eastAsia="宋体" w:cs="Times New Roman"/>
                <w:kern w:val="0"/>
                <w:szCs w:val="2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87" w:type="dxa"/>
            <w:vAlign w:val="center"/>
          </w:tcPr>
          <w:p>
            <w:pPr>
              <w:widowControl/>
              <w:jc w:val="center"/>
              <w:rPr>
                <w:rFonts w:ascii="Times New Roman" w:hAnsi="Times New Roman" w:eastAsia="宋体" w:cs="宋体"/>
                <w:kern w:val="0"/>
                <w:szCs w:val="24"/>
              </w:rPr>
            </w:pPr>
            <w:r>
              <w:rPr>
                <w:rFonts w:ascii="Times New Roman" w:hAnsi="Times New Roman" w:eastAsia="宋体" w:cs="宋体"/>
                <w:kern w:val="0"/>
              </w:rPr>
              <w:t>12</w:t>
            </w:r>
          </w:p>
        </w:tc>
        <w:tc>
          <w:tcPr>
            <w:tcW w:w="2324" w:type="dxa"/>
            <w:vAlign w:val="center"/>
          </w:tcPr>
          <w:p>
            <w:pPr>
              <w:widowControl/>
              <w:jc w:val="center"/>
              <w:rPr>
                <w:rFonts w:ascii="Times New Roman" w:hAnsi="Times New Roman" w:eastAsia="宋体" w:cs="宋体"/>
                <w:kern w:val="0"/>
                <w:szCs w:val="24"/>
              </w:rPr>
            </w:pPr>
            <w:r>
              <w:rPr>
                <w:rFonts w:ascii="Times New Roman" w:hAnsi="Times New Roman" w:eastAsia="宋体" w:cs="宋体"/>
                <w:kern w:val="0"/>
              </w:rPr>
              <w:t>平均剥采比</w:t>
            </w:r>
          </w:p>
        </w:tc>
        <w:tc>
          <w:tcPr>
            <w:tcW w:w="1362" w:type="dxa"/>
            <w:vAlign w:val="center"/>
          </w:tcPr>
          <w:p>
            <w:pPr>
              <w:widowControl/>
              <w:jc w:val="center"/>
              <w:rPr>
                <w:rFonts w:ascii="Times New Roman" w:hAnsi="Times New Roman" w:eastAsia="宋体" w:cs="宋体"/>
                <w:kern w:val="0"/>
                <w:szCs w:val="24"/>
              </w:rPr>
            </w:pPr>
            <w:r>
              <w:rPr>
                <w:rFonts w:ascii="Times New Roman" w:hAnsi="Times New Roman" w:eastAsia="宋体" w:cs="宋体"/>
                <w:kern w:val="0"/>
              </w:rPr>
              <w:t>m</w:t>
            </w:r>
            <w:r>
              <w:rPr>
                <w:rFonts w:ascii="Times New Roman" w:hAnsi="Times New Roman" w:eastAsia="宋体" w:cs="宋体"/>
                <w:kern w:val="0"/>
                <w:szCs w:val="14"/>
                <w:vertAlign w:val="superscript"/>
              </w:rPr>
              <w:t>3</w:t>
            </w:r>
            <w:r>
              <w:rPr>
                <w:rFonts w:ascii="Times New Roman" w:hAnsi="Times New Roman" w:eastAsia="宋体" w:cs="宋体"/>
                <w:kern w:val="0"/>
              </w:rPr>
              <w:t>/m</w:t>
            </w:r>
            <w:r>
              <w:rPr>
                <w:rFonts w:ascii="Times New Roman" w:hAnsi="Times New Roman" w:eastAsia="宋体" w:cs="宋体"/>
                <w:kern w:val="0"/>
                <w:szCs w:val="14"/>
                <w:vertAlign w:val="superscript"/>
              </w:rPr>
              <w:t>3</w:t>
            </w:r>
          </w:p>
        </w:tc>
        <w:tc>
          <w:tcPr>
            <w:tcW w:w="1474" w:type="dxa"/>
            <w:vAlign w:val="center"/>
          </w:tcPr>
          <w:p>
            <w:pPr>
              <w:widowControl/>
              <w:jc w:val="center"/>
              <w:rPr>
                <w:rFonts w:ascii="Times New Roman" w:hAnsi="Times New Roman" w:eastAsia="宋体" w:cs="宋体"/>
                <w:kern w:val="0"/>
                <w:szCs w:val="24"/>
              </w:rPr>
            </w:pPr>
            <w:r>
              <w:rPr>
                <w:rFonts w:ascii="Times New Roman" w:hAnsi="Times New Roman" w:eastAsia="宋体" w:cs="宋体"/>
                <w:kern w:val="0"/>
              </w:rPr>
              <w:t>7.70</w:t>
            </w:r>
          </w:p>
        </w:tc>
        <w:tc>
          <w:tcPr>
            <w:tcW w:w="1275" w:type="dxa"/>
          </w:tcPr>
          <w:p>
            <w:pPr>
              <w:widowControl/>
              <w:jc w:val="center"/>
              <w:rPr>
                <w:rFonts w:ascii="Times New Roman" w:hAnsi="Times New Roman" w:eastAsia="宋体" w:cs="宋体"/>
                <w:kern w:val="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87" w:type="dxa"/>
            <w:vAlign w:val="center"/>
          </w:tcPr>
          <w:p>
            <w:pPr>
              <w:widowControl/>
              <w:jc w:val="center"/>
              <w:rPr>
                <w:rFonts w:ascii="Times New Roman" w:hAnsi="Times New Roman" w:eastAsia="宋体" w:cs="宋体"/>
                <w:kern w:val="0"/>
                <w:szCs w:val="24"/>
              </w:rPr>
            </w:pPr>
          </w:p>
        </w:tc>
        <w:tc>
          <w:tcPr>
            <w:tcW w:w="2324" w:type="dxa"/>
            <w:vAlign w:val="center"/>
          </w:tcPr>
          <w:p>
            <w:pPr>
              <w:widowControl/>
              <w:jc w:val="center"/>
              <w:rPr>
                <w:rFonts w:ascii="Times New Roman" w:hAnsi="Times New Roman" w:eastAsia="宋体" w:cs="宋体"/>
                <w:kern w:val="0"/>
                <w:szCs w:val="24"/>
              </w:rPr>
            </w:pPr>
          </w:p>
        </w:tc>
        <w:tc>
          <w:tcPr>
            <w:tcW w:w="1362" w:type="dxa"/>
            <w:vAlign w:val="center"/>
          </w:tcPr>
          <w:p>
            <w:pPr>
              <w:widowControl/>
              <w:jc w:val="center"/>
              <w:rPr>
                <w:rFonts w:ascii="Times New Roman" w:hAnsi="Times New Roman" w:eastAsia="宋体" w:cs="Times New Roman"/>
                <w:kern w:val="0"/>
                <w:szCs w:val="20"/>
              </w:rPr>
            </w:pPr>
            <w:r>
              <w:rPr>
                <w:rFonts w:ascii="Times New Roman" w:hAnsi="Times New Roman" w:eastAsia="宋体" w:cs="宋体"/>
                <w:kern w:val="0"/>
              </w:rPr>
              <w:t>t/t</w:t>
            </w:r>
          </w:p>
        </w:tc>
        <w:tc>
          <w:tcPr>
            <w:tcW w:w="1474" w:type="dxa"/>
            <w:vAlign w:val="center"/>
          </w:tcPr>
          <w:p>
            <w:pPr>
              <w:widowControl/>
              <w:jc w:val="center"/>
              <w:rPr>
                <w:rFonts w:ascii="Times New Roman" w:hAnsi="Times New Roman" w:eastAsia="宋体" w:cs="Times New Roman"/>
                <w:kern w:val="0"/>
                <w:szCs w:val="20"/>
              </w:rPr>
            </w:pPr>
            <w:r>
              <w:rPr>
                <w:rFonts w:ascii="Times New Roman" w:hAnsi="Times New Roman" w:eastAsia="宋体" w:cs="宋体"/>
                <w:kern w:val="0"/>
              </w:rPr>
              <w:t>7.76</w:t>
            </w:r>
          </w:p>
        </w:tc>
        <w:tc>
          <w:tcPr>
            <w:tcW w:w="1275" w:type="dxa"/>
          </w:tcPr>
          <w:p>
            <w:pPr>
              <w:widowControl/>
              <w:jc w:val="center"/>
              <w:rPr>
                <w:rFonts w:ascii="Times New Roman" w:hAnsi="Times New Roman" w:eastAsia="宋体" w:cs="Times New Roman"/>
                <w:kern w:val="0"/>
                <w:szCs w:val="2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87" w:type="dxa"/>
            <w:vAlign w:val="center"/>
          </w:tcPr>
          <w:p>
            <w:pPr>
              <w:widowControl/>
              <w:jc w:val="center"/>
              <w:rPr>
                <w:rFonts w:ascii="Times New Roman" w:hAnsi="Times New Roman" w:eastAsia="宋体" w:cs="宋体"/>
                <w:kern w:val="0"/>
                <w:szCs w:val="24"/>
              </w:rPr>
            </w:pPr>
            <w:r>
              <w:rPr>
                <w:rFonts w:ascii="Times New Roman" w:hAnsi="Times New Roman" w:eastAsia="宋体" w:cs="宋体"/>
                <w:kern w:val="0"/>
              </w:rPr>
              <w:t>13</w:t>
            </w:r>
          </w:p>
        </w:tc>
        <w:tc>
          <w:tcPr>
            <w:tcW w:w="2324" w:type="dxa"/>
            <w:vAlign w:val="center"/>
          </w:tcPr>
          <w:p>
            <w:pPr>
              <w:widowControl/>
              <w:jc w:val="center"/>
              <w:rPr>
                <w:rFonts w:ascii="Times New Roman" w:hAnsi="Times New Roman" w:eastAsia="宋体" w:cs="宋体"/>
                <w:kern w:val="0"/>
                <w:szCs w:val="24"/>
              </w:rPr>
            </w:pPr>
            <w:r>
              <w:rPr>
                <w:rFonts w:ascii="Times New Roman" w:hAnsi="Times New Roman" w:eastAsia="宋体" w:cs="宋体"/>
                <w:kern w:val="0"/>
              </w:rPr>
              <w:t>回采率</w:t>
            </w:r>
          </w:p>
        </w:tc>
        <w:tc>
          <w:tcPr>
            <w:tcW w:w="1362" w:type="dxa"/>
            <w:vAlign w:val="center"/>
          </w:tcPr>
          <w:p>
            <w:pPr>
              <w:widowControl/>
              <w:jc w:val="center"/>
              <w:rPr>
                <w:rFonts w:ascii="Times New Roman" w:hAnsi="Times New Roman" w:eastAsia="宋体" w:cs="宋体"/>
                <w:kern w:val="0"/>
                <w:szCs w:val="24"/>
              </w:rPr>
            </w:pPr>
            <w:r>
              <w:rPr>
                <w:rFonts w:ascii="Times New Roman" w:hAnsi="Times New Roman" w:eastAsia="宋体" w:cs="宋体"/>
                <w:kern w:val="0"/>
              </w:rPr>
              <w:t>％</w:t>
            </w:r>
          </w:p>
        </w:tc>
        <w:tc>
          <w:tcPr>
            <w:tcW w:w="1474" w:type="dxa"/>
            <w:vAlign w:val="center"/>
          </w:tcPr>
          <w:p>
            <w:pPr>
              <w:widowControl/>
              <w:jc w:val="center"/>
              <w:rPr>
                <w:rFonts w:ascii="Times New Roman" w:hAnsi="Times New Roman" w:eastAsia="宋体" w:cs="宋体"/>
                <w:kern w:val="0"/>
                <w:szCs w:val="24"/>
              </w:rPr>
            </w:pPr>
            <w:r>
              <w:rPr>
                <w:rFonts w:ascii="Times New Roman" w:hAnsi="Times New Roman" w:eastAsia="宋体" w:cs="宋体"/>
                <w:kern w:val="0"/>
              </w:rPr>
              <w:t>96</w:t>
            </w:r>
          </w:p>
        </w:tc>
        <w:tc>
          <w:tcPr>
            <w:tcW w:w="1275" w:type="dxa"/>
          </w:tcPr>
          <w:p>
            <w:pPr>
              <w:widowControl/>
              <w:jc w:val="center"/>
              <w:rPr>
                <w:rFonts w:ascii="Times New Roman" w:hAnsi="Times New Roman" w:eastAsia="宋体" w:cs="宋体"/>
                <w:kern w:val="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87" w:type="dxa"/>
            <w:vAlign w:val="center"/>
          </w:tcPr>
          <w:p>
            <w:pPr>
              <w:widowControl/>
              <w:jc w:val="center"/>
              <w:rPr>
                <w:rFonts w:ascii="Times New Roman" w:hAnsi="Times New Roman" w:eastAsia="宋体" w:cs="宋体"/>
                <w:kern w:val="0"/>
                <w:szCs w:val="24"/>
              </w:rPr>
            </w:pPr>
            <w:r>
              <w:rPr>
                <w:rFonts w:ascii="Times New Roman" w:hAnsi="Times New Roman" w:eastAsia="宋体" w:cs="宋体"/>
                <w:kern w:val="0"/>
              </w:rPr>
              <w:t>14</w:t>
            </w:r>
          </w:p>
        </w:tc>
        <w:tc>
          <w:tcPr>
            <w:tcW w:w="2324" w:type="dxa"/>
            <w:vAlign w:val="center"/>
          </w:tcPr>
          <w:p>
            <w:pPr>
              <w:widowControl/>
              <w:jc w:val="center"/>
              <w:rPr>
                <w:rFonts w:ascii="Times New Roman" w:hAnsi="Times New Roman" w:eastAsia="宋体" w:cs="宋体"/>
                <w:kern w:val="0"/>
                <w:szCs w:val="24"/>
              </w:rPr>
            </w:pPr>
            <w:r>
              <w:rPr>
                <w:rFonts w:ascii="Times New Roman" w:hAnsi="Times New Roman" w:eastAsia="宋体" w:cs="宋体"/>
                <w:kern w:val="0"/>
              </w:rPr>
              <w:t>废石混入率</w:t>
            </w:r>
          </w:p>
        </w:tc>
        <w:tc>
          <w:tcPr>
            <w:tcW w:w="1362" w:type="dxa"/>
            <w:vAlign w:val="center"/>
          </w:tcPr>
          <w:p>
            <w:pPr>
              <w:widowControl/>
              <w:jc w:val="center"/>
              <w:rPr>
                <w:rFonts w:ascii="Times New Roman" w:hAnsi="Times New Roman" w:eastAsia="宋体" w:cs="宋体"/>
                <w:kern w:val="0"/>
                <w:szCs w:val="24"/>
              </w:rPr>
            </w:pPr>
            <w:r>
              <w:rPr>
                <w:rFonts w:ascii="Times New Roman" w:hAnsi="Times New Roman" w:eastAsia="宋体" w:cs="宋体"/>
                <w:kern w:val="0"/>
              </w:rPr>
              <w:t>％</w:t>
            </w:r>
          </w:p>
        </w:tc>
        <w:tc>
          <w:tcPr>
            <w:tcW w:w="1474" w:type="dxa"/>
            <w:vAlign w:val="center"/>
          </w:tcPr>
          <w:p>
            <w:pPr>
              <w:widowControl/>
              <w:jc w:val="center"/>
              <w:rPr>
                <w:rFonts w:ascii="Times New Roman" w:hAnsi="Times New Roman" w:eastAsia="宋体" w:cs="宋体"/>
                <w:kern w:val="0"/>
                <w:szCs w:val="24"/>
              </w:rPr>
            </w:pPr>
            <w:r>
              <w:rPr>
                <w:rFonts w:ascii="Times New Roman" w:hAnsi="Times New Roman" w:eastAsia="宋体" w:cs="宋体"/>
                <w:kern w:val="0"/>
              </w:rPr>
              <w:t>4</w:t>
            </w:r>
          </w:p>
        </w:tc>
        <w:tc>
          <w:tcPr>
            <w:tcW w:w="1275" w:type="dxa"/>
          </w:tcPr>
          <w:p>
            <w:pPr>
              <w:widowControl/>
              <w:jc w:val="center"/>
              <w:rPr>
                <w:rFonts w:ascii="Times New Roman" w:hAnsi="Times New Roman" w:eastAsia="宋体" w:cs="宋体"/>
                <w:kern w:val="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87" w:type="dxa"/>
            <w:vAlign w:val="center"/>
          </w:tcPr>
          <w:p>
            <w:pPr>
              <w:widowControl/>
              <w:jc w:val="center"/>
              <w:rPr>
                <w:rFonts w:ascii="Times New Roman" w:hAnsi="Times New Roman" w:eastAsia="宋体" w:cs="宋体"/>
                <w:kern w:val="0"/>
                <w:szCs w:val="24"/>
              </w:rPr>
            </w:pPr>
            <w:r>
              <w:rPr>
                <w:rFonts w:ascii="Times New Roman" w:hAnsi="Times New Roman" w:eastAsia="宋体" w:cs="宋体"/>
                <w:kern w:val="0"/>
              </w:rPr>
              <w:t>15</w:t>
            </w:r>
          </w:p>
        </w:tc>
        <w:tc>
          <w:tcPr>
            <w:tcW w:w="2324" w:type="dxa"/>
            <w:vAlign w:val="center"/>
          </w:tcPr>
          <w:p>
            <w:pPr>
              <w:widowControl/>
              <w:jc w:val="center"/>
              <w:rPr>
                <w:rFonts w:ascii="Times New Roman" w:hAnsi="Times New Roman" w:eastAsia="宋体" w:cs="宋体"/>
                <w:kern w:val="0"/>
                <w:szCs w:val="24"/>
              </w:rPr>
            </w:pPr>
            <w:r>
              <w:rPr>
                <w:rFonts w:ascii="Times New Roman" w:hAnsi="Times New Roman" w:eastAsia="宋体" w:cs="宋体"/>
                <w:kern w:val="0"/>
              </w:rPr>
              <w:t>最高边帮终了帮坡角</w:t>
            </w:r>
            <w:r>
              <w:rPr>
                <w:rFonts w:hint="eastAsia" w:ascii="Times New Roman" w:hAnsi="Times New Roman" w:eastAsia="宋体" w:cs="宋体"/>
                <w:kern w:val="0"/>
              </w:rPr>
              <w:t>：</w:t>
            </w:r>
          </w:p>
        </w:tc>
        <w:tc>
          <w:tcPr>
            <w:tcW w:w="1362" w:type="dxa"/>
            <w:vAlign w:val="center"/>
          </w:tcPr>
          <w:p>
            <w:pPr>
              <w:widowControl/>
              <w:jc w:val="center"/>
              <w:rPr>
                <w:rFonts w:ascii="Times New Roman" w:hAnsi="Times New Roman" w:eastAsia="宋体" w:cs="宋体"/>
                <w:kern w:val="0"/>
                <w:szCs w:val="24"/>
              </w:rPr>
            </w:pPr>
            <w:r>
              <w:rPr>
                <w:rFonts w:ascii="Times New Roman" w:hAnsi="Times New Roman" w:eastAsia="宋体" w:cs="宋体"/>
                <w:kern w:val="0"/>
              </w:rPr>
              <w:t>º</w:t>
            </w:r>
          </w:p>
        </w:tc>
        <w:tc>
          <w:tcPr>
            <w:tcW w:w="1474" w:type="dxa"/>
            <w:vAlign w:val="center"/>
          </w:tcPr>
          <w:p>
            <w:pPr>
              <w:widowControl/>
              <w:jc w:val="center"/>
              <w:rPr>
                <w:rFonts w:ascii="Times New Roman" w:hAnsi="Times New Roman" w:eastAsia="宋体" w:cs="宋体"/>
                <w:kern w:val="0"/>
                <w:szCs w:val="24"/>
              </w:rPr>
            </w:pPr>
            <w:r>
              <w:rPr>
                <w:rFonts w:ascii="Times New Roman" w:hAnsi="Times New Roman" w:eastAsia="宋体" w:cs="宋体"/>
                <w:kern w:val="0"/>
              </w:rPr>
              <w:t>42-44</w:t>
            </w:r>
          </w:p>
        </w:tc>
        <w:tc>
          <w:tcPr>
            <w:tcW w:w="1275" w:type="dxa"/>
          </w:tcPr>
          <w:p>
            <w:pPr>
              <w:widowControl/>
              <w:jc w:val="center"/>
              <w:rPr>
                <w:rFonts w:ascii="Times New Roman" w:hAnsi="Times New Roman" w:eastAsia="宋体" w:cs="宋体"/>
                <w:kern w:val="0"/>
              </w:rPr>
            </w:pPr>
          </w:p>
        </w:tc>
      </w:tr>
    </w:tbl>
    <w:p>
      <w:pPr>
        <w:spacing w:line="360" w:lineRule="auto"/>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2</w:t>
      </w:r>
      <w:r>
        <w:rPr>
          <w:rFonts w:ascii="Times New Roman" w:hAnsi="Times New Roman" w:eastAsia="宋体" w:cs="Times New Roman"/>
          <w:b/>
          <w:bCs/>
          <w:sz w:val="24"/>
          <w:szCs w:val="24"/>
        </w:rPr>
        <w:t xml:space="preserve">.2.5.2 </w:t>
      </w:r>
      <w:r>
        <w:rPr>
          <w:rFonts w:hint="eastAsia" w:ascii="Times New Roman" w:hAnsi="Times New Roman" w:eastAsia="宋体" w:cs="Times New Roman"/>
          <w:b/>
          <w:bCs/>
          <w:sz w:val="24"/>
          <w:szCs w:val="24"/>
        </w:rPr>
        <w:t>露天开采运输方式</w:t>
      </w:r>
    </w:p>
    <w:p>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1</w:t>
      </w:r>
      <w:r>
        <w:rPr>
          <w:rFonts w:ascii="Times New Roman" w:hAnsi="Times New Roman" w:eastAsia="宋体"/>
          <w:sz w:val="24"/>
          <w:szCs w:val="24"/>
        </w:rPr>
        <w:t>.</w:t>
      </w:r>
      <w:r>
        <w:rPr>
          <w:rFonts w:hint="eastAsia" w:ascii="Times New Roman" w:hAnsi="Times New Roman" w:eastAsia="宋体"/>
          <w:sz w:val="24"/>
          <w:szCs w:val="24"/>
        </w:rPr>
        <w:t>开采顺序</w:t>
      </w:r>
    </w:p>
    <w:p>
      <w:pPr>
        <w:spacing w:line="360" w:lineRule="auto"/>
        <w:ind w:firstLine="480" w:firstLineChars="200"/>
        <w:rPr>
          <w:rFonts w:ascii="宋体" w:hAnsi="宋体" w:eastAsia="宋体"/>
          <w:sz w:val="24"/>
          <w:szCs w:val="24"/>
        </w:rPr>
      </w:pPr>
      <w:r>
        <w:rPr>
          <w:rFonts w:hint="eastAsia" w:ascii="宋体" w:hAnsi="宋体" w:eastAsia="宋体"/>
          <w:sz w:val="24"/>
          <w:szCs w:val="24"/>
        </w:rPr>
        <w:t>采场</w:t>
      </w:r>
      <w:r>
        <w:rPr>
          <w:rFonts w:ascii="宋体" w:hAnsi="宋体" w:eastAsia="宋体"/>
          <w:sz w:val="24"/>
          <w:szCs w:val="24"/>
        </w:rPr>
        <w:t>开采顺序</w:t>
      </w:r>
      <w:r>
        <w:rPr>
          <w:rFonts w:hint="eastAsia" w:ascii="宋体" w:hAnsi="宋体" w:eastAsia="宋体"/>
          <w:sz w:val="24"/>
          <w:szCs w:val="24"/>
        </w:rPr>
        <w:t>为</w:t>
      </w:r>
      <w:r>
        <w:rPr>
          <w:rFonts w:ascii="宋体" w:hAnsi="宋体" w:eastAsia="宋体"/>
          <w:sz w:val="24"/>
          <w:szCs w:val="24"/>
        </w:rPr>
        <w:t>由上而下分台阶水平开采，坚持打下向孔或倾斜孔，杜绝掏底开采，避免边坡形成伞檐状和空洞</w:t>
      </w:r>
      <w:r>
        <w:rPr>
          <w:rFonts w:hint="eastAsia" w:ascii="宋体" w:hAnsi="宋体" w:eastAsia="宋体"/>
          <w:sz w:val="24"/>
          <w:szCs w:val="24"/>
        </w:rPr>
        <w:t>。</w:t>
      </w:r>
    </w:p>
    <w:p>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2</w:t>
      </w:r>
      <w:r>
        <w:rPr>
          <w:rFonts w:ascii="Times New Roman" w:hAnsi="Times New Roman" w:eastAsia="宋体"/>
          <w:sz w:val="24"/>
          <w:szCs w:val="24"/>
        </w:rPr>
        <w:t>.</w:t>
      </w:r>
      <w:r>
        <w:rPr>
          <w:rFonts w:hint="eastAsia" w:ascii="Times New Roman" w:hAnsi="Times New Roman" w:eastAsia="宋体"/>
          <w:sz w:val="24"/>
          <w:szCs w:val="24"/>
        </w:rPr>
        <w:t>露天开拓运输方式</w:t>
      </w:r>
    </w:p>
    <w:p>
      <w:pPr>
        <w:spacing w:line="360" w:lineRule="auto"/>
        <w:ind w:firstLine="480" w:firstLineChars="200"/>
        <w:rPr>
          <w:rFonts w:ascii="宋体" w:hAnsi="宋体" w:eastAsia="宋体"/>
          <w:sz w:val="24"/>
          <w:szCs w:val="24"/>
        </w:rPr>
      </w:pPr>
      <w:r>
        <w:rPr>
          <w:rFonts w:hint="eastAsia" w:ascii="Times New Roman" w:hAnsi="Times New Roman" w:eastAsia="宋体" w:cs="Times New Roman"/>
          <w:sz w:val="24"/>
          <w:szCs w:val="24"/>
        </w:rPr>
        <w:t>开拓运输系统采用公路运输开拓。</w:t>
      </w:r>
      <w:r>
        <w:rPr>
          <w:rFonts w:ascii="宋体" w:hAnsi="宋体" w:eastAsia="宋体"/>
          <w:sz w:val="24"/>
          <w:szCs w:val="24"/>
        </w:rPr>
        <w:t>运矿车辆采用</w:t>
      </w:r>
      <w:r>
        <w:rPr>
          <w:rFonts w:ascii="TimesNewRomanPSMT" w:hAnsi="TimesNewRomanPSMT"/>
          <w:sz w:val="24"/>
          <w:szCs w:val="24"/>
        </w:rPr>
        <w:t>10t</w:t>
      </w:r>
      <w:r>
        <w:rPr>
          <w:rFonts w:ascii="宋体" w:hAnsi="宋体" w:eastAsia="宋体"/>
          <w:sz w:val="24"/>
          <w:szCs w:val="24"/>
        </w:rPr>
        <w:t>矿用自卸汽车，运输废石车辆采用</w:t>
      </w:r>
      <w:r>
        <w:rPr>
          <w:rFonts w:ascii="TimesNewRomanPSMT" w:hAnsi="TimesNewRomanPSMT"/>
          <w:sz w:val="24"/>
          <w:szCs w:val="24"/>
        </w:rPr>
        <w:t>20t</w:t>
      </w:r>
      <w:r>
        <w:rPr>
          <w:rFonts w:ascii="宋体" w:hAnsi="宋体" w:eastAsia="宋体"/>
          <w:sz w:val="24"/>
          <w:szCs w:val="24"/>
        </w:rPr>
        <w:t>矿用自卸汽车。</w:t>
      </w:r>
    </w:p>
    <w:p>
      <w:pPr>
        <w:spacing w:line="360" w:lineRule="auto"/>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2</w:t>
      </w:r>
      <w:r>
        <w:rPr>
          <w:rFonts w:ascii="Times New Roman" w:hAnsi="Times New Roman" w:eastAsia="宋体" w:cs="Times New Roman"/>
          <w:b/>
          <w:bCs/>
          <w:sz w:val="24"/>
          <w:szCs w:val="24"/>
        </w:rPr>
        <w:t xml:space="preserve">.2.5.3 </w:t>
      </w:r>
      <w:r>
        <w:rPr>
          <w:rFonts w:hint="eastAsia" w:ascii="Times New Roman" w:hAnsi="Times New Roman" w:eastAsia="宋体" w:cs="Times New Roman"/>
          <w:b/>
          <w:bCs/>
          <w:sz w:val="24"/>
          <w:szCs w:val="24"/>
        </w:rPr>
        <w:t>露天采剥工艺</w:t>
      </w:r>
    </w:p>
    <w:p>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1</w:t>
      </w:r>
      <w:r>
        <w:rPr>
          <w:rFonts w:ascii="Times New Roman" w:hAnsi="Times New Roman" w:eastAsia="宋体"/>
          <w:sz w:val="24"/>
          <w:szCs w:val="24"/>
        </w:rPr>
        <w:t>.</w:t>
      </w:r>
      <w:r>
        <w:rPr>
          <w:rFonts w:hint="eastAsia" w:ascii="Times New Roman" w:hAnsi="Times New Roman" w:eastAsia="宋体"/>
          <w:sz w:val="24"/>
          <w:szCs w:val="24"/>
        </w:rPr>
        <w:t>采剥工艺</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项目</w:t>
      </w:r>
      <w:r>
        <w:rPr>
          <w:rFonts w:ascii="Times New Roman" w:hAnsi="Times New Roman" w:eastAsia="宋体" w:cs="Times New Roman"/>
          <w:sz w:val="24"/>
          <w:szCs w:val="24"/>
        </w:rPr>
        <w:t>采用Atlas Copco ROC L825型潜孔钻机（穿孔直径150mm）穿孔、铵油炸药非电爆破、2.0m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液压铲铲装废石和矿石，10t矿用自卸汽车运输矿石，20t矿用自卸汽车废石。</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露天采区的上部采用缓帮采矿的采剥工艺。缓帮采矿工艺参数：</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（1）台阶工作参数；台阶高度10m，工作台阶坡面角700</w:t>
      </w:r>
      <w:r>
        <w:rPr>
          <w:rFonts w:hint="eastAsia" w:ascii="Times New Roman" w:hAnsi="Times New Roman" w:eastAsia="宋体" w:cs="Times New Roman"/>
          <w:sz w:val="24"/>
          <w:szCs w:val="24"/>
        </w:rPr>
        <w:t>，</w:t>
      </w:r>
      <w:r>
        <w:rPr>
          <w:rFonts w:ascii="Times New Roman" w:hAnsi="Times New Roman" w:eastAsia="宋体" w:cs="Times New Roman"/>
          <w:sz w:val="24"/>
          <w:szCs w:val="24"/>
        </w:rPr>
        <w:t>最小工作平台宽度为30m</w:t>
      </w:r>
      <w:r>
        <w:rPr>
          <w:rFonts w:hint="eastAsia" w:ascii="Times New Roman" w:hAnsi="Times New Roman" w:eastAsia="宋体" w:cs="Times New Roman"/>
          <w:sz w:val="24"/>
          <w:szCs w:val="24"/>
        </w:rPr>
        <w:t>，</w:t>
      </w:r>
      <w:r>
        <w:rPr>
          <w:rFonts w:ascii="Times New Roman" w:hAnsi="Times New Roman" w:eastAsia="宋体" w:cs="Times New Roman"/>
          <w:sz w:val="24"/>
          <w:szCs w:val="24"/>
        </w:rPr>
        <w:t>最小工作平台之外为备采矿量。运输通道宽度7m，液压铲工作线长度 150m。</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（2）工作线的布置；根据露天境界内矿体走向特点及为满足生产能力的要求，采用工作面垂直矿体走向布置。</w:t>
      </w:r>
    </w:p>
    <w:p>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2</w:t>
      </w:r>
      <w:r>
        <w:rPr>
          <w:rFonts w:ascii="Times New Roman" w:hAnsi="Times New Roman" w:eastAsia="宋体"/>
          <w:sz w:val="24"/>
          <w:szCs w:val="24"/>
        </w:rPr>
        <w:t>.铲装</w:t>
      </w:r>
      <w:r>
        <w:rPr>
          <w:rFonts w:hint="eastAsia" w:ascii="Times New Roman" w:hAnsi="Times New Roman" w:eastAsia="宋体"/>
          <w:sz w:val="24"/>
          <w:szCs w:val="24"/>
        </w:rPr>
        <w:t>设备</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采用XE470D柴油液压挖掘机（铲斗容积2.0m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）铲装矿石和废石。</w:t>
      </w:r>
    </w:p>
    <w:p>
      <w:pPr>
        <w:spacing w:line="360" w:lineRule="auto"/>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2</w:t>
      </w:r>
      <w:r>
        <w:rPr>
          <w:rFonts w:ascii="Times New Roman" w:hAnsi="Times New Roman" w:eastAsia="宋体" w:cs="Times New Roman"/>
          <w:b/>
          <w:bCs/>
          <w:sz w:val="24"/>
          <w:szCs w:val="24"/>
        </w:rPr>
        <w:t xml:space="preserve">.2.5.4 </w:t>
      </w:r>
      <w:r>
        <w:rPr>
          <w:rFonts w:hint="eastAsia" w:ascii="Times New Roman" w:hAnsi="Times New Roman" w:eastAsia="宋体" w:cs="Times New Roman"/>
          <w:b/>
          <w:bCs/>
          <w:sz w:val="24"/>
          <w:szCs w:val="24"/>
        </w:rPr>
        <w:t>排土工作</w:t>
      </w:r>
    </w:p>
    <w:p>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1</w:t>
      </w:r>
      <w:r>
        <w:rPr>
          <w:rFonts w:ascii="Times New Roman" w:hAnsi="Times New Roman" w:eastAsia="宋体"/>
          <w:sz w:val="24"/>
          <w:szCs w:val="24"/>
        </w:rPr>
        <w:t>.</w:t>
      </w:r>
      <w:r>
        <w:rPr>
          <w:rFonts w:hint="eastAsia" w:ascii="Times New Roman" w:hAnsi="Times New Roman" w:eastAsia="宋体"/>
          <w:sz w:val="24"/>
          <w:szCs w:val="24"/>
        </w:rPr>
        <w:t>废石场基本情况</w:t>
      </w:r>
    </w:p>
    <w:p>
      <w:pPr>
        <w:spacing w:line="360" w:lineRule="auto"/>
        <w:ind w:firstLine="480" w:firstLineChars="200"/>
        <w:rPr>
          <w:rFonts w:ascii="Times New Roman" w:hAnsi="Times New Roman" w:eastAsia="宋体"/>
          <w:sz w:val="24"/>
          <w:szCs w:val="24"/>
        </w:rPr>
      </w:pPr>
      <w:r>
        <w:rPr>
          <w:rFonts w:ascii="Times New Roman" w:hAnsi="Times New Roman" w:eastAsia="宋体"/>
          <w:sz w:val="24"/>
          <w:szCs w:val="24"/>
        </w:rPr>
        <w:t>矿区共设有3个废石场，分别为：位于矿区西侧的坑采基建废石场、矿区东部的露天矿基建废石场和矿区东北部的露天矿生产废石场。</w:t>
      </w:r>
      <w:r>
        <w:rPr>
          <w:rFonts w:hint="eastAsia" w:ascii="Times New Roman" w:hAnsi="Times New Roman" w:eastAsia="宋体"/>
          <w:sz w:val="24"/>
          <w:szCs w:val="24"/>
        </w:rPr>
        <w:t>本次验收不含坑采基建废石场内容，仅包含</w:t>
      </w:r>
      <w:r>
        <w:rPr>
          <w:rFonts w:ascii="Times New Roman" w:hAnsi="Times New Roman" w:eastAsia="宋体"/>
          <w:sz w:val="24"/>
          <w:szCs w:val="24"/>
        </w:rPr>
        <w:t>矿区东部的露天矿基建废石场和矿区东北部的露天矿生产废石场</w:t>
      </w:r>
      <w:r>
        <w:rPr>
          <w:rFonts w:hint="eastAsia" w:ascii="Times New Roman" w:hAnsi="Times New Roman" w:eastAsia="宋体"/>
          <w:sz w:val="24"/>
          <w:szCs w:val="24"/>
        </w:rPr>
        <w:t>。</w:t>
      </w:r>
    </w:p>
    <w:p>
      <w:pPr>
        <w:spacing w:line="360" w:lineRule="auto"/>
        <w:ind w:firstLine="480" w:firstLineChars="200"/>
        <w:rPr>
          <w:rFonts w:ascii="Times New Roman" w:hAnsi="Times New Roman" w:eastAsia="宋体"/>
          <w:sz w:val="24"/>
          <w:szCs w:val="24"/>
        </w:rPr>
      </w:pPr>
      <w:r>
        <w:rPr>
          <w:rFonts w:ascii="Times New Roman" w:hAnsi="Times New Roman" w:eastAsia="宋体"/>
          <w:sz w:val="24"/>
          <w:szCs w:val="24"/>
        </w:rPr>
        <w:t>露天矿基建废石场：露天矿基建废石场采用自卸车—推土机联合排废，废石场分三台进行堆存，堆置高40m，台阶高度分别为10m-20m，堆存标高分别为4250.00m、4230.00m、4220.00m,排废最终标高为4250.00m，容积为58万m</w:t>
      </w:r>
      <w:r>
        <w:rPr>
          <w:rFonts w:ascii="Times New Roman" w:hAnsi="Times New Roman" w:eastAsia="宋体"/>
          <w:sz w:val="24"/>
          <w:szCs w:val="16"/>
          <w:vertAlign w:val="superscript"/>
        </w:rPr>
        <w:t>3</w:t>
      </w:r>
      <w:r>
        <w:rPr>
          <w:rFonts w:ascii="Times New Roman" w:hAnsi="Times New Roman" w:eastAsia="宋体"/>
          <w:sz w:val="24"/>
          <w:szCs w:val="24"/>
        </w:rPr>
        <w:t>，边坡坡度为1：2.0，废石场下部设拦渣坝，坝体采用梯形断面形式，浆砌毛石结构，最大高度12m。</w:t>
      </w:r>
    </w:p>
    <w:p>
      <w:pPr>
        <w:spacing w:line="360" w:lineRule="auto"/>
        <w:ind w:firstLine="480" w:firstLineChars="200"/>
        <w:rPr>
          <w:rFonts w:ascii="Times New Roman" w:hAnsi="Times New Roman" w:eastAsia="宋体"/>
          <w:sz w:val="24"/>
          <w:szCs w:val="24"/>
        </w:rPr>
      </w:pPr>
      <w:r>
        <w:rPr>
          <w:rFonts w:ascii="Times New Roman" w:hAnsi="Times New Roman" w:eastAsia="宋体"/>
          <w:sz w:val="24"/>
          <w:szCs w:val="24"/>
        </w:rPr>
        <w:t>露天生产建废石场：露天矿基建废石场采用自卸车—推土机联合排废，废石场分三台进行堆存，堆置高度140m，台阶高度分别为20m、60m、60m，堆存标高分别为4320.00m、4260.00m、4200.00m、4180.00m</w:t>
      </w:r>
      <w:r>
        <w:rPr>
          <w:rFonts w:hint="eastAsia" w:ascii="Times New Roman" w:hAnsi="Times New Roman" w:eastAsia="宋体"/>
          <w:sz w:val="24"/>
          <w:szCs w:val="24"/>
        </w:rPr>
        <w:t>，</w:t>
      </w:r>
      <w:r>
        <w:rPr>
          <w:rFonts w:ascii="Times New Roman" w:hAnsi="Times New Roman" w:eastAsia="宋体"/>
          <w:sz w:val="24"/>
          <w:szCs w:val="24"/>
        </w:rPr>
        <w:t>排废最终标高为4320.00m，容积为500万m</w:t>
      </w:r>
      <w:r>
        <w:rPr>
          <w:rFonts w:ascii="Times New Roman" w:hAnsi="Times New Roman" w:eastAsia="宋体"/>
          <w:sz w:val="24"/>
          <w:szCs w:val="16"/>
          <w:vertAlign w:val="superscript"/>
        </w:rPr>
        <w:t>3</w:t>
      </w:r>
      <w:r>
        <w:rPr>
          <w:rFonts w:ascii="Times New Roman" w:hAnsi="Times New Roman" w:eastAsia="宋体"/>
          <w:sz w:val="24"/>
          <w:szCs w:val="24"/>
        </w:rPr>
        <w:t>，最大堆存坡度角36°，废石场下部设碾压堆石坝，坝体采用梯形断面形式，顶宽4.0m面坡坡比1:2.0，内坡坡比1:1.75，最大高度15m。</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2．废石场采取的安全环保措施</w:t>
      </w:r>
    </w:p>
    <w:p>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（1）</w:t>
      </w:r>
      <w:r>
        <w:rPr>
          <w:rFonts w:ascii="Times New Roman" w:hAnsi="Times New Roman" w:eastAsia="宋体"/>
          <w:sz w:val="24"/>
          <w:szCs w:val="24"/>
        </w:rPr>
        <w:t>表土剥离</w:t>
      </w:r>
    </w:p>
    <w:p>
      <w:pPr>
        <w:spacing w:line="360" w:lineRule="auto"/>
        <w:ind w:firstLine="480" w:firstLineChars="200"/>
        <w:rPr>
          <w:rFonts w:ascii="Times New Roman" w:hAnsi="Times New Roman" w:eastAsia="宋体"/>
          <w:sz w:val="24"/>
          <w:szCs w:val="24"/>
        </w:rPr>
      </w:pPr>
      <w:r>
        <w:rPr>
          <w:rFonts w:ascii="Times New Roman" w:hAnsi="Times New Roman" w:eastAsia="宋体"/>
          <w:sz w:val="24"/>
          <w:szCs w:val="24"/>
        </w:rPr>
        <w:t>在废石场堆渣前，对占地区的可剥离表土区域进行表土剥离，剥离表土运至表土堆放区集中堆放。</w:t>
      </w:r>
    </w:p>
    <w:p>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（2）</w:t>
      </w:r>
      <w:r>
        <w:rPr>
          <w:rFonts w:ascii="Times New Roman" w:hAnsi="Times New Roman" w:eastAsia="宋体"/>
          <w:sz w:val="24"/>
          <w:szCs w:val="24"/>
        </w:rPr>
        <w:t>截排水沟、截洪沟</w:t>
      </w:r>
    </w:p>
    <w:p>
      <w:pPr>
        <w:spacing w:line="360" w:lineRule="auto"/>
        <w:ind w:firstLine="480" w:firstLineChars="200"/>
        <w:rPr>
          <w:rFonts w:ascii="Times New Roman" w:hAnsi="Times New Roman" w:eastAsia="宋体"/>
          <w:sz w:val="24"/>
          <w:szCs w:val="24"/>
        </w:rPr>
      </w:pPr>
      <w:r>
        <w:rPr>
          <w:rFonts w:ascii="Times New Roman" w:hAnsi="Times New Roman" w:eastAsia="宋体"/>
          <w:sz w:val="24"/>
          <w:szCs w:val="24"/>
        </w:rPr>
        <w:t>露采废石场为沟道型废石场</w:t>
      </w:r>
      <w:r>
        <w:rPr>
          <w:rFonts w:hint="eastAsia" w:ascii="Times New Roman" w:hAnsi="Times New Roman" w:eastAsia="宋体"/>
          <w:sz w:val="24"/>
          <w:szCs w:val="24"/>
        </w:rPr>
        <w:t>。</w:t>
      </w:r>
      <w:r>
        <w:rPr>
          <w:rFonts w:ascii="Times New Roman" w:hAnsi="Times New Roman" w:eastAsia="宋体"/>
          <w:sz w:val="24"/>
          <w:szCs w:val="24"/>
        </w:rPr>
        <w:t>在废石场周边设置了截洪沟，采用矩形断面，尺寸为150×150cm，壁厚50cm</w:t>
      </w:r>
      <w:r>
        <w:rPr>
          <w:rFonts w:hint="eastAsia" w:ascii="Times New Roman" w:hAnsi="Times New Roman" w:eastAsia="宋体"/>
          <w:sz w:val="24"/>
          <w:szCs w:val="24"/>
        </w:rPr>
        <w:t>。</w:t>
      </w:r>
    </w:p>
    <w:p>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（3）</w:t>
      </w:r>
      <w:r>
        <w:rPr>
          <w:rFonts w:ascii="Times New Roman" w:hAnsi="Times New Roman" w:eastAsia="宋体"/>
          <w:sz w:val="24"/>
          <w:szCs w:val="24"/>
        </w:rPr>
        <w:t>沉沙池</w:t>
      </w:r>
    </w:p>
    <w:p>
      <w:pPr>
        <w:spacing w:line="360" w:lineRule="auto"/>
        <w:ind w:firstLine="480" w:firstLineChars="200"/>
        <w:rPr>
          <w:rFonts w:ascii="Times New Roman" w:hAnsi="Times New Roman" w:eastAsia="宋体"/>
          <w:sz w:val="24"/>
          <w:szCs w:val="24"/>
        </w:rPr>
      </w:pPr>
      <w:r>
        <w:rPr>
          <w:rFonts w:ascii="Times New Roman" w:hAnsi="Times New Roman" w:eastAsia="宋体"/>
          <w:sz w:val="24"/>
          <w:szCs w:val="24"/>
        </w:rPr>
        <w:t>在露采废石场截洪沟末端设置了1座沉沙池，长6.0m，宽3.0m，深3.0m，底板及边墙衬砌厚度0.5m。</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szCs w:val="24"/>
        </w:rPr>
        <w:t>（4）</w:t>
      </w:r>
      <w:r>
        <w:rPr>
          <w:rFonts w:ascii="Times New Roman" w:hAnsi="Times New Roman" w:eastAsia="宋体"/>
          <w:sz w:val="24"/>
          <w:szCs w:val="24"/>
        </w:rPr>
        <w:t>拦渣堤、拦渣坝</w:t>
      </w:r>
    </w:p>
    <w:p>
      <w:pPr>
        <w:spacing w:line="360" w:lineRule="auto"/>
        <w:ind w:firstLine="480" w:firstLineChars="200"/>
        <w:rPr>
          <w:rFonts w:ascii="Times New Roman" w:hAnsi="Times New Roman" w:eastAsia="宋体"/>
          <w:sz w:val="24"/>
          <w:szCs w:val="24"/>
        </w:rPr>
      </w:pPr>
      <w:r>
        <w:rPr>
          <w:rFonts w:ascii="Times New Roman" w:hAnsi="Times New Roman" w:eastAsia="宋体"/>
          <w:sz w:val="24"/>
          <w:szCs w:val="24"/>
        </w:rPr>
        <w:t>在露采废石场下方设置了拦渣坝。拦渣坝坝高H＝10m，坝顶宽5.0m，坝轴线长105.2m，上、下游坡比分别为1：1.75、1：2.0，上、下游坡每10m高设置一宽2.0m的马道，下游坝坡采用块石护坡，在拦渣坝坝轴线处清基3m后再浇筑一宽为1m，深度至强风化角岩夹片岩岩层的C20混凝土墙。</w:t>
      </w:r>
    </w:p>
    <w:p>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（5）</w:t>
      </w:r>
      <w:r>
        <w:rPr>
          <w:rFonts w:ascii="Times New Roman" w:hAnsi="Times New Roman" w:eastAsia="宋体"/>
          <w:sz w:val="24"/>
          <w:szCs w:val="24"/>
        </w:rPr>
        <w:t>平台水沟</w:t>
      </w:r>
    </w:p>
    <w:p>
      <w:pPr>
        <w:spacing w:line="360" w:lineRule="auto"/>
        <w:ind w:firstLine="480" w:firstLineChars="200"/>
        <w:rPr>
          <w:rFonts w:ascii="Times New Roman" w:hAnsi="Times New Roman" w:eastAsia="宋体"/>
          <w:sz w:val="24"/>
          <w:szCs w:val="24"/>
        </w:rPr>
      </w:pPr>
      <w:r>
        <w:rPr>
          <w:rFonts w:ascii="Times New Roman" w:hAnsi="Times New Roman" w:eastAsia="宋体"/>
          <w:sz w:val="24"/>
          <w:szCs w:val="24"/>
        </w:rPr>
        <w:t>在露采废石场修建平台水沟1060m。</w:t>
      </w:r>
    </w:p>
    <w:p>
      <w:pPr>
        <w:pStyle w:val="4"/>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2.2.7 主要影响源及源强</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（1）工程施工</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工程施工对环境造成的影响主要体现在工程施工对植被的破坏及造成的水土流失、工程施工对水环境的影响、工程施工对大气和声环境的影响及工程施工对社会经济和人群健康的影响。</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（2）移民安置</w:t>
      </w:r>
    </w:p>
    <w:p>
      <w:pPr>
        <w:spacing w:line="300" w:lineRule="auto"/>
        <w:ind w:firstLine="600" w:firstLineChars="25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项目不涉及移民安置。</w:t>
      </w:r>
    </w:p>
    <w:p>
      <w:pPr>
        <w:spacing w:line="300" w:lineRule="auto"/>
        <w:ind w:firstLine="600" w:firstLineChars="25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（3）工程运行</w:t>
      </w:r>
    </w:p>
    <w:p>
      <w:pPr>
        <w:spacing w:line="300" w:lineRule="auto"/>
        <w:ind w:firstLine="600" w:firstLineChars="25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工程环评阶段和项目实施阶段主要影响源一致。总体来说，两个阶段其他影响源及源强基本一致。</w:t>
      </w:r>
    </w:p>
    <w:p>
      <w:pPr>
        <w:spacing w:line="360" w:lineRule="auto"/>
        <w:jc w:val="center"/>
        <w:rPr>
          <w:rFonts w:ascii="Times New Roman" w:hAnsi="Times New Roman" w:eastAsia="宋体" w:cs="Times New Roman"/>
          <w:b/>
          <w:szCs w:val="21"/>
        </w:rPr>
      </w:pPr>
      <w:r>
        <w:rPr>
          <w:rFonts w:hint="eastAsia" w:ascii="Times New Roman" w:hAnsi="Times New Roman" w:eastAsia="宋体" w:cs="Times New Roman"/>
          <w:b/>
          <w:szCs w:val="21"/>
        </w:rPr>
        <w:t>表2.2-6  工程影响源调查情况一览表</w:t>
      </w:r>
    </w:p>
    <w:tbl>
      <w:tblPr>
        <w:tblStyle w:val="28"/>
        <w:tblW w:w="830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13"/>
        <w:gridCol w:w="425"/>
        <w:gridCol w:w="2076"/>
        <w:gridCol w:w="1688"/>
        <w:gridCol w:w="1168"/>
        <w:gridCol w:w="1431"/>
        <w:gridCol w:w="90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613" w:type="dxa"/>
            <w:vMerge w:val="restart"/>
            <w:tcMar>
              <w:left w:w="0" w:type="dxa"/>
              <w:right w:w="0" w:type="dxa"/>
            </w:tcMar>
            <w:vAlign w:val="center"/>
          </w:tcPr>
          <w:p>
            <w:pPr>
              <w:adjustRightInd w:val="0"/>
              <w:snapToGrid w:val="0"/>
              <w:spacing w:line="300" w:lineRule="exact"/>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时段</w:t>
            </w:r>
          </w:p>
        </w:tc>
        <w:tc>
          <w:tcPr>
            <w:tcW w:w="4189" w:type="dxa"/>
            <w:gridSpan w:val="3"/>
            <w:tcMar>
              <w:left w:w="0" w:type="dxa"/>
              <w:right w:w="0" w:type="dxa"/>
            </w:tcMar>
            <w:vAlign w:val="center"/>
          </w:tcPr>
          <w:p>
            <w:pPr>
              <w:adjustRightInd w:val="0"/>
              <w:snapToGrid w:val="0"/>
              <w:spacing w:line="300" w:lineRule="exact"/>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影响源及源强(环评报告书)</w:t>
            </w:r>
          </w:p>
        </w:tc>
        <w:tc>
          <w:tcPr>
            <w:tcW w:w="1168" w:type="dxa"/>
            <w:vMerge w:val="restart"/>
            <w:tcMar>
              <w:left w:w="0" w:type="dxa"/>
              <w:right w:w="0" w:type="dxa"/>
            </w:tcMar>
            <w:vAlign w:val="center"/>
          </w:tcPr>
          <w:p>
            <w:pPr>
              <w:adjustRightInd w:val="0"/>
              <w:snapToGrid w:val="0"/>
              <w:spacing w:line="300" w:lineRule="exact"/>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实施阶段变化情况</w:t>
            </w:r>
          </w:p>
        </w:tc>
        <w:tc>
          <w:tcPr>
            <w:tcW w:w="1431" w:type="dxa"/>
            <w:vMerge w:val="restart"/>
            <w:vAlign w:val="center"/>
          </w:tcPr>
          <w:p>
            <w:pPr>
              <w:adjustRightInd w:val="0"/>
              <w:snapToGrid w:val="0"/>
              <w:spacing w:line="300" w:lineRule="exact"/>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已有处理工艺及效果</w:t>
            </w:r>
          </w:p>
        </w:tc>
        <w:tc>
          <w:tcPr>
            <w:tcW w:w="905" w:type="dxa"/>
            <w:vMerge w:val="restart"/>
            <w:tcMar>
              <w:left w:w="0" w:type="dxa"/>
              <w:right w:w="0" w:type="dxa"/>
            </w:tcMar>
            <w:vAlign w:val="center"/>
          </w:tcPr>
          <w:p>
            <w:pPr>
              <w:adjustRightInd w:val="0"/>
              <w:snapToGrid w:val="0"/>
              <w:spacing w:line="300" w:lineRule="exact"/>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排放或作用去向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72" w:hRule="atLeast"/>
        </w:trPr>
        <w:tc>
          <w:tcPr>
            <w:tcW w:w="613" w:type="dxa"/>
            <w:vMerge w:val="continue"/>
            <w:tcMar>
              <w:left w:w="0" w:type="dxa"/>
              <w:right w:w="0" w:type="dxa"/>
            </w:tcMar>
            <w:vAlign w:val="center"/>
          </w:tcPr>
          <w:p>
            <w:pPr>
              <w:adjustRightInd w:val="0"/>
              <w:snapToGrid w:val="0"/>
              <w:spacing w:line="300" w:lineRule="exact"/>
              <w:jc w:val="center"/>
              <w:rPr>
                <w:rFonts w:ascii="Times New Roman" w:hAnsi="Times New Roman" w:cs="Times New Roman"/>
                <w:b/>
                <w:color w:val="000000" w:themeColor="text1"/>
                <w:szCs w:val="21"/>
                <w14:textFill>
                  <w14:solidFill>
                    <w14:schemeClr w14:val="tx1"/>
                  </w14:solidFill>
                </w14:textFill>
              </w:rPr>
            </w:pPr>
          </w:p>
        </w:tc>
        <w:tc>
          <w:tcPr>
            <w:tcW w:w="2501" w:type="dxa"/>
            <w:gridSpan w:val="2"/>
            <w:tcMar>
              <w:left w:w="0" w:type="dxa"/>
              <w:right w:w="0" w:type="dxa"/>
            </w:tcMar>
            <w:vAlign w:val="center"/>
          </w:tcPr>
          <w:p>
            <w:pPr>
              <w:adjustRightInd w:val="0"/>
              <w:snapToGrid w:val="0"/>
              <w:spacing w:line="300" w:lineRule="exact"/>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污染物来源</w:t>
            </w:r>
          </w:p>
        </w:tc>
        <w:tc>
          <w:tcPr>
            <w:tcW w:w="1688" w:type="dxa"/>
            <w:tcMar>
              <w:left w:w="0" w:type="dxa"/>
              <w:right w:w="0" w:type="dxa"/>
            </w:tcMar>
            <w:vAlign w:val="center"/>
          </w:tcPr>
          <w:p>
            <w:pPr>
              <w:adjustRightInd w:val="0"/>
              <w:snapToGrid w:val="0"/>
              <w:spacing w:line="300" w:lineRule="exact"/>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污染物及排放浓度</w:t>
            </w:r>
          </w:p>
        </w:tc>
        <w:tc>
          <w:tcPr>
            <w:tcW w:w="1168" w:type="dxa"/>
            <w:vMerge w:val="continue"/>
            <w:tcMar>
              <w:left w:w="0" w:type="dxa"/>
              <w:right w:w="0" w:type="dxa"/>
            </w:tcMar>
            <w:vAlign w:val="center"/>
          </w:tcPr>
          <w:p>
            <w:pPr>
              <w:adjustRightInd w:val="0"/>
              <w:snapToGrid w:val="0"/>
              <w:spacing w:line="300" w:lineRule="exact"/>
              <w:jc w:val="center"/>
              <w:rPr>
                <w:rFonts w:ascii="Times New Roman" w:hAnsi="Times New Roman" w:cs="Times New Roman"/>
                <w:b/>
                <w:color w:val="000000" w:themeColor="text1"/>
                <w:szCs w:val="21"/>
                <w14:textFill>
                  <w14:solidFill>
                    <w14:schemeClr w14:val="tx1"/>
                  </w14:solidFill>
                </w14:textFill>
              </w:rPr>
            </w:pPr>
          </w:p>
        </w:tc>
        <w:tc>
          <w:tcPr>
            <w:tcW w:w="1431" w:type="dxa"/>
            <w:vMerge w:val="continue"/>
            <w:vAlign w:val="center"/>
          </w:tcPr>
          <w:p>
            <w:pPr>
              <w:adjustRightInd w:val="0"/>
              <w:snapToGrid w:val="0"/>
              <w:spacing w:line="300" w:lineRule="exact"/>
              <w:jc w:val="center"/>
              <w:rPr>
                <w:rFonts w:ascii="Times New Roman" w:hAnsi="Times New Roman" w:cs="Times New Roman"/>
                <w:b/>
                <w:color w:val="000000" w:themeColor="text1"/>
                <w:szCs w:val="21"/>
                <w14:textFill>
                  <w14:solidFill>
                    <w14:schemeClr w14:val="tx1"/>
                  </w14:solidFill>
                </w14:textFill>
              </w:rPr>
            </w:pPr>
          </w:p>
        </w:tc>
        <w:tc>
          <w:tcPr>
            <w:tcW w:w="905" w:type="dxa"/>
            <w:vMerge w:val="continue"/>
            <w:tcMar>
              <w:left w:w="0" w:type="dxa"/>
              <w:right w:w="0" w:type="dxa"/>
            </w:tcMar>
            <w:vAlign w:val="center"/>
          </w:tcPr>
          <w:p>
            <w:pPr>
              <w:adjustRightInd w:val="0"/>
              <w:snapToGrid w:val="0"/>
              <w:spacing w:line="300" w:lineRule="exact"/>
              <w:jc w:val="center"/>
              <w:rPr>
                <w:rFonts w:ascii="Times New Roman" w:hAnsi="Times New Roman" w:cs="Times New Roman"/>
                <w:b/>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13" w:type="dxa"/>
            <w:vMerge w:val="restart"/>
            <w:tcMar>
              <w:left w:w="0" w:type="dxa"/>
              <w:right w:w="0" w:type="dxa"/>
            </w:tcMar>
            <w:vAlign w:val="center"/>
          </w:tcPr>
          <w:p>
            <w:pPr>
              <w:adjustRightInd w:val="0"/>
              <w:snapToGrid w:val="0"/>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施工期</w:t>
            </w:r>
          </w:p>
        </w:tc>
        <w:tc>
          <w:tcPr>
            <w:tcW w:w="425" w:type="dxa"/>
            <w:tcMar>
              <w:left w:w="0" w:type="dxa"/>
              <w:right w:w="0" w:type="dxa"/>
            </w:tcMar>
            <w:vAlign w:val="center"/>
          </w:tcPr>
          <w:p>
            <w:pPr>
              <w:adjustRightInd w:val="0"/>
              <w:snapToGrid w:val="0"/>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水环境</w:t>
            </w:r>
          </w:p>
        </w:tc>
        <w:tc>
          <w:tcPr>
            <w:tcW w:w="2076" w:type="dxa"/>
            <w:tcMar>
              <w:left w:w="0" w:type="dxa"/>
              <w:right w:w="0" w:type="dxa"/>
            </w:tcMar>
            <w:vAlign w:val="center"/>
          </w:tcPr>
          <w:p>
            <w:pPr>
              <w:adjustRightInd w:val="0"/>
              <w:snapToGrid w:val="0"/>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混凝土拌和废水</w:t>
            </w:r>
            <w:r>
              <w:rPr>
                <w:rFonts w:hint="eastAsia" w:ascii="Times New Roman" w:hAnsi="Times New Roman" w:cs="Times New Roman"/>
                <w:color w:val="000000" w:themeColor="text1"/>
                <w:szCs w:val="21"/>
                <w14:textFill>
                  <w14:solidFill>
                    <w14:schemeClr w14:val="tx1"/>
                  </w14:solidFill>
                </w14:textFill>
              </w:rPr>
              <w:t>、</w:t>
            </w:r>
            <w:r>
              <w:rPr>
                <w:rFonts w:ascii="Times New Roman" w:hAnsi="Times New Roman" w:cs="Times New Roman"/>
                <w:color w:val="000000" w:themeColor="text1"/>
                <w:szCs w:val="21"/>
                <w14:textFill>
                  <w14:solidFill>
                    <w14:schemeClr w14:val="tx1"/>
                  </w14:solidFill>
                </w14:textFill>
              </w:rPr>
              <w:t>机修废水</w:t>
            </w:r>
            <w:r>
              <w:rPr>
                <w:rFonts w:hint="eastAsia" w:ascii="Times New Roman" w:hAnsi="Times New Roman" w:cs="Times New Roman"/>
                <w:color w:val="000000" w:themeColor="text1"/>
                <w:szCs w:val="21"/>
                <w14:textFill>
                  <w14:solidFill>
                    <w14:schemeClr w14:val="tx1"/>
                  </w14:solidFill>
                </w14:textFill>
              </w:rPr>
              <w:t>、</w:t>
            </w:r>
            <w:r>
              <w:rPr>
                <w:rFonts w:ascii="Times New Roman" w:hAnsi="Times New Roman" w:cs="Times New Roman"/>
                <w:color w:val="000000" w:themeColor="text1"/>
                <w:szCs w:val="21"/>
                <w14:textFill>
                  <w14:solidFill>
                    <w14:schemeClr w14:val="tx1"/>
                  </w14:solidFill>
                </w14:textFill>
              </w:rPr>
              <w:t>生活污水</w:t>
            </w:r>
            <w:r>
              <w:rPr>
                <w:rFonts w:hint="eastAsia" w:ascii="Times New Roman" w:hAnsi="Times New Roman" w:cs="Times New Roman"/>
                <w:color w:val="000000" w:themeColor="text1"/>
                <w:szCs w:val="21"/>
                <w14:textFill>
                  <w14:solidFill>
                    <w14:schemeClr w14:val="tx1"/>
                  </w14:solidFill>
                </w14:textFill>
              </w:rPr>
              <w:t>（1</w:t>
            </w:r>
            <w:r>
              <w:rPr>
                <w:rFonts w:ascii="Times New Roman" w:hAnsi="Times New Roman" w:cs="Times New Roman"/>
                <w:color w:val="000000" w:themeColor="text1"/>
                <w:szCs w:val="21"/>
                <w14:textFill>
                  <w14:solidFill>
                    <w14:schemeClr w14:val="tx1"/>
                  </w14:solidFill>
                </w14:textFill>
              </w:rPr>
              <w:t>3.6</w:t>
            </w:r>
            <w:r>
              <w:rPr>
                <w:rFonts w:hint="eastAsia" w:ascii="Times New Roman" w:hAnsi="Times New Roman" w:cs="Times New Roman"/>
                <w:color w:val="000000" w:themeColor="text1"/>
                <w:szCs w:val="21"/>
                <w14:textFill>
                  <w14:solidFill>
                    <w14:schemeClr w14:val="tx1"/>
                  </w14:solidFill>
                </w14:textFill>
              </w:rPr>
              <w:t>m</w:t>
            </w:r>
            <w:r>
              <w:rPr>
                <w:rFonts w:ascii="Times New Roman" w:hAnsi="Times New Roman" w:cs="Times New Roman"/>
                <w:color w:val="000000" w:themeColor="text1"/>
                <w:szCs w:val="21"/>
                <w:vertAlign w:val="superscript"/>
                <w14:textFill>
                  <w14:solidFill>
                    <w14:schemeClr w14:val="tx1"/>
                  </w14:solidFill>
                </w14:textFill>
              </w:rPr>
              <w:t>3</w:t>
            </w:r>
            <w:r>
              <w:rPr>
                <w:rFonts w:hint="eastAsia" w:ascii="Times New Roman" w:hAnsi="Times New Roman" w:cs="Times New Roman"/>
                <w:color w:val="000000" w:themeColor="text1"/>
                <w:szCs w:val="21"/>
                <w14:textFill>
                  <w14:solidFill>
                    <w14:schemeClr w14:val="tx1"/>
                  </w14:solidFill>
                </w14:textFill>
              </w:rPr>
              <w:t>）</w:t>
            </w:r>
          </w:p>
        </w:tc>
        <w:tc>
          <w:tcPr>
            <w:tcW w:w="1688" w:type="dxa"/>
            <w:tcMar>
              <w:left w:w="0" w:type="dxa"/>
              <w:right w:w="0" w:type="dxa"/>
            </w:tcMar>
            <w:vAlign w:val="center"/>
          </w:tcPr>
          <w:p>
            <w:pPr>
              <w:adjustRightInd w:val="0"/>
              <w:snapToGrid w:val="0"/>
              <w:spacing w:line="300" w:lineRule="exact"/>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①拌和废水：</w:t>
            </w:r>
            <w:r>
              <w:rPr>
                <w:rFonts w:ascii="Times New Roman" w:hAnsi="Times New Roman" w:cs="Times New Roman"/>
                <w:color w:val="000000" w:themeColor="text1"/>
                <w:szCs w:val="21"/>
                <w14:textFill>
                  <w14:solidFill>
                    <w14:schemeClr w14:val="tx1"/>
                  </w14:solidFill>
                </w14:textFill>
              </w:rPr>
              <w:t>SS</w:t>
            </w:r>
            <w:r>
              <w:rPr>
                <w:rFonts w:hint="eastAsia" w:ascii="Times New Roman" w:hAnsi="Times New Roman" w:cs="Times New Roman"/>
                <w:color w:val="000000" w:themeColor="text1"/>
                <w:szCs w:val="21"/>
                <w14:textFill>
                  <w14:solidFill>
                    <w14:schemeClr w14:val="tx1"/>
                  </w14:solidFill>
                </w14:textFill>
              </w:rPr>
              <w:t>（</w:t>
            </w:r>
            <w:r>
              <w:rPr>
                <w:rFonts w:ascii="Times New Roman" w:hAnsi="Times New Roman" w:cs="Times New Roman"/>
                <w:color w:val="000000" w:themeColor="text1"/>
                <w:szCs w:val="21"/>
                <w14:textFill>
                  <w14:solidFill>
                    <w14:schemeClr w14:val="tx1"/>
                  </w14:solidFill>
                </w14:textFill>
              </w:rPr>
              <w:t>5000mg/L</w:t>
            </w:r>
            <w:r>
              <w:rPr>
                <w:rFonts w:hint="eastAsia" w:ascii="Times New Roman" w:hAnsi="Times New Roman" w:cs="Times New Roman"/>
                <w:color w:val="000000" w:themeColor="text1"/>
                <w:szCs w:val="21"/>
                <w14:textFill>
                  <w14:solidFill>
                    <w14:schemeClr w14:val="tx1"/>
                  </w14:solidFill>
                </w14:textFill>
              </w:rPr>
              <w:t>）；</w:t>
            </w:r>
          </w:p>
          <w:p>
            <w:pPr>
              <w:adjustRightInd w:val="0"/>
              <w:snapToGrid w:val="0"/>
              <w:spacing w:line="300" w:lineRule="exact"/>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②</w:t>
            </w:r>
            <w:r>
              <w:rPr>
                <w:rFonts w:hint="eastAsia" w:ascii="宋体" w:hAnsi="宋体" w:eastAsia="宋体" w:cs="宋体"/>
                <w:color w:val="000000" w:themeColor="text1"/>
                <w:szCs w:val="21"/>
                <w14:textFill>
                  <w14:solidFill>
                    <w14:schemeClr w14:val="tx1"/>
                  </w14:solidFill>
                </w14:textFill>
              </w:rPr>
              <w:t>机修废水：</w:t>
            </w:r>
            <w:r>
              <w:rPr>
                <w:rFonts w:ascii="Times New Roman" w:hAnsi="Times New Roman" w:cs="Times New Roman"/>
                <w:color w:val="000000" w:themeColor="text1"/>
                <w:szCs w:val="21"/>
                <w14:textFill>
                  <w14:solidFill>
                    <w14:schemeClr w14:val="tx1"/>
                  </w14:solidFill>
                </w14:textFill>
              </w:rPr>
              <w:t>石油类</w:t>
            </w:r>
            <w:r>
              <w:rPr>
                <w:rFonts w:hint="eastAsia" w:ascii="Times New Roman" w:hAnsi="Times New Roman" w:cs="Times New Roman"/>
                <w:color w:val="000000" w:themeColor="text1"/>
                <w:szCs w:val="21"/>
                <w14:textFill>
                  <w14:solidFill>
                    <w14:schemeClr w14:val="tx1"/>
                  </w14:solidFill>
                </w14:textFill>
              </w:rPr>
              <w:t>（</w:t>
            </w:r>
            <w:r>
              <w:rPr>
                <w:rFonts w:ascii="Times New Roman" w:hAnsi="Times New Roman" w:cs="Times New Roman"/>
                <w:color w:val="000000" w:themeColor="text1"/>
                <w:szCs w:val="21"/>
                <w14:textFill>
                  <w14:solidFill>
                    <w14:schemeClr w14:val="tx1"/>
                  </w14:solidFill>
                </w14:textFill>
              </w:rPr>
              <w:t>40mg/L</w:t>
            </w:r>
            <w:r>
              <w:rPr>
                <w:rFonts w:hint="eastAsia" w:ascii="Times New Roman" w:hAnsi="Times New Roman" w:cs="Times New Roman"/>
                <w:color w:val="000000" w:themeColor="text1"/>
                <w:szCs w:val="21"/>
                <w14:textFill>
                  <w14:solidFill>
                    <w14:schemeClr w14:val="tx1"/>
                  </w14:solidFill>
                </w14:textFill>
              </w:rPr>
              <w:t>）；</w:t>
            </w:r>
          </w:p>
          <w:p>
            <w:pPr>
              <w:adjustRightInd w:val="0"/>
              <w:snapToGrid w:val="0"/>
              <w:spacing w:line="300" w:lineRule="exact"/>
              <w:jc w:val="center"/>
              <w:rPr>
                <w:rFonts w:ascii="Times New Roman" w:hAnsi="Times New Roman" w:cs="Times New Roman"/>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③生活污水：</w:t>
            </w:r>
            <w:r>
              <w:rPr>
                <w:rFonts w:ascii="Times New Roman" w:hAnsi="Times New Roman" w:cs="Times New Roman"/>
                <w:color w:val="000000" w:themeColor="text1"/>
                <w:szCs w:val="21"/>
                <w14:textFill>
                  <w14:solidFill>
                    <w14:schemeClr w14:val="tx1"/>
                  </w14:solidFill>
                </w14:textFill>
              </w:rPr>
              <w:t>BOD</w:t>
            </w:r>
            <w:r>
              <w:rPr>
                <w:rFonts w:ascii="Times New Roman" w:hAnsi="Times New Roman" w:cs="Times New Roman"/>
                <w:color w:val="000000" w:themeColor="text1"/>
                <w:szCs w:val="21"/>
                <w:vertAlign w:val="subscript"/>
                <w14:textFill>
                  <w14:solidFill>
                    <w14:schemeClr w14:val="tx1"/>
                  </w14:solidFill>
                </w14:textFill>
              </w:rPr>
              <w:t>5</w:t>
            </w:r>
            <w:r>
              <w:rPr>
                <w:rFonts w:hint="eastAsia" w:ascii="Times New Roman" w:hAnsi="Times New Roman" w:cs="Times New Roman"/>
                <w:color w:val="000000" w:themeColor="text1"/>
                <w:szCs w:val="21"/>
                <w14:textFill>
                  <w14:solidFill>
                    <w14:schemeClr w14:val="tx1"/>
                  </w14:solidFill>
                </w14:textFill>
              </w:rPr>
              <w:t>（</w:t>
            </w:r>
            <w:r>
              <w:rPr>
                <w:rFonts w:ascii="Times New Roman" w:hAnsi="Times New Roman" w:cs="Times New Roman"/>
                <w:color w:val="000000" w:themeColor="text1"/>
                <w:szCs w:val="21"/>
                <w14:textFill>
                  <w14:solidFill>
                    <w14:schemeClr w14:val="tx1"/>
                  </w14:solidFill>
                </w14:textFill>
              </w:rPr>
              <w:t>200mg/L</w:t>
            </w:r>
            <w:r>
              <w:rPr>
                <w:rFonts w:hint="eastAsia" w:ascii="Times New Roman" w:hAnsi="Times New Roman" w:cs="Times New Roman"/>
                <w:color w:val="000000" w:themeColor="text1"/>
                <w:szCs w:val="21"/>
                <w14:textFill>
                  <w14:solidFill>
                    <w14:schemeClr w14:val="tx1"/>
                  </w14:solidFill>
                </w14:textFill>
              </w:rPr>
              <w:t>）、</w:t>
            </w:r>
            <w:r>
              <w:rPr>
                <w:rFonts w:ascii="Times New Roman" w:hAnsi="Times New Roman" w:cs="Times New Roman"/>
                <w:color w:val="000000" w:themeColor="text1"/>
                <w:szCs w:val="21"/>
                <w14:textFill>
                  <w14:solidFill>
                    <w14:schemeClr w14:val="tx1"/>
                  </w14:solidFill>
                </w14:textFill>
              </w:rPr>
              <w:t>COD</w:t>
            </w:r>
            <w:r>
              <w:rPr>
                <w:rFonts w:hint="eastAsia" w:ascii="Times New Roman" w:hAnsi="Times New Roman" w:cs="Times New Roman"/>
                <w:color w:val="000000" w:themeColor="text1"/>
                <w:szCs w:val="21"/>
                <w14:textFill>
                  <w14:solidFill>
                    <w14:schemeClr w14:val="tx1"/>
                  </w14:solidFill>
                </w14:textFill>
              </w:rPr>
              <w:t>（</w:t>
            </w:r>
            <w:r>
              <w:rPr>
                <w:rFonts w:ascii="Times New Roman" w:hAnsi="Times New Roman" w:cs="Times New Roman"/>
                <w:color w:val="000000" w:themeColor="text1"/>
                <w:szCs w:val="21"/>
                <w14:textFill>
                  <w14:solidFill>
                    <w14:schemeClr w14:val="tx1"/>
                  </w14:solidFill>
                </w14:textFill>
              </w:rPr>
              <w:t>400mg/L</w:t>
            </w:r>
            <w:r>
              <w:rPr>
                <w:rFonts w:hint="eastAsia" w:ascii="Times New Roman" w:hAnsi="Times New Roman" w:cs="Times New Roman"/>
                <w:color w:val="000000" w:themeColor="text1"/>
                <w:szCs w:val="21"/>
                <w14:textFill>
                  <w14:solidFill>
                    <w14:schemeClr w14:val="tx1"/>
                  </w14:solidFill>
                </w14:textFill>
              </w:rPr>
              <w:t>）</w:t>
            </w:r>
          </w:p>
        </w:tc>
        <w:tc>
          <w:tcPr>
            <w:tcW w:w="1168" w:type="dxa"/>
            <w:tcMar>
              <w:left w:w="0" w:type="dxa"/>
              <w:right w:w="0" w:type="dxa"/>
            </w:tcMar>
            <w:vAlign w:val="center"/>
          </w:tcPr>
          <w:p>
            <w:pPr>
              <w:adjustRightInd w:val="0"/>
              <w:snapToGrid w:val="0"/>
              <w:spacing w:line="300" w:lineRule="exact"/>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与环评阶段一致</w:t>
            </w:r>
          </w:p>
        </w:tc>
        <w:tc>
          <w:tcPr>
            <w:tcW w:w="1431" w:type="dxa"/>
            <w:vAlign w:val="center"/>
          </w:tcPr>
          <w:p>
            <w:pPr>
              <w:adjustRightInd w:val="0"/>
              <w:snapToGrid w:val="0"/>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混凝土拌和废水，沉淀后回用；含油废水</w:t>
            </w:r>
            <w:r>
              <w:rPr>
                <w:rFonts w:hint="eastAsia" w:ascii="Times New Roman" w:hAnsi="Times New Roman" w:cs="Times New Roman"/>
                <w:color w:val="000000" w:themeColor="text1"/>
                <w:szCs w:val="21"/>
                <w14:textFill>
                  <w14:solidFill>
                    <w14:schemeClr w14:val="tx1"/>
                  </w14:solidFill>
                </w14:textFill>
              </w:rPr>
              <w:t>经过隔油沉淀处理后全部循环用作混凝土拌和等生产用水</w:t>
            </w:r>
            <w:r>
              <w:rPr>
                <w:rFonts w:ascii="Times New Roman" w:hAnsi="Times New Roman" w:cs="Times New Roman"/>
                <w:color w:val="000000" w:themeColor="text1"/>
                <w:szCs w:val="21"/>
                <w14:textFill>
                  <w14:solidFill>
                    <w14:schemeClr w14:val="tx1"/>
                  </w14:solidFill>
                </w14:textFill>
              </w:rPr>
              <w:t>；生活污水通过旱厕收集后</w:t>
            </w:r>
            <w:r>
              <w:rPr>
                <w:rFonts w:hint="eastAsia" w:ascii="Times New Roman" w:hAnsi="Times New Roman" w:cs="Times New Roman"/>
                <w:color w:val="000000" w:themeColor="text1"/>
                <w:szCs w:val="21"/>
                <w14:textFill>
                  <w14:solidFill>
                    <w14:schemeClr w14:val="tx1"/>
                  </w14:solidFill>
                </w14:textFill>
              </w:rPr>
              <w:t>用于附近林地施肥。</w:t>
            </w:r>
          </w:p>
        </w:tc>
        <w:tc>
          <w:tcPr>
            <w:tcW w:w="905" w:type="dxa"/>
            <w:tcMar>
              <w:left w:w="0" w:type="dxa"/>
              <w:right w:w="0" w:type="dxa"/>
            </w:tcMar>
            <w:vAlign w:val="center"/>
          </w:tcPr>
          <w:p>
            <w:pPr>
              <w:adjustRightInd w:val="0"/>
              <w:snapToGrid w:val="0"/>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无外排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13" w:type="dxa"/>
            <w:vMerge w:val="continue"/>
            <w:tcMar>
              <w:left w:w="0" w:type="dxa"/>
              <w:right w:w="0" w:type="dxa"/>
            </w:tcMar>
            <w:vAlign w:val="center"/>
          </w:tcPr>
          <w:p>
            <w:pPr>
              <w:adjustRightInd w:val="0"/>
              <w:snapToGrid w:val="0"/>
              <w:spacing w:line="300" w:lineRule="exact"/>
              <w:jc w:val="center"/>
              <w:rPr>
                <w:rFonts w:ascii="Times New Roman" w:hAnsi="Times New Roman" w:cs="Times New Roman"/>
                <w:color w:val="000000" w:themeColor="text1"/>
                <w:szCs w:val="21"/>
                <w14:textFill>
                  <w14:solidFill>
                    <w14:schemeClr w14:val="tx1"/>
                  </w14:solidFill>
                </w14:textFill>
              </w:rPr>
            </w:pPr>
          </w:p>
        </w:tc>
        <w:tc>
          <w:tcPr>
            <w:tcW w:w="425" w:type="dxa"/>
            <w:tcMar>
              <w:left w:w="0" w:type="dxa"/>
              <w:right w:w="0" w:type="dxa"/>
            </w:tcMar>
            <w:vAlign w:val="center"/>
          </w:tcPr>
          <w:p>
            <w:pPr>
              <w:adjustRightInd w:val="0"/>
              <w:snapToGrid w:val="0"/>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大气环境</w:t>
            </w:r>
          </w:p>
        </w:tc>
        <w:tc>
          <w:tcPr>
            <w:tcW w:w="2076" w:type="dxa"/>
            <w:tcMar>
              <w:left w:w="0" w:type="dxa"/>
              <w:right w:w="0" w:type="dxa"/>
            </w:tcMar>
            <w:vAlign w:val="center"/>
          </w:tcPr>
          <w:p>
            <w:pPr>
              <w:adjustRightInd w:val="0"/>
              <w:snapToGrid w:val="0"/>
              <w:spacing w:line="300" w:lineRule="exact"/>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施工粉尘、扬尘、机械设备废气、运输车辆尾气和运输道路扬尘</w:t>
            </w:r>
          </w:p>
        </w:tc>
        <w:tc>
          <w:tcPr>
            <w:tcW w:w="1688" w:type="dxa"/>
            <w:tcMar>
              <w:left w:w="0" w:type="dxa"/>
              <w:right w:w="0" w:type="dxa"/>
            </w:tcMar>
            <w:vAlign w:val="center"/>
          </w:tcPr>
          <w:p>
            <w:pPr>
              <w:adjustRightInd w:val="0"/>
              <w:snapToGrid w:val="0"/>
              <w:spacing w:line="300" w:lineRule="exact"/>
              <w:jc w:val="center"/>
              <w:rPr>
                <w:rFonts w:ascii="Times New Roman" w:hAnsi="Times New Roman" w:cs="Times New Roman"/>
                <w:color w:val="000000" w:themeColor="text1"/>
                <w:szCs w:val="21"/>
                <w:vertAlign w:val="superscript"/>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施工场地内TSP浓度约为</w:t>
            </w:r>
            <w:r>
              <w:rPr>
                <w:rFonts w:ascii="Times New Roman" w:hAnsi="Times New Roman" w:cs="Times New Roman"/>
                <w:color w:val="000000" w:themeColor="text1"/>
                <w:szCs w:val="21"/>
                <w14:textFill>
                  <w14:solidFill>
                    <w14:schemeClr w14:val="tx1"/>
                  </w14:solidFill>
                </w14:textFill>
              </w:rPr>
              <w:t>0.6</w:t>
            </w:r>
            <w:r>
              <w:rPr>
                <w:rFonts w:hint="eastAsia" w:ascii="Times New Roman" w:hAnsi="Times New Roman" w:cs="Times New Roman"/>
                <w:color w:val="000000" w:themeColor="text1"/>
                <w:szCs w:val="21"/>
                <w14:textFill>
                  <w14:solidFill>
                    <w14:schemeClr w14:val="tx1"/>
                  </w14:solidFill>
                </w14:textFill>
              </w:rPr>
              <w:t>~</w:t>
            </w:r>
            <w:r>
              <w:rPr>
                <w:rFonts w:ascii="Times New Roman" w:hAnsi="Times New Roman" w:cs="Times New Roman"/>
                <w:color w:val="000000" w:themeColor="text1"/>
                <w:szCs w:val="21"/>
                <w14:textFill>
                  <w14:solidFill>
                    <w14:schemeClr w14:val="tx1"/>
                  </w14:solidFill>
                </w14:textFill>
              </w:rPr>
              <w:t>0.8</w:t>
            </w:r>
            <w:r>
              <w:rPr>
                <w:rFonts w:hint="eastAsia" w:ascii="Times New Roman" w:hAnsi="Times New Roman" w:cs="Times New Roman"/>
                <w:color w:val="000000" w:themeColor="text1"/>
                <w:szCs w:val="21"/>
                <w14:textFill>
                  <w14:solidFill>
                    <w14:schemeClr w14:val="tx1"/>
                  </w14:solidFill>
                </w14:textFill>
              </w:rPr>
              <w:t>mg/m</w:t>
            </w:r>
            <w:r>
              <w:rPr>
                <w:rFonts w:ascii="Times New Roman" w:hAnsi="Times New Roman" w:cs="Times New Roman"/>
                <w:color w:val="000000" w:themeColor="text1"/>
                <w:szCs w:val="21"/>
                <w:vertAlign w:val="superscript"/>
                <w14:textFill>
                  <w14:solidFill>
                    <w14:schemeClr w14:val="tx1"/>
                  </w14:solidFill>
                </w14:textFill>
              </w:rPr>
              <w:t>3</w:t>
            </w:r>
            <w:r>
              <w:rPr>
                <w:rFonts w:hint="eastAsia" w:ascii="Times New Roman" w:hAnsi="Times New Roman" w:cs="Times New Roman"/>
                <w:color w:val="000000" w:themeColor="text1"/>
                <w:szCs w:val="21"/>
                <w14:textFill>
                  <w14:solidFill>
                    <w14:schemeClr w14:val="tx1"/>
                  </w14:solidFill>
                </w14:textFill>
              </w:rPr>
              <w:t>；</w:t>
            </w:r>
          </w:p>
          <w:p>
            <w:pPr>
              <w:adjustRightInd w:val="0"/>
              <w:snapToGrid w:val="0"/>
              <w:spacing w:line="300" w:lineRule="exact"/>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机械设备尾气和车辆尾气主要污染物NO</w:t>
            </w:r>
            <w:r>
              <w:rPr>
                <w:rFonts w:ascii="Times New Roman" w:hAnsi="Times New Roman" w:cs="Times New Roman"/>
                <w:color w:val="000000" w:themeColor="text1"/>
                <w:szCs w:val="21"/>
                <w:vertAlign w:val="subscript"/>
                <w14:textFill>
                  <w14:solidFill>
                    <w14:schemeClr w14:val="tx1"/>
                  </w14:solidFill>
                </w14:textFill>
              </w:rPr>
              <w:t>2</w:t>
            </w:r>
            <w:r>
              <w:rPr>
                <w:rFonts w:hint="eastAsia" w:ascii="Times New Roman" w:hAnsi="Times New Roman" w:cs="Times New Roman"/>
                <w:color w:val="000000" w:themeColor="text1"/>
                <w:szCs w:val="21"/>
                <w14:textFill>
                  <w14:solidFill>
                    <w14:schemeClr w14:val="tx1"/>
                  </w14:solidFill>
                </w14:textFill>
              </w:rPr>
              <w:t>、CO、SO</w:t>
            </w:r>
            <w:r>
              <w:rPr>
                <w:rFonts w:ascii="Times New Roman" w:hAnsi="Times New Roman" w:cs="Times New Roman"/>
                <w:color w:val="000000" w:themeColor="text1"/>
                <w:szCs w:val="21"/>
                <w:vertAlign w:val="subscript"/>
                <w14:textFill>
                  <w14:solidFill>
                    <w14:schemeClr w14:val="tx1"/>
                  </w14:solidFill>
                </w14:textFill>
              </w:rPr>
              <w:t>2</w:t>
            </w:r>
            <w:r>
              <w:rPr>
                <w:rFonts w:hint="eastAsia" w:ascii="Times New Roman" w:hAnsi="Times New Roman" w:cs="Times New Roman"/>
                <w:color w:val="000000" w:themeColor="text1"/>
                <w:szCs w:val="21"/>
                <w14:textFill>
                  <w14:solidFill>
                    <w14:schemeClr w14:val="tx1"/>
                  </w14:solidFill>
                </w14:textFill>
              </w:rPr>
              <w:t>和THC等。</w:t>
            </w:r>
          </w:p>
        </w:tc>
        <w:tc>
          <w:tcPr>
            <w:tcW w:w="1168" w:type="dxa"/>
            <w:tcMar>
              <w:left w:w="0" w:type="dxa"/>
              <w:right w:w="0" w:type="dxa"/>
            </w:tcMar>
            <w:vAlign w:val="center"/>
          </w:tcPr>
          <w:p>
            <w:pPr>
              <w:adjustRightInd w:val="0"/>
              <w:snapToGrid w:val="0"/>
              <w:spacing w:line="300" w:lineRule="exact"/>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与环评阶段</w:t>
            </w:r>
            <w:r>
              <w:rPr>
                <w:rFonts w:ascii="Times New Roman" w:hAnsi="Times New Roman" w:cs="Times New Roman"/>
                <w:color w:val="000000" w:themeColor="text1"/>
                <w:szCs w:val="21"/>
                <w14:textFill>
                  <w14:solidFill>
                    <w14:schemeClr w14:val="tx1"/>
                  </w14:solidFill>
                </w14:textFill>
              </w:rPr>
              <w:t>一致</w:t>
            </w:r>
          </w:p>
        </w:tc>
        <w:tc>
          <w:tcPr>
            <w:tcW w:w="1431" w:type="dxa"/>
            <w:vAlign w:val="center"/>
          </w:tcPr>
          <w:p>
            <w:pPr>
              <w:adjustRightInd w:val="0"/>
              <w:snapToGrid w:val="0"/>
              <w:spacing w:line="300" w:lineRule="exact"/>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材料堆放场加盖篷布、场地出入库洒水降尘、实施出场车辆冲洗，降低了区域起尘量。</w:t>
            </w:r>
          </w:p>
        </w:tc>
        <w:tc>
          <w:tcPr>
            <w:tcW w:w="905" w:type="dxa"/>
            <w:tcMar>
              <w:left w:w="0" w:type="dxa"/>
              <w:right w:w="0" w:type="dxa"/>
            </w:tcMar>
            <w:vAlign w:val="center"/>
          </w:tcPr>
          <w:p>
            <w:pPr>
              <w:adjustRightInd w:val="0"/>
              <w:snapToGrid w:val="0"/>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周围大气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13" w:type="dxa"/>
            <w:vMerge w:val="continue"/>
            <w:tcMar>
              <w:left w:w="0" w:type="dxa"/>
              <w:right w:w="0" w:type="dxa"/>
            </w:tcMar>
            <w:vAlign w:val="center"/>
          </w:tcPr>
          <w:p>
            <w:pPr>
              <w:adjustRightInd w:val="0"/>
              <w:snapToGrid w:val="0"/>
              <w:spacing w:line="300" w:lineRule="exact"/>
              <w:jc w:val="center"/>
              <w:rPr>
                <w:rFonts w:ascii="Times New Roman" w:hAnsi="Times New Roman" w:cs="Times New Roman"/>
                <w:color w:val="000000" w:themeColor="text1"/>
                <w:szCs w:val="21"/>
                <w14:textFill>
                  <w14:solidFill>
                    <w14:schemeClr w14:val="tx1"/>
                  </w14:solidFill>
                </w14:textFill>
              </w:rPr>
            </w:pPr>
          </w:p>
        </w:tc>
        <w:tc>
          <w:tcPr>
            <w:tcW w:w="425" w:type="dxa"/>
            <w:tcMar>
              <w:left w:w="0" w:type="dxa"/>
              <w:right w:w="0" w:type="dxa"/>
            </w:tcMar>
            <w:vAlign w:val="center"/>
          </w:tcPr>
          <w:p>
            <w:pPr>
              <w:adjustRightInd w:val="0"/>
              <w:snapToGrid w:val="0"/>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噪声源</w:t>
            </w:r>
          </w:p>
        </w:tc>
        <w:tc>
          <w:tcPr>
            <w:tcW w:w="2076" w:type="dxa"/>
            <w:tcMar>
              <w:left w:w="0" w:type="dxa"/>
              <w:right w:w="0" w:type="dxa"/>
            </w:tcMar>
            <w:vAlign w:val="center"/>
          </w:tcPr>
          <w:p>
            <w:pPr>
              <w:adjustRightInd w:val="0"/>
              <w:snapToGrid w:val="0"/>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施工机械：场地施工</w:t>
            </w:r>
          </w:p>
        </w:tc>
        <w:tc>
          <w:tcPr>
            <w:tcW w:w="1688" w:type="dxa"/>
            <w:tcMar>
              <w:left w:w="0" w:type="dxa"/>
              <w:right w:w="0" w:type="dxa"/>
            </w:tcMar>
            <w:vAlign w:val="center"/>
          </w:tcPr>
          <w:p>
            <w:pPr>
              <w:adjustRightInd w:val="0"/>
              <w:snapToGrid w:val="0"/>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67</w:t>
            </w:r>
            <w:r>
              <w:rPr>
                <w:rFonts w:hint="eastAsia" w:ascii="Times New Roman" w:hAnsi="Times New Roman" w:cs="Times New Roman"/>
                <w:color w:val="000000" w:themeColor="text1"/>
                <w:szCs w:val="21"/>
                <w14:textFill>
                  <w14:solidFill>
                    <w14:schemeClr w14:val="tx1"/>
                  </w14:solidFill>
                </w14:textFill>
              </w:rPr>
              <w:t>~</w:t>
            </w:r>
            <w:r>
              <w:rPr>
                <w:rFonts w:ascii="Times New Roman" w:hAnsi="Times New Roman" w:cs="Times New Roman"/>
                <w:color w:val="000000" w:themeColor="text1"/>
                <w:szCs w:val="21"/>
                <w14:textFill>
                  <w14:solidFill>
                    <w14:schemeClr w14:val="tx1"/>
                  </w14:solidFill>
                </w14:textFill>
              </w:rPr>
              <w:t>105</w:t>
            </w:r>
            <w:r>
              <w:rPr>
                <w:rFonts w:hint="eastAsia" w:ascii="Times New Roman" w:hAnsi="Times New Roman" w:cs="Times New Roman"/>
                <w:color w:val="000000" w:themeColor="text1"/>
                <w:szCs w:val="21"/>
                <w14:textFill>
                  <w14:solidFill>
                    <w14:schemeClr w14:val="tx1"/>
                  </w14:solidFill>
                </w14:textFill>
              </w:rPr>
              <w:t>dB（A）</w:t>
            </w:r>
          </w:p>
        </w:tc>
        <w:tc>
          <w:tcPr>
            <w:tcW w:w="1168" w:type="dxa"/>
            <w:tcMar>
              <w:left w:w="0" w:type="dxa"/>
              <w:right w:w="0" w:type="dxa"/>
            </w:tcMar>
            <w:vAlign w:val="center"/>
          </w:tcPr>
          <w:p>
            <w:pPr>
              <w:adjustRightInd w:val="0"/>
              <w:snapToGrid w:val="0"/>
              <w:spacing w:line="300" w:lineRule="exact"/>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与环评阶段一致</w:t>
            </w:r>
          </w:p>
        </w:tc>
        <w:tc>
          <w:tcPr>
            <w:tcW w:w="1431" w:type="dxa"/>
            <w:vAlign w:val="center"/>
          </w:tcPr>
          <w:p>
            <w:pPr>
              <w:adjustRightInd w:val="0"/>
              <w:snapToGrid w:val="0"/>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采用先进施工工艺及设备，未造成明显声环境影响</w:t>
            </w:r>
            <w:r>
              <w:rPr>
                <w:rFonts w:hint="eastAsia" w:ascii="Times New Roman" w:hAnsi="Times New Roman" w:cs="Times New Roman"/>
                <w:color w:val="000000" w:themeColor="text1"/>
                <w:szCs w:val="21"/>
                <w14:textFill>
                  <w14:solidFill>
                    <w14:schemeClr w14:val="tx1"/>
                  </w14:solidFill>
                </w14:textFill>
              </w:rPr>
              <w:t>。</w:t>
            </w:r>
          </w:p>
        </w:tc>
        <w:tc>
          <w:tcPr>
            <w:tcW w:w="905" w:type="dxa"/>
            <w:tcMar>
              <w:left w:w="0" w:type="dxa"/>
              <w:right w:w="0" w:type="dxa"/>
            </w:tcMar>
            <w:vAlign w:val="center"/>
          </w:tcPr>
          <w:p>
            <w:pPr>
              <w:adjustRightInd w:val="0"/>
              <w:snapToGrid w:val="0"/>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声环境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13" w:type="dxa"/>
            <w:vMerge w:val="continue"/>
            <w:tcMar>
              <w:left w:w="0" w:type="dxa"/>
              <w:right w:w="0" w:type="dxa"/>
            </w:tcMar>
            <w:vAlign w:val="center"/>
          </w:tcPr>
          <w:p>
            <w:pPr>
              <w:adjustRightInd w:val="0"/>
              <w:snapToGrid w:val="0"/>
              <w:spacing w:line="300" w:lineRule="exact"/>
              <w:jc w:val="center"/>
              <w:rPr>
                <w:rFonts w:ascii="Times New Roman" w:hAnsi="Times New Roman" w:cs="Times New Roman"/>
                <w:color w:val="000000" w:themeColor="text1"/>
                <w:szCs w:val="21"/>
                <w14:textFill>
                  <w14:solidFill>
                    <w14:schemeClr w14:val="tx1"/>
                  </w14:solidFill>
                </w14:textFill>
              </w:rPr>
            </w:pPr>
          </w:p>
        </w:tc>
        <w:tc>
          <w:tcPr>
            <w:tcW w:w="425" w:type="dxa"/>
            <w:tcMar>
              <w:left w:w="0" w:type="dxa"/>
              <w:right w:w="0" w:type="dxa"/>
            </w:tcMar>
            <w:vAlign w:val="center"/>
          </w:tcPr>
          <w:p>
            <w:pPr>
              <w:adjustRightInd w:val="0"/>
              <w:snapToGrid w:val="0"/>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固体</w:t>
            </w:r>
          </w:p>
          <w:p>
            <w:pPr>
              <w:adjustRightInd w:val="0"/>
              <w:snapToGrid w:val="0"/>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废弃物</w:t>
            </w:r>
          </w:p>
        </w:tc>
        <w:tc>
          <w:tcPr>
            <w:tcW w:w="2076" w:type="dxa"/>
            <w:tcMar>
              <w:left w:w="0" w:type="dxa"/>
              <w:right w:w="0" w:type="dxa"/>
            </w:tcMar>
            <w:vAlign w:val="center"/>
          </w:tcPr>
          <w:p>
            <w:pPr>
              <w:adjustRightInd w:val="0"/>
              <w:snapToGrid w:val="0"/>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施工生活区：生活垃圾总量约0.5kg/d</w:t>
            </w:r>
          </w:p>
          <w:p>
            <w:pPr>
              <w:adjustRightInd w:val="0"/>
              <w:snapToGrid w:val="0"/>
              <w:spacing w:line="300" w:lineRule="exact"/>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施工弃渣：37.41</w:t>
            </w:r>
            <w:r>
              <w:rPr>
                <w:rFonts w:ascii="Times New Roman" w:hAnsi="Times New Roman" w:cs="Times New Roman"/>
                <w:color w:val="000000" w:themeColor="text1"/>
                <w:szCs w:val="21"/>
                <w14:textFill>
                  <w14:solidFill>
                    <w14:schemeClr w14:val="tx1"/>
                  </w14:solidFill>
                </w14:textFill>
              </w:rPr>
              <w:t>万m</w:t>
            </w:r>
            <w:r>
              <w:rPr>
                <w:rFonts w:ascii="Times New Roman" w:hAnsi="Times New Roman" w:cs="Times New Roman"/>
                <w:color w:val="000000" w:themeColor="text1"/>
                <w:szCs w:val="21"/>
                <w:vertAlign w:val="superscript"/>
                <w14:textFill>
                  <w14:solidFill>
                    <w14:schemeClr w14:val="tx1"/>
                  </w14:solidFill>
                </w14:textFill>
              </w:rPr>
              <w:t>3</w:t>
            </w:r>
          </w:p>
        </w:tc>
        <w:tc>
          <w:tcPr>
            <w:tcW w:w="1688" w:type="dxa"/>
            <w:tcMar>
              <w:left w:w="0" w:type="dxa"/>
              <w:right w:w="0" w:type="dxa"/>
            </w:tcMar>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生活垃圾、臭气并带来蚊虫和细菌</w:t>
            </w:r>
          </w:p>
          <w:p>
            <w:pPr>
              <w:adjustRightInd w:val="0"/>
              <w:snapToGrid w:val="0"/>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可能新增水土流失</w:t>
            </w:r>
          </w:p>
        </w:tc>
        <w:tc>
          <w:tcPr>
            <w:tcW w:w="1168" w:type="dxa"/>
            <w:tcMar>
              <w:left w:w="0" w:type="dxa"/>
              <w:right w:w="0" w:type="dxa"/>
            </w:tcMar>
            <w:vAlign w:val="center"/>
          </w:tcPr>
          <w:p>
            <w:pPr>
              <w:adjustRightInd w:val="0"/>
              <w:snapToGrid w:val="0"/>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生活垃圾</w:t>
            </w:r>
            <w:r>
              <w:rPr>
                <w:rFonts w:hint="eastAsia" w:ascii="Times New Roman" w:hAnsi="Times New Roman" w:cs="Times New Roman"/>
                <w:color w:val="000000" w:themeColor="text1"/>
                <w:szCs w:val="21"/>
                <w14:textFill>
                  <w14:solidFill>
                    <w14:schemeClr w14:val="tx1"/>
                  </w14:solidFill>
                </w14:textFill>
              </w:rPr>
              <w:t>和施工弃渣</w:t>
            </w:r>
            <w:r>
              <w:rPr>
                <w:rFonts w:ascii="Times New Roman" w:hAnsi="Times New Roman" w:cs="Times New Roman"/>
                <w:color w:val="000000" w:themeColor="text1"/>
                <w:szCs w:val="21"/>
                <w14:textFill>
                  <w14:solidFill>
                    <w14:schemeClr w14:val="tx1"/>
                  </w14:solidFill>
                </w14:textFill>
              </w:rPr>
              <w:t>总量基本一致</w:t>
            </w:r>
          </w:p>
        </w:tc>
        <w:tc>
          <w:tcPr>
            <w:tcW w:w="1431" w:type="dxa"/>
            <w:vAlign w:val="center"/>
          </w:tcPr>
          <w:p>
            <w:pPr>
              <w:adjustRightInd w:val="0"/>
              <w:snapToGrid w:val="0"/>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垃圾桶收集，定时清运，符合有关规定</w:t>
            </w:r>
            <w:r>
              <w:rPr>
                <w:rFonts w:hint="eastAsia" w:ascii="Times New Roman" w:hAnsi="Times New Roman" w:cs="Times New Roman"/>
                <w:color w:val="000000" w:themeColor="text1"/>
                <w:szCs w:val="21"/>
                <w14:textFill>
                  <w14:solidFill>
                    <w14:schemeClr w14:val="tx1"/>
                  </w14:solidFill>
                </w14:textFill>
              </w:rPr>
              <w:t>；弃渣运至废石场堆存。</w:t>
            </w:r>
          </w:p>
        </w:tc>
        <w:tc>
          <w:tcPr>
            <w:tcW w:w="905" w:type="dxa"/>
            <w:tcMar>
              <w:left w:w="0" w:type="dxa"/>
              <w:right w:w="0" w:type="dxa"/>
            </w:tcMar>
            <w:vAlign w:val="center"/>
          </w:tcPr>
          <w:p>
            <w:pPr>
              <w:adjustRightInd w:val="0"/>
              <w:snapToGrid w:val="0"/>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周围环境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13" w:type="dxa"/>
            <w:vMerge w:val="restart"/>
            <w:tcMar>
              <w:left w:w="0" w:type="dxa"/>
              <w:right w:w="0" w:type="dxa"/>
            </w:tcMar>
            <w:vAlign w:val="center"/>
          </w:tcPr>
          <w:p>
            <w:pPr>
              <w:adjustRightInd w:val="0"/>
              <w:snapToGrid w:val="0"/>
              <w:spacing w:line="300" w:lineRule="exact"/>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调试</w:t>
            </w:r>
            <w:r>
              <w:rPr>
                <w:rFonts w:ascii="Times New Roman" w:hAnsi="Times New Roman" w:cs="Times New Roman"/>
                <w:color w:val="000000" w:themeColor="text1"/>
                <w:szCs w:val="21"/>
                <w14:textFill>
                  <w14:solidFill>
                    <w14:schemeClr w14:val="tx1"/>
                  </w14:solidFill>
                </w14:textFill>
              </w:rPr>
              <w:t>期</w:t>
            </w:r>
          </w:p>
        </w:tc>
        <w:tc>
          <w:tcPr>
            <w:tcW w:w="425" w:type="dxa"/>
            <w:tcMar>
              <w:left w:w="0" w:type="dxa"/>
              <w:right w:w="0" w:type="dxa"/>
            </w:tcMar>
            <w:vAlign w:val="center"/>
          </w:tcPr>
          <w:p>
            <w:pPr>
              <w:adjustRightInd w:val="0"/>
              <w:snapToGrid w:val="0"/>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水环境</w:t>
            </w:r>
          </w:p>
        </w:tc>
        <w:tc>
          <w:tcPr>
            <w:tcW w:w="2076" w:type="dxa"/>
            <w:tcMar>
              <w:left w:w="0" w:type="dxa"/>
              <w:right w:w="0" w:type="dxa"/>
            </w:tcMar>
            <w:vAlign w:val="center"/>
          </w:tcPr>
          <w:p>
            <w:pPr>
              <w:adjustRightInd w:val="0"/>
              <w:snapToGrid w:val="0"/>
              <w:spacing w:line="300" w:lineRule="exact"/>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①露天采区外排水和采区内涌水</w:t>
            </w:r>
          </w:p>
          <w:p>
            <w:pPr>
              <w:adjustRightInd w:val="0"/>
              <w:snapToGrid w:val="0"/>
              <w:spacing w:line="300" w:lineRule="exact"/>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②废石场淋溶废水</w:t>
            </w:r>
          </w:p>
        </w:tc>
        <w:tc>
          <w:tcPr>
            <w:tcW w:w="1688" w:type="dxa"/>
            <w:tcMar>
              <w:left w:w="0" w:type="dxa"/>
              <w:right w:w="0" w:type="dxa"/>
            </w:tcMar>
            <w:vAlign w:val="center"/>
          </w:tcPr>
          <w:p>
            <w:pPr>
              <w:adjustRightInd w:val="0"/>
              <w:snapToGrid w:val="0"/>
              <w:spacing w:line="300" w:lineRule="exact"/>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①露天采场雨季涌水量为81.32m</w:t>
            </w:r>
            <w:r>
              <w:rPr>
                <w:rFonts w:hint="eastAsia" w:ascii="Times New Roman" w:hAnsi="Times New Roman" w:cs="Times New Roman"/>
                <w:color w:val="000000" w:themeColor="text1"/>
                <w:szCs w:val="21"/>
                <w:vertAlign w:val="superscript"/>
                <w14:textFill>
                  <w14:solidFill>
                    <w14:schemeClr w14:val="tx1"/>
                  </w14:solidFill>
                </w14:textFill>
              </w:rPr>
              <w:t>2</w:t>
            </w:r>
            <w:r>
              <w:rPr>
                <w:rFonts w:hint="eastAsia" w:ascii="Times New Roman" w:hAnsi="Times New Roman" w:cs="Times New Roman"/>
                <w:color w:val="000000" w:themeColor="text1"/>
                <w:szCs w:val="21"/>
                <w14:textFill>
                  <w14:solidFill>
                    <w14:schemeClr w14:val="tx1"/>
                  </w14:solidFill>
                </w14:textFill>
              </w:rPr>
              <w:t>/d，旱季涌水量为38.55m</w:t>
            </w:r>
            <w:r>
              <w:rPr>
                <w:rFonts w:hint="eastAsia" w:ascii="Times New Roman" w:hAnsi="Times New Roman" w:cs="Times New Roman"/>
                <w:color w:val="000000" w:themeColor="text1"/>
                <w:szCs w:val="21"/>
                <w:vertAlign w:val="superscript"/>
                <w14:textFill>
                  <w14:solidFill>
                    <w14:schemeClr w14:val="tx1"/>
                  </w14:solidFill>
                </w14:textFill>
              </w:rPr>
              <w:t>2</w:t>
            </w:r>
            <w:r>
              <w:rPr>
                <w:rFonts w:hint="eastAsia" w:ascii="Times New Roman" w:hAnsi="Times New Roman" w:cs="Times New Roman"/>
                <w:color w:val="000000" w:themeColor="text1"/>
                <w:szCs w:val="21"/>
                <w14:textFill>
                  <w14:solidFill>
                    <w14:schemeClr w14:val="tx1"/>
                  </w14:solidFill>
                </w14:textFill>
              </w:rPr>
              <w:t>/d；</w:t>
            </w:r>
          </w:p>
          <w:p>
            <w:pPr>
              <w:adjustRightInd w:val="0"/>
              <w:snapToGrid w:val="0"/>
              <w:spacing w:line="300" w:lineRule="exact"/>
              <w:jc w:val="center"/>
              <w:rPr>
                <w:rFonts w:hint="eastAsia" w:ascii="Times New Roman" w:hAnsi="Times New Roman" w:cs="Times New Roman" w:eastAsiaTheme="minorEastAsia"/>
                <w:color w:val="000000" w:themeColor="text1"/>
                <w:szCs w:val="21"/>
                <w:lang w:eastAsia="zh-CN"/>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②露天矿基建废石场服务年限较短，对水环境影响较小，生产废石场夏半年淋溶废水量为337.99m</w:t>
            </w:r>
            <w:r>
              <w:rPr>
                <w:rFonts w:hint="eastAsia" w:ascii="Times New Roman" w:hAnsi="Times New Roman" w:cs="Times New Roman"/>
                <w:color w:val="000000" w:themeColor="text1"/>
                <w:szCs w:val="21"/>
                <w:vertAlign w:val="superscript"/>
                <w14:textFill>
                  <w14:solidFill>
                    <w14:schemeClr w14:val="tx1"/>
                  </w14:solidFill>
                </w14:textFill>
              </w:rPr>
              <w:t>3</w:t>
            </w:r>
            <w:r>
              <w:rPr>
                <w:rFonts w:hint="eastAsia" w:ascii="Times New Roman" w:hAnsi="Times New Roman" w:cs="Times New Roman"/>
                <w:color w:val="000000" w:themeColor="text1"/>
                <w:szCs w:val="21"/>
                <w14:textFill>
                  <w14:solidFill>
                    <w14:schemeClr w14:val="tx1"/>
                  </w14:solidFill>
                </w14:textFill>
              </w:rPr>
              <w:t>/d，通过采取复垦措施，到生产期第16年时，淋溶废水量为101.4m</w:t>
            </w:r>
            <w:r>
              <w:rPr>
                <w:rFonts w:hint="eastAsia" w:ascii="Times New Roman" w:hAnsi="Times New Roman" w:cs="Times New Roman"/>
                <w:color w:val="000000" w:themeColor="text1"/>
                <w:szCs w:val="21"/>
                <w:vertAlign w:val="superscript"/>
                <w14:textFill>
                  <w14:solidFill>
                    <w14:schemeClr w14:val="tx1"/>
                  </w14:solidFill>
                </w14:textFill>
              </w:rPr>
              <w:t>3</w:t>
            </w:r>
            <w:r>
              <w:rPr>
                <w:rFonts w:hint="eastAsia" w:ascii="Times New Roman" w:hAnsi="Times New Roman" w:cs="Times New Roman"/>
                <w:color w:val="000000" w:themeColor="text1"/>
                <w:szCs w:val="21"/>
                <w14:textFill>
                  <w14:solidFill>
                    <w14:schemeClr w14:val="tx1"/>
                  </w14:solidFill>
                </w14:textFill>
              </w:rPr>
              <w:t>/d</w:t>
            </w:r>
            <w:r>
              <w:rPr>
                <w:rFonts w:hint="eastAsia" w:ascii="Times New Roman" w:hAnsi="Times New Roman" w:cs="Times New Roman"/>
                <w:color w:val="000000" w:themeColor="text1"/>
                <w:szCs w:val="21"/>
                <w:lang w:eastAsia="zh-CN"/>
                <w14:textFill>
                  <w14:solidFill>
                    <w14:schemeClr w14:val="tx1"/>
                  </w14:solidFill>
                </w14:textFill>
              </w:rPr>
              <w:t>。</w:t>
            </w:r>
          </w:p>
        </w:tc>
        <w:tc>
          <w:tcPr>
            <w:tcW w:w="1168" w:type="dxa"/>
            <w:tcMar>
              <w:left w:w="0" w:type="dxa"/>
              <w:right w:w="0" w:type="dxa"/>
            </w:tcMar>
            <w:vAlign w:val="center"/>
          </w:tcPr>
          <w:p>
            <w:pPr>
              <w:adjustRightInd w:val="0"/>
              <w:snapToGrid w:val="0"/>
              <w:spacing w:line="300" w:lineRule="exact"/>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与环评阶段一致</w:t>
            </w:r>
          </w:p>
        </w:tc>
        <w:tc>
          <w:tcPr>
            <w:tcW w:w="1431" w:type="dxa"/>
            <w:vAlign w:val="center"/>
          </w:tcPr>
          <w:p>
            <w:pPr>
              <w:adjustRightInd w:val="0"/>
              <w:snapToGrid w:val="0"/>
              <w:spacing w:line="300" w:lineRule="exact"/>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①</w:t>
            </w:r>
            <w:r>
              <w:rPr>
                <w:rFonts w:hint="eastAsia" w:ascii="Times New Roman" w:hAnsi="Times New Roman" w:cs="Times New Roman"/>
                <w:color w:val="000000" w:themeColor="text1"/>
                <w:szCs w:val="21"/>
                <w:lang w:eastAsia="zh-CN"/>
                <w14:textFill>
                  <w14:solidFill>
                    <w14:schemeClr w14:val="tx1"/>
                  </w14:solidFill>
                </w14:textFill>
              </w:rPr>
              <w:t>露天采区</w:t>
            </w:r>
            <w:r>
              <w:rPr>
                <w:rFonts w:hint="eastAsia" w:ascii="Times New Roman" w:hAnsi="Times New Roman" w:cs="Times New Roman"/>
                <w:color w:val="000000" w:themeColor="text1"/>
                <w:szCs w:val="21"/>
                <w14:textFill>
                  <w14:solidFill>
                    <w14:schemeClr w14:val="tx1"/>
                  </w14:solidFill>
                </w14:textFill>
              </w:rPr>
              <w:t>采用分台阶截流的排水方案，</w:t>
            </w:r>
            <w:r>
              <w:rPr>
                <w:rFonts w:hint="eastAsia" w:ascii="Times New Roman" w:hAnsi="Times New Roman" w:cs="Times New Roman"/>
                <w:color w:val="000000" w:themeColor="text1"/>
                <w:szCs w:val="21"/>
                <w:lang w:eastAsia="zh-CN"/>
                <w14:textFill>
                  <w14:solidFill>
                    <w14:schemeClr w14:val="tx1"/>
                  </w14:solidFill>
                </w14:textFill>
              </w:rPr>
              <w:t>已修建截水沟</w:t>
            </w:r>
            <w:r>
              <w:rPr>
                <w:rFonts w:hint="eastAsia" w:ascii="Times New Roman" w:hAnsi="Times New Roman" w:cs="Times New Roman"/>
                <w:color w:val="000000" w:themeColor="text1"/>
                <w:szCs w:val="21"/>
                <w:lang w:val="en-US" w:eastAsia="zh-CN"/>
                <w14:textFill>
                  <w14:solidFill>
                    <w14:schemeClr w14:val="tx1"/>
                  </w14:solidFill>
                </w14:textFill>
              </w:rPr>
              <w:t>870m，排水沟1558m，</w:t>
            </w:r>
            <w:r>
              <w:rPr>
                <w:rFonts w:hint="eastAsia" w:ascii="Times New Roman" w:hAnsi="Times New Roman" w:cs="Times New Roman"/>
                <w:color w:val="000000" w:themeColor="text1"/>
                <w:szCs w:val="21"/>
                <w14:textFill>
                  <w14:solidFill>
                    <w14:schemeClr w14:val="tx1"/>
                  </w14:solidFill>
                </w14:textFill>
              </w:rPr>
              <w:t>排水沟末端设置</w:t>
            </w:r>
            <w:r>
              <w:rPr>
                <w:rFonts w:hint="eastAsia" w:ascii="Times New Roman" w:hAnsi="Times New Roman" w:cs="Times New Roman"/>
                <w:color w:val="000000" w:themeColor="text1"/>
                <w:szCs w:val="21"/>
                <w:lang w:val="en-US" w:eastAsia="zh-CN"/>
                <w14:textFill>
                  <w14:solidFill>
                    <w14:schemeClr w14:val="tx1"/>
                  </w14:solidFill>
                </w14:textFill>
              </w:rPr>
              <w:t>10m</w:t>
            </w:r>
            <w:r>
              <w:rPr>
                <w:rFonts w:hint="eastAsia" w:ascii="Times New Roman" w:hAnsi="Times New Roman" w:cs="Times New Roman"/>
                <w:color w:val="000000" w:themeColor="text1"/>
                <w:szCs w:val="21"/>
                <w:vertAlign w:val="superscript"/>
                <w:lang w:val="en-US" w:eastAsia="zh-CN"/>
                <w14:textFill>
                  <w14:solidFill>
                    <w14:schemeClr w14:val="tx1"/>
                  </w14:solidFill>
                </w14:textFill>
              </w:rPr>
              <w:t>3</w:t>
            </w:r>
            <w:r>
              <w:rPr>
                <w:rFonts w:hint="eastAsia" w:ascii="Times New Roman" w:hAnsi="Times New Roman" w:cs="Times New Roman"/>
                <w:color w:val="000000" w:themeColor="text1"/>
                <w:szCs w:val="21"/>
                <w:lang w:val="en-US" w:eastAsia="zh-CN"/>
                <w14:textFill>
                  <w14:solidFill>
                    <w14:schemeClr w14:val="tx1"/>
                  </w14:solidFill>
                </w14:textFill>
              </w:rPr>
              <w:t>沉砂池1口，</w:t>
            </w:r>
            <w:r>
              <w:rPr>
                <w:rFonts w:hint="eastAsia" w:ascii="Times New Roman" w:hAnsi="Times New Roman" w:cs="Times New Roman"/>
                <w:color w:val="000000" w:themeColor="text1"/>
                <w:szCs w:val="21"/>
                <w14:textFill>
                  <w14:solidFill>
                    <w14:schemeClr w14:val="tx1"/>
                  </w14:solidFill>
                </w14:textFill>
              </w:rPr>
              <w:t>收集采区内涌水，沉淀后用于露天采区湿法作业、降尘等用水；</w:t>
            </w:r>
          </w:p>
          <w:p>
            <w:pPr>
              <w:adjustRightInd w:val="0"/>
              <w:snapToGrid w:val="0"/>
              <w:spacing w:line="300" w:lineRule="exact"/>
              <w:jc w:val="center"/>
              <w:rPr>
                <w:rFonts w:hint="eastAsia" w:ascii="Times New Roman" w:hAnsi="Times New Roman" w:cs="Times New Roman" w:eastAsiaTheme="minorEastAsia"/>
                <w:color w:val="000000" w:themeColor="text1"/>
                <w:szCs w:val="21"/>
                <w:lang w:eastAsia="zh-CN"/>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②</w:t>
            </w:r>
            <w:r>
              <w:rPr>
                <w:rFonts w:hint="eastAsia" w:ascii="Times New Roman" w:hAnsi="Times New Roman" w:cs="Times New Roman"/>
                <w:color w:val="000000" w:themeColor="text1"/>
                <w:szCs w:val="21"/>
                <w:lang w:eastAsia="zh-CN"/>
                <w14:textFill>
                  <w14:solidFill>
                    <w14:schemeClr w14:val="tx1"/>
                  </w14:solidFill>
                </w14:textFill>
              </w:rPr>
              <w:t>露采</w:t>
            </w:r>
            <w:r>
              <w:rPr>
                <w:rFonts w:hint="eastAsia" w:ascii="Times New Roman" w:hAnsi="Times New Roman" w:cs="Times New Roman"/>
                <w:color w:val="000000" w:themeColor="text1"/>
                <w:szCs w:val="21"/>
                <w:lang w:val="en-US" w:eastAsia="zh-CN"/>
                <w14:textFill>
                  <w14:solidFill>
                    <w14:schemeClr w14:val="tx1"/>
                  </w14:solidFill>
                </w14:textFill>
              </w:rPr>
              <w:t>配套废石场</w:t>
            </w:r>
            <w:r>
              <w:rPr>
                <w:rFonts w:hint="eastAsia" w:ascii="Times New Roman" w:hAnsi="Times New Roman" w:cs="Times New Roman"/>
                <w:color w:val="000000" w:themeColor="text1"/>
                <w:szCs w:val="21"/>
                <w:lang w:eastAsia="zh-CN"/>
                <w14:textFill>
                  <w14:solidFill>
                    <w14:schemeClr w14:val="tx1"/>
                  </w14:solidFill>
                </w14:textFill>
              </w:rPr>
              <w:t>修建截洪沟</w:t>
            </w:r>
            <w:r>
              <w:rPr>
                <w:rFonts w:hint="eastAsia" w:ascii="Times New Roman" w:hAnsi="Times New Roman" w:cs="Times New Roman"/>
                <w:color w:val="000000" w:themeColor="text1"/>
                <w:szCs w:val="21"/>
                <w:lang w:val="en-US" w:eastAsia="zh-CN"/>
                <w14:textFill>
                  <w14:solidFill>
                    <w14:schemeClr w14:val="tx1"/>
                  </w14:solidFill>
                </w14:textFill>
              </w:rPr>
              <w:t>1750m，沉砂池1座，</w:t>
            </w:r>
            <w:r>
              <w:rPr>
                <w:rFonts w:hint="eastAsia" w:ascii="Times New Roman" w:hAnsi="Times New Roman" w:cs="Times New Roman"/>
                <w:color w:val="000000" w:themeColor="text1"/>
                <w:szCs w:val="21"/>
                <w14:textFill>
                  <w14:solidFill>
                    <w14:schemeClr w14:val="tx1"/>
                  </w14:solidFill>
                </w14:textFill>
              </w:rPr>
              <w:t>废水澄清后用于废石场降尘，多余废水用于选矿生产用水</w:t>
            </w:r>
            <w:r>
              <w:rPr>
                <w:rFonts w:hint="eastAsia" w:ascii="Times New Roman" w:hAnsi="Times New Roman" w:cs="Times New Roman"/>
                <w:color w:val="000000" w:themeColor="text1"/>
                <w:szCs w:val="21"/>
                <w:lang w:eastAsia="zh-CN"/>
                <w14:textFill>
                  <w14:solidFill>
                    <w14:schemeClr w14:val="tx1"/>
                  </w14:solidFill>
                </w14:textFill>
              </w:rPr>
              <w:t>。</w:t>
            </w:r>
          </w:p>
        </w:tc>
        <w:tc>
          <w:tcPr>
            <w:tcW w:w="905" w:type="dxa"/>
            <w:tcMar>
              <w:left w:w="0" w:type="dxa"/>
              <w:right w:w="0" w:type="dxa"/>
            </w:tcMar>
            <w:vAlign w:val="center"/>
          </w:tcPr>
          <w:p>
            <w:pPr>
              <w:adjustRightInd w:val="0"/>
              <w:snapToGrid w:val="0"/>
              <w:spacing w:line="300" w:lineRule="exact"/>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业隆沟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13" w:type="dxa"/>
            <w:vMerge w:val="continue"/>
            <w:tcMar>
              <w:left w:w="0" w:type="dxa"/>
              <w:right w:w="0" w:type="dxa"/>
            </w:tcMar>
            <w:vAlign w:val="center"/>
          </w:tcPr>
          <w:p>
            <w:pPr>
              <w:adjustRightInd w:val="0"/>
              <w:snapToGrid w:val="0"/>
              <w:spacing w:line="300" w:lineRule="exact"/>
              <w:jc w:val="center"/>
              <w:rPr>
                <w:rFonts w:ascii="Times New Roman" w:hAnsi="Times New Roman" w:cs="Times New Roman"/>
                <w:color w:val="000000" w:themeColor="text1"/>
                <w:szCs w:val="21"/>
                <w14:textFill>
                  <w14:solidFill>
                    <w14:schemeClr w14:val="tx1"/>
                  </w14:solidFill>
                </w14:textFill>
              </w:rPr>
            </w:pPr>
          </w:p>
        </w:tc>
        <w:tc>
          <w:tcPr>
            <w:tcW w:w="425" w:type="dxa"/>
            <w:tcMar>
              <w:left w:w="0" w:type="dxa"/>
              <w:right w:w="0" w:type="dxa"/>
            </w:tcMar>
            <w:vAlign w:val="center"/>
          </w:tcPr>
          <w:p>
            <w:pPr>
              <w:adjustRightInd w:val="0"/>
              <w:snapToGrid w:val="0"/>
              <w:spacing w:line="300" w:lineRule="exact"/>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大气环境</w:t>
            </w:r>
          </w:p>
        </w:tc>
        <w:tc>
          <w:tcPr>
            <w:tcW w:w="2076" w:type="dxa"/>
            <w:tcMar>
              <w:left w:w="0" w:type="dxa"/>
              <w:right w:w="0" w:type="dxa"/>
            </w:tcMar>
            <w:vAlign w:val="center"/>
          </w:tcPr>
          <w:p>
            <w:pPr>
              <w:adjustRightInd w:val="0"/>
              <w:snapToGrid w:val="0"/>
              <w:spacing w:line="300" w:lineRule="exact"/>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①露天采区粉尘</w:t>
            </w:r>
          </w:p>
          <w:p>
            <w:pPr>
              <w:adjustRightInd w:val="0"/>
              <w:snapToGrid w:val="0"/>
              <w:spacing w:line="300" w:lineRule="exact"/>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②废石场粉尘</w:t>
            </w:r>
          </w:p>
          <w:p>
            <w:pPr>
              <w:adjustRightInd w:val="0"/>
              <w:snapToGrid w:val="0"/>
              <w:spacing w:line="300" w:lineRule="exact"/>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③汽车运输尾气</w:t>
            </w:r>
          </w:p>
          <w:p>
            <w:pPr>
              <w:adjustRightInd w:val="0"/>
              <w:snapToGrid w:val="0"/>
              <w:spacing w:line="300" w:lineRule="exact"/>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④职工食堂油烟</w:t>
            </w:r>
          </w:p>
        </w:tc>
        <w:tc>
          <w:tcPr>
            <w:tcW w:w="1688" w:type="dxa"/>
            <w:tcMar>
              <w:left w:w="0" w:type="dxa"/>
              <w:right w:w="0" w:type="dxa"/>
            </w:tcMar>
            <w:vAlign w:val="center"/>
          </w:tcPr>
          <w:p>
            <w:pPr>
              <w:adjustRightInd w:val="0"/>
              <w:snapToGrid w:val="0"/>
              <w:spacing w:line="300" w:lineRule="exact"/>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①露天采区无组织粉尘排放量为4.89kg/h；</w:t>
            </w:r>
          </w:p>
          <w:p>
            <w:pPr>
              <w:adjustRightInd w:val="0"/>
              <w:snapToGrid w:val="0"/>
              <w:spacing w:line="300" w:lineRule="exact"/>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②废石场易产生无组织排放粉尘，露天矿基建废石场、露天矿生产废石场起尘量分别为0.95kg/h、5.51kg/h；</w:t>
            </w:r>
          </w:p>
          <w:p>
            <w:pPr>
              <w:adjustRightInd w:val="0"/>
              <w:snapToGrid w:val="0"/>
              <w:spacing w:line="300" w:lineRule="exact"/>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③车辆运输尾气主要污染物为NO</w:t>
            </w:r>
            <w:r>
              <w:rPr>
                <w:rFonts w:hint="eastAsia" w:ascii="Times New Roman" w:hAnsi="Times New Roman" w:cs="Times New Roman"/>
                <w:color w:val="000000" w:themeColor="text1"/>
                <w:szCs w:val="21"/>
                <w:vertAlign w:val="subscript"/>
                <w14:textFill>
                  <w14:solidFill>
                    <w14:schemeClr w14:val="tx1"/>
                  </w14:solidFill>
                </w14:textFill>
              </w:rPr>
              <w:t>X</w:t>
            </w:r>
            <w:r>
              <w:rPr>
                <w:rFonts w:hint="eastAsia" w:ascii="Times New Roman" w:hAnsi="Times New Roman" w:cs="Times New Roman"/>
                <w:color w:val="000000" w:themeColor="text1"/>
                <w:szCs w:val="21"/>
                <w14:textFill>
                  <w14:solidFill>
                    <w14:schemeClr w14:val="tx1"/>
                  </w14:solidFill>
                </w14:textFill>
              </w:rPr>
              <w:t>、CO、THC等；</w:t>
            </w:r>
          </w:p>
          <w:p>
            <w:pPr>
              <w:adjustRightInd w:val="0"/>
              <w:snapToGrid w:val="0"/>
              <w:spacing w:line="300" w:lineRule="exact"/>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食堂油烟通过净化器处理排放，排放浓度：1</w:t>
            </w:r>
            <w:r>
              <w:rPr>
                <w:rFonts w:ascii="Times New Roman" w:hAnsi="Times New Roman" w:cs="Times New Roman"/>
                <w:color w:val="000000" w:themeColor="text1"/>
                <w:szCs w:val="21"/>
                <w14:textFill>
                  <w14:solidFill>
                    <w14:schemeClr w14:val="tx1"/>
                  </w14:solidFill>
                </w14:textFill>
              </w:rPr>
              <w:t>.83</w:t>
            </w:r>
            <w:r>
              <w:rPr>
                <w:rFonts w:hint="eastAsia" w:ascii="Times New Roman" w:hAnsi="Times New Roman" w:cs="Times New Roman"/>
                <w:color w:val="000000" w:themeColor="text1"/>
                <w:szCs w:val="21"/>
                <w14:textFill>
                  <w14:solidFill>
                    <w14:schemeClr w14:val="tx1"/>
                  </w14:solidFill>
                </w14:textFill>
              </w:rPr>
              <w:t>mg/m</w:t>
            </w:r>
            <w:r>
              <w:rPr>
                <w:rFonts w:ascii="Times New Roman" w:hAnsi="Times New Roman" w:cs="Times New Roman"/>
                <w:color w:val="000000" w:themeColor="text1"/>
                <w:szCs w:val="21"/>
                <w:vertAlign w:val="superscript"/>
                <w14:textFill>
                  <w14:solidFill>
                    <w14:schemeClr w14:val="tx1"/>
                  </w14:solidFill>
                </w14:textFill>
              </w:rPr>
              <w:t>3</w:t>
            </w:r>
            <w:r>
              <w:rPr>
                <w:rFonts w:hint="eastAsia" w:ascii="Times New Roman" w:hAnsi="Times New Roman" w:cs="Times New Roman"/>
                <w:color w:val="000000" w:themeColor="text1"/>
                <w:szCs w:val="21"/>
                <w14:textFill>
                  <w14:solidFill>
                    <w14:schemeClr w14:val="tx1"/>
                  </w14:solidFill>
                </w14:textFill>
              </w:rPr>
              <w:t>。</w:t>
            </w:r>
          </w:p>
        </w:tc>
        <w:tc>
          <w:tcPr>
            <w:tcW w:w="1168" w:type="dxa"/>
            <w:tcMar>
              <w:left w:w="0" w:type="dxa"/>
              <w:right w:w="0" w:type="dxa"/>
            </w:tcMar>
            <w:vAlign w:val="center"/>
          </w:tcPr>
          <w:p>
            <w:pPr>
              <w:adjustRightInd w:val="0"/>
              <w:snapToGrid w:val="0"/>
              <w:spacing w:line="300" w:lineRule="exact"/>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与环评阶段一致</w:t>
            </w:r>
          </w:p>
        </w:tc>
        <w:tc>
          <w:tcPr>
            <w:tcW w:w="1431" w:type="dxa"/>
            <w:vAlign w:val="center"/>
          </w:tcPr>
          <w:p>
            <w:pPr>
              <w:adjustRightInd w:val="0"/>
              <w:snapToGrid w:val="0"/>
              <w:spacing w:line="300" w:lineRule="exact"/>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①采取洒水抑尘、控制车速，以及对运输矿石进行挡布遮掩等措施后，无组织粉尘排放量为1.47kg/h；</w:t>
            </w:r>
          </w:p>
          <w:p>
            <w:pPr>
              <w:adjustRightInd w:val="0"/>
              <w:snapToGrid w:val="0"/>
              <w:spacing w:line="300" w:lineRule="exact"/>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②通过废石场边堆边复垦，减少裸露废石的面积，干旱天气洒水降尘等措施减少起尘量，采取降尘措施后，2个废石场无组织粉尘排放量分别为0.29kg/h、1.65g/h；</w:t>
            </w:r>
          </w:p>
          <w:p>
            <w:pPr>
              <w:adjustRightInd w:val="0"/>
              <w:snapToGrid w:val="0"/>
              <w:spacing w:line="300" w:lineRule="exact"/>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③项目场地内设有专人负责场地清扫和洒水降尘工作；</w:t>
            </w:r>
          </w:p>
          <w:p>
            <w:pPr>
              <w:adjustRightInd w:val="0"/>
              <w:snapToGrid w:val="0"/>
              <w:spacing w:line="300" w:lineRule="exact"/>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④生活区食堂建设有油烟净化器，食堂烹饪油烟经过油烟净化器处理后排放。</w:t>
            </w:r>
          </w:p>
        </w:tc>
        <w:tc>
          <w:tcPr>
            <w:tcW w:w="905" w:type="dxa"/>
            <w:tcMar>
              <w:left w:w="0" w:type="dxa"/>
              <w:right w:w="0" w:type="dxa"/>
            </w:tcMar>
            <w:vAlign w:val="center"/>
          </w:tcPr>
          <w:p>
            <w:pPr>
              <w:adjustRightInd w:val="0"/>
              <w:snapToGrid w:val="0"/>
              <w:spacing w:line="300" w:lineRule="exact"/>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区域环境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13" w:type="dxa"/>
            <w:vMerge w:val="continue"/>
            <w:tcMar>
              <w:left w:w="0" w:type="dxa"/>
              <w:right w:w="0" w:type="dxa"/>
            </w:tcMar>
            <w:vAlign w:val="center"/>
          </w:tcPr>
          <w:p>
            <w:pPr>
              <w:adjustRightInd w:val="0"/>
              <w:snapToGrid w:val="0"/>
              <w:spacing w:line="300" w:lineRule="exact"/>
              <w:jc w:val="center"/>
              <w:rPr>
                <w:rFonts w:ascii="Times New Roman" w:hAnsi="Times New Roman" w:cs="Times New Roman"/>
                <w:color w:val="000000" w:themeColor="text1"/>
                <w:szCs w:val="21"/>
                <w14:textFill>
                  <w14:solidFill>
                    <w14:schemeClr w14:val="tx1"/>
                  </w14:solidFill>
                </w14:textFill>
              </w:rPr>
            </w:pPr>
          </w:p>
        </w:tc>
        <w:tc>
          <w:tcPr>
            <w:tcW w:w="425" w:type="dxa"/>
            <w:tcMar>
              <w:left w:w="0" w:type="dxa"/>
              <w:right w:w="0" w:type="dxa"/>
            </w:tcMar>
            <w:vAlign w:val="center"/>
          </w:tcPr>
          <w:p>
            <w:pPr>
              <w:adjustRightInd w:val="0"/>
              <w:snapToGrid w:val="0"/>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噪声源</w:t>
            </w:r>
          </w:p>
        </w:tc>
        <w:tc>
          <w:tcPr>
            <w:tcW w:w="2076" w:type="dxa"/>
            <w:tcMar>
              <w:left w:w="0" w:type="dxa"/>
              <w:right w:w="0" w:type="dxa"/>
            </w:tcMar>
            <w:vAlign w:val="center"/>
          </w:tcPr>
          <w:p>
            <w:pPr>
              <w:adjustRightInd w:val="0"/>
              <w:snapToGrid w:val="0"/>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设备运行</w:t>
            </w:r>
            <w:r>
              <w:rPr>
                <w:rFonts w:hint="eastAsia" w:ascii="Times New Roman" w:hAnsi="Times New Roman" w:cs="Times New Roman"/>
                <w:color w:val="000000" w:themeColor="text1"/>
                <w:szCs w:val="21"/>
                <w14:textFill>
                  <w14:solidFill>
                    <w14:schemeClr w14:val="tx1"/>
                  </w14:solidFill>
                </w14:textFill>
              </w:rPr>
              <w:t>、爆破</w:t>
            </w:r>
          </w:p>
        </w:tc>
        <w:tc>
          <w:tcPr>
            <w:tcW w:w="1688" w:type="dxa"/>
            <w:tcMar>
              <w:left w:w="0" w:type="dxa"/>
              <w:right w:w="0" w:type="dxa"/>
            </w:tcMar>
            <w:vAlign w:val="center"/>
          </w:tcPr>
          <w:p>
            <w:pPr>
              <w:adjustRightInd w:val="0"/>
              <w:snapToGrid w:val="0"/>
              <w:spacing w:line="300" w:lineRule="exact"/>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设备运行9</w:t>
            </w:r>
            <w:r>
              <w:rPr>
                <w:rFonts w:ascii="Times New Roman" w:hAnsi="Times New Roman" w:cs="Times New Roman"/>
                <w:color w:val="000000" w:themeColor="text1"/>
                <w:szCs w:val="21"/>
                <w14:textFill>
                  <w14:solidFill>
                    <w14:schemeClr w14:val="tx1"/>
                  </w14:solidFill>
                </w14:textFill>
              </w:rPr>
              <w:t>5</w:t>
            </w:r>
            <w:r>
              <w:rPr>
                <w:rFonts w:hint="eastAsia" w:ascii="Times New Roman" w:hAnsi="Times New Roman" w:cs="Times New Roman"/>
                <w:color w:val="000000" w:themeColor="text1"/>
                <w:szCs w:val="21"/>
                <w14:textFill>
                  <w14:solidFill>
                    <w14:schemeClr w14:val="tx1"/>
                  </w14:solidFill>
                </w14:textFill>
              </w:rPr>
              <w:t>~</w:t>
            </w:r>
            <w:r>
              <w:rPr>
                <w:rFonts w:ascii="Times New Roman" w:hAnsi="Times New Roman" w:cs="Times New Roman"/>
                <w:color w:val="000000" w:themeColor="text1"/>
                <w:szCs w:val="21"/>
                <w14:textFill>
                  <w14:solidFill>
                    <w14:schemeClr w14:val="tx1"/>
                  </w14:solidFill>
                </w14:textFill>
              </w:rPr>
              <w:t>9</w:t>
            </w:r>
            <w:r>
              <w:rPr>
                <w:rFonts w:hint="eastAsia" w:ascii="Times New Roman" w:hAnsi="Times New Roman" w:cs="Times New Roman"/>
                <w:color w:val="000000" w:themeColor="text1"/>
                <w:szCs w:val="21"/>
                <w14:textFill>
                  <w14:solidFill>
                    <w14:schemeClr w14:val="tx1"/>
                  </w14:solidFill>
                </w14:textFill>
              </w:rPr>
              <w:t>8dB（A）；爆破110dB（A）。</w:t>
            </w:r>
          </w:p>
        </w:tc>
        <w:tc>
          <w:tcPr>
            <w:tcW w:w="1168" w:type="dxa"/>
            <w:tcMar>
              <w:left w:w="0" w:type="dxa"/>
              <w:right w:w="0" w:type="dxa"/>
            </w:tcMar>
            <w:vAlign w:val="center"/>
          </w:tcPr>
          <w:p>
            <w:pPr>
              <w:adjustRightInd w:val="0"/>
              <w:snapToGrid w:val="0"/>
              <w:spacing w:line="300" w:lineRule="exact"/>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与环评阶段</w:t>
            </w:r>
            <w:r>
              <w:rPr>
                <w:rFonts w:ascii="Times New Roman" w:hAnsi="Times New Roman" w:cs="Times New Roman"/>
                <w:color w:val="000000" w:themeColor="text1"/>
                <w:szCs w:val="21"/>
                <w14:textFill>
                  <w14:solidFill>
                    <w14:schemeClr w14:val="tx1"/>
                  </w14:solidFill>
                </w14:textFill>
              </w:rPr>
              <w:t>一致</w:t>
            </w:r>
          </w:p>
        </w:tc>
        <w:tc>
          <w:tcPr>
            <w:tcW w:w="1431" w:type="dxa"/>
            <w:vAlign w:val="center"/>
          </w:tcPr>
          <w:p>
            <w:pPr>
              <w:adjustRightInd w:val="0"/>
              <w:snapToGrid w:val="0"/>
              <w:spacing w:line="300" w:lineRule="exact"/>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选用了低噪声设备</w:t>
            </w:r>
            <w:r>
              <w:rPr>
                <w:rFonts w:ascii="Times New Roman" w:hAnsi="Times New Roman" w:cs="Times New Roman"/>
                <w:color w:val="000000" w:themeColor="text1"/>
                <w:szCs w:val="21"/>
                <w14:textFill>
                  <w14:solidFill>
                    <w14:schemeClr w14:val="tx1"/>
                  </w14:solidFill>
                </w14:textFill>
              </w:rPr>
              <w:t>，可达到较好效果</w:t>
            </w:r>
            <w:r>
              <w:rPr>
                <w:rFonts w:hint="eastAsia" w:ascii="Times New Roman" w:hAnsi="Times New Roman" w:cs="Times New Roman"/>
                <w:color w:val="000000" w:themeColor="text1"/>
                <w:szCs w:val="21"/>
                <w14:textFill>
                  <w14:solidFill>
                    <w14:schemeClr w14:val="tx1"/>
                  </w14:solidFill>
                </w14:textFill>
              </w:rPr>
              <w:t>；爆破噪声属瞬间噪声，露天采区平均每星期一次。</w:t>
            </w:r>
          </w:p>
        </w:tc>
        <w:tc>
          <w:tcPr>
            <w:tcW w:w="905" w:type="dxa"/>
            <w:tcMar>
              <w:left w:w="0" w:type="dxa"/>
              <w:right w:w="0" w:type="dxa"/>
            </w:tcMar>
            <w:vAlign w:val="center"/>
          </w:tcPr>
          <w:p>
            <w:pPr>
              <w:adjustRightInd w:val="0"/>
              <w:snapToGrid w:val="0"/>
              <w:spacing w:line="300" w:lineRule="exact"/>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周围环境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13" w:type="dxa"/>
            <w:vMerge w:val="continue"/>
            <w:tcMar>
              <w:left w:w="0" w:type="dxa"/>
              <w:right w:w="0" w:type="dxa"/>
            </w:tcMar>
            <w:vAlign w:val="center"/>
          </w:tcPr>
          <w:p>
            <w:pPr>
              <w:adjustRightInd w:val="0"/>
              <w:snapToGrid w:val="0"/>
              <w:spacing w:line="300" w:lineRule="exact"/>
              <w:jc w:val="center"/>
              <w:rPr>
                <w:rFonts w:ascii="Times New Roman" w:hAnsi="Times New Roman" w:cs="Times New Roman"/>
                <w:color w:val="000000" w:themeColor="text1"/>
                <w:szCs w:val="21"/>
                <w14:textFill>
                  <w14:solidFill>
                    <w14:schemeClr w14:val="tx1"/>
                  </w14:solidFill>
                </w14:textFill>
              </w:rPr>
            </w:pPr>
          </w:p>
        </w:tc>
        <w:tc>
          <w:tcPr>
            <w:tcW w:w="425" w:type="dxa"/>
            <w:tcMar>
              <w:left w:w="0" w:type="dxa"/>
              <w:right w:w="0" w:type="dxa"/>
            </w:tcMar>
            <w:vAlign w:val="center"/>
          </w:tcPr>
          <w:p>
            <w:pPr>
              <w:adjustRightInd w:val="0"/>
              <w:snapToGrid w:val="0"/>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固体</w:t>
            </w:r>
          </w:p>
          <w:p>
            <w:pPr>
              <w:adjustRightInd w:val="0"/>
              <w:snapToGrid w:val="0"/>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废弃物</w:t>
            </w:r>
          </w:p>
        </w:tc>
        <w:tc>
          <w:tcPr>
            <w:tcW w:w="2076" w:type="dxa"/>
            <w:tcMar>
              <w:left w:w="0" w:type="dxa"/>
              <w:right w:w="0" w:type="dxa"/>
            </w:tcMar>
            <w:vAlign w:val="center"/>
          </w:tcPr>
          <w:p>
            <w:pPr>
              <w:adjustRightInd w:val="0"/>
              <w:snapToGrid w:val="0"/>
              <w:spacing w:line="300" w:lineRule="exact"/>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采矿废石、生活垃圾</w:t>
            </w:r>
          </w:p>
        </w:tc>
        <w:tc>
          <w:tcPr>
            <w:tcW w:w="1688" w:type="dxa"/>
            <w:tcMar>
              <w:left w:w="0" w:type="dxa"/>
              <w:right w:w="0" w:type="dxa"/>
            </w:tcMar>
            <w:vAlign w:val="center"/>
          </w:tcPr>
          <w:p>
            <w:pPr>
              <w:adjustRightInd w:val="0"/>
              <w:snapToGrid w:val="0"/>
              <w:spacing w:line="300" w:lineRule="exact"/>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①露天采区生产期采出废石314.36万m</w:t>
            </w:r>
            <w:r>
              <w:rPr>
                <w:rFonts w:hint="eastAsia" w:ascii="Times New Roman" w:hAnsi="Times New Roman" w:cs="Times New Roman"/>
                <w:color w:val="000000" w:themeColor="text1"/>
                <w:szCs w:val="21"/>
                <w:vertAlign w:val="superscript"/>
                <w14:textFill>
                  <w14:solidFill>
                    <w14:schemeClr w14:val="tx1"/>
                  </w14:solidFill>
                </w14:textFill>
              </w:rPr>
              <w:t>3</w:t>
            </w:r>
            <w:r>
              <w:rPr>
                <w:rFonts w:hint="eastAsia" w:ascii="Times New Roman" w:hAnsi="Times New Roman" w:cs="Times New Roman"/>
                <w:color w:val="000000" w:themeColor="text1"/>
                <w:szCs w:val="21"/>
                <w14:textFill>
                  <w14:solidFill>
                    <w14:schemeClr w14:val="tx1"/>
                  </w14:solidFill>
                </w14:textFill>
              </w:rPr>
              <w:t>；②生活垃圾：生活垃圾产生量月为4</w:t>
            </w:r>
            <w:r>
              <w:rPr>
                <w:rFonts w:ascii="Times New Roman" w:hAnsi="Times New Roman" w:cs="Times New Roman"/>
                <w:color w:val="000000" w:themeColor="text1"/>
                <w:szCs w:val="21"/>
                <w14:textFill>
                  <w14:solidFill>
                    <w14:schemeClr w14:val="tx1"/>
                  </w14:solidFill>
                </w14:textFill>
              </w:rPr>
              <w:t>3.74</w:t>
            </w:r>
            <w:r>
              <w:rPr>
                <w:rFonts w:hint="eastAsia" w:ascii="Times New Roman" w:hAnsi="Times New Roman" w:cs="Times New Roman"/>
                <w:color w:val="000000" w:themeColor="text1"/>
                <w:szCs w:val="21"/>
                <w14:textFill>
                  <w14:solidFill>
                    <w14:schemeClr w14:val="tx1"/>
                  </w14:solidFill>
                </w14:textFill>
              </w:rPr>
              <w:t>t/a。</w:t>
            </w:r>
          </w:p>
        </w:tc>
        <w:tc>
          <w:tcPr>
            <w:tcW w:w="1168" w:type="dxa"/>
            <w:tcMar>
              <w:left w:w="0" w:type="dxa"/>
              <w:right w:w="0" w:type="dxa"/>
            </w:tcMar>
            <w:vAlign w:val="center"/>
          </w:tcPr>
          <w:p>
            <w:pPr>
              <w:adjustRightInd w:val="0"/>
              <w:snapToGrid w:val="0"/>
              <w:spacing w:line="300" w:lineRule="exact"/>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与环评阶段</w:t>
            </w:r>
            <w:r>
              <w:rPr>
                <w:rFonts w:ascii="Times New Roman" w:hAnsi="Times New Roman" w:cs="Times New Roman"/>
                <w:color w:val="000000" w:themeColor="text1"/>
                <w:szCs w:val="21"/>
                <w14:textFill>
                  <w14:solidFill>
                    <w14:schemeClr w14:val="tx1"/>
                  </w14:solidFill>
                </w14:textFill>
              </w:rPr>
              <w:t>一致</w:t>
            </w:r>
          </w:p>
        </w:tc>
        <w:tc>
          <w:tcPr>
            <w:tcW w:w="1431" w:type="dxa"/>
            <w:vAlign w:val="center"/>
          </w:tcPr>
          <w:p>
            <w:pPr>
              <w:adjustRightInd w:val="0"/>
              <w:snapToGrid w:val="0"/>
              <w:spacing w:line="300" w:lineRule="exact"/>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露天采区</w:t>
            </w:r>
          </w:p>
          <w:p>
            <w:pPr>
              <w:adjustRightInd w:val="0"/>
              <w:snapToGrid w:val="0"/>
              <w:spacing w:line="300" w:lineRule="exact"/>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生产废石运往露天矿生产废石场堆存；生活区设置有垃圾桶，生活垃圾定期清运至金川县城市生活垃圾卫生填埋场处理。</w:t>
            </w:r>
          </w:p>
        </w:tc>
        <w:tc>
          <w:tcPr>
            <w:tcW w:w="905" w:type="dxa"/>
            <w:tcMar>
              <w:left w:w="0" w:type="dxa"/>
              <w:right w:w="0" w:type="dxa"/>
            </w:tcMar>
            <w:vAlign w:val="center"/>
          </w:tcPr>
          <w:p>
            <w:pPr>
              <w:adjustRightInd w:val="0"/>
              <w:snapToGrid w:val="0"/>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周围环境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13" w:type="dxa"/>
            <w:tcMar>
              <w:left w:w="0" w:type="dxa"/>
              <w:right w:w="0" w:type="dxa"/>
            </w:tcMar>
            <w:vAlign w:val="center"/>
          </w:tcPr>
          <w:p>
            <w:pPr>
              <w:adjustRightInd w:val="0"/>
              <w:snapToGrid w:val="0"/>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移民及专项设施复建</w:t>
            </w:r>
          </w:p>
        </w:tc>
        <w:tc>
          <w:tcPr>
            <w:tcW w:w="4189" w:type="dxa"/>
            <w:gridSpan w:val="3"/>
            <w:tcMar>
              <w:left w:w="0" w:type="dxa"/>
              <w:right w:w="0" w:type="dxa"/>
            </w:tcMar>
            <w:vAlign w:val="center"/>
          </w:tcPr>
          <w:p>
            <w:pPr>
              <w:adjustRightInd w:val="0"/>
              <w:snapToGrid w:val="0"/>
              <w:spacing w:line="300" w:lineRule="exact"/>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项目不涉及移民安置</w:t>
            </w:r>
          </w:p>
        </w:tc>
        <w:tc>
          <w:tcPr>
            <w:tcW w:w="1168" w:type="dxa"/>
            <w:tcMar>
              <w:left w:w="0" w:type="dxa"/>
              <w:right w:w="0" w:type="dxa"/>
            </w:tcMar>
            <w:vAlign w:val="center"/>
          </w:tcPr>
          <w:p>
            <w:pPr>
              <w:adjustRightInd w:val="0"/>
              <w:snapToGrid w:val="0"/>
              <w:spacing w:line="300" w:lineRule="exact"/>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与环评阶段一致</w:t>
            </w:r>
          </w:p>
        </w:tc>
        <w:tc>
          <w:tcPr>
            <w:tcW w:w="1431" w:type="dxa"/>
            <w:vAlign w:val="center"/>
          </w:tcPr>
          <w:p>
            <w:pPr>
              <w:adjustRightInd w:val="0"/>
              <w:snapToGrid w:val="0"/>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05" w:type="dxa"/>
            <w:tcMar>
              <w:left w:w="0" w:type="dxa"/>
              <w:right w:w="0" w:type="dxa"/>
            </w:tcMar>
            <w:vAlign w:val="center"/>
          </w:tcPr>
          <w:p>
            <w:pPr>
              <w:adjustRightInd w:val="0"/>
              <w:snapToGrid w:val="0"/>
              <w:spacing w:line="300" w:lineRule="exact"/>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w:t>
            </w:r>
          </w:p>
        </w:tc>
      </w:tr>
    </w:tbl>
    <w:p>
      <w:pPr>
        <w:pStyle w:val="4"/>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2.2.8 工程总投资和环保投资</w:t>
      </w:r>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环境影响报告书概算的环境保护总投资77288万元，其中环保投资4424.94万元，占总投资的5.73%。根据金川奥伊诺矿业有限公司提供的信息，本工程已完成环保投资为2100万元，已投资的工程实际金额59197万元，环保投资占工程已投入的3.55%。</w:t>
      </w:r>
    </w:p>
    <w:p>
      <w:pPr>
        <w:spacing w:line="360" w:lineRule="auto"/>
        <w:jc w:val="center"/>
        <w:rPr>
          <w:rFonts w:ascii="Times New Roman" w:hAnsi="Times New Roman" w:eastAsia="宋体" w:cs="Times New Roman"/>
          <w:b/>
          <w:szCs w:val="21"/>
        </w:rPr>
      </w:pPr>
      <w:r>
        <w:rPr>
          <w:rFonts w:hint="eastAsia" w:ascii="Times New Roman" w:hAnsi="Times New Roman" w:eastAsia="宋体" w:cs="Times New Roman"/>
          <w:b/>
          <w:szCs w:val="21"/>
        </w:rPr>
        <w:t>表2.2-7  工程环保投资情况表</w:t>
      </w:r>
    </w:p>
    <w:tbl>
      <w:tblPr>
        <w:tblStyle w:val="29"/>
        <w:tblW w:w="8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6"/>
        <w:gridCol w:w="557"/>
        <w:gridCol w:w="5"/>
        <w:gridCol w:w="3054"/>
        <w:gridCol w:w="780"/>
        <w:gridCol w:w="2775"/>
        <w:gridCol w:w="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3" w:type="dxa"/>
            <w:gridSpan w:val="2"/>
            <w:vAlign w:val="center"/>
          </w:tcPr>
          <w:p>
            <w:pPr>
              <w:spacing w:line="360" w:lineRule="auto"/>
              <w:jc w:val="center"/>
              <w:rPr>
                <w:rFonts w:ascii="Times New Roman" w:hAnsi="Times New Roman" w:eastAsia="宋体" w:cs="Times New Roman"/>
                <w:b/>
                <w:bCs/>
                <w:color w:val="000000" w:themeColor="text1"/>
                <w:sz w:val="21"/>
                <w:szCs w:val="21"/>
                <w14:textFill>
                  <w14:solidFill>
                    <w14:schemeClr w14:val="tx1"/>
                  </w14:solidFill>
                </w14:textFill>
              </w:rPr>
            </w:pPr>
            <w:r>
              <w:rPr>
                <w:rFonts w:hint="eastAsia" w:ascii="Times New Roman" w:hAnsi="Times New Roman" w:eastAsia="宋体" w:cs="Times New Roman"/>
                <w:b/>
                <w:bCs/>
                <w:color w:val="000000" w:themeColor="text1"/>
                <w:sz w:val="21"/>
                <w:szCs w:val="21"/>
                <w14:textFill>
                  <w14:solidFill>
                    <w14:schemeClr w14:val="tx1"/>
                  </w14:solidFill>
                </w14:textFill>
              </w:rPr>
              <w:t>类别</w:t>
            </w:r>
          </w:p>
        </w:tc>
        <w:tc>
          <w:tcPr>
            <w:tcW w:w="3059" w:type="dxa"/>
            <w:gridSpan w:val="2"/>
            <w:vAlign w:val="center"/>
          </w:tcPr>
          <w:p>
            <w:pPr>
              <w:spacing w:line="360" w:lineRule="auto"/>
              <w:jc w:val="center"/>
              <w:rPr>
                <w:rFonts w:hint="eastAsia" w:ascii="Times New Roman" w:hAnsi="Times New Roman" w:eastAsia="宋体" w:cs="Times New Roman"/>
                <w:b/>
                <w:bCs/>
                <w:color w:val="000000" w:themeColor="text1"/>
                <w:sz w:val="21"/>
                <w:szCs w:val="21"/>
                <w:lang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eastAsia="zh-CN"/>
                <w14:textFill>
                  <w14:solidFill>
                    <w14:schemeClr w14:val="tx1"/>
                  </w14:solidFill>
                </w14:textFill>
              </w:rPr>
              <w:t>环评治理措施</w:t>
            </w:r>
          </w:p>
        </w:tc>
        <w:tc>
          <w:tcPr>
            <w:tcW w:w="780" w:type="dxa"/>
            <w:vAlign w:val="center"/>
          </w:tcPr>
          <w:p>
            <w:pPr>
              <w:spacing w:line="360" w:lineRule="auto"/>
              <w:jc w:val="center"/>
              <w:rPr>
                <w:rFonts w:hint="eastAsia" w:ascii="Times New Roman" w:hAnsi="Times New Roman" w:eastAsia="宋体" w:cs="Times New Roman"/>
                <w:b/>
                <w:bCs/>
                <w:color w:val="000000" w:themeColor="text1"/>
                <w:sz w:val="21"/>
                <w:szCs w:val="21"/>
                <w:lang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eastAsia="zh-CN"/>
                <w14:textFill>
                  <w14:solidFill>
                    <w14:schemeClr w14:val="tx1"/>
                  </w14:solidFill>
                </w14:textFill>
              </w:rPr>
              <w:t>环保投资（万元）</w:t>
            </w:r>
          </w:p>
        </w:tc>
        <w:tc>
          <w:tcPr>
            <w:tcW w:w="2775" w:type="dxa"/>
            <w:vAlign w:val="center"/>
          </w:tcPr>
          <w:p>
            <w:pPr>
              <w:spacing w:line="360" w:lineRule="auto"/>
              <w:jc w:val="center"/>
              <w:rPr>
                <w:rFonts w:hint="eastAsia" w:ascii="Times New Roman" w:hAnsi="Times New Roman" w:eastAsia="宋体" w:cs="Times New Roman"/>
                <w:b/>
                <w:bCs/>
                <w:color w:val="000000" w:themeColor="text1"/>
                <w:sz w:val="21"/>
                <w:szCs w:val="21"/>
                <w:lang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eastAsia="zh-CN"/>
                <w14:textFill>
                  <w14:solidFill>
                    <w14:schemeClr w14:val="tx1"/>
                  </w14:solidFill>
                </w14:textFill>
              </w:rPr>
              <w:t>实际治理措施</w:t>
            </w:r>
          </w:p>
        </w:tc>
        <w:tc>
          <w:tcPr>
            <w:tcW w:w="792" w:type="dxa"/>
            <w:vAlign w:val="center"/>
          </w:tcPr>
          <w:p>
            <w:pPr>
              <w:spacing w:line="360" w:lineRule="auto"/>
              <w:jc w:val="center"/>
              <w:rPr>
                <w:rFonts w:ascii="Times New Roman" w:hAnsi="Times New Roman" w:eastAsia="宋体" w:cs="Times New Roman"/>
                <w:b/>
                <w:bCs/>
                <w:color w:val="000000" w:themeColor="text1"/>
                <w:sz w:val="21"/>
                <w:szCs w:val="21"/>
                <w14:textFill>
                  <w14:solidFill>
                    <w14:schemeClr w14:val="tx1"/>
                  </w14:solidFill>
                </w14:textFill>
              </w:rPr>
            </w:pPr>
            <w:r>
              <w:rPr>
                <w:rFonts w:hint="eastAsia" w:ascii="Times New Roman" w:hAnsi="Times New Roman" w:eastAsia="宋体" w:cs="Times New Roman"/>
                <w:b/>
                <w:bCs/>
                <w:color w:val="000000" w:themeColor="text1"/>
                <w:sz w:val="21"/>
                <w:szCs w:val="21"/>
                <w:lang w:eastAsia="zh-CN"/>
                <w14:textFill>
                  <w14:solidFill>
                    <w14:schemeClr w14:val="tx1"/>
                  </w14:solidFill>
                </w14:textFill>
              </w:rPr>
              <w:t>环保投资（万元）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6" w:type="dxa"/>
            <w:vMerge w:val="restart"/>
            <w:vAlign w:val="center"/>
          </w:tcPr>
          <w:p>
            <w:pPr>
              <w:spacing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废气</w:t>
            </w:r>
          </w:p>
        </w:tc>
        <w:tc>
          <w:tcPr>
            <w:tcW w:w="557" w:type="dxa"/>
            <w:vMerge w:val="restart"/>
            <w:vAlign w:val="center"/>
          </w:tcPr>
          <w:p>
            <w:pPr>
              <w:spacing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施工期</w:t>
            </w:r>
          </w:p>
        </w:tc>
        <w:tc>
          <w:tcPr>
            <w:tcW w:w="3059" w:type="dxa"/>
            <w:gridSpan w:val="2"/>
          </w:tcPr>
          <w:p>
            <w:pPr>
              <w:spacing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配备洒水车辆</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14:textFill>
                  <w14:solidFill>
                    <w14:schemeClr w14:val="tx1"/>
                  </w14:solidFill>
                </w14:textFill>
              </w:rPr>
              <w:t>台，洒水抑尘</w:t>
            </w:r>
          </w:p>
        </w:tc>
        <w:tc>
          <w:tcPr>
            <w:tcW w:w="780" w:type="dxa"/>
            <w:vAlign w:val="center"/>
          </w:tcPr>
          <w:p>
            <w:pPr>
              <w:spacing w:line="36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45</w:t>
            </w:r>
          </w:p>
        </w:tc>
        <w:tc>
          <w:tcPr>
            <w:tcW w:w="2775" w:type="dxa"/>
            <w:vAlign w:val="top"/>
          </w:tcPr>
          <w:p>
            <w:pPr>
              <w:spacing w:line="360" w:lineRule="auto"/>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配备洒水车辆1台，洒水抑尘</w:t>
            </w:r>
          </w:p>
        </w:tc>
        <w:tc>
          <w:tcPr>
            <w:tcW w:w="792" w:type="dxa"/>
            <w:vAlign w:val="center"/>
          </w:tcPr>
          <w:p>
            <w:pPr>
              <w:spacing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6" w:type="dxa"/>
            <w:vMerge w:val="continue"/>
            <w:vAlign w:val="center"/>
          </w:tcPr>
          <w:p>
            <w:pPr>
              <w:spacing w:line="360" w:lineRule="auto"/>
              <w:jc w:val="center"/>
              <w:rPr>
                <w:rFonts w:ascii="Times New Roman" w:hAnsi="Times New Roman" w:eastAsia="宋体" w:cs="Times New Roman"/>
                <w:color w:val="000000" w:themeColor="text1"/>
                <w:sz w:val="21"/>
                <w:szCs w:val="21"/>
                <w14:textFill>
                  <w14:solidFill>
                    <w14:schemeClr w14:val="tx1"/>
                  </w14:solidFill>
                </w14:textFill>
              </w:rPr>
            </w:pPr>
          </w:p>
        </w:tc>
        <w:tc>
          <w:tcPr>
            <w:tcW w:w="557" w:type="dxa"/>
            <w:vMerge w:val="continue"/>
            <w:vAlign w:val="center"/>
          </w:tcPr>
          <w:p>
            <w:pPr>
              <w:spacing w:line="360" w:lineRule="auto"/>
              <w:jc w:val="center"/>
              <w:rPr>
                <w:rFonts w:ascii="Times New Roman" w:hAnsi="Times New Roman" w:eastAsia="宋体" w:cs="Times New Roman"/>
                <w:color w:val="000000" w:themeColor="text1"/>
                <w:sz w:val="21"/>
                <w:szCs w:val="21"/>
                <w14:textFill>
                  <w14:solidFill>
                    <w14:schemeClr w14:val="tx1"/>
                  </w14:solidFill>
                </w14:textFill>
              </w:rPr>
            </w:pPr>
          </w:p>
        </w:tc>
        <w:tc>
          <w:tcPr>
            <w:tcW w:w="3059" w:type="dxa"/>
            <w:gridSpan w:val="2"/>
          </w:tcPr>
          <w:p>
            <w:pPr>
              <w:spacing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物料堆放时遮盖篷布、运输车辆加盖篷布全密封</w:t>
            </w:r>
          </w:p>
        </w:tc>
        <w:tc>
          <w:tcPr>
            <w:tcW w:w="780" w:type="dxa"/>
            <w:vAlign w:val="center"/>
          </w:tcPr>
          <w:p>
            <w:pPr>
              <w:spacing w:line="360" w:lineRule="auto"/>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w:t>
            </w:r>
          </w:p>
        </w:tc>
        <w:tc>
          <w:tcPr>
            <w:tcW w:w="2775" w:type="dxa"/>
            <w:vAlign w:val="top"/>
          </w:tcPr>
          <w:p>
            <w:pPr>
              <w:spacing w:line="360" w:lineRule="auto"/>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物料堆放时遮盖篷布、运输车辆加盖篷布全密封</w:t>
            </w:r>
          </w:p>
        </w:tc>
        <w:tc>
          <w:tcPr>
            <w:tcW w:w="792" w:type="dxa"/>
            <w:vAlign w:val="center"/>
          </w:tcPr>
          <w:p>
            <w:pPr>
              <w:spacing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6" w:type="dxa"/>
            <w:vMerge w:val="continue"/>
            <w:vAlign w:val="center"/>
          </w:tcPr>
          <w:p>
            <w:pPr>
              <w:spacing w:line="360" w:lineRule="auto"/>
              <w:jc w:val="center"/>
              <w:rPr>
                <w:rFonts w:ascii="Times New Roman" w:hAnsi="Times New Roman" w:eastAsia="宋体" w:cs="Times New Roman"/>
                <w:color w:val="000000" w:themeColor="text1"/>
                <w:sz w:val="21"/>
                <w:szCs w:val="21"/>
                <w14:textFill>
                  <w14:solidFill>
                    <w14:schemeClr w14:val="tx1"/>
                  </w14:solidFill>
                </w14:textFill>
              </w:rPr>
            </w:pPr>
          </w:p>
        </w:tc>
        <w:tc>
          <w:tcPr>
            <w:tcW w:w="557" w:type="dxa"/>
            <w:vMerge w:val="continue"/>
            <w:vAlign w:val="center"/>
          </w:tcPr>
          <w:p>
            <w:pPr>
              <w:spacing w:line="360" w:lineRule="auto"/>
              <w:jc w:val="center"/>
              <w:rPr>
                <w:rFonts w:ascii="Times New Roman" w:hAnsi="Times New Roman" w:eastAsia="宋体" w:cs="Times New Roman"/>
                <w:color w:val="000000" w:themeColor="text1"/>
                <w:sz w:val="21"/>
                <w:szCs w:val="21"/>
                <w14:textFill>
                  <w14:solidFill>
                    <w14:schemeClr w14:val="tx1"/>
                  </w14:solidFill>
                </w14:textFill>
              </w:rPr>
            </w:pPr>
          </w:p>
        </w:tc>
        <w:tc>
          <w:tcPr>
            <w:tcW w:w="3059" w:type="dxa"/>
            <w:gridSpan w:val="2"/>
          </w:tcPr>
          <w:p>
            <w:pPr>
              <w:spacing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给</w:t>
            </w:r>
            <w:r>
              <w:rPr>
                <w:rFonts w:hint="eastAsia" w:ascii="Times New Roman" w:hAnsi="Times New Roman" w:eastAsia="宋体" w:cs="Times New Roman"/>
                <w:color w:val="000000" w:themeColor="text1"/>
                <w:sz w:val="21"/>
                <w:szCs w:val="21"/>
                <w14:textFill>
                  <w14:solidFill>
                    <w14:schemeClr w14:val="tx1"/>
                  </w14:solidFill>
                </w14:textFill>
              </w:rPr>
              <w:t>施工人员发放防尘口罩</w:t>
            </w:r>
          </w:p>
        </w:tc>
        <w:tc>
          <w:tcPr>
            <w:tcW w:w="780" w:type="dxa"/>
            <w:vAlign w:val="center"/>
          </w:tcPr>
          <w:p>
            <w:pPr>
              <w:spacing w:line="36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c>
          <w:tcPr>
            <w:tcW w:w="2775" w:type="dxa"/>
            <w:vAlign w:val="top"/>
          </w:tcPr>
          <w:p>
            <w:pPr>
              <w:spacing w:line="360" w:lineRule="auto"/>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施工人员发放防尘口罩</w:t>
            </w:r>
          </w:p>
        </w:tc>
        <w:tc>
          <w:tcPr>
            <w:tcW w:w="792" w:type="dxa"/>
            <w:vAlign w:val="center"/>
          </w:tcPr>
          <w:p>
            <w:pPr>
              <w:spacing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6" w:type="dxa"/>
            <w:vMerge w:val="continue"/>
            <w:vAlign w:val="center"/>
          </w:tcPr>
          <w:p>
            <w:pPr>
              <w:spacing w:line="360" w:lineRule="auto"/>
              <w:jc w:val="center"/>
              <w:rPr>
                <w:rFonts w:ascii="Times New Roman" w:hAnsi="Times New Roman" w:eastAsia="宋体" w:cs="Times New Roman"/>
                <w:color w:val="000000" w:themeColor="text1"/>
                <w:sz w:val="21"/>
                <w:szCs w:val="21"/>
                <w14:textFill>
                  <w14:solidFill>
                    <w14:schemeClr w14:val="tx1"/>
                  </w14:solidFill>
                </w14:textFill>
              </w:rPr>
            </w:pPr>
          </w:p>
        </w:tc>
        <w:tc>
          <w:tcPr>
            <w:tcW w:w="557" w:type="dxa"/>
            <w:vMerge w:val="restart"/>
            <w:vAlign w:val="center"/>
          </w:tcPr>
          <w:p>
            <w:pPr>
              <w:spacing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运营期</w:t>
            </w:r>
          </w:p>
        </w:tc>
        <w:tc>
          <w:tcPr>
            <w:tcW w:w="3059" w:type="dxa"/>
            <w:gridSpan w:val="2"/>
          </w:tcPr>
          <w:p>
            <w:pPr>
              <w:spacing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食堂安装油烟净化器1套</w:t>
            </w:r>
          </w:p>
        </w:tc>
        <w:tc>
          <w:tcPr>
            <w:tcW w:w="780" w:type="dxa"/>
            <w:vAlign w:val="center"/>
          </w:tcPr>
          <w:p>
            <w:pPr>
              <w:spacing w:line="360" w:lineRule="auto"/>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c>
          <w:tcPr>
            <w:tcW w:w="2775" w:type="dxa"/>
            <w:vAlign w:val="top"/>
          </w:tcPr>
          <w:p>
            <w:pPr>
              <w:spacing w:line="360" w:lineRule="auto"/>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食堂安装油烟净化器1套</w:t>
            </w:r>
          </w:p>
        </w:tc>
        <w:tc>
          <w:tcPr>
            <w:tcW w:w="792" w:type="dxa"/>
            <w:vAlign w:val="center"/>
          </w:tcPr>
          <w:p>
            <w:pPr>
              <w:spacing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6" w:type="dxa"/>
            <w:vMerge w:val="continue"/>
            <w:vAlign w:val="center"/>
          </w:tcPr>
          <w:p>
            <w:pPr>
              <w:spacing w:line="360" w:lineRule="auto"/>
              <w:jc w:val="center"/>
              <w:rPr>
                <w:rFonts w:ascii="Times New Roman" w:hAnsi="Times New Roman" w:eastAsia="宋体" w:cs="Times New Roman"/>
                <w:color w:val="000000" w:themeColor="text1"/>
                <w:sz w:val="21"/>
                <w:szCs w:val="21"/>
                <w14:textFill>
                  <w14:solidFill>
                    <w14:schemeClr w14:val="tx1"/>
                  </w14:solidFill>
                </w14:textFill>
              </w:rPr>
            </w:pPr>
          </w:p>
        </w:tc>
        <w:tc>
          <w:tcPr>
            <w:tcW w:w="557" w:type="dxa"/>
            <w:vMerge w:val="continue"/>
            <w:vAlign w:val="center"/>
          </w:tcPr>
          <w:p>
            <w:pPr>
              <w:spacing w:line="360" w:lineRule="auto"/>
              <w:jc w:val="center"/>
              <w:rPr>
                <w:rFonts w:ascii="Times New Roman" w:hAnsi="Times New Roman" w:eastAsia="宋体" w:cs="Times New Roman"/>
                <w:color w:val="000000" w:themeColor="text1"/>
                <w:sz w:val="21"/>
                <w:szCs w:val="21"/>
                <w14:textFill>
                  <w14:solidFill>
                    <w14:schemeClr w14:val="tx1"/>
                  </w14:solidFill>
                </w14:textFill>
              </w:rPr>
            </w:pPr>
          </w:p>
        </w:tc>
        <w:tc>
          <w:tcPr>
            <w:tcW w:w="3059" w:type="dxa"/>
            <w:gridSpan w:val="2"/>
          </w:tcPr>
          <w:p>
            <w:pPr>
              <w:spacing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露天矿基建废石场采用洒水车降尘，露天矿生产废石场采用洒水喷淋系统降尘</w:t>
            </w:r>
          </w:p>
        </w:tc>
        <w:tc>
          <w:tcPr>
            <w:tcW w:w="780" w:type="dxa"/>
            <w:vAlign w:val="center"/>
          </w:tcPr>
          <w:p>
            <w:pPr>
              <w:spacing w:line="36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50</w:t>
            </w:r>
          </w:p>
        </w:tc>
        <w:tc>
          <w:tcPr>
            <w:tcW w:w="2775" w:type="dxa"/>
            <w:vAlign w:val="top"/>
          </w:tcPr>
          <w:p>
            <w:pPr>
              <w:spacing w:line="360" w:lineRule="auto"/>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露天矿基建废石场采用洒水车降尘，露天矿生产废石场采用洒水喷淋系统降尘</w:t>
            </w:r>
          </w:p>
        </w:tc>
        <w:tc>
          <w:tcPr>
            <w:tcW w:w="792" w:type="dxa"/>
            <w:vAlign w:val="center"/>
          </w:tcPr>
          <w:p>
            <w:pPr>
              <w:spacing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6" w:type="dxa"/>
            <w:vMerge w:val="restart"/>
            <w:vAlign w:val="center"/>
          </w:tcPr>
          <w:p>
            <w:pPr>
              <w:spacing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废水</w:t>
            </w:r>
          </w:p>
        </w:tc>
        <w:tc>
          <w:tcPr>
            <w:tcW w:w="557" w:type="dxa"/>
            <w:vMerge w:val="restart"/>
            <w:vAlign w:val="center"/>
          </w:tcPr>
          <w:p>
            <w:pPr>
              <w:spacing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施工期</w:t>
            </w:r>
          </w:p>
        </w:tc>
        <w:tc>
          <w:tcPr>
            <w:tcW w:w="3059" w:type="dxa"/>
            <w:gridSpan w:val="2"/>
          </w:tcPr>
          <w:p>
            <w:pPr>
              <w:spacing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施工废水经临时沉淀池预处理后全部回用于施工生产用水及施工现场洒水，不外排</w:t>
            </w:r>
          </w:p>
        </w:tc>
        <w:tc>
          <w:tcPr>
            <w:tcW w:w="780" w:type="dxa"/>
            <w:vAlign w:val="center"/>
          </w:tcPr>
          <w:p>
            <w:pPr>
              <w:spacing w:line="360" w:lineRule="auto"/>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w:t>
            </w:r>
          </w:p>
        </w:tc>
        <w:tc>
          <w:tcPr>
            <w:tcW w:w="2775" w:type="dxa"/>
            <w:vAlign w:val="top"/>
          </w:tcPr>
          <w:p>
            <w:pPr>
              <w:spacing w:line="360" w:lineRule="auto"/>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施工废水经临时沉淀池预处理后全部回用于施工生产用水及施工现场洒水，不外排</w:t>
            </w:r>
          </w:p>
        </w:tc>
        <w:tc>
          <w:tcPr>
            <w:tcW w:w="792" w:type="dxa"/>
            <w:vAlign w:val="center"/>
          </w:tcPr>
          <w:p>
            <w:pPr>
              <w:spacing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6" w:type="dxa"/>
            <w:vMerge w:val="continue"/>
            <w:vAlign w:val="center"/>
          </w:tcPr>
          <w:p>
            <w:pPr>
              <w:spacing w:line="360" w:lineRule="auto"/>
              <w:jc w:val="center"/>
              <w:rPr>
                <w:rFonts w:ascii="Times New Roman" w:hAnsi="Times New Roman" w:eastAsia="宋体" w:cs="Times New Roman"/>
                <w:color w:val="000000" w:themeColor="text1"/>
                <w:sz w:val="21"/>
                <w:szCs w:val="21"/>
                <w14:textFill>
                  <w14:solidFill>
                    <w14:schemeClr w14:val="tx1"/>
                  </w14:solidFill>
                </w14:textFill>
              </w:rPr>
            </w:pPr>
          </w:p>
        </w:tc>
        <w:tc>
          <w:tcPr>
            <w:tcW w:w="557" w:type="dxa"/>
            <w:vMerge w:val="continue"/>
            <w:vAlign w:val="center"/>
          </w:tcPr>
          <w:p>
            <w:pPr>
              <w:spacing w:line="360" w:lineRule="auto"/>
              <w:jc w:val="center"/>
              <w:rPr>
                <w:rFonts w:ascii="Times New Roman" w:hAnsi="Times New Roman" w:eastAsia="宋体" w:cs="Times New Roman"/>
                <w:color w:val="000000" w:themeColor="text1"/>
                <w:sz w:val="21"/>
                <w:szCs w:val="21"/>
                <w14:textFill>
                  <w14:solidFill>
                    <w14:schemeClr w14:val="tx1"/>
                  </w14:solidFill>
                </w14:textFill>
              </w:rPr>
            </w:pPr>
          </w:p>
        </w:tc>
        <w:tc>
          <w:tcPr>
            <w:tcW w:w="3059" w:type="dxa"/>
            <w:gridSpan w:val="2"/>
          </w:tcPr>
          <w:p>
            <w:pPr>
              <w:spacing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施工含油废水经隔油沉淀池处理后全部循环利用，不外排</w:t>
            </w:r>
          </w:p>
        </w:tc>
        <w:tc>
          <w:tcPr>
            <w:tcW w:w="780" w:type="dxa"/>
            <w:vAlign w:val="center"/>
          </w:tcPr>
          <w:p>
            <w:pPr>
              <w:spacing w:line="360" w:lineRule="auto"/>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w:t>
            </w:r>
          </w:p>
        </w:tc>
        <w:tc>
          <w:tcPr>
            <w:tcW w:w="2775" w:type="dxa"/>
            <w:vAlign w:val="top"/>
          </w:tcPr>
          <w:p>
            <w:pPr>
              <w:spacing w:line="360" w:lineRule="auto"/>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施工含油废水经隔油沉淀池处理后全部循环利用，不外排</w:t>
            </w:r>
          </w:p>
        </w:tc>
        <w:tc>
          <w:tcPr>
            <w:tcW w:w="792" w:type="dxa"/>
            <w:vAlign w:val="center"/>
          </w:tcPr>
          <w:p>
            <w:pPr>
              <w:spacing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6" w:type="dxa"/>
            <w:vMerge w:val="continue"/>
            <w:vAlign w:val="center"/>
          </w:tcPr>
          <w:p>
            <w:pPr>
              <w:spacing w:line="360" w:lineRule="auto"/>
              <w:jc w:val="center"/>
              <w:rPr>
                <w:rFonts w:ascii="Times New Roman" w:hAnsi="Times New Roman" w:eastAsia="宋体" w:cs="Times New Roman"/>
                <w:color w:val="000000" w:themeColor="text1"/>
                <w:sz w:val="21"/>
                <w:szCs w:val="21"/>
                <w14:textFill>
                  <w14:solidFill>
                    <w14:schemeClr w14:val="tx1"/>
                  </w14:solidFill>
                </w14:textFill>
              </w:rPr>
            </w:pPr>
          </w:p>
        </w:tc>
        <w:tc>
          <w:tcPr>
            <w:tcW w:w="557" w:type="dxa"/>
            <w:vMerge w:val="continue"/>
            <w:vAlign w:val="center"/>
          </w:tcPr>
          <w:p>
            <w:pPr>
              <w:spacing w:line="360" w:lineRule="auto"/>
              <w:jc w:val="center"/>
              <w:rPr>
                <w:rFonts w:ascii="Times New Roman" w:hAnsi="Times New Roman" w:eastAsia="宋体" w:cs="Times New Roman"/>
                <w:color w:val="000000" w:themeColor="text1"/>
                <w:sz w:val="21"/>
                <w:szCs w:val="21"/>
                <w14:textFill>
                  <w14:solidFill>
                    <w14:schemeClr w14:val="tx1"/>
                  </w14:solidFill>
                </w14:textFill>
              </w:rPr>
            </w:pPr>
          </w:p>
        </w:tc>
        <w:tc>
          <w:tcPr>
            <w:tcW w:w="3059" w:type="dxa"/>
            <w:gridSpan w:val="2"/>
          </w:tcPr>
          <w:p>
            <w:pPr>
              <w:spacing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施工场地设置临时旱厕</w:t>
            </w:r>
          </w:p>
        </w:tc>
        <w:tc>
          <w:tcPr>
            <w:tcW w:w="780" w:type="dxa"/>
            <w:vAlign w:val="center"/>
          </w:tcPr>
          <w:p>
            <w:pPr>
              <w:spacing w:line="360" w:lineRule="auto"/>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w:t>
            </w:r>
          </w:p>
        </w:tc>
        <w:tc>
          <w:tcPr>
            <w:tcW w:w="2775" w:type="dxa"/>
            <w:vAlign w:val="top"/>
          </w:tcPr>
          <w:p>
            <w:pPr>
              <w:spacing w:line="360" w:lineRule="auto"/>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施工场地设置临时旱厕</w:t>
            </w:r>
          </w:p>
        </w:tc>
        <w:tc>
          <w:tcPr>
            <w:tcW w:w="792" w:type="dxa"/>
            <w:vAlign w:val="center"/>
          </w:tcPr>
          <w:p>
            <w:pPr>
              <w:spacing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6" w:type="dxa"/>
            <w:vMerge w:val="continue"/>
            <w:vAlign w:val="center"/>
          </w:tcPr>
          <w:p>
            <w:pPr>
              <w:spacing w:line="360" w:lineRule="auto"/>
              <w:jc w:val="center"/>
              <w:rPr>
                <w:rFonts w:ascii="Times New Roman" w:hAnsi="Times New Roman" w:eastAsia="宋体" w:cs="Times New Roman"/>
                <w:color w:val="000000" w:themeColor="text1"/>
                <w:sz w:val="21"/>
                <w:szCs w:val="21"/>
                <w14:textFill>
                  <w14:solidFill>
                    <w14:schemeClr w14:val="tx1"/>
                  </w14:solidFill>
                </w14:textFill>
              </w:rPr>
            </w:pPr>
          </w:p>
        </w:tc>
        <w:tc>
          <w:tcPr>
            <w:tcW w:w="557" w:type="dxa"/>
            <w:vMerge w:val="restart"/>
            <w:vAlign w:val="center"/>
          </w:tcPr>
          <w:p>
            <w:pPr>
              <w:spacing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运营期</w:t>
            </w:r>
          </w:p>
        </w:tc>
        <w:tc>
          <w:tcPr>
            <w:tcW w:w="3059" w:type="dxa"/>
            <w:gridSpan w:val="2"/>
          </w:tcPr>
          <w:p>
            <w:pPr>
              <w:spacing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在露天采区开采境界外围修建截洪沟，拦截境外雨水；在每个开采平台与上一台阶坡面交界处设置排水沟，排水沟底部适当往一侧倾斜，保证0.1%的坡度，排水沟末端设置沉淀池100m</w:t>
            </w:r>
            <w:r>
              <w:rPr>
                <w:rFonts w:hint="eastAsia" w:ascii="Times New Roman" w:hAnsi="Times New Roman" w:eastAsia="宋体" w:cs="Times New Roman"/>
                <w:color w:val="000000" w:themeColor="text1"/>
                <w:sz w:val="21"/>
                <w:szCs w:val="21"/>
                <w:vertAlign w:val="superscript"/>
                <w14:textFill>
                  <w14:solidFill>
                    <w14:schemeClr w14:val="tx1"/>
                  </w14:solidFill>
                </w14:textFill>
              </w:rPr>
              <w:t>3</w:t>
            </w:r>
            <w:r>
              <w:rPr>
                <w:rFonts w:hint="eastAsia" w:ascii="Times New Roman" w:hAnsi="Times New Roman" w:eastAsia="宋体" w:cs="Times New Roman"/>
                <w:color w:val="000000" w:themeColor="text1"/>
                <w:sz w:val="21"/>
                <w:szCs w:val="21"/>
                <w14:textFill>
                  <w14:solidFill>
                    <w14:schemeClr w14:val="tx1"/>
                  </w14:solidFill>
                </w14:textFill>
              </w:rPr>
              <w:t>，收集的采区内涌水在沉淀池内沉淀后用于露天采区湿法作业、降尘等用水。</w:t>
            </w:r>
          </w:p>
        </w:tc>
        <w:tc>
          <w:tcPr>
            <w:tcW w:w="780" w:type="dxa"/>
            <w:vAlign w:val="center"/>
          </w:tcPr>
          <w:p>
            <w:pPr>
              <w:spacing w:line="36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100</w:t>
            </w:r>
          </w:p>
        </w:tc>
        <w:tc>
          <w:tcPr>
            <w:tcW w:w="2775" w:type="dxa"/>
            <w:vAlign w:val="top"/>
          </w:tcPr>
          <w:p>
            <w:pPr>
              <w:spacing w:line="360" w:lineRule="auto"/>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在露天采区开采境界外围修建截洪沟，拦截境外雨水；在每个开采平台与上一台阶坡面交界处设置排水沟，排水沟底部适当</w:t>
            </w:r>
            <w:bookmarkStart w:id="47" w:name="_GoBack"/>
            <w:bookmarkEnd w:id="47"/>
            <w:r>
              <w:rPr>
                <w:rFonts w:hint="eastAsia" w:ascii="Times New Roman" w:hAnsi="Times New Roman" w:eastAsia="宋体" w:cs="Times New Roman"/>
                <w:color w:val="000000" w:themeColor="text1"/>
                <w:sz w:val="21"/>
                <w:szCs w:val="21"/>
                <w14:textFill>
                  <w14:solidFill>
                    <w14:schemeClr w14:val="tx1"/>
                  </w14:solidFill>
                </w14:textFill>
              </w:rPr>
              <w:t>往一侧倾斜，保证0.1%的坡度，</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因目前露天采区仅完成首平台建设，区域内涌水量较小，</w:t>
            </w:r>
            <w:r>
              <w:rPr>
                <w:rFonts w:hint="eastAsia" w:ascii="Times New Roman" w:hAnsi="Times New Roman" w:eastAsia="宋体" w:cs="Times New Roman"/>
                <w:color w:val="000000" w:themeColor="text1"/>
                <w:sz w:val="21"/>
                <w:szCs w:val="21"/>
                <w14:textFill>
                  <w14:solidFill>
                    <w14:schemeClr w14:val="tx1"/>
                  </w14:solidFill>
                </w14:textFill>
              </w:rPr>
              <w:t>排水沟末端</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临时</w:t>
            </w:r>
            <w:r>
              <w:rPr>
                <w:rFonts w:hint="eastAsia" w:ascii="Times New Roman" w:hAnsi="Times New Roman" w:eastAsia="宋体" w:cs="Times New Roman"/>
                <w:color w:val="000000" w:themeColor="text1"/>
                <w:sz w:val="21"/>
                <w:szCs w:val="21"/>
                <w14:textFill>
                  <w14:solidFill>
                    <w14:schemeClr w14:val="tx1"/>
                  </w14:solidFill>
                </w14:textFill>
              </w:rPr>
              <w:t>设置</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r>
              <w:rPr>
                <w:rFonts w:hint="eastAsia" w:ascii="Times New Roman" w:hAnsi="Times New Roman" w:eastAsia="宋体" w:cs="Times New Roman"/>
                <w:color w:val="000000" w:themeColor="text1"/>
                <w:sz w:val="21"/>
                <w:szCs w:val="21"/>
                <w14:textFill>
                  <w14:solidFill>
                    <w14:schemeClr w14:val="tx1"/>
                  </w14:solidFill>
                </w14:textFill>
              </w:rPr>
              <w:t>0m</w:t>
            </w:r>
            <w:r>
              <w:rPr>
                <w:rFonts w:hint="eastAsia" w:ascii="Times New Roman" w:hAnsi="Times New Roman" w:eastAsia="宋体" w:cs="Times New Roman"/>
                <w:color w:val="000000" w:themeColor="text1"/>
                <w:sz w:val="21"/>
                <w:szCs w:val="21"/>
                <w:vertAlign w:val="superscript"/>
                <w14:textFill>
                  <w14:solidFill>
                    <w14:schemeClr w14:val="tx1"/>
                  </w14:solidFill>
                </w14:textFill>
              </w:rPr>
              <w:t>3</w:t>
            </w:r>
            <w:r>
              <w:rPr>
                <w:rFonts w:hint="eastAsia" w:ascii="Times New Roman" w:hAnsi="Times New Roman" w:eastAsia="宋体" w:cs="Times New Roman"/>
                <w:color w:val="000000" w:themeColor="text1"/>
                <w:sz w:val="21"/>
                <w:szCs w:val="21"/>
                <w14:textFill>
                  <w14:solidFill>
                    <w14:schemeClr w14:val="tx1"/>
                  </w14:solidFill>
                </w14:textFill>
              </w:rPr>
              <w:t>沉淀池</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用于</w:t>
            </w:r>
            <w:r>
              <w:rPr>
                <w:rFonts w:hint="eastAsia" w:ascii="Times New Roman" w:hAnsi="Times New Roman" w:eastAsia="宋体" w:cs="Times New Roman"/>
                <w:color w:val="000000" w:themeColor="text1"/>
                <w:sz w:val="21"/>
                <w:szCs w:val="21"/>
                <w14:textFill>
                  <w14:solidFill>
                    <w14:schemeClr w14:val="tx1"/>
                  </w14:solidFill>
                </w14:textFill>
              </w:rPr>
              <w:t>收集采区内涌水</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经沉淀后</w:t>
            </w:r>
            <w:r>
              <w:rPr>
                <w:rFonts w:hint="eastAsia" w:ascii="Times New Roman" w:hAnsi="Times New Roman" w:eastAsia="宋体" w:cs="Times New Roman"/>
                <w:color w:val="000000" w:themeColor="text1"/>
                <w:sz w:val="21"/>
                <w:szCs w:val="21"/>
                <w14:textFill>
                  <w14:solidFill>
                    <w14:schemeClr w14:val="tx1"/>
                  </w14:solidFill>
                </w14:textFill>
              </w:rPr>
              <w:t>用于露天采区湿法作业、降尘等用水。</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设计方案10</w:t>
            </w:r>
            <w:r>
              <w:rPr>
                <w:rFonts w:hint="eastAsia" w:ascii="Times New Roman" w:hAnsi="Times New Roman" w:eastAsia="宋体" w:cs="Times New Roman"/>
                <w:color w:val="000000" w:themeColor="text1"/>
                <w:sz w:val="21"/>
                <w:szCs w:val="21"/>
                <w14:textFill>
                  <w14:solidFill>
                    <w14:schemeClr w14:val="tx1"/>
                  </w14:solidFill>
                </w14:textFill>
              </w:rPr>
              <w:t>0m</w:t>
            </w:r>
            <w:r>
              <w:rPr>
                <w:rFonts w:hint="eastAsia" w:ascii="Times New Roman" w:hAnsi="Times New Roman" w:eastAsia="宋体" w:cs="Times New Roman"/>
                <w:color w:val="000000" w:themeColor="text1"/>
                <w:sz w:val="21"/>
                <w:szCs w:val="21"/>
                <w:vertAlign w:val="superscript"/>
                <w14:textFill>
                  <w14:solidFill>
                    <w14:schemeClr w14:val="tx1"/>
                  </w14:solidFill>
                </w14:textFill>
              </w:rPr>
              <w:t>3</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沉淀池修建中，预计2023年施工完成。</w:t>
            </w:r>
          </w:p>
        </w:tc>
        <w:tc>
          <w:tcPr>
            <w:tcW w:w="792" w:type="dxa"/>
            <w:vAlign w:val="center"/>
          </w:tcPr>
          <w:p>
            <w:pPr>
              <w:spacing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6" w:type="dxa"/>
            <w:vMerge w:val="continue"/>
            <w:vAlign w:val="center"/>
          </w:tcPr>
          <w:p>
            <w:pPr>
              <w:spacing w:line="360" w:lineRule="auto"/>
              <w:jc w:val="center"/>
              <w:rPr>
                <w:rFonts w:ascii="Times New Roman" w:hAnsi="Times New Roman" w:eastAsia="宋体" w:cs="Times New Roman"/>
                <w:color w:val="000000" w:themeColor="text1"/>
                <w:sz w:val="21"/>
                <w:szCs w:val="21"/>
                <w14:textFill>
                  <w14:solidFill>
                    <w14:schemeClr w14:val="tx1"/>
                  </w14:solidFill>
                </w14:textFill>
              </w:rPr>
            </w:pPr>
          </w:p>
        </w:tc>
        <w:tc>
          <w:tcPr>
            <w:tcW w:w="557" w:type="dxa"/>
            <w:vMerge w:val="continue"/>
            <w:vAlign w:val="center"/>
          </w:tcPr>
          <w:p>
            <w:pPr>
              <w:spacing w:line="360" w:lineRule="auto"/>
              <w:jc w:val="center"/>
              <w:rPr>
                <w:rFonts w:ascii="Times New Roman" w:hAnsi="Times New Roman" w:eastAsia="宋体" w:cs="Times New Roman"/>
                <w:color w:val="000000" w:themeColor="text1"/>
                <w:sz w:val="21"/>
                <w:szCs w:val="21"/>
                <w14:textFill>
                  <w14:solidFill>
                    <w14:schemeClr w14:val="tx1"/>
                  </w14:solidFill>
                </w14:textFill>
              </w:rPr>
            </w:pPr>
          </w:p>
        </w:tc>
        <w:tc>
          <w:tcPr>
            <w:tcW w:w="3059" w:type="dxa"/>
            <w:gridSpan w:val="2"/>
          </w:tcPr>
          <w:p>
            <w:pPr>
              <w:spacing w:line="360" w:lineRule="auto"/>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废石场外围和每个堆存平台设置截洪沟；废石场底部设置盲沟；废石场下方设置拦渣坝；边堆边恢复植被</w:t>
            </w:r>
          </w:p>
        </w:tc>
        <w:tc>
          <w:tcPr>
            <w:tcW w:w="780" w:type="dxa"/>
            <w:vAlign w:val="center"/>
          </w:tcPr>
          <w:p>
            <w:pPr>
              <w:spacing w:line="360" w:lineRule="auto"/>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2775" w:type="dxa"/>
            <w:vAlign w:val="top"/>
          </w:tcPr>
          <w:p>
            <w:pPr>
              <w:spacing w:line="360" w:lineRule="auto"/>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废石场外围和每个堆存平台设置截洪沟；废石场底部设置盲沟；废石场下方设置拦渣坝；边堆边恢复植被</w:t>
            </w:r>
          </w:p>
        </w:tc>
        <w:tc>
          <w:tcPr>
            <w:tcW w:w="792" w:type="dxa"/>
            <w:vAlign w:val="center"/>
          </w:tcPr>
          <w:p>
            <w:pPr>
              <w:spacing w:line="360" w:lineRule="auto"/>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6" w:type="dxa"/>
            <w:vMerge w:val="continue"/>
            <w:vAlign w:val="center"/>
          </w:tcPr>
          <w:p>
            <w:pPr>
              <w:spacing w:line="360" w:lineRule="auto"/>
              <w:jc w:val="center"/>
              <w:rPr>
                <w:rFonts w:ascii="Times New Roman" w:hAnsi="Times New Roman" w:eastAsia="宋体" w:cs="Times New Roman"/>
                <w:color w:val="000000" w:themeColor="text1"/>
                <w:sz w:val="21"/>
                <w:szCs w:val="21"/>
                <w14:textFill>
                  <w14:solidFill>
                    <w14:schemeClr w14:val="tx1"/>
                  </w14:solidFill>
                </w14:textFill>
              </w:rPr>
            </w:pPr>
          </w:p>
        </w:tc>
        <w:tc>
          <w:tcPr>
            <w:tcW w:w="557" w:type="dxa"/>
            <w:vMerge w:val="continue"/>
            <w:vAlign w:val="center"/>
          </w:tcPr>
          <w:p>
            <w:pPr>
              <w:spacing w:line="360" w:lineRule="auto"/>
              <w:jc w:val="center"/>
              <w:rPr>
                <w:rFonts w:ascii="Times New Roman" w:hAnsi="Times New Roman" w:eastAsia="宋体" w:cs="Times New Roman"/>
                <w:color w:val="000000" w:themeColor="text1"/>
                <w:sz w:val="21"/>
                <w:szCs w:val="21"/>
                <w14:textFill>
                  <w14:solidFill>
                    <w14:schemeClr w14:val="tx1"/>
                  </w14:solidFill>
                </w14:textFill>
              </w:rPr>
            </w:pPr>
          </w:p>
        </w:tc>
        <w:tc>
          <w:tcPr>
            <w:tcW w:w="3059" w:type="dxa"/>
            <w:gridSpan w:val="2"/>
          </w:tcPr>
          <w:p>
            <w:pPr>
              <w:spacing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露天矿生产废石场设置淋溶废水收集池，有效容积400m</w:t>
            </w:r>
            <w:r>
              <w:rPr>
                <w:rFonts w:hint="eastAsia" w:ascii="Times New Roman" w:hAnsi="Times New Roman" w:eastAsia="宋体" w:cs="Times New Roman"/>
                <w:color w:val="000000" w:themeColor="text1"/>
                <w:sz w:val="21"/>
                <w:szCs w:val="21"/>
                <w:vertAlign w:val="superscript"/>
                <w14:textFill>
                  <w14:solidFill>
                    <w14:schemeClr w14:val="tx1"/>
                  </w14:solidFill>
                </w14:textFill>
              </w:rPr>
              <w:t>3</w:t>
            </w:r>
            <w:r>
              <w:rPr>
                <w:rFonts w:hint="eastAsia" w:ascii="Times New Roman" w:hAnsi="Times New Roman" w:eastAsia="宋体" w:cs="Times New Roman"/>
                <w:color w:val="000000" w:themeColor="text1"/>
                <w:sz w:val="21"/>
                <w:szCs w:val="21"/>
                <w14:textFill>
                  <w14:solidFill>
                    <w14:schemeClr w14:val="tx1"/>
                  </w14:solidFill>
                </w14:textFill>
              </w:rPr>
              <w:t>。</w:t>
            </w:r>
          </w:p>
        </w:tc>
        <w:tc>
          <w:tcPr>
            <w:tcW w:w="780" w:type="dxa"/>
            <w:vAlign w:val="center"/>
          </w:tcPr>
          <w:p>
            <w:pPr>
              <w:spacing w:line="360" w:lineRule="auto"/>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w:t>
            </w:r>
          </w:p>
        </w:tc>
        <w:tc>
          <w:tcPr>
            <w:tcW w:w="2775" w:type="dxa"/>
            <w:vMerge w:val="restart"/>
            <w:vAlign w:val="top"/>
          </w:tcPr>
          <w:p>
            <w:pPr>
              <w:spacing w:line="360" w:lineRule="auto"/>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实际建设过程中，共设置1个配套废石场，位于露天采场矿区东北部。</w:t>
            </w:r>
            <w:r>
              <w:rPr>
                <w:rFonts w:hint="eastAsia" w:ascii="Times New Roman" w:hAnsi="Times New Roman" w:eastAsia="宋体" w:cs="Times New Roman"/>
                <w:color w:val="000000" w:themeColor="text1"/>
                <w:sz w:val="21"/>
                <w:szCs w:val="21"/>
                <w14:textFill>
                  <w14:solidFill>
                    <w14:schemeClr w14:val="tx1"/>
                  </w14:solidFill>
                </w14:textFill>
              </w:rPr>
              <w:t>废石场设置淋溶废水收集池，</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因目前堆渣较少，且区域属大陆性高原季风气候，降水稀少，目前沉淀池10</w:t>
            </w:r>
            <w:r>
              <w:rPr>
                <w:rFonts w:hint="eastAsia" w:ascii="Times New Roman" w:hAnsi="Times New Roman" w:eastAsia="宋体" w:cs="Times New Roman"/>
                <w:color w:val="000000" w:themeColor="text1"/>
                <w:sz w:val="21"/>
                <w:szCs w:val="21"/>
                <w14:textFill>
                  <w14:solidFill>
                    <w14:schemeClr w14:val="tx1"/>
                  </w14:solidFill>
                </w14:textFill>
              </w:rPr>
              <w:t>m</w:t>
            </w:r>
            <w:r>
              <w:rPr>
                <w:rFonts w:hint="eastAsia" w:ascii="Times New Roman" w:hAnsi="Times New Roman" w:eastAsia="宋体" w:cs="Times New Roman"/>
                <w:color w:val="000000" w:themeColor="text1"/>
                <w:sz w:val="21"/>
                <w:szCs w:val="21"/>
                <w:vertAlign w:val="superscript"/>
                <w14:textFill>
                  <w14:solidFill>
                    <w14:schemeClr w14:val="tx1"/>
                  </w14:solidFill>
                </w14:textFill>
              </w:rPr>
              <w:t>3</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能满足淋溶废水收集需求</w:t>
            </w:r>
            <w:r>
              <w:rPr>
                <w:rFonts w:hint="eastAsia" w:ascii="Times New Roman" w:hAnsi="Times New Roman" w:eastAsia="宋体" w:cs="Times New Roman"/>
                <w:color w:val="000000" w:themeColor="text1"/>
                <w:sz w:val="21"/>
                <w:szCs w:val="21"/>
                <w14:textFill>
                  <w14:solidFill>
                    <w14:schemeClr w14:val="tx1"/>
                  </w14:solidFill>
                </w14:textFill>
              </w:rPr>
              <w:t>。</w:t>
            </w:r>
          </w:p>
        </w:tc>
        <w:tc>
          <w:tcPr>
            <w:tcW w:w="792" w:type="dxa"/>
            <w:vAlign w:val="center"/>
          </w:tcPr>
          <w:p>
            <w:pPr>
              <w:spacing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3" w:hRule="atLeast"/>
          <w:jc w:val="center"/>
        </w:trPr>
        <w:tc>
          <w:tcPr>
            <w:tcW w:w="556" w:type="dxa"/>
            <w:vMerge w:val="continue"/>
            <w:vAlign w:val="center"/>
          </w:tcPr>
          <w:p>
            <w:pPr>
              <w:spacing w:line="360" w:lineRule="auto"/>
              <w:jc w:val="center"/>
              <w:rPr>
                <w:rFonts w:ascii="Times New Roman" w:hAnsi="Times New Roman" w:eastAsia="宋体" w:cs="Times New Roman"/>
                <w:color w:val="000000" w:themeColor="text1"/>
                <w:sz w:val="21"/>
                <w:szCs w:val="21"/>
                <w14:textFill>
                  <w14:solidFill>
                    <w14:schemeClr w14:val="tx1"/>
                  </w14:solidFill>
                </w14:textFill>
              </w:rPr>
            </w:pPr>
          </w:p>
        </w:tc>
        <w:tc>
          <w:tcPr>
            <w:tcW w:w="557" w:type="dxa"/>
            <w:vMerge w:val="continue"/>
            <w:vAlign w:val="center"/>
          </w:tcPr>
          <w:p>
            <w:pPr>
              <w:spacing w:line="360" w:lineRule="auto"/>
              <w:jc w:val="center"/>
              <w:rPr>
                <w:rFonts w:ascii="Times New Roman" w:hAnsi="Times New Roman" w:eastAsia="宋体" w:cs="Times New Roman"/>
                <w:color w:val="000000" w:themeColor="text1"/>
                <w:sz w:val="21"/>
                <w:szCs w:val="21"/>
                <w14:textFill>
                  <w14:solidFill>
                    <w14:schemeClr w14:val="tx1"/>
                  </w14:solidFill>
                </w14:textFill>
              </w:rPr>
            </w:pPr>
          </w:p>
        </w:tc>
        <w:tc>
          <w:tcPr>
            <w:tcW w:w="3059" w:type="dxa"/>
            <w:gridSpan w:val="2"/>
          </w:tcPr>
          <w:p>
            <w:pPr>
              <w:spacing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露天矿基建废石场设置淋溶废水收集池，有效容积100m</w:t>
            </w:r>
            <w:r>
              <w:rPr>
                <w:rFonts w:hint="eastAsia" w:ascii="Times New Roman" w:hAnsi="Times New Roman" w:eastAsia="宋体" w:cs="Times New Roman"/>
                <w:color w:val="000000" w:themeColor="text1"/>
                <w:sz w:val="21"/>
                <w:szCs w:val="21"/>
                <w:vertAlign w:val="superscript"/>
                <w14:textFill>
                  <w14:solidFill>
                    <w14:schemeClr w14:val="tx1"/>
                  </w14:solidFill>
                </w14:textFill>
              </w:rPr>
              <w:t>3</w:t>
            </w:r>
            <w:r>
              <w:rPr>
                <w:rFonts w:hint="eastAsia" w:ascii="Times New Roman" w:hAnsi="Times New Roman" w:eastAsia="宋体" w:cs="Times New Roman"/>
                <w:color w:val="000000" w:themeColor="text1"/>
                <w:sz w:val="21"/>
                <w:szCs w:val="21"/>
                <w14:textFill>
                  <w14:solidFill>
                    <w14:schemeClr w14:val="tx1"/>
                  </w14:solidFill>
                </w14:textFill>
              </w:rPr>
              <w:t>。</w:t>
            </w:r>
          </w:p>
        </w:tc>
        <w:tc>
          <w:tcPr>
            <w:tcW w:w="780" w:type="dxa"/>
            <w:vAlign w:val="center"/>
          </w:tcPr>
          <w:p>
            <w:pPr>
              <w:spacing w:line="360" w:lineRule="auto"/>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w:t>
            </w:r>
          </w:p>
        </w:tc>
        <w:tc>
          <w:tcPr>
            <w:tcW w:w="2775" w:type="dxa"/>
            <w:vMerge w:val="continue"/>
            <w:vAlign w:val="top"/>
          </w:tcPr>
          <w:p>
            <w:pPr>
              <w:spacing w:line="360" w:lineRule="auto"/>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792" w:type="dxa"/>
            <w:vAlign w:val="center"/>
          </w:tcPr>
          <w:p>
            <w:pPr>
              <w:spacing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6" w:type="dxa"/>
            <w:vMerge w:val="continue"/>
            <w:vAlign w:val="center"/>
          </w:tcPr>
          <w:p>
            <w:pPr>
              <w:spacing w:line="360" w:lineRule="auto"/>
              <w:jc w:val="center"/>
              <w:rPr>
                <w:rFonts w:ascii="Times New Roman" w:hAnsi="Times New Roman" w:eastAsia="宋体" w:cs="Times New Roman"/>
                <w:color w:val="000000" w:themeColor="text1"/>
                <w:sz w:val="21"/>
                <w:szCs w:val="21"/>
                <w14:textFill>
                  <w14:solidFill>
                    <w14:schemeClr w14:val="tx1"/>
                  </w14:solidFill>
                </w14:textFill>
              </w:rPr>
            </w:pPr>
          </w:p>
        </w:tc>
        <w:tc>
          <w:tcPr>
            <w:tcW w:w="557" w:type="dxa"/>
            <w:vMerge w:val="continue"/>
            <w:vAlign w:val="center"/>
          </w:tcPr>
          <w:p>
            <w:pPr>
              <w:spacing w:line="360" w:lineRule="auto"/>
              <w:jc w:val="center"/>
              <w:rPr>
                <w:rFonts w:ascii="Times New Roman" w:hAnsi="Times New Roman" w:eastAsia="宋体" w:cs="Times New Roman"/>
                <w:color w:val="000000" w:themeColor="text1"/>
                <w:sz w:val="21"/>
                <w:szCs w:val="21"/>
                <w14:textFill>
                  <w14:solidFill>
                    <w14:schemeClr w14:val="tx1"/>
                  </w14:solidFill>
                </w14:textFill>
              </w:rPr>
            </w:pPr>
          </w:p>
        </w:tc>
        <w:tc>
          <w:tcPr>
            <w:tcW w:w="3059" w:type="dxa"/>
            <w:gridSpan w:val="2"/>
          </w:tcPr>
          <w:p>
            <w:pPr>
              <w:spacing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生活区设置“隔油池（食堂废水）+地埋式一体化二级生化污水处理设施”1套（30t/d）</w:t>
            </w:r>
          </w:p>
        </w:tc>
        <w:tc>
          <w:tcPr>
            <w:tcW w:w="780" w:type="dxa"/>
            <w:vAlign w:val="center"/>
          </w:tcPr>
          <w:p>
            <w:pPr>
              <w:spacing w:line="36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35</w:t>
            </w:r>
          </w:p>
        </w:tc>
        <w:tc>
          <w:tcPr>
            <w:tcW w:w="2775" w:type="dxa"/>
            <w:vAlign w:val="top"/>
          </w:tcPr>
          <w:p>
            <w:pPr>
              <w:spacing w:line="360" w:lineRule="auto"/>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生活区设置“隔油池（食堂废水）+地埋式一体化二级生化污水处理设施”1套（30t/d）</w:t>
            </w:r>
          </w:p>
        </w:tc>
        <w:tc>
          <w:tcPr>
            <w:tcW w:w="792" w:type="dxa"/>
            <w:vAlign w:val="center"/>
          </w:tcPr>
          <w:p>
            <w:pPr>
              <w:spacing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6" w:type="dxa"/>
            <w:vMerge w:val="continue"/>
            <w:vAlign w:val="center"/>
          </w:tcPr>
          <w:p>
            <w:pPr>
              <w:spacing w:line="360" w:lineRule="auto"/>
              <w:jc w:val="center"/>
              <w:rPr>
                <w:rFonts w:ascii="Times New Roman" w:hAnsi="Times New Roman" w:eastAsia="宋体" w:cs="Times New Roman"/>
                <w:color w:val="000000" w:themeColor="text1"/>
                <w:sz w:val="21"/>
                <w:szCs w:val="21"/>
                <w14:textFill>
                  <w14:solidFill>
                    <w14:schemeClr w14:val="tx1"/>
                  </w14:solidFill>
                </w14:textFill>
              </w:rPr>
            </w:pPr>
          </w:p>
        </w:tc>
        <w:tc>
          <w:tcPr>
            <w:tcW w:w="557" w:type="dxa"/>
            <w:vMerge w:val="continue"/>
            <w:vAlign w:val="center"/>
          </w:tcPr>
          <w:p>
            <w:pPr>
              <w:spacing w:line="360" w:lineRule="auto"/>
              <w:jc w:val="center"/>
              <w:rPr>
                <w:rFonts w:ascii="Times New Roman" w:hAnsi="Times New Roman" w:eastAsia="宋体" w:cs="Times New Roman"/>
                <w:color w:val="000000" w:themeColor="text1"/>
                <w:sz w:val="21"/>
                <w:szCs w:val="21"/>
                <w14:textFill>
                  <w14:solidFill>
                    <w14:schemeClr w14:val="tx1"/>
                  </w14:solidFill>
                </w14:textFill>
              </w:rPr>
            </w:pPr>
          </w:p>
        </w:tc>
        <w:tc>
          <w:tcPr>
            <w:tcW w:w="3059" w:type="dxa"/>
            <w:gridSpan w:val="2"/>
          </w:tcPr>
          <w:p>
            <w:pPr>
              <w:spacing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设置旱厕9座，分别位于：一至八采区工业场地（共8座）、尾矿库</w:t>
            </w:r>
          </w:p>
        </w:tc>
        <w:tc>
          <w:tcPr>
            <w:tcW w:w="780" w:type="dxa"/>
            <w:vAlign w:val="center"/>
          </w:tcPr>
          <w:p>
            <w:pPr>
              <w:spacing w:line="360" w:lineRule="auto"/>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w:t>
            </w:r>
          </w:p>
        </w:tc>
        <w:tc>
          <w:tcPr>
            <w:tcW w:w="2775" w:type="dxa"/>
            <w:vAlign w:val="top"/>
          </w:tcPr>
          <w:p>
            <w:pPr>
              <w:spacing w:line="360" w:lineRule="auto"/>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一采区设置旱厕1座</w:t>
            </w:r>
          </w:p>
        </w:tc>
        <w:tc>
          <w:tcPr>
            <w:tcW w:w="792" w:type="dxa"/>
            <w:vAlign w:val="center"/>
          </w:tcPr>
          <w:p>
            <w:pPr>
              <w:spacing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6" w:type="dxa"/>
            <w:vMerge w:val="restart"/>
            <w:vAlign w:val="center"/>
          </w:tcPr>
          <w:p>
            <w:pPr>
              <w:spacing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噪声</w:t>
            </w:r>
          </w:p>
        </w:tc>
        <w:tc>
          <w:tcPr>
            <w:tcW w:w="557" w:type="dxa"/>
            <w:vMerge w:val="restart"/>
            <w:vAlign w:val="center"/>
          </w:tcPr>
          <w:p>
            <w:pPr>
              <w:spacing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施工期</w:t>
            </w:r>
          </w:p>
        </w:tc>
        <w:tc>
          <w:tcPr>
            <w:tcW w:w="3059" w:type="dxa"/>
            <w:gridSpan w:val="2"/>
          </w:tcPr>
          <w:p>
            <w:pPr>
              <w:spacing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施工设备维修保养</w:t>
            </w:r>
          </w:p>
        </w:tc>
        <w:tc>
          <w:tcPr>
            <w:tcW w:w="780" w:type="dxa"/>
            <w:vAlign w:val="center"/>
          </w:tcPr>
          <w:p>
            <w:pPr>
              <w:spacing w:line="36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w:t>
            </w:r>
          </w:p>
        </w:tc>
        <w:tc>
          <w:tcPr>
            <w:tcW w:w="2775" w:type="dxa"/>
            <w:vAlign w:val="top"/>
          </w:tcPr>
          <w:p>
            <w:pPr>
              <w:spacing w:line="360" w:lineRule="auto"/>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施工设备维修保养</w:t>
            </w:r>
          </w:p>
        </w:tc>
        <w:tc>
          <w:tcPr>
            <w:tcW w:w="792" w:type="dxa"/>
            <w:vAlign w:val="center"/>
          </w:tcPr>
          <w:p>
            <w:pPr>
              <w:spacing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6" w:type="dxa"/>
            <w:vMerge w:val="continue"/>
            <w:vAlign w:val="center"/>
          </w:tcPr>
          <w:p>
            <w:pPr>
              <w:spacing w:line="360" w:lineRule="auto"/>
              <w:jc w:val="center"/>
              <w:rPr>
                <w:rFonts w:ascii="Times New Roman" w:hAnsi="Times New Roman" w:eastAsia="宋体" w:cs="Times New Roman"/>
                <w:color w:val="000000" w:themeColor="text1"/>
                <w:sz w:val="21"/>
                <w:szCs w:val="21"/>
                <w14:textFill>
                  <w14:solidFill>
                    <w14:schemeClr w14:val="tx1"/>
                  </w14:solidFill>
                </w14:textFill>
              </w:rPr>
            </w:pPr>
          </w:p>
        </w:tc>
        <w:tc>
          <w:tcPr>
            <w:tcW w:w="557" w:type="dxa"/>
            <w:vMerge w:val="continue"/>
            <w:vAlign w:val="center"/>
          </w:tcPr>
          <w:p>
            <w:pPr>
              <w:spacing w:line="360" w:lineRule="auto"/>
              <w:jc w:val="center"/>
              <w:rPr>
                <w:rFonts w:ascii="Times New Roman" w:hAnsi="Times New Roman" w:eastAsia="宋体" w:cs="Times New Roman"/>
                <w:color w:val="000000" w:themeColor="text1"/>
                <w:sz w:val="21"/>
                <w:szCs w:val="21"/>
                <w14:textFill>
                  <w14:solidFill>
                    <w14:schemeClr w14:val="tx1"/>
                  </w14:solidFill>
                </w14:textFill>
              </w:rPr>
            </w:pPr>
          </w:p>
        </w:tc>
        <w:tc>
          <w:tcPr>
            <w:tcW w:w="3059" w:type="dxa"/>
            <w:gridSpan w:val="2"/>
          </w:tcPr>
          <w:p>
            <w:pPr>
              <w:spacing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为施工人员发放耳塞、耳罩等</w:t>
            </w:r>
          </w:p>
        </w:tc>
        <w:tc>
          <w:tcPr>
            <w:tcW w:w="780" w:type="dxa"/>
            <w:vAlign w:val="center"/>
          </w:tcPr>
          <w:p>
            <w:pPr>
              <w:spacing w:line="360" w:lineRule="auto"/>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c>
          <w:tcPr>
            <w:tcW w:w="2775" w:type="dxa"/>
            <w:vAlign w:val="top"/>
          </w:tcPr>
          <w:p>
            <w:pPr>
              <w:spacing w:line="360" w:lineRule="auto"/>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为施工人员发放耳塞、耳罩等</w:t>
            </w:r>
          </w:p>
        </w:tc>
        <w:tc>
          <w:tcPr>
            <w:tcW w:w="792" w:type="dxa"/>
            <w:vAlign w:val="center"/>
          </w:tcPr>
          <w:p>
            <w:pPr>
              <w:spacing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6" w:type="dxa"/>
            <w:vMerge w:val="continue"/>
            <w:vAlign w:val="center"/>
          </w:tcPr>
          <w:p>
            <w:pPr>
              <w:spacing w:line="360" w:lineRule="auto"/>
              <w:jc w:val="center"/>
              <w:rPr>
                <w:rFonts w:ascii="Times New Roman" w:hAnsi="Times New Roman" w:eastAsia="宋体" w:cs="Times New Roman"/>
                <w:color w:val="000000" w:themeColor="text1"/>
                <w:sz w:val="21"/>
                <w:szCs w:val="21"/>
                <w14:textFill>
                  <w14:solidFill>
                    <w14:schemeClr w14:val="tx1"/>
                  </w14:solidFill>
                </w14:textFill>
              </w:rPr>
            </w:pPr>
          </w:p>
        </w:tc>
        <w:tc>
          <w:tcPr>
            <w:tcW w:w="557" w:type="dxa"/>
            <w:vMerge w:val="restart"/>
            <w:vAlign w:val="center"/>
          </w:tcPr>
          <w:p>
            <w:pPr>
              <w:spacing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运营期</w:t>
            </w:r>
          </w:p>
        </w:tc>
        <w:tc>
          <w:tcPr>
            <w:tcW w:w="3059" w:type="dxa"/>
            <w:gridSpan w:val="2"/>
          </w:tcPr>
          <w:p>
            <w:pPr>
              <w:spacing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对设备进行必要的降噪处理</w:t>
            </w:r>
          </w:p>
        </w:tc>
        <w:tc>
          <w:tcPr>
            <w:tcW w:w="780" w:type="dxa"/>
            <w:vAlign w:val="center"/>
          </w:tcPr>
          <w:p>
            <w:pPr>
              <w:spacing w:line="36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2775" w:type="dxa"/>
            <w:vAlign w:val="top"/>
          </w:tcPr>
          <w:p>
            <w:pPr>
              <w:spacing w:line="360" w:lineRule="auto"/>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对设备进行必要的降噪处理</w:t>
            </w:r>
          </w:p>
        </w:tc>
        <w:tc>
          <w:tcPr>
            <w:tcW w:w="792" w:type="dxa"/>
            <w:vAlign w:val="center"/>
          </w:tcPr>
          <w:p>
            <w:pPr>
              <w:spacing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6" w:type="dxa"/>
            <w:vMerge w:val="continue"/>
            <w:vAlign w:val="center"/>
          </w:tcPr>
          <w:p>
            <w:pPr>
              <w:spacing w:line="360" w:lineRule="auto"/>
              <w:jc w:val="center"/>
              <w:rPr>
                <w:rFonts w:ascii="Times New Roman" w:hAnsi="Times New Roman" w:eastAsia="宋体" w:cs="Times New Roman"/>
                <w:color w:val="000000" w:themeColor="text1"/>
                <w:sz w:val="21"/>
                <w:szCs w:val="21"/>
                <w14:textFill>
                  <w14:solidFill>
                    <w14:schemeClr w14:val="tx1"/>
                  </w14:solidFill>
                </w14:textFill>
              </w:rPr>
            </w:pPr>
          </w:p>
        </w:tc>
        <w:tc>
          <w:tcPr>
            <w:tcW w:w="557" w:type="dxa"/>
            <w:vMerge w:val="continue"/>
            <w:vAlign w:val="center"/>
          </w:tcPr>
          <w:p>
            <w:pPr>
              <w:spacing w:line="360" w:lineRule="auto"/>
              <w:jc w:val="center"/>
              <w:rPr>
                <w:rFonts w:ascii="Times New Roman" w:hAnsi="Times New Roman" w:eastAsia="宋体" w:cs="Times New Roman"/>
                <w:color w:val="000000" w:themeColor="text1"/>
                <w:sz w:val="21"/>
                <w:szCs w:val="21"/>
                <w14:textFill>
                  <w14:solidFill>
                    <w14:schemeClr w14:val="tx1"/>
                  </w14:solidFill>
                </w14:textFill>
              </w:rPr>
            </w:pPr>
          </w:p>
        </w:tc>
        <w:tc>
          <w:tcPr>
            <w:tcW w:w="3059" w:type="dxa"/>
            <w:gridSpan w:val="2"/>
          </w:tcPr>
          <w:p>
            <w:pPr>
              <w:spacing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对高噪设备操作人员采取个人防护措施，如配发耳塞等</w:t>
            </w:r>
          </w:p>
        </w:tc>
        <w:tc>
          <w:tcPr>
            <w:tcW w:w="780" w:type="dxa"/>
            <w:vAlign w:val="center"/>
          </w:tcPr>
          <w:p>
            <w:pPr>
              <w:spacing w:line="360" w:lineRule="auto"/>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c>
          <w:tcPr>
            <w:tcW w:w="2775" w:type="dxa"/>
            <w:vAlign w:val="top"/>
          </w:tcPr>
          <w:p>
            <w:pPr>
              <w:spacing w:line="360" w:lineRule="auto"/>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对高噪设备操作人员采取个人防护措施，如配发耳塞等</w:t>
            </w:r>
          </w:p>
        </w:tc>
        <w:tc>
          <w:tcPr>
            <w:tcW w:w="792" w:type="dxa"/>
            <w:vAlign w:val="center"/>
          </w:tcPr>
          <w:p>
            <w:pPr>
              <w:spacing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6" w:type="dxa"/>
            <w:vMerge w:val="restart"/>
            <w:vAlign w:val="center"/>
          </w:tcPr>
          <w:p>
            <w:pPr>
              <w:spacing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固体废物</w:t>
            </w:r>
          </w:p>
        </w:tc>
        <w:tc>
          <w:tcPr>
            <w:tcW w:w="557" w:type="dxa"/>
            <w:vAlign w:val="center"/>
          </w:tcPr>
          <w:p>
            <w:pPr>
              <w:spacing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施工期</w:t>
            </w:r>
          </w:p>
        </w:tc>
        <w:tc>
          <w:tcPr>
            <w:tcW w:w="3059" w:type="dxa"/>
            <w:gridSpan w:val="2"/>
            <w:vAlign w:val="center"/>
          </w:tcPr>
          <w:p>
            <w:pPr>
              <w:spacing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设置垃圾桶，生活垃圾集中收集，委托当地环卫部门定期清运</w:t>
            </w:r>
          </w:p>
        </w:tc>
        <w:tc>
          <w:tcPr>
            <w:tcW w:w="780" w:type="dxa"/>
            <w:vAlign w:val="center"/>
          </w:tcPr>
          <w:p>
            <w:pPr>
              <w:spacing w:line="360" w:lineRule="auto"/>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w:t>
            </w:r>
          </w:p>
        </w:tc>
        <w:tc>
          <w:tcPr>
            <w:tcW w:w="2775" w:type="dxa"/>
            <w:vAlign w:val="center"/>
          </w:tcPr>
          <w:p>
            <w:pPr>
              <w:spacing w:line="360" w:lineRule="auto"/>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设置垃圾桶，生活垃圾集中收集， 委托当地环卫部门定期清运</w:t>
            </w:r>
          </w:p>
        </w:tc>
        <w:tc>
          <w:tcPr>
            <w:tcW w:w="792" w:type="dxa"/>
            <w:vAlign w:val="center"/>
          </w:tcPr>
          <w:p>
            <w:pPr>
              <w:spacing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6" w:type="dxa"/>
            <w:vMerge w:val="continue"/>
            <w:vAlign w:val="center"/>
          </w:tcPr>
          <w:p>
            <w:pPr>
              <w:spacing w:line="360" w:lineRule="auto"/>
              <w:jc w:val="center"/>
              <w:rPr>
                <w:rFonts w:ascii="Times New Roman" w:hAnsi="Times New Roman" w:eastAsia="宋体" w:cs="Times New Roman"/>
                <w:color w:val="000000" w:themeColor="text1"/>
                <w:sz w:val="21"/>
                <w:szCs w:val="21"/>
                <w14:textFill>
                  <w14:solidFill>
                    <w14:schemeClr w14:val="tx1"/>
                  </w14:solidFill>
                </w14:textFill>
              </w:rPr>
            </w:pPr>
          </w:p>
        </w:tc>
        <w:tc>
          <w:tcPr>
            <w:tcW w:w="557" w:type="dxa"/>
            <w:vAlign w:val="center"/>
          </w:tcPr>
          <w:p>
            <w:pPr>
              <w:spacing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运营期</w:t>
            </w:r>
          </w:p>
        </w:tc>
        <w:tc>
          <w:tcPr>
            <w:tcW w:w="3059" w:type="dxa"/>
            <w:gridSpan w:val="2"/>
            <w:vAlign w:val="center"/>
          </w:tcPr>
          <w:p>
            <w:pPr>
              <w:spacing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生活区内合理布设垃圾桶，定期清运至金川县城市生活垃圾卫生填埋场统一处置</w:t>
            </w:r>
          </w:p>
        </w:tc>
        <w:tc>
          <w:tcPr>
            <w:tcW w:w="780" w:type="dxa"/>
            <w:vAlign w:val="center"/>
          </w:tcPr>
          <w:p>
            <w:pPr>
              <w:spacing w:line="36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w:t>
            </w:r>
          </w:p>
        </w:tc>
        <w:tc>
          <w:tcPr>
            <w:tcW w:w="2775" w:type="dxa"/>
            <w:vAlign w:val="center"/>
          </w:tcPr>
          <w:p>
            <w:pPr>
              <w:spacing w:line="360" w:lineRule="auto"/>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生活区内合理布设垃圾桶，定期清运至金川县城市生活垃圾卫生填埋场统一处置</w:t>
            </w:r>
          </w:p>
        </w:tc>
        <w:tc>
          <w:tcPr>
            <w:tcW w:w="792" w:type="dxa"/>
            <w:vAlign w:val="center"/>
          </w:tcPr>
          <w:p>
            <w:pPr>
              <w:spacing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3" w:type="dxa"/>
            <w:gridSpan w:val="2"/>
            <w:vAlign w:val="center"/>
          </w:tcPr>
          <w:p>
            <w:pPr>
              <w:spacing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地下水保护</w:t>
            </w:r>
          </w:p>
        </w:tc>
        <w:tc>
          <w:tcPr>
            <w:tcW w:w="3059" w:type="dxa"/>
            <w:gridSpan w:val="2"/>
            <w:vAlign w:val="center"/>
          </w:tcPr>
          <w:p>
            <w:pPr>
              <w:spacing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旱厕、地埋式一体化二级生化污水处理设施防渗措施</w:t>
            </w:r>
          </w:p>
        </w:tc>
        <w:tc>
          <w:tcPr>
            <w:tcW w:w="780" w:type="dxa"/>
            <w:vAlign w:val="center"/>
          </w:tcPr>
          <w:p>
            <w:pPr>
              <w:spacing w:line="36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2775" w:type="dxa"/>
            <w:vAlign w:val="center"/>
          </w:tcPr>
          <w:p>
            <w:pPr>
              <w:spacing w:line="360" w:lineRule="auto"/>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旱厕、地埋式一体化二级生化污水处理设施防渗措施</w:t>
            </w:r>
          </w:p>
        </w:tc>
        <w:tc>
          <w:tcPr>
            <w:tcW w:w="792" w:type="dxa"/>
            <w:vAlign w:val="center"/>
          </w:tcPr>
          <w:p>
            <w:pPr>
              <w:spacing w:line="360" w:lineRule="auto"/>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3" w:type="dxa"/>
            <w:gridSpan w:val="2"/>
            <w:vAlign w:val="center"/>
          </w:tcPr>
          <w:p>
            <w:pPr>
              <w:spacing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环境风险</w:t>
            </w:r>
          </w:p>
        </w:tc>
        <w:tc>
          <w:tcPr>
            <w:tcW w:w="3059" w:type="dxa"/>
            <w:gridSpan w:val="2"/>
            <w:vAlign w:val="center"/>
          </w:tcPr>
          <w:p>
            <w:pPr>
              <w:spacing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风险管理，设置环境风险应急管理指挥部；日常巡查、定期检查、观测，特别是在雨季、汛期，要坚持24小时值班；油品存放点4个地埋式双层柴油储罐串联1台双层罐泄漏检测仪；露天工业场桶装油品间设置0.3m高围堰；制定环境风险应急预案，进行应急演练；储备应急救援物资等</w:t>
            </w:r>
          </w:p>
        </w:tc>
        <w:tc>
          <w:tcPr>
            <w:tcW w:w="780" w:type="dxa"/>
            <w:vAlign w:val="center"/>
          </w:tcPr>
          <w:p>
            <w:pPr>
              <w:spacing w:line="36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300</w:t>
            </w:r>
          </w:p>
        </w:tc>
        <w:tc>
          <w:tcPr>
            <w:tcW w:w="2775" w:type="dxa"/>
            <w:vAlign w:val="center"/>
          </w:tcPr>
          <w:p>
            <w:pPr>
              <w:spacing w:line="360" w:lineRule="auto"/>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风险管理，设置环境风险应急管理指挥部；日常巡查、定期检查、观测，特别是在雨季、汛期，要坚持24小时值班；油品存放点4个地埋式双层柴油储罐串联1台双层罐泄漏检测仪；露天工业场桶装油品间设置0.3m高围堰；制定环境风险应急预案，进行应急演练；储备应急救援物资等</w:t>
            </w:r>
          </w:p>
        </w:tc>
        <w:tc>
          <w:tcPr>
            <w:tcW w:w="792" w:type="dxa"/>
            <w:vAlign w:val="center"/>
          </w:tcPr>
          <w:p>
            <w:pPr>
              <w:spacing w:line="360" w:lineRule="auto"/>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3" w:type="dxa"/>
            <w:gridSpan w:val="2"/>
            <w:vMerge w:val="restart"/>
            <w:vAlign w:val="center"/>
          </w:tcPr>
          <w:p>
            <w:pPr>
              <w:spacing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水土保持</w:t>
            </w:r>
          </w:p>
        </w:tc>
        <w:tc>
          <w:tcPr>
            <w:tcW w:w="3059" w:type="dxa"/>
            <w:gridSpan w:val="2"/>
            <w:vAlign w:val="center"/>
          </w:tcPr>
          <w:p>
            <w:pPr>
              <w:spacing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露天采区新增水土保持工程措施</w:t>
            </w:r>
          </w:p>
        </w:tc>
        <w:tc>
          <w:tcPr>
            <w:tcW w:w="780" w:type="dxa"/>
            <w:vAlign w:val="center"/>
          </w:tcPr>
          <w:p>
            <w:pPr>
              <w:spacing w:line="36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95.92</w:t>
            </w:r>
          </w:p>
        </w:tc>
        <w:tc>
          <w:tcPr>
            <w:tcW w:w="2775" w:type="dxa"/>
            <w:vAlign w:val="center"/>
          </w:tcPr>
          <w:p>
            <w:pPr>
              <w:spacing w:line="360" w:lineRule="auto"/>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露天采区新增水土保持工程措施</w:t>
            </w:r>
          </w:p>
        </w:tc>
        <w:tc>
          <w:tcPr>
            <w:tcW w:w="792" w:type="dxa"/>
            <w:vAlign w:val="center"/>
          </w:tcPr>
          <w:p>
            <w:pPr>
              <w:spacing w:line="360" w:lineRule="auto"/>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95.92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3" w:type="dxa"/>
            <w:gridSpan w:val="2"/>
            <w:vMerge w:val="continue"/>
            <w:vAlign w:val="center"/>
          </w:tcPr>
          <w:p>
            <w:pPr>
              <w:spacing w:line="360" w:lineRule="auto"/>
              <w:jc w:val="center"/>
              <w:rPr>
                <w:rFonts w:ascii="Times New Roman" w:hAnsi="Times New Roman" w:eastAsia="宋体" w:cs="Times New Roman"/>
                <w:color w:val="000000" w:themeColor="text1"/>
                <w:sz w:val="21"/>
                <w:szCs w:val="21"/>
                <w14:textFill>
                  <w14:solidFill>
                    <w14:schemeClr w14:val="tx1"/>
                  </w14:solidFill>
                </w14:textFill>
              </w:rPr>
            </w:pPr>
          </w:p>
        </w:tc>
        <w:tc>
          <w:tcPr>
            <w:tcW w:w="3059" w:type="dxa"/>
            <w:gridSpan w:val="2"/>
            <w:vAlign w:val="center"/>
          </w:tcPr>
          <w:p>
            <w:pPr>
              <w:spacing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废石场区新增水土保持工程措施</w:t>
            </w:r>
          </w:p>
        </w:tc>
        <w:tc>
          <w:tcPr>
            <w:tcW w:w="780" w:type="dxa"/>
            <w:vAlign w:val="center"/>
          </w:tcPr>
          <w:p>
            <w:pPr>
              <w:spacing w:line="36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263.27</w:t>
            </w:r>
          </w:p>
        </w:tc>
        <w:tc>
          <w:tcPr>
            <w:tcW w:w="2775" w:type="dxa"/>
            <w:vAlign w:val="center"/>
          </w:tcPr>
          <w:p>
            <w:pPr>
              <w:spacing w:line="360" w:lineRule="auto"/>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废石场区新增水土保持工程措施</w:t>
            </w:r>
          </w:p>
        </w:tc>
        <w:tc>
          <w:tcPr>
            <w:tcW w:w="792" w:type="dxa"/>
            <w:vAlign w:val="center"/>
          </w:tcPr>
          <w:p>
            <w:pPr>
              <w:spacing w:line="360" w:lineRule="auto"/>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263.27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3" w:type="dxa"/>
            <w:gridSpan w:val="2"/>
            <w:vMerge w:val="continue"/>
            <w:vAlign w:val="center"/>
          </w:tcPr>
          <w:p>
            <w:pPr>
              <w:spacing w:line="360" w:lineRule="auto"/>
              <w:jc w:val="center"/>
              <w:rPr>
                <w:rFonts w:ascii="Times New Roman" w:hAnsi="Times New Roman" w:eastAsia="宋体" w:cs="Times New Roman"/>
                <w:color w:val="000000" w:themeColor="text1"/>
                <w:sz w:val="21"/>
                <w:szCs w:val="21"/>
                <w14:textFill>
                  <w14:solidFill>
                    <w14:schemeClr w14:val="tx1"/>
                  </w14:solidFill>
                </w14:textFill>
              </w:rPr>
            </w:pPr>
          </w:p>
        </w:tc>
        <w:tc>
          <w:tcPr>
            <w:tcW w:w="3059" w:type="dxa"/>
            <w:gridSpan w:val="2"/>
            <w:vAlign w:val="center"/>
          </w:tcPr>
          <w:p>
            <w:pPr>
              <w:spacing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露天采区新增水土保持植物措施</w:t>
            </w:r>
          </w:p>
        </w:tc>
        <w:tc>
          <w:tcPr>
            <w:tcW w:w="780" w:type="dxa"/>
            <w:vAlign w:val="center"/>
          </w:tcPr>
          <w:p>
            <w:pPr>
              <w:spacing w:line="36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4.88</w:t>
            </w:r>
          </w:p>
        </w:tc>
        <w:tc>
          <w:tcPr>
            <w:tcW w:w="2775" w:type="dxa"/>
            <w:vAlign w:val="center"/>
          </w:tcPr>
          <w:p>
            <w:pPr>
              <w:spacing w:line="360" w:lineRule="auto"/>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露天采区新增水土保持植物措施</w:t>
            </w:r>
          </w:p>
        </w:tc>
        <w:tc>
          <w:tcPr>
            <w:tcW w:w="792" w:type="dxa"/>
            <w:vAlign w:val="center"/>
          </w:tcPr>
          <w:p>
            <w:pPr>
              <w:spacing w:line="360" w:lineRule="auto"/>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3" w:type="dxa"/>
            <w:gridSpan w:val="2"/>
            <w:vMerge w:val="continue"/>
            <w:vAlign w:val="center"/>
          </w:tcPr>
          <w:p>
            <w:pPr>
              <w:spacing w:line="360" w:lineRule="auto"/>
              <w:jc w:val="center"/>
              <w:rPr>
                <w:rFonts w:ascii="Times New Roman" w:hAnsi="Times New Roman" w:eastAsia="宋体" w:cs="Times New Roman"/>
                <w:color w:val="000000" w:themeColor="text1"/>
                <w:sz w:val="21"/>
                <w:szCs w:val="21"/>
                <w14:textFill>
                  <w14:solidFill>
                    <w14:schemeClr w14:val="tx1"/>
                  </w14:solidFill>
                </w14:textFill>
              </w:rPr>
            </w:pPr>
          </w:p>
        </w:tc>
        <w:tc>
          <w:tcPr>
            <w:tcW w:w="3059" w:type="dxa"/>
            <w:gridSpan w:val="2"/>
            <w:vAlign w:val="center"/>
          </w:tcPr>
          <w:p>
            <w:pPr>
              <w:spacing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废石场区新增水土保持植物措施</w:t>
            </w:r>
          </w:p>
        </w:tc>
        <w:tc>
          <w:tcPr>
            <w:tcW w:w="780" w:type="dxa"/>
            <w:vAlign w:val="center"/>
          </w:tcPr>
          <w:p>
            <w:pPr>
              <w:spacing w:line="36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14.36</w:t>
            </w:r>
          </w:p>
        </w:tc>
        <w:tc>
          <w:tcPr>
            <w:tcW w:w="2775" w:type="dxa"/>
            <w:vAlign w:val="center"/>
          </w:tcPr>
          <w:p>
            <w:pPr>
              <w:spacing w:line="360" w:lineRule="auto"/>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废石场区新增水土保持植物措施</w:t>
            </w:r>
          </w:p>
        </w:tc>
        <w:tc>
          <w:tcPr>
            <w:tcW w:w="792" w:type="dxa"/>
            <w:vAlign w:val="center"/>
          </w:tcPr>
          <w:p>
            <w:pPr>
              <w:spacing w:line="360" w:lineRule="auto"/>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14.36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3" w:type="dxa"/>
            <w:gridSpan w:val="2"/>
            <w:vMerge w:val="continue"/>
            <w:vAlign w:val="center"/>
          </w:tcPr>
          <w:p>
            <w:pPr>
              <w:spacing w:line="360" w:lineRule="auto"/>
              <w:jc w:val="center"/>
              <w:rPr>
                <w:rFonts w:ascii="Times New Roman" w:hAnsi="Times New Roman" w:eastAsia="宋体" w:cs="Times New Roman"/>
                <w:color w:val="000000" w:themeColor="text1"/>
                <w:sz w:val="21"/>
                <w:szCs w:val="21"/>
                <w14:textFill>
                  <w14:solidFill>
                    <w14:schemeClr w14:val="tx1"/>
                  </w14:solidFill>
                </w14:textFill>
              </w:rPr>
            </w:pPr>
          </w:p>
        </w:tc>
        <w:tc>
          <w:tcPr>
            <w:tcW w:w="3059" w:type="dxa"/>
            <w:gridSpan w:val="2"/>
            <w:vAlign w:val="center"/>
          </w:tcPr>
          <w:p>
            <w:pPr>
              <w:spacing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新增水土保持监测措施</w:t>
            </w:r>
          </w:p>
        </w:tc>
        <w:tc>
          <w:tcPr>
            <w:tcW w:w="780" w:type="dxa"/>
            <w:vAlign w:val="center"/>
          </w:tcPr>
          <w:p>
            <w:pPr>
              <w:spacing w:line="36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79.95</w:t>
            </w:r>
          </w:p>
        </w:tc>
        <w:tc>
          <w:tcPr>
            <w:tcW w:w="2775" w:type="dxa"/>
            <w:vAlign w:val="center"/>
          </w:tcPr>
          <w:p>
            <w:pPr>
              <w:spacing w:line="360" w:lineRule="auto"/>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新增水土保持监测措施</w:t>
            </w:r>
          </w:p>
        </w:tc>
        <w:tc>
          <w:tcPr>
            <w:tcW w:w="792" w:type="dxa"/>
            <w:vAlign w:val="center"/>
          </w:tcPr>
          <w:p>
            <w:pPr>
              <w:spacing w:line="360" w:lineRule="auto"/>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3" w:type="dxa"/>
            <w:gridSpan w:val="2"/>
            <w:vMerge w:val="continue"/>
            <w:vAlign w:val="center"/>
          </w:tcPr>
          <w:p>
            <w:pPr>
              <w:spacing w:line="360" w:lineRule="auto"/>
              <w:jc w:val="center"/>
              <w:rPr>
                <w:rFonts w:ascii="Times New Roman" w:hAnsi="Times New Roman" w:eastAsia="宋体" w:cs="Times New Roman"/>
                <w:color w:val="000000" w:themeColor="text1"/>
                <w:sz w:val="21"/>
                <w:szCs w:val="21"/>
                <w14:textFill>
                  <w14:solidFill>
                    <w14:schemeClr w14:val="tx1"/>
                  </w14:solidFill>
                </w14:textFill>
              </w:rPr>
            </w:pPr>
          </w:p>
        </w:tc>
        <w:tc>
          <w:tcPr>
            <w:tcW w:w="3059" w:type="dxa"/>
            <w:gridSpan w:val="2"/>
            <w:vAlign w:val="center"/>
          </w:tcPr>
          <w:p>
            <w:pPr>
              <w:spacing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废石场区新增水土保持临时工程</w:t>
            </w:r>
          </w:p>
        </w:tc>
        <w:tc>
          <w:tcPr>
            <w:tcW w:w="780" w:type="dxa"/>
            <w:vAlign w:val="center"/>
          </w:tcPr>
          <w:p>
            <w:pPr>
              <w:spacing w:line="36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2.89</w:t>
            </w:r>
          </w:p>
        </w:tc>
        <w:tc>
          <w:tcPr>
            <w:tcW w:w="2775" w:type="dxa"/>
            <w:vAlign w:val="center"/>
          </w:tcPr>
          <w:p>
            <w:pPr>
              <w:spacing w:line="360" w:lineRule="auto"/>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废石场区新增水土保持临时工程</w:t>
            </w:r>
          </w:p>
        </w:tc>
        <w:tc>
          <w:tcPr>
            <w:tcW w:w="792" w:type="dxa"/>
            <w:vAlign w:val="center"/>
          </w:tcPr>
          <w:p>
            <w:pPr>
              <w:spacing w:line="360" w:lineRule="auto"/>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3" w:type="dxa"/>
            <w:gridSpan w:val="2"/>
            <w:vAlign w:val="center"/>
          </w:tcPr>
          <w:p>
            <w:pPr>
              <w:spacing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生态环境保护与恢复</w:t>
            </w:r>
          </w:p>
        </w:tc>
        <w:tc>
          <w:tcPr>
            <w:tcW w:w="3059" w:type="dxa"/>
            <w:gridSpan w:val="2"/>
            <w:vAlign w:val="center"/>
          </w:tcPr>
          <w:p>
            <w:pPr>
              <w:spacing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生物多样性监测</w:t>
            </w:r>
          </w:p>
        </w:tc>
        <w:tc>
          <w:tcPr>
            <w:tcW w:w="780" w:type="dxa"/>
            <w:vAlign w:val="center"/>
          </w:tcPr>
          <w:p>
            <w:pPr>
              <w:spacing w:line="36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100</w:t>
            </w:r>
          </w:p>
        </w:tc>
        <w:tc>
          <w:tcPr>
            <w:tcW w:w="2775" w:type="dxa"/>
            <w:vAlign w:val="center"/>
          </w:tcPr>
          <w:p>
            <w:pPr>
              <w:spacing w:line="360" w:lineRule="auto"/>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生物多样性监测</w:t>
            </w:r>
          </w:p>
        </w:tc>
        <w:tc>
          <w:tcPr>
            <w:tcW w:w="792" w:type="dxa"/>
            <w:vAlign w:val="center"/>
          </w:tcPr>
          <w:p>
            <w:pPr>
              <w:spacing w:line="360" w:lineRule="auto"/>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3" w:type="dxa"/>
            <w:gridSpan w:val="2"/>
            <w:vAlign w:val="center"/>
          </w:tcPr>
          <w:p>
            <w:pPr>
              <w:spacing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管理措施</w:t>
            </w:r>
          </w:p>
        </w:tc>
        <w:tc>
          <w:tcPr>
            <w:tcW w:w="3059" w:type="dxa"/>
            <w:gridSpan w:val="2"/>
            <w:vAlign w:val="center"/>
          </w:tcPr>
          <w:p>
            <w:pPr>
              <w:spacing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环境管理、环境监测</w:t>
            </w:r>
          </w:p>
        </w:tc>
        <w:tc>
          <w:tcPr>
            <w:tcW w:w="780" w:type="dxa"/>
            <w:vAlign w:val="center"/>
          </w:tcPr>
          <w:p>
            <w:pPr>
              <w:spacing w:line="36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100</w:t>
            </w:r>
          </w:p>
        </w:tc>
        <w:tc>
          <w:tcPr>
            <w:tcW w:w="2775" w:type="dxa"/>
            <w:vAlign w:val="center"/>
          </w:tcPr>
          <w:p>
            <w:pPr>
              <w:spacing w:line="360" w:lineRule="auto"/>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环境管理、环境监测</w:t>
            </w:r>
          </w:p>
        </w:tc>
        <w:tc>
          <w:tcPr>
            <w:tcW w:w="792" w:type="dxa"/>
            <w:vAlign w:val="center"/>
          </w:tcPr>
          <w:p>
            <w:pPr>
              <w:spacing w:line="360" w:lineRule="auto"/>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8" w:type="dxa"/>
            <w:gridSpan w:val="3"/>
            <w:vAlign w:val="center"/>
          </w:tcPr>
          <w:p>
            <w:pPr>
              <w:spacing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b/>
                <w:bCs/>
                <w:color w:val="000000" w:themeColor="text1"/>
                <w:sz w:val="21"/>
                <w:szCs w:val="21"/>
                <w14:textFill>
                  <w14:solidFill>
                    <w14:schemeClr w14:val="tx1"/>
                  </w14:solidFill>
                </w14:textFill>
              </w:rPr>
              <w:t>合计</w:t>
            </w:r>
          </w:p>
        </w:tc>
        <w:tc>
          <w:tcPr>
            <w:tcW w:w="3834" w:type="dxa"/>
            <w:gridSpan w:val="2"/>
            <w:vAlign w:val="center"/>
          </w:tcPr>
          <w:p>
            <w:pPr>
              <w:spacing w:line="360" w:lineRule="auto"/>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1299.27</w:t>
            </w:r>
          </w:p>
        </w:tc>
        <w:tc>
          <w:tcPr>
            <w:tcW w:w="3567" w:type="dxa"/>
            <w:gridSpan w:val="2"/>
          </w:tcPr>
          <w:p>
            <w:pPr>
              <w:spacing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1261.27</w:t>
            </w:r>
          </w:p>
        </w:tc>
      </w:tr>
    </w:tbl>
    <w:p>
      <w:pPr>
        <w:pStyle w:val="4"/>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2.2.9 工程建设变化情况</w:t>
      </w:r>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根据建设单位提供的占地资料的核实数据，与环评报告书阶段相比，工程建设变化情况较小，主要变更及其环境影响说明如下：</w:t>
      </w:r>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（1）</w:t>
      </w:r>
      <w:r>
        <w:rPr>
          <w:rFonts w:hint="eastAsia" w:ascii="Times New Roman" w:hAnsi="Times New Roman" w:eastAsia="宋体" w:cs="Times New Roman"/>
          <w:color w:val="000000" w:themeColor="text1"/>
          <w:sz w:val="24"/>
          <w:szCs w:val="24"/>
          <w14:textFill>
            <w14:solidFill>
              <w14:schemeClr w14:val="tx1"/>
            </w14:solidFill>
          </w14:textFill>
        </w:rPr>
        <w:t>一采区（露天采区）</w:t>
      </w:r>
      <w:r>
        <w:rPr>
          <w:rFonts w:ascii="Times New Roman" w:hAnsi="Times New Roman" w:eastAsia="宋体" w:cs="Times New Roman"/>
          <w:color w:val="000000" w:themeColor="text1"/>
          <w:sz w:val="24"/>
          <w:szCs w:val="24"/>
          <w14:textFill>
            <w14:solidFill>
              <w14:schemeClr w14:val="tx1"/>
            </w14:solidFill>
          </w14:textFill>
        </w:rPr>
        <w:t>变更情况及原因</w:t>
      </w:r>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一采区（露天采区）开采对象为1号矿体，永久占地11.11hm</w:t>
      </w:r>
      <w:r>
        <w:rPr>
          <w:rFonts w:hint="eastAsia" w:ascii="Times New Roman" w:hAnsi="Times New Roman" w:eastAsia="宋体" w:cs="Times New Roman"/>
          <w:color w:val="000000" w:themeColor="text1"/>
          <w:sz w:val="24"/>
          <w:szCs w:val="24"/>
          <w:vertAlign w:val="superscript"/>
          <w14:textFill>
            <w14:solidFill>
              <w14:schemeClr w14:val="tx1"/>
            </w14:solidFill>
          </w14:textFill>
        </w:rPr>
        <w:t>2</w:t>
      </w:r>
      <w:r>
        <w:rPr>
          <w:rFonts w:hint="eastAsia" w:ascii="Times New Roman" w:hAnsi="Times New Roman" w:eastAsia="宋体" w:cs="Times New Roman"/>
          <w:color w:val="000000" w:themeColor="text1"/>
          <w:sz w:val="24"/>
          <w:szCs w:val="24"/>
          <w14:textFill>
            <w14:solidFill>
              <w14:schemeClr w14:val="tx1"/>
            </w14:solidFill>
          </w14:textFill>
        </w:rPr>
        <w:t>，底部标高4300m，最高台阶标高4530m，上口尺寸480m×440m，下口尺寸120m×16m，最大采深230m，露天经界内地质资源量112.42万t。</w:t>
      </w:r>
      <w:r>
        <w:rPr>
          <w:rFonts w:ascii="Times New Roman" w:hAnsi="Times New Roman" w:eastAsia="宋体" w:cs="Times New Roman"/>
          <w:color w:val="000000" w:themeColor="text1"/>
          <w:sz w:val="24"/>
          <w:szCs w:val="24"/>
          <w14:textFill>
            <w14:solidFill>
              <w14:schemeClr w14:val="tx1"/>
            </w14:solidFill>
          </w14:textFill>
        </w:rPr>
        <w:t>建设内容与环境影响评价阶段一致，无变化。</w:t>
      </w:r>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（2）</w:t>
      </w:r>
      <w:r>
        <w:rPr>
          <w:rFonts w:hint="eastAsia" w:ascii="Times New Roman" w:hAnsi="Times New Roman" w:eastAsia="宋体" w:cs="Times New Roman"/>
          <w:color w:val="000000" w:themeColor="text1"/>
          <w:sz w:val="24"/>
          <w:szCs w:val="24"/>
          <w14:textFill>
            <w14:solidFill>
              <w14:schemeClr w14:val="tx1"/>
            </w14:solidFill>
          </w14:textFill>
        </w:rPr>
        <w:t>废石场</w:t>
      </w:r>
      <w:r>
        <w:rPr>
          <w:rFonts w:ascii="Times New Roman" w:hAnsi="Times New Roman" w:eastAsia="宋体" w:cs="Times New Roman"/>
          <w:color w:val="000000" w:themeColor="text1"/>
          <w:sz w:val="24"/>
          <w:szCs w:val="24"/>
          <w14:textFill>
            <w14:solidFill>
              <w14:schemeClr w14:val="tx1"/>
            </w14:solidFill>
          </w14:textFill>
        </w:rPr>
        <w:t>变更情况及原因</w:t>
      </w:r>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废石场包括露天矿基建废石场和露天矿生产废石场</w:t>
      </w:r>
      <w:r>
        <w:rPr>
          <w:rFonts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14:textFill>
            <w14:solidFill>
              <w14:schemeClr w14:val="tx1"/>
            </w14:solidFill>
          </w14:textFill>
        </w:rPr>
        <w:t>实际建设过程中，共设置1个配套废石场，位于露天采场矿区东北部</w:t>
      </w:r>
      <w:r>
        <w:rPr>
          <w:rFonts w:ascii="Times New Roman" w:hAnsi="Times New Roman" w:eastAsia="宋体" w:cs="Times New Roman"/>
          <w:color w:val="000000" w:themeColor="text1"/>
          <w:sz w:val="24"/>
          <w:szCs w:val="24"/>
          <w14:textFill>
            <w14:solidFill>
              <w14:schemeClr w14:val="tx1"/>
            </w14:solidFill>
          </w14:textFill>
        </w:rPr>
        <w:t>。</w:t>
      </w:r>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（4）环保工程变更情况及原因</w:t>
      </w:r>
    </w:p>
    <w:p>
      <w:pPr>
        <w:spacing w:line="360" w:lineRule="auto"/>
        <w:ind w:firstLine="480" w:firstLineChars="200"/>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固废治理</w:t>
      </w:r>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生活区布设垃圾桶。建设内容与环境影响评价阶段一致，无变化。</w:t>
      </w:r>
    </w:p>
    <w:p>
      <w:pPr>
        <w:pStyle w:val="4"/>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2.2.10 工程重大变动梳理</w:t>
      </w:r>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《中华人民共和国环境影响评价法》中规定，</w:t>
      </w:r>
      <w:r>
        <w:rPr>
          <w:rFonts w:hint="eastAsia" w:ascii="Times New Roman" w:hAnsi="Times New Roman" w:eastAsia="宋体" w:cs="Times New Roman"/>
          <w:color w:val="000000" w:themeColor="text1"/>
          <w:sz w:val="24"/>
          <w:szCs w:val="24"/>
          <w14:textFill>
            <w14:solidFill>
              <w14:schemeClr w14:val="tx1"/>
            </w14:solidFill>
          </w14:textFill>
        </w:rPr>
        <w:t>“</w:t>
      </w:r>
      <w:r>
        <w:rPr>
          <w:rFonts w:ascii="Times New Roman" w:hAnsi="Times New Roman" w:eastAsia="宋体" w:cs="Times New Roman"/>
          <w:color w:val="000000" w:themeColor="text1"/>
          <w:sz w:val="24"/>
          <w:szCs w:val="24"/>
          <w14:textFill>
            <w14:solidFill>
              <w14:schemeClr w14:val="tx1"/>
            </w14:solidFill>
          </w14:textFill>
        </w:rPr>
        <w:t>建设项目的环境影响评价文件经批准后，建设项目的性质、规模、地点、采用的生产工艺或者防治污染、防止生态破坏的措施发生重大变动的，建设单位应当重新报批建设项目的环境影响评价文件。</w:t>
      </w:r>
      <w:r>
        <w:rPr>
          <w:rFonts w:hint="eastAsia" w:ascii="Times New Roman" w:hAnsi="Times New Roman" w:eastAsia="宋体" w:cs="Times New Roman"/>
          <w:color w:val="000000" w:themeColor="text1"/>
          <w:sz w:val="24"/>
          <w:szCs w:val="24"/>
          <w14:textFill>
            <w14:solidFill>
              <w14:schemeClr w14:val="tx1"/>
            </w14:solidFill>
          </w14:textFill>
        </w:rPr>
        <w:t>”</w:t>
      </w:r>
      <w:r>
        <w:rPr>
          <w:rFonts w:ascii="Times New Roman" w:hAnsi="Times New Roman" w:eastAsia="宋体" w:cs="Times New Roman"/>
          <w:color w:val="000000" w:themeColor="text1"/>
          <w:sz w:val="24"/>
          <w:szCs w:val="24"/>
          <w14:textFill>
            <w14:solidFill>
              <w14:schemeClr w14:val="tx1"/>
            </w14:solidFill>
          </w14:textFill>
        </w:rPr>
        <w:t>根据金川奥伊诺矿业有限公司提供的相关资料以及现场踏勘收集得到的建设情况</w:t>
      </w:r>
      <w:r>
        <w:rPr>
          <w:rFonts w:ascii="Times New Roman" w:hAnsi="Times New Roman" w:eastAsia="宋体" w:cs="Times New Roman"/>
          <w:color w:val="000000" w:themeColor="text1"/>
          <w:sz w:val="24"/>
          <w:szCs w:val="24"/>
          <w:highlight w:val="none"/>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与</w:t>
      </w:r>
      <w:r>
        <w:rPr>
          <w:rFonts w:hint="eastAsia" w:ascii="Times New Roman" w:hAnsi="Times New Roman" w:eastAsia="宋体" w:cs="Times New Roman"/>
          <w:color w:val="000000" w:themeColor="text1"/>
          <w:sz w:val="24"/>
          <w:szCs w:val="24"/>
          <w:highlight w:val="none"/>
          <w14:textFill>
            <w14:solidFill>
              <w14:schemeClr w14:val="tx1"/>
            </w14:solidFill>
          </w14:textFill>
        </w:rPr>
        <w:t>《关于印发环评管理中部分行业建设项目重大变动清单的通知》</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14:textFill>
            <w14:solidFill>
              <w14:schemeClr w14:val="tx1"/>
            </w14:solidFill>
          </w14:textFill>
        </w:rPr>
        <w:t>环办[2015]52号</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eastAsia="zh-CN"/>
          <w14:textFill>
            <w14:solidFill>
              <w14:schemeClr w14:val="tx1"/>
            </w14:solidFill>
          </w14:textFill>
        </w:rPr>
        <w:t>，本项目不属于水电等九个行业中的建设项目，</w:t>
      </w:r>
      <w:r>
        <w:rPr>
          <w:rFonts w:ascii="Times New Roman" w:hAnsi="Times New Roman" w:eastAsia="宋体" w:cs="Times New Roman"/>
          <w:color w:val="000000" w:themeColor="text1"/>
          <w:sz w:val="24"/>
          <w:szCs w:val="24"/>
          <w14:textFill>
            <w14:solidFill>
              <w14:schemeClr w14:val="tx1"/>
            </w14:solidFill>
          </w14:textFill>
        </w:rPr>
        <w:t>不存在重大变动内容。</w:t>
      </w:r>
    </w:p>
    <w:p>
      <w:pPr>
        <w:spacing w:line="360" w:lineRule="auto"/>
        <w:jc w:val="center"/>
        <w:rPr>
          <w:rFonts w:ascii="Times New Roman" w:hAnsi="Times New Roman" w:eastAsia="宋体" w:cs="Times New Roman"/>
          <w:b/>
          <w:color w:val="000000" w:themeColor="text1"/>
          <w:szCs w:val="24"/>
          <w14:textFill>
            <w14:solidFill>
              <w14:schemeClr w14:val="tx1"/>
            </w14:solidFill>
          </w14:textFill>
        </w:rPr>
      </w:pPr>
      <w:r>
        <w:rPr>
          <w:rFonts w:ascii="Times New Roman" w:hAnsi="Times New Roman" w:eastAsia="宋体" w:cs="Times New Roman"/>
          <w:b/>
          <w:color w:val="000000" w:themeColor="text1"/>
          <w:szCs w:val="24"/>
          <w14:textFill>
            <w14:solidFill>
              <w14:schemeClr w14:val="tx1"/>
            </w14:solidFill>
          </w14:textFill>
        </w:rPr>
        <w:t>表2.2-</w:t>
      </w:r>
      <w:r>
        <w:rPr>
          <w:rFonts w:hint="eastAsia" w:ascii="Times New Roman" w:hAnsi="Times New Roman" w:eastAsia="宋体" w:cs="Times New Roman"/>
          <w:b/>
          <w:color w:val="000000" w:themeColor="text1"/>
          <w:szCs w:val="24"/>
          <w14:textFill>
            <w14:solidFill>
              <w14:schemeClr w14:val="tx1"/>
            </w14:solidFill>
          </w14:textFill>
        </w:rPr>
        <w:t>8</w:t>
      </w:r>
      <w:r>
        <w:rPr>
          <w:rFonts w:ascii="Times New Roman" w:hAnsi="Times New Roman" w:eastAsia="宋体" w:cs="Times New Roman"/>
          <w:b/>
          <w:color w:val="000000" w:themeColor="text1"/>
          <w:szCs w:val="24"/>
          <w14:textFill>
            <w14:solidFill>
              <w14:schemeClr w14:val="tx1"/>
            </w14:solidFill>
          </w14:textFill>
        </w:rPr>
        <w:t xml:space="preserve">  工程重大变动梳理清单</w:t>
      </w:r>
    </w:p>
    <w:tbl>
      <w:tblPr>
        <w:tblStyle w:val="29"/>
        <w:tblW w:w="853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19"/>
        <w:gridCol w:w="2045"/>
        <w:gridCol w:w="2045"/>
        <w:gridCol w:w="1812"/>
        <w:gridCol w:w="1084"/>
        <w:gridCol w:w="92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9" w:type="dxa"/>
            <w:vAlign w:val="center"/>
          </w:tcPr>
          <w:p>
            <w:pPr>
              <w:ind w:left="361" w:hanging="361"/>
              <w:jc w:val="center"/>
              <w:rPr>
                <w:rFonts w:ascii="Times New Roman" w:hAnsi="Times New Roman" w:eastAsia="宋体" w:cs="Times New Roman"/>
                <w:b/>
                <w:color w:val="000000" w:themeColor="text1"/>
                <w:kern w:val="0"/>
                <w:sz w:val="18"/>
                <w:szCs w:val="18"/>
                <w14:textFill>
                  <w14:solidFill>
                    <w14:schemeClr w14:val="tx1"/>
                  </w14:solidFill>
                </w14:textFill>
              </w:rPr>
            </w:pPr>
            <w:r>
              <w:rPr>
                <w:rFonts w:ascii="Times New Roman" w:hAnsi="Times New Roman" w:eastAsia="宋体" w:cs="Times New Roman"/>
                <w:b/>
                <w:color w:val="000000" w:themeColor="text1"/>
                <w:kern w:val="0"/>
                <w:sz w:val="18"/>
                <w:szCs w:val="18"/>
                <w14:textFill>
                  <w14:solidFill>
                    <w14:schemeClr w14:val="tx1"/>
                  </w14:solidFill>
                </w14:textFill>
              </w:rPr>
              <w:t>类别</w:t>
            </w:r>
          </w:p>
        </w:tc>
        <w:tc>
          <w:tcPr>
            <w:tcW w:w="2045" w:type="dxa"/>
            <w:vAlign w:val="center"/>
          </w:tcPr>
          <w:p>
            <w:pPr>
              <w:ind w:left="361" w:hanging="361"/>
              <w:jc w:val="center"/>
              <w:rPr>
                <w:rFonts w:ascii="Times New Roman" w:hAnsi="Times New Roman" w:eastAsia="宋体" w:cs="Times New Roman"/>
                <w:b/>
                <w:color w:val="000000" w:themeColor="text1"/>
                <w:kern w:val="0"/>
                <w:sz w:val="18"/>
                <w:szCs w:val="18"/>
                <w14:textFill>
                  <w14:solidFill>
                    <w14:schemeClr w14:val="tx1"/>
                  </w14:solidFill>
                </w14:textFill>
              </w:rPr>
            </w:pPr>
            <w:r>
              <w:rPr>
                <w:rFonts w:hint="eastAsia" w:ascii="Times New Roman" w:hAnsi="Times New Roman" w:eastAsia="宋体" w:cs="Times New Roman"/>
                <w:b/>
                <w:color w:val="000000" w:themeColor="text1"/>
                <w:kern w:val="0"/>
                <w:sz w:val="18"/>
                <w:szCs w:val="18"/>
                <w14:textFill>
                  <w14:solidFill>
                    <w14:schemeClr w14:val="tx1"/>
                  </w14:solidFill>
                </w14:textFill>
              </w:rPr>
              <w:t>污染影响类建设项目重大变动清单（试行）</w:t>
            </w:r>
          </w:p>
        </w:tc>
        <w:tc>
          <w:tcPr>
            <w:tcW w:w="2045" w:type="dxa"/>
            <w:vAlign w:val="center"/>
          </w:tcPr>
          <w:p>
            <w:pPr>
              <w:ind w:left="361" w:hanging="361"/>
              <w:jc w:val="center"/>
              <w:rPr>
                <w:rFonts w:ascii="Times New Roman" w:hAnsi="Times New Roman" w:eastAsia="宋体" w:cs="Times New Roman"/>
                <w:b/>
                <w:color w:val="000000" w:themeColor="text1"/>
                <w:kern w:val="0"/>
                <w:sz w:val="18"/>
                <w:szCs w:val="18"/>
                <w14:textFill>
                  <w14:solidFill>
                    <w14:schemeClr w14:val="tx1"/>
                  </w14:solidFill>
                </w14:textFill>
              </w:rPr>
            </w:pPr>
            <w:r>
              <w:rPr>
                <w:rFonts w:ascii="Times New Roman" w:hAnsi="Times New Roman" w:eastAsia="宋体" w:cs="Times New Roman"/>
                <w:b/>
                <w:color w:val="000000" w:themeColor="text1"/>
                <w:kern w:val="0"/>
                <w:sz w:val="18"/>
                <w:szCs w:val="18"/>
                <w14:textFill>
                  <w14:solidFill>
                    <w14:schemeClr w14:val="tx1"/>
                  </w14:solidFill>
                </w14:textFill>
              </w:rPr>
              <w:t>环评阶段情况</w:t>
            </w:r>
          </w:p>
        </w:tc>
        <w:tc>
          <w:tcPr>
            <w:tcW w:w="1812" w:type="dxa"/>
            <w:vAlign w:val="center"/>
          </w:tcPr>
          <w:p>
            <w:pPr>
              <w:ind w:left="361" w:hanging="361"/>
              <w:jc w:val="center"/>
              <w:rPr>
                <w:rFonts w:ascii="Times New Roman" w:hAnsi="Times New Roman" w:eastAsia="宋体" w:cs="Times New Roman"/>
                <w:b/>
                <w:color w:val="000000" w:themeColor="text1"/>
                <w:kern w:val="0"/>
                <w:sz w:val="18"/>
                <w:szCs w:val="18"/>
                <w14:textFill>
                  <w14:solidFill>
                    <w14:schemeClr w14:val="tx1"/>
                  </w14:solidFill>
                </w14:textFill>
              </w:rPr>
            </w:pPr>
            <w:r>
              <w:rPr>
                <w:rFonts w:ascii="Times New Roman" w:hAnsi="Times New Roman" w:eastAsia="宋体" w:cs="Times New Roman"/>
                <w:b/>
                <w:color w:val="000000" w:themeColor="text1"/>
                <w:kern w:val="0"/>
                <w:sz w:val="18"/>
                <w:szCs w:val="18"/>
                <w14:textFill>
                  <w14:solidFill>
                    <w14:schemeClr w14:val="tx1"/>
                  </w14:solidFill>
                </w14:textFill>
              </w:rPr>
              <w:t>实际建设情况</w:t>
            </w:r>
          </w:p>
        </w:tc>
        <w:tc>
          <w:tcPr>
            <w:tcW w:w="1084" w:type="dxa"/>
            <w:vAlign w:val="center"/>
          </w:tcPr>
          <w:p>
            <w:pPr>
              <w:ind w:left="361" w:hanging="361"/>
              <w:jc w:val="center"/>
              <w:rPr>
                <w:rFonts w:ascii="Times New Roman" w:hAnsi="Times New Roman" w:eastAsia="宋体" w:cs="Times New Roman"/>
                <w:b/>
                <w:color w:val="000000" w:themeColor="text1"/>
                <w:kern w:val="0"/>
                <w:sz w:val="18"/>
                <w:szCs w:val="18"/>
                <w14:textFill>
                  <w14:solidFill>
                    <w14:schemeClr w14:val="tx1"/>
                  </w14:solidFill>
                </w14:textFill>
              </w:rPr>
            </w:pPr>
            <w:r>
              <w:rPr>
                <w:rFonts w:ascii="Times New Roman" w:hAnsi="Times New Roman" w:eastAsia="宋体" w:cs="Times New Roman"/>
                <w:b/>
                <w:color w:val="000000" w:themeColor="text1"/>
                <w:kern w:val="0"/>
                <w:sz w:val="18"/>
                <w:szCs w:val="18"/>
                <w14:textFill>
                  <w14:solidFill>
                    <w14:schemeClr w14:val="tx1"/>
                  </w14:solidFill>
                </w14:textFill>
              </w:rPr>
              <w:t>变化情况</w:t>
            </w:r>
          </w:p>
        </w:tc>
        <w:tc>
          <w:tcPr>
            <w:tcW w:w="927" w:type="dxa"/>
          </w:tcPr>
          <w:p>
            <w:pPr>
              <w:jc w:val="center"/>
              <w:rPr>
                <w:rFonts w:ascii="Times New Roman" w:hAnsi="Times New Roman" w:eastAsia="宋体" w:cs="Times New Roman"/>
                <w:b/>
                <w:color w:val="000000" w:themeColor="text1"/>
                <w:kern w:val="0"/>
                <w:sz w:val="18"/>
                <w:szCs w:val="18"/>
                <w14:textFill>
                  <w14:solidFill>
                    <w14:schemeClr w14:val="tx1"/>
                  </w14:solidFill>
                </w14:textFill>
              </w:rPr>
            </w:pPr>
            <w:r>
              <w:rPr>
                <w:rFonts w:hint="eastAsia" w:ascii="Times New Roman" w:hAnsi="Times New Roman" w:eastAsia="宋体" w:cs="Times New Roman"/>
                <w:b/>
                <w:color w:val="000000" w:themeColor="text1"/>
                <w:kern w:val="0"/>
                <w:sz w:val="18"/>
                <w:szCs w:val="18"/>
                <w14:textFill>
                  <w14:solidFill>
                    <w14:schemeClr w14:val="tx1"/>
                  </w14:solidFill>
                </w14:textFill>
              </w:rPr>
              <w:t>是否构成重大变动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9" w:type="dxa"/>
            <w:vAlign w:val="center"/>
          </w:tcPr>
          <w:p>
            <w:pPr>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性质</w:t>
            </w:r>
          </w:p>
        </w:tc>
        <w:tc>
          <w:tcPr>
            <w:tcW w:w="2045" w:type="dxa"/>
            <w:vAlign w:val="center"/>
          </w:tcPr>
          <w:p>
            <w:pPr>
              <w:jc w:val="center"/>
              <w:rPr>
                <w:rFonts w:ascii="Times New Roman" w:hAnsi="Times New Roman" w:eastAsia="宋体" w:cs="Times New Roman"/>
                <w:color w:val="000000" w:themeColor="text1"/>
                <w:kern w:val="0"/>
                <w:sz w:val="18"/>
                <w:szCs w:val="18"/>
                <w14:textFill>
                  <w14:solidFill>
                    <w14:schemeClr w14:val="tx1"/>
                  </w14:solidFill>
                </w14:textFill>
              </w:rPr>
            </w:pPr>
            <w:r>
              <w:rPr>
                <w:rFonts w:hint="eastAsia" w:ascii="Times New Roman" w:hAnsi="Times New Roman" w:eastAsia="宋体" w:cs="Times New Roman"/>
                <w:color w:val="000000" w:themeColor="text1"/>
                <w:kern w:val="0"/>
                <w:sz w:val="18"/>
                <w:szCs w:val="18"/>
                <w14:textFill>
                  <w14:solidFill>
                    <w14:schemeClr w14:val="tx1"/>
                  </w14:solidFill>
                </w14:textFill>
              </w:rPr>
              <w:t>1、</w:t>
            </w:r>
            <w:r>
              <w:rPr>
                <w:rFonts w:ascii="Times New Roman" w:hAnsi="Times New Roman" w:eastAsia="宋体" w:cs="Times New Roman"/>
                <w:color w:val="000000" w:themeColor="text1"/>
                <w:kern w:val="0"/>
                <w:sz w:val="18"/>
                <w:szCs w:val="18"/>
                <w14:textFill>
                  <w14:solidFill>
                    <w14:schemeClr w14:val="tx1"/>
                  </w14:solidFill>
                </w14:textFill>
              </w:rPr>
              <w:t>建设项目开发</w:t>
            </w:r>
            <w:r>
              <w:rPr>
                <w:rFonts w:hint="eastAsia" w:ascii="Times New Roman" w:hAnsi="Times New Roman" w:eastAsia="宋体" w:cs="Times New Roman"/>
                <w:color w:val="000000" w:themeColor="text1"/>
                <w:kern w:val="0"/>
                <w:sz w:val="18"/>
                <w:szCs w:val="18"/>
                <w14:textFill>
                  <w14:solidFill>
                    <w14:schemeClr w14:val="tx1"/>
                  </w14:solidFill>
                </w14:textFill>
              </w:rPr>
              <w:t>、</w:t>
            </w:r>
            <w:r>
              <w:rPr>
                <w:rFonts w:ascii="Times New Roman" w:hAnsi="Times New Roman" w:eastAsia="宋体" w:cs="Times New Roman"/>
                <w:color w:val="000000" w:themeColor="text1"/>
                <w:kern w:val="0"/>
                <w:sz w:val="18"/>
                <w:szCs w:val="18"/>
                <w14:textFill>
                  <w14:solidFill>
                    <w14:schemeClr w14:val="tx1"/>
                  </w14:solidFill>
                </w14:textFill>
              </w:rPr>
              <w:t>使用功能发生变化的。</w:t>
            </w:r>
          </w:p>
        </w:tc>
        <w:tc>
          <w:tcPr>
            <w:tcW w:w="2045" w:type="dxa"/>
            <w:vAlign w:val="center"/>
          </w:tcPr>
          <w:p>
            <w:pPr>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新建项目</w:t>
            </w:r>
          </w:p>
        </w:tc>
        <w:tc>
          <w:tcPr>
            <w:tcW w:w="1812" w:type="dxa"/>
            <w:vAlign w:val="center"/>
          </w:tcPr>
          <w:p>
            <w:pPr>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新建项目</w:t>
            </w:r>
          </w:p>
        </w:tc>
        <w:tc>
          <w:tcPr>
            <w:tcW w:w="1084" w:type="dxa"/>
            <w:vAlign w:val="center"/>
          </w:tcPr>
          <w:p>
            <w:pPr>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无变化</w:t>
            </w:r>
          </w:p>
        </w:tc>
        <w:tc>
          <w:tcPr>
            <w:tcW w:w="927" w:type="dxa"/>
            <w:vAlign w:val="center"/>
          </w:tcPr>
          <w:p>
            <w:pPr>
              <w:jc w:val="center"/>
              <w:rPr>
                <w:rFonts w:ascii="Times New Roman" w:hAnsi="Times New Roman" w:eastAsia="宋体" w:cs="Times New Roman"/>
                <w:color w:val="000000" w:themeColor="text1"/>
                <w:kern w:val="0"/>
                <w:sz w:val="18"/>
                <w:szCs w:val="18"/>
                <w14:textFill>
                  <w14:solidFill>
                    <w14:schemeClr w14:val="tx1"/>
                  </w14:solidFill>
                </w14:textFill>
              </w:rPr>
            </w:pPr>
            <w:r>
              <w:rPr>
                <w:rFonts w:hint="eastAsia" w:ascii="Times New Roman" w:hAnsi="Times New Roman" w:eastAsia="宋体" w:cs="Times New Roman"/>
                <w:color w:val="000000" w:themeColor="text1"/>
                <w:kern w:val="0"/>
                <w:sz w:val="18"/>
                <w:szCs w:val="18"/>
                <w14:textFill>
                  <w14:solidFill>
                    <w14:schemeClr w14:val="tx1"/>
                  </w14:solidFill>
                </w14:textFill>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9" w:type="dxa"/>
            <w:vAlign w:val="center"/>
          </w:tcPr>
          <w:p>
            <w:pPr>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规模</w:t>
            </w:r>
          </w:p>
        </w:tc>
        <w:tc>
          <w:tcPr>
            <w:tcW w:w="2045" w:type="dxa"/>
            <w:vAlign w:val="center"/>
          </w:tcPr>
          <w:p>
            <w:pPr>
              <w:rPr>
                <w:rFonts w:ascii="Times New Roman" w:hAnsi="Times New Roman" w:eastAsia="宋体" w:cs="Times New Roman"/>
                <w:color w:val="000000" w:themeColor="text1"/>
                <w:kern w:val="0"/>
                <w:sz w:val="18"/>
                <w:szCs w:val="18"/>
                <w14:textFill>
                  <w14:solidFill>
                    <w14:schemeClr w14:val="tx1"/>
                  </w14:solidFill>
                </w14:textFill>
              </w:rPr>
            </w:pPr>
            <w:r>
              <w:rPr>
                <w:rFonts w:hint="eastAsia" w:ascii="Times New Roman" w:hAnsi="Times New Roman" w:eastAsia="宋体" w:cs="Times New Roman"/>
                <w:color w:val="000000" w:themeColor="text1"/>
                <w:kern w:val="0"/>
                <w:sz w:val="18"/>
                <w:szCs w:val="18"/>
                <w14:textFill>
                  <w14:solidFill>
                    <w14:schemeClr w14:val="tx1"/>
                  </w14:solidFill>
                </w14:textFill>
              </w:rPr>
              <w:t>2、</w:t>
            </w:r>
            <w:r>
              <w:rPr>
                <w:rFonts w:ascii="Times New Roman" w:hAnsi="Times New Roman" w:eastAsia="宋体" w:cs="Times New Roman"/>
                <w:color w:val="000000" w:themeColor="text1"/>
                <w:kern w:val="0"/>
                <w:sz w:val="18"/>
                <w:szCs w:val="18"/>
                <w14:textFill>
                  <w14:solidFill>
                    <w14:schemeClr w14:val="tx1"/>
                  </w14:solidFill>
                </w14:textFill>
              </w:rPr>
              <w:t>生产、处置或储存能力增大</w:t>
            </w:r>
            <w:r>
              <w:rPr>
                <w:rFonts w:hint="eastAsia" w:ascii="Times New Roman" w:hAnsi="Times New Roman" w:eastAsia="宋体" w:cs="Times New Roman"/>
                <w:color w:val="000000" w:themeColor="text1"/>
                <w:kern w:val="0"/>
                <w:sz w:val="18"/>
                <w:szCs w:val="18"/>
                <w14:textFill>
                  <w14:solidFill>
                    <w14:schemeClr w14:val="tx1"/>
                  </w14:solidFill>
                </w14:textFill>
              </w:rPr>
              <w:t>30</w:t>
            </w:r>
            <w:r>
              <w:rPr>
                <w:rFonts w:ascii="Times New Roman" w:hAnsi="Times New Roman" w:eastAsia="宋体" w:cs="Times New Roman"/>
                <w:color w:val="000000" w:themeColor="text1"/>
                <w:kern w:val="0"/>
                <w:sz w:val="18"/>
                <w:szCs w:val="18"/>
                <w14:textFill>
                  <w14:solidFill>
                    <w14:schemeClr w14:val="tx1"/>
                  </w14:solidFill>
                </w14:textFill>
              </w:rPr>
              <w:t>%</w:t>
            </w:r>
            <w:r>
              <w:rPr>
                <w:rFonts w:hint="eastAsia" w:ascii="Times New Roman" w:hAnsi="Times New Roman" w:eastAsia="宋体" w:cs="Times New Roman"/>
                <w:color w:val="000000" w:themeColor="text1"/>
                <w:kern w:val="0"/>
                <w:sz w:val="18"/>
                <w:szCs w:val="18"/>
                <w14:textFill>
                  <w14:solidFill>
                    <w14:schemeClr w14:val="tx1"/>
                  </w14:solidFill>
                </w14:textFill>
              </w:rPr>
              <w:t>及</w:t>
            </w:r>
            <w:r>
              <w:rPr>
                <w:rFonts w:ascii="Times New Roman" w:hAnsi="Times New Roman" w:eastAsia="宋体" w:cs="Times New Roman"/>
                <w:color w:val="000000" w:themeColor="text1"/>
                <w:kern w:val="0"/>
                <w:sz w:val="18"/>
                <w:szCs w:val="18"/>
                <w14:textFill>
                  <w14:solidFill>
                    <w14:schemeClr w14:val="tx1"/>
                  </w14:solidFill>
                </w14:textFill>
              </w:rPr>
              <w:t>以上的。</w:t>
            </w:r>
          </w:p>
          <w:p>
            <w:pP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3</w:t>
            </w:r>
            <w:r>
              <w:rPr>
                <w:rFonts w:hint="eastAsia" w:ascii="Times New Roman" w:hAnsi="Times New Roman" w:eastAsia="宋体" w:cs="Times New Roman"/>
                <w:color w:val="000000" w:themeColor="text1"/>
                <w:kern w:val="0"/>
                <w:sz w:val="18"/>
                <w:szCs w:val="18"/>
                <w14:textFill>
                  <w14:solidFill>
                    <w14:schemeClr w14:val="tx1"/>
                  </w14:solidFill>
                </w14:textFill>
              </w:rPr>
              <w:t>、</w:t>
            </w:r>
            <w:r>
              <w:rPr>
                <w:rFonts w:ascii="Times New Roman" w:hAnsi="Times New Roman" w:eastAsia="宋体" w:cs="Times New Roman"/>
                <w:color w:val="000000" w:themeColor="text1"/>
                <w:kern w:val="0"/>
                <w:sz w:val="18"/>
                <w:szCs w:val="18"/>
                <w14:textFill>
                  <w14:solidFill>
                    <w14:schemeClr w14:val="tx1"/>
                  </w14:solidFill>
                </w14:textFill>
              </w:rPr>
              <w:t>生产、处置或储存能力增大，导致废水第一类污染物排放量增加的。</w:t>
            </w:r>
          </w:p>
          <w:p>
            <w:pPr>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4</w:t>
            </w:r>
            <w:r>
              <w:rPr>
                <w:rFonts w:hint="eastAsia" w:ascii="Times New Roman" w:hAnsi="Times New Roman" w:eastAsia="宋体" w:cs="Times New Roman"/>
                <w:color w:val="000000" w:themeColor="text1"/>
                <w:kern w:val="0"/>
                <w:sz w:val="18"/>
                <w:szCs w:val="18"/>
                <w14:textFill>
                  <w14:solidFill>
                    <w14:schemeClr w14:val="tx1"/>
                  </w14:solidFill>
                </w14:textFill>
              </w:rPr>
              <w:t>、位于环境质量</w:t>
            </w:r>
            <w:r>
              <w:rPr>
                <w:rFonts w:ascii="Times New Roman" w:hAnsi="Times New Roman" w:eastAsia="宋体" w:cs="Times New Roman"/>
                <w:color w:val="000000" w:themeColor="text1"/>
                <w:kern w:val="0"/>
                <w:sz w:val="18"/>
                <w:szCs w:val="18"/>
                <w14:textFill>
                  <w14:solidFill>
                    <w14:schemeClr w14:val="tx1"/>
                  </w14:solidFill>
                </w14:textFill>
              </w:rPr>
              <w:t>不达标</w:t>
            </w:r>
            <w:r>
              <w:rPr>
                <w:rFonts w:hint="eastAsia" w:ascii="Times New Roman" w:hAnsi="Times New Roman" w:eastAsia="宋体" w:cs="Times New Roman"/>
                <w:color w:val="000000" w:themeColor="text1"/>
                <w:kern w:val="0"/>
                <w:sz w:val="18"/>
                <w:szCs w:val="18"/>
                <w14:textFill>
                  <w14:solidFill>
                    <w14:schemeClr w14:val="tx1"/>
                  </w14:solidFill>
                </w14:textFill>
              </w:rPr>
              <w:t>区</w:t>
            </w:r>
            <w:r>
              <w:rPr>
                <w:rFonts w:ascii="Times New Roman" w:hAnsi="Times New Roman" w:eastAsia="宋体" w:cs="Times New Roman"/>
                <w:color w:val="000000" w:themeColor="text1"/>
                <w:kern w:val="0"/>
                <w:sz w:val="18"/>
                <w:szCs w:val="18"/>
                <w14:textFill>
                  <w14:solidFill>
                    <w14:schemeClr w14:val="tx1"/>
                  </w14:solidFill>
                </w14:textFill>
              </w:rPr>
              <w:t>的</w:t>
            </w:r>
            <w:r>
              <w:rPr>
                <w:rFonts w:hint="eastAsia" w:ascii="Times New Roman" w:hAnsi="Times New Roman" w:eastAsia="宋体" w:cs="Times New Roman"/>
                <w:color w:val="000000" w:themeColor="text1"/>
                <w:kern w:val="0"/>
                <w:sz w:val="18"/>
                <w:szCs w:val="18"/>
                <w14:textFill>
                  <w14:solidFill>
                    <w14:schemeClr w14:val="tx1"/>
                  </w14:solidFill>
                </w14:textFill>
              </w:rPr>
              <w:t>建设</w:t>
            </w:r>
            <w:r>
              <w:rPr>
                <w:rFonts w:ascii="Times New Roman" w:hAnsi="Times New Roman" w:eastAsia="宋体" w:cs="Times New Roman"/>
                <w:color w:val="000000" w:themeColor="text1"/>
                <w:kern w:val="0"/>
                <w:sz w:val="18"/>
                <w:szCs w:val="18"/>
                <w14:textFill>
                  <w14:solidFill>
                    <w14:schemeClr w14:val="tx1"/>
                  </w14:solidFill>
                </w14:textFill>
              </w:rPr>
              <w:t>项目</w:t>
            </w:r>
            <w:r>
              <w:rPr>
                <w:rFonts w:hint="eastAsia" w:ascii="Times New Roman" w:hAnsi="Times New Roman" w:eastAsia="宋体" w:cs="Times New Roman"/>
                <w:color w:val="000000" w:themeColor="text1"/>
                <w:kern w:val="0"/>
                <w:sz w:val="18"/>
                <w:szCs w:val="18"/>
                <w14:textFill>
                  <w14:solidFill>
                    <w14:schemeClr w14:val="tx1"/>
                  </w14:solidFill>
                </w14:textFill>
              </w:rPr>
              <w:t>生产</w:t>
            </w:r>
            <w:r>
              <w:rPr>
                <w:rFonts w:ascii="Times New Roman" w:hAnsi="Times New Roman" w:eastAsia="宋体" w:cs="Times New Roman"/>
                <w:color w:val="000000" w:themeColor="text1"/>
                <w:kern w:val="0"/>
                <w:sz w:val="18"/>
                <w:szCs w:val="18"/>
                <w14:textFill>
                  <w14:solidFill>
                    <w14:schemeClr w14:val="tx1"/>
                  </w14:solidFill>
                </w14:textFill>
              </w:rPr>
              <w:t>、处置或</w:t>
            </w:r>
            <w:r>
              <w:rPr>
                <w:rFonts w:hint="eastAsia" w:ascii="Times New Roman" w:hAnsi="Times New Roman" w:eastAsia="宋体" w:cs="Times New Roman"/>
                <w:color w:val="000000" w:themeColor="text1"/>
                <w:kern w:val="0"/>
                <w:sz w:val="18"/>
                <w:szCs w:val="18"/>
                <w14:textFill>
                  <w14:solidFill>
                    <w14:schemeClr w14:val="tx1"/>
                  </w14:solidFill>
                </w14:textFill>
              </w:rPr>
              <w:t>储存</w:t>
            </w:r>
            <w:r>
              <w:rPr>
                <w:rFonts w:ascii="Times New Roman" w:hAnsi="Times New Roman" w:eastAsia="宋体" w:cs="Times New Roman"/>
                <w:color w:val="000000" w:themeColor="text1"/>
                <w:kern w:val="0"/>
                <w:sz w:val="18"/>
                <w:szCs w:val="18"/>
                <w14:textFill>
                  <w14:solidFill>
                    <w14:schemeClr w14:val="tx1"/>
                  </w14:solidFill>
                </w14:textFill>
              </w:rPr>
              <w:t>能力增大，导致</w:t>
            </w:r>
            <w:r>
              <w:rPr>
                <w:rFonts w:hint="eastAsia" w:ascii="Times New Roman" w:hAnsi="Times New Roman" w:eastAsia="宋体" w:cs="Times New Roman"/>
                <w:color w:val="000000" w:themeColor="text1"/>
                <w:kern w:val="0"/>
                <w:sz w:val="18"/>
                <w:szCs w:val="18"/>
                <w14:textFill>
                  <w14:solidFill>
                    <w14:schemeClr w14:val="tx1"/>
                  </w14:solidFill>
                </w14:textFill>
              </w:rPr>
              <w:t>相应</w:t>
            </w:r>
            <w:r>
              <w:rPr>
                <w:rFonts w:ascii="Times New Roman" w:hAnsi="Times New Roman" w:eastAsia="宋体" w:cs="Times New Roman"/>
                <w:color w:val="000000" w:themeColor="text1"/>
                <w:kern w:val="0"/>
                <w:sz w:val="18"/>
                <w:szCs w:val="18"/>
                <w14:textFill>
                  <w14:solidFill>
                    <w14:schemeClr w14:val="tx1"/>
                  </w14:solidFill>
                </w14:textFill>
              </w:rPr>
              <w:t>污染物排放量</w:t>
            </w:r>
            <w:r>
              <w:rPr>
                <w:rFonts w:hint="eastAsia" w:ascii="Times New Roman" w:hAnsi="Times New Roman" w:eastAsia="宋体" w:cs="Times New Roman"/>
                <w:color w:val="000000" w:themeColor="text1"/>
                <w:kern w:val="0"/>
                <w:sz w:val="18"/>
                <w:szCs w:val="18"/>
                <w14:textFill>
                  <w14:solidFill>
                    <w14:schemeClr w14:val="tx1"/>
                  </w14:solidFill>
                </w14:textFill>
              </w:rPr>
              <w:t>增加</w:t>
            </w:r>
            <w:r>
              <w:rPr>
                <w:rFonts w:ascii="Times New Roman" w:hAnsi="Times New Roman" w:eastAsia="宋体" w:cs="Times New Roman"/>
                <w:color w:val="000000" w:themeColor="text1"/>
                <w:kern w:val="0"/>
                <w:sz w:val="18"/>
                <w:szCs w:val="18"/>
                <w14:textFill>
                  <w14:solidFill>
                    <w14:schemeClr w14:val="tx1"/>
                  </w14:solidFill>
                </w14:textFill>
              </w:rPr>
              <w:t>的（</w:t>
            </w:r>
            <w:r>
              <w:rPr>
                <w:rFonts w:hint="eastAsia" w:ascii="Times New Roman" w:hAnsi="Times New Roman" w:eastAsia="宋体" w:cs="Times New Roman"/>
                <w:color w:val="000000" w:themeColor="text1"/>
                <w:kern w:val="0"/>
                <w:sz w:val="18"/>
                <w:szCs w:val="18"/>
                <w14:textFill>
                  <w14:solidFill>
                    <w14:schemeClr w14:val="tx1"/>
                  </w14:solidFill>
                </w14:textFill>
              </w:rPr>
              <w:t>细颗粒物</w:t>
            </w:r>
            <w:r>
              <w:rPr>
                <w:rFonts w:ascii="Times New Roman" w:hAnsi="Times New Roman" w:eastAsia="宋体" w:cs="Times New Roman"/>
                <w:color w:val="000000" w:themeColor="text1"/>
                <w:kern w:val="0"/>
                <w:sz w:val="18"/>
                <w:szCs w:val="18"/>
                <w14:textFill>
                  <w14:solidFill>
                    <w14:schemeClr w14:val="tx1"/>
                  </w14:solidFill>
                </w14:textFill>
              </w:rPr>
              <w:t>不达标</w:t>
            </w:r>
            <w:r>
              <w:rPr>
                <w:rFonts w:hint="eastAsia" w:ascii="Times New Roman" w:hAnsi="Times New Roman" w:eastAsia="宋体" w:cs="Times New Roman"/>
                <w:color w:val="000000" w:themeColor="text1"/>
                <w:kern w:val="0"/>
                <w:sz w:val="18"/>
                <w:szCs w:val="18"/>
                <w14:textFill>
                  <w14:solidFill>
                    <w14:schemeClr w14:val="tx1"/>
                  </w14:solidFill>
                </w14:textFill>
              </w:rPr>
              <w:t>区</w:t>
            </w:r>
            <w:r>
              <w:rPr>
                <w:rFonts w:ascii="Times New Roman" w:hAnsi="Times New Roman" w:eastAsia="宋体" w:cs="Times New Roman"/>
                <w:color w:val="000000" w:themeColor="text1"/>
                <w:kern w:val="0"/>
                <w:sz w:val="18"/>
                <w:szCs w:val="18"/>
                <w14:textFill>
                  <w14:solidFill>
                    <w14:schemeClr w14:val="tx1"/>
                  </w14:solidFill>
                </w14:textFill>
              </w:rPr>
              <w:t>，相应污染物为二氧化硫、氮氧化物、可吸入颗粒物、挥发性有机物</w:t>
            </w:r>
            <w:r>
              <w:rPr>
                <w:rFonts w:hint="eastAsia" w:ascii="Times New Roman" w:hAnsi="Times New Roman" w:eastAsia="宋体" w:cs="Times New Roman"/>
                <w:color w:val="000000" w:themeColor="text1"/>
                <w:kern w:val="0"/>
                <w:sz w:val="18"/>
                <w:szCs w:val="18"/>
                <w14:textFill>
                  <w14:solidFill>
                    <w14:schemeClr w14:val="tx1"/>
                  </w14:solidFill>
                </w14:textFill>
              </w:rPr>
              <w:t>；臭氧</w:t>
            </w:r>
            <w:r>
              <w:rPr>
                <w:rFonts w:ascii="Times New Roman" w:hAnsi="Times New Roman" w:eastAsia="宋体" w:cs="Times New Roman"/>
                <w:color w:val="000000" w:themeColor="text1"/>
                <w:kern w:val="0"/>
                <w:sz w:val="18"/>
                <w:szCs w:val="18"/>
                <w14:textFill>
                  <w14:solidFill>
                    <w14:schemeClr w14:val="tx1"/>
                  </w14:solidFill>
                </w14:textFill>
              </w:rPr>
              <w:t>不达标区，相应污染物为</w:t>
            </w:r>
            <w:r>
              <w:rPr>
                <w:rFonts w:hint="eastAsia" w:ascii="Times New Roman" w:hAnsi="Times New Roman" w:eastAsia="宋体" w:cs="Times New Roman"/>
                <w:color w:val="000000" w:themeColor="text1"/>
                <w:kern w:val="0"/>
                <w:sz w:val="18"/>
                <w:szCs w:val="18"/>
                <w14:textFill>
                  <w14:solidFill>
                    <w14:schemeClr w14:val="tx1"/>
                  </w14:solidFill>
                </w14:textFill>
              </w:rPr>
              <w:t>氮氧化物</w:t>
            </w:r>
            <w:r>
              <w:rPr>
                <w:rFonts w:ascii="Times New Roman" w:hAnsi="Times New Roman" w:eastAsia="宋体" w:cs="Times New Roman"/>
                <w:color w:val="000000" w:themeColor="text1"/>
                <w:kern w:val="0"/>
                <w:sz w:val="18"/>
                <w:szCs w:val="18"/>
                <w14:textFill>
                  <w14:solidFill>
                    <w14:schemeClr w14:val="tx1"/>
                  </w14:solidFill>
                </w14:textFill>
              </w:rPr>
              <w:t>、挥发性有机物；</w:t>
            </w:r>
            <w:r>
              <w:rPr>
                <w:rFonts w:hint="eastAsia" w:ascii="Times New Roman" w:hAnsi="Times New Roman" w:eastAsia="宋体" w:cs="Times New Roman"/>
                <w:color w:val="000000" w:themeColor="text1"/>
                <w:kern w:val="0"/>
                <w:sz w:val="18"/>
                <w:szCs w:val="18"/>
                <w14:textFill>
                  <w14:solidFill>
                    <w14:schemeClr w14:val="tx1"/>
                  </w14:solidFill>
                </w14:textFill>
              </w:rPr>
              <w:t>其他</w:t>
            </w:r>
            <w:r>
              <w:rPr>
                <w:rFonts w:ascii="Times New Roman" w:hAnsi="Times New Roman" w:eastAsia="宋体" w:cs="Times New Roman"/>
                <w:color w:val="000000" w:themeColor="text1"/>
                <w:kern w:val="0"/>
                <w:sz w:val="18"/>
                <w:szCs w:val="18"/>
                <w14:textFill>
                  <w14:solidFill>
                    <w14:schemeClr w14:val="tx1"/>
                  </w14:solidFill>
                </w14:textFill>
              </w:rPr>
              <w:t>大气、水污染物因子</w:t>
            </w:r>
            <w:r>
              <w:rPr>
                <w:rFonts w:hint="eastAsia" w:ascii="Times New Roman" w:hAnsi="Times New Roman" w:eastAsia="宋体" w:cs="Times New Roman"/>
                <w:color w:val="000000" w:themeColor="text1"/>
                <w:kern w:val="0"/>
                <w:sz w:val="18"/>
                <w:szCs w:val="18"/>
                <w14:textFill>
                  <w14:solidFill>
                    <w14:schemeClr w14:val="tx1"/>
                  </w14:solidFill>
                </w14:textFill>
              </w:rPr>
              <w:t>不达标区</w:t>
            </w:r>
            <w:r>
              <w:rPr>
                <w:rFonts w:ascii="Times New Roman" w:hAnsi="Times New Roman" w:eastAsia="宋体" w:cs="Times New Roman"/>
                <w:color w:val="000000" w:themeColor="text1"/>
                <w:kern w:val="0"/>
                <w:sz w:val="18"/>
                <w:szCs w:val="18"/>
                <w14:textFill>
                  <w14:solidFill>
                    <w14:schemeClr w14:val="tx1"/>
                  </w14:solidFill>
                </w14:textFill>
              </w:rPr>
              <w:t>，相应污染物为超标污染因子）</w:t>
            </w:r>
            <w:r>
              <w:rPr>
                <w:rFonts w:hint="eastAsia" w:ascii="Times New Roman" w:hAnsi="Times New Roman" w:eastAsia="宋体" w:cs="Times New Roman"/>
                <w:color w:val="000000" w:themeColor="text1"/>
                <w:kern w:val="0"/>
                <w:sz w:val="18"/>
                <w:szCs w:val="18"/>
                <w14:textFill>
                  <w14:solidFill>
                    <w14:schemeClr w14:val="tx1"/>
                  </w14:solidFill>
                </w14:textFill>
              </w:rPr>
              <w:t>；</w:t>
            </w:r>
            <w:r>
              <w:rPr>
                <w:rFonts w:ascii="Times New Roman" w:hAnsi="Times New Roman" w:eastAsia="宋体" w:cs="Times New Roman"/>
                <w:color w:val="000000" w:themeColor="text1"/>
                <w:kern w:val="0"/>
                <w:sz w:val="18"/>
                <w:szCs w:val="18"/>
                <w14:textFill>
                  <w14:solidFill>
                    <w14:schemeClr w14:val="tx1"/>
                  </w14:solidFill>
                </w14:textFill>
              </w:rPr>
              <w:t>位于达标区的建设项目生产、处置或储存能力增大，导致污染物排放量增加</w:t>
            </w:r>
            <w:r>
              <w:rPr>
                <w:rFonts w:hint="eastAsia" w:ascii="Times New Roman" w:hAnsi="Times New Roman" w:eastAsia="宋体" w:cs="Times New Roman"/>
                <w:color w:val="000000" w:themeColor="text1"/>
                <w:kern w:val="0"/>
                <w:sz w:val="18"/>
                <w:szCs w:val="18"/>
                <w14:textFill>
                  <w14:solidFill>
                    <w14:schemeClr w14:val="tx1"/>
                  </w14:solidFill>
                </w14:textFill>
              </w:rPr>
              <w:t>10</w:t>
            </w:r>
            <w:r>
              <w:rPr>
                <w:rFonts w:ascii="Times New Roman" w:hAnsi="Times New Roman" w:eastAsia="宋体" w:cs="Times New Roman"/>
                <w:color w:val="000000" w:themeColor="text1"/>
                <w:kern w:val="0"/>
                <w:sz w:val="18"/>
                <w:szCs w:val="18"/>
                <w14:textFill>
                  <w14:solidFill>
                    <w14:schemeClr w14:val="tx1"/>
                  </w14:solidFill>
                </w14:textFill>
              </w:rPr>
              <w:t>%及以上的。</w:t>
            </w:r>
          </w:p>
        </w:tc>
        <w:tc>
          <w:tcPr>
            <w:tcW w:w="2045" w:type="dxa"/>
            <w:vAlign w:val="center"/>
          </w:tcPr>
          <w:p>
            <w:pPr>
              <w:jc w:val="center"/>
              <w:rPr>
                <w:rFonts w:ascii="Times New Roman" w:hAnsi="Times New Roman" w:eastAsia="宋体" w:cs="Times New Roman"/>
                <w:color w:val="000000" w:themeColor="text1"/>
                <w:kern w:val="0"/>
                <w:sz w:val="18"/>
                <w:szCs w:val="18"/>
                <w14:textFill>
                  <w14:solidFill>
                    <w14:schemeClr w14:val="tx1"/>
                  </w14:solidFill>
                </w14:textFill>
              </w:rPr>
            </w:pPr>
            <w:r>
              <w:rPr>
                <w:rFonts w:hint="eastAsia" w:ascii="Times New Roman" w:hAnsi="Times New Roman" w:eastAsia="宋体" w:cs="Times New Roman"/>
                <w:color w:val="000000" w:themeColor="text1"/>
                <w:kern w:val="0"/>
                <w:sz w:val="18"/>
                <w:szCs w:val="18"/>
                <w14:textFill>
                  <w14:solidFill>
                    <w14:schemeClr w14:val="tx1"/>
                  </w14:solidFill>
                </w14:textFill>
              </w:rPr>
              <w:t>一采区（露天采区）开采对象为1号矿体，永久占地11.11hm</w:t>
            </w:r>
            <w:r>
              <w:rPr>
                <w:rFonts w:hint="eastAsia" w:ascii="Times New Roman" w:hAnsi="Times New Roman" w:eastAsia="宋体" w:cs="Times New Roman"/>
                <w:color w:val="000000" w:themeColor="text1"/>
                <w:kern w:val="0"/>
                <w:sz w:val="18"/>
                <w:szCs w:val="18"/>
                <w:vertAlign w:val="superscript"/>
                <w14:textFill>
                  <w14:solidFill>
                    <w14:schemeClr w14:val="tx1"/>
                  </w14:solidFill>
                </w14:textFill>
              </w:rPr>
              <w:t>2</w:t>
            </w:r>
            <w:r>
              <w:rPr>
                <w:rFonts w:hint="eastAsia" w:ascii="Times New Roman" w:hAnsi="Times New Roman" w:eastAsia="宋体" w:cs="Times New Roman"/>
                <w:color w:val="000000" w:themeColor="text1"/>
                <w:kern w:val="0"/>
                <w:sz w:val="18"/>
                <w:szCs w:val="18"/>
                <w14:textFill>
                  <w14:solidFill>
                    <w14:schemeClr w14:val="tx1"/>
                  </w14:solidFill>
                </w14:textFill>
              </w:rPr>
              <w:t>，底部标高4300m，最高台阶标高4530m，上口尺寸480m×440m，下口尺寸120m×16m，最大采深230m，露天经界内地质资源量112.42万t。</w:t>
            </w:r>
          </w:p>
          <w:p>
            <w:pPr>
              <w:jc w:val="center"/>
              <w:rPr>
                <w:rFonts w:ascii="Times New Roman" w:hAnsi="Times New Roman" w:eastAsia="宋体" w:cs="Times New Roman"/>
                <w:color w:val="000000" w:themeColor="text1"/>
                <w:kern w:val="0"/>
                <w:sz w:val="18"/>
                <w:szCs w:val="18"/>
                <w14:textFill>
                  <w14:solidFill>
                    <w14:schemeClr w14:val="tx1"/>
                  </w14:solidFill>
                </w14:textFill>
              </w:rPr>
            </w:pPr>
            <w:r>
              <w:rPr>
                <w:rFonts w:hint="eastAsia" w:ascii="Times New Roman" w:hAnsi="Times New Roman" w:eastAsia="宋体" w:cs="Times New Roman"/>
                <w:color w:val="000000" w:themeColor="text1"/>
                <w:kern w:val="0"/>
                <w:sz w:val="18"/>
                <w:szCs w:val="18"/>
                <w14:textFill>
                  <w14:solidFill>
                    <w14:schemeClr w14:val="tx1"/>
                  </w14:solidFill>
                </w14:textFill>
              </w:rPr>
              <w:t>设置露天矿生产废石场、露天矿基建废石场各1座。</w:t>
            </w:r>
          </w:p>
        </w:tc>
        <w:tc>
          <w:tcPr>
            <w:tcW w:w="1812" w:type="dxa"/>
            <w:vAlign w:val="center"/>
          </w:tcPr>
          <w:p>
            <w:pPr>
              <w:jc w:val="center"/>
              <w:rPr>
                <w:rFonts w:ascii="Times New Roman" w:hAnsi="Times New Roman" w:eastAsia="宋体" w:cs="Times New Roman"/>
                <w:color w:val="000000" w:themeColor="text1"/>
                <w:kern w:val="0"/>
                <w:sz w:val="18"/>
                <w:szCs w:val="18"/>
                <w14:textFill>
                  <w14:solidFill>
                    <w14:schemeClr w14:val="tx1"/>
                  </w14:solidFill>
                </w14:textFill>
              </w:rPr>
            </w:pPr>
            <w:r>
              <w:rPr>
                <w:rFonts w:hint="eastAsia" w:ascii="Times New Roman" w:hAnsi="Times New Roman" w:eastAsia="宋体" w:cs="Times New Roman"/>
                <w:color w:val="000000" w:themeColor="text1"/>
                <w:kern w:val="0"/>
                <w:sz w:val="18"/>
                <w:szCs w:val="18"/>
                <w14:textFill>
                  <w14:solidFill>
                    <w14:schemeClr w14:val="tx1"/>
                  </w14:solidFill>
                </w14:textFill>
              </w:rPr>
              <w:t>一采区（露天采区）</w:t>
            </w:r>
            <w:r>
              <w:rPr>
                <w:rFonts w:hint="eastAsia" w:ascii="Times New Roman" w:hAnsi="Times New Roman" w:eastAsia="宋体" w:cs="Times New Roman"/>
                <w:color w:val="000000" w:themeColor="text1"/>
                <w:kern w:val="0"/>
                <w:sz w:val="18"/>
                <w:szCs w:val="18"/>
                <w:lang w:eastAsia="zh-CN"/>
                <w14:textFill>
                  <w14:solidFill>
                    <w14:schemeClr w14:val="tx1"/>
                  </w14:solidFill>
                </w14:textFill>
              </w:rPr>
              <w:t>目前仅完成首采平台建设，实际占地</w:t>
            </w:r>
            <w:r>
              <w:rPr>
                <w:rFonts w:hint="eastAsia" w:ascii="Times New Roman" w:hAnsi="Times New Roman" w:eastAsia="宋体" w:cs="Times New Roman"/>
                <w:color w:val="000000" w:themeColor="text1"/>
                <w:kern w:val="0"/>
                <w:sz w:val="18"/>
                <w:szCs w:val="18"/>
                <w:lang w:val="en-US" w:eastAsia="zh-CN"/>
                <w14:textFill>
                  <w14:solidFill>
                    <w14:schemeClr w14:val="tx1"/>
                  </w14:solidFill>
                </w14:textFill>
              </w:rPr>
              <w:t>3.84</w:t>
            </w:r>
            <w:r>
              <w:rPr>
                <w:rFonts w:hint="eastAsia" w:ascii="Times New Roman" w:hAnsi="Times New Roman" w:eastAsia="宋体" w:cs="Times New Roman"/>
                <w:color w:val="000000" w:themeColor="text1"/>
                <w:kern w:val="0"/>
                <w:sz w:val="18"/>
                <w:szCs w:val="18"/>
                <w14:textFill>
                  <w14:solidFill>
                    <w14:schemeClr w14:val="tx1"/>
                  </w14:solidFill>
                </w14:textFill>
              </w:rPr>
              <w:t>hm</w:t>
            </w:r>
            <w:r>
              <w:rPr>
                <w:rFonts w:hint="eastAsia" w:ascii="Times New Roman" w:hAnsi="Times New Roman" w:eastAsia="宋体" w:cs="Times New Roman"/>
                <w:color w:val="000000" w:themeColor="text1"/>
                <w:kern w:val="0"/>
                <w:sz w:val="18"/>
                <w:szCs w:val="18"/>
                <w:vertAlign w:val="superscript"/>
                <w14:textFill>
                  <w14:solidFill>
                    <w14:schemeClr w14:val="tx1"/>
                  </w14:solidFill>
                </w14:textFill>
              </w:rPr>
              <w:t>2</w:t>
            </w:r>
            <w:r>
              <w:rPr>
                <w:rFonts w:hint="eastAsia" w:ascii="Times New Roman" w:hAnsi="Times New Roman" w:eastAsia="宋体" w:cs="Times New Roman"/>
                <w:color w:val="000000" w:themeColor="text1"/>
                <w:kern w:val="0"/>
                <w:sz w:val="18"/>
                <w:szCs w:val="18"/>
                <w:lang w:eastAsia="zh-CN"/>
                <w14:textFill>
                  <w14:solidFill>
                    <w14:schemeClr w14:val="tx1"/>
                  </w14:solidFill>
                </w14:textFill>
              </w:rPr>
              <w:t>。</w:t>
            </w:r>
          </w:p>
          <w:p>
            <w:pPr>
              <w:jc w:val="center"/>
              <w:rPr>
                <w:rFonts w:ascii="Times New Roman" w:hAnsi="Times New Roman" w:eastAsia="宋体" w:cs="Times New Roman"/>
                <w:color w:val="000000" w:themeColor="text1"/>
                <w:kern w:val="0"/>
                <w:sz w:val="18"/>
                <w:szCs w:val="18"/>
                <w14:textFill>
                  <w14:solidFill>
                    <w14:schemeClr w14:val="tx1"/>
                  </w14:solidFill>
                </w14:textFill>
              </w:rPr>
            </w:pPr>
            <w:r>
              <w:rPr>
                <w:rFonts w:hint="eastAsia" w:ascii="Times New Roman" w:hAnsi="Times New Roman" w:eastAsia="宋体" w:cs="Times New Roman"/>
                <w:color w:val="000000" w:themeColor="text1"/>
                <w:kern w:val="0"/>
                <w:sz w:val="18"/>
                <w:szCs w:val="18"/>
                <w:lang w:eastAsia="zh-CN"/>
                <w14:textFill>
                  <w14:solidFill>
                    <w14:schemeClr w14:val="tx1"/>
                  </w14:solidFill>
                </w14:textFill>
              </w:rPr>
              <w:t>实际建设过程中，共设置1个</w:t>
            </w:r>
            <w:r>
              <w:rPr>
                <w:rFonts w:hint="eastAsia" w:ascii="Times New Roman" w:hAnsi="Times New Roman" w:eastAsia="宋体" w:cs="Times New Roman"/>
                <w:color w:val="000000" w:themeColor="text1"/>
                <w:kern w:val="0"/>
                <w:sz w:val="18"/>
                <w:szCs w:val="18"/>
                <w:lang w:val="en-US" w:eastAsia="zh-CN"/>
                <w14:textFill>
                  <w14:solidFill>
                    <w14:schemeClr w14:val="tx1"/>
                  </w14:solidFill>
                </w14:textFill>
              </w:rPr>
              <w:t>配套废石场</w:t>
            </w:r>
            <w:r>
              <w:rPr>
                <w:rFonts w:hint="eastAsia" w:ascii="Times New Roman" w:hAnsi="Times New Roman" w:eastAsia="宋体" w:cs="Times New Roman"/>
                <w:color w:val="000000" w:themeColor="text1"/>
                <w:kern w:val="0"/>
                <w:sz w:val="18"/>
                <w:szCs w:val="18"/>
                <w:lang w:eastAsia="zh-CN"/>
                <w14:textFill>
                  <w14:solidFill>
                    <w14:schemeClr w14:val="tx1"/>
                  </w14:solidFill>
                </w14:textFill>
              </w:rPr>
              <w:t>，位于露天采场矿区东北部，主要用于堆放露天采场基建期和生产期废石堆放，占地</w:t>
            </w:r>
            <w:r>
              <w:rPr>
                <w:rFonts w:hint="eastAsia" w:ascii="Times New Roman" w:hAnsi="Times New Roman" w:eastAsia="宋体" w:cs="Times New Roman"/>
                <w:color w:val="000000" w:themeColor="text1"/>
                <w:kern w:val="0"/>
                <w:sz w:val="18"/>
                <w:szCs w:val="18"/>
                <w:lang w:val="en-US" w:eastAsia="zh-CN"/>
                <w14:textFill>
                  <w14:solidFill>
                    <w14:schemeClr w14:val="tx1"/>
                  </w14:solidFill>
                </w14:textFill>
              </w:rPr>
              <w:t>20.01</w:t>
            </w:r>
            <w:r>
              <w:rPr>
                <w:rFonts w:hint="eastAsia" w:ascii="Times New Roman" w:hAnsi="Times New Roman" w:eastAsia="宋体" w:cs="Times New Roman"/>
                <w:color w:val="000000" w:themeColor="text1"/>
                <w:kern w:val="0"/>
                <w:sz w:val="18"/>
                <w:szCs w:val="18"/>
                <w14:textFill>
                  <w14:solidFill>
                    <w14:schemeClr w14:val="tx1"/>
                  </w14:solidFill>
                </w14:textFill>
              </w:rPr>
              <w:t>hm</w:t>
            </w:r>
            <w:r>
              <w:rPr>
                <w:rFonts w:hint="eastAsia" w:ascii="Times New Roman" w:hAnsi="Times New Roman" w:eastAsia="宋体" w:cs="Times New Roman"/>
                <w:color w:val="000000" w:themeColor="text1"/>
                <w:kern w:val="0"/>
                <w:sz w:val="18"/>
                <w:szCs w:val="18"/>
                <w:vertAlign w:val="superscript"/>
                <w14:textFill>
                  <w14:solidFill>
                    <w14:schemeClr w14:val="tx1"/>
                  </w14:solidFill>
                </w14:textFill>
              </w:rPr>
              <w:t>2</w:t>
            </w:r>
            <w:r>
              <w:rPr>
                <w:rFonts w:hint="eastAsia" w:ascii="Times New Roman" w:hAnsi="Times New Roman" w:eastAsia="宋体" w:cs="Times New Roman"/>
                <w:color w:val="000000" w:themeColor="text1"/>
                <w:kern w:val="0"/>
                <w:sz w:val="18"/>
                <w:szCs w:val="18"/>
                <w14:textFill>
                  <w14:solidFill>
                    <w14:schemeClr w14:val="tx1"/>
                  </w14:solidFill>
                </w14:textFill>
              </w:rPr>
              <w:t>。</w:t>
            </w:r>
          </w:p>
        </w:tc>
        <w:tc>
          <w:tcPr>
            <w:tcW w:w="1084" w:type="dxa"/>
            <w:vAlign w:val="center"/>
          </w:tcPr>
          <w:p>
            <w:pPr>
              <w:jc w:val="center"/>
              <w:rPr>
                <w:rFonts w:hint="eastAsia" w:ascii="Times New Roman" w:hAnsi="Times New Roman" w:eastAsia="宋体" w:cs="Times New Roman"/>
                <w:color w:val="000000" w:themeColor="text1"/>
                <w:kern w:val="0"/>
                <w:sz w:val="18"/>
                <w:szCs w:val="18"/>
                <w:lang w:eastAsia="zh-CN"/>
                <w14:textFill>
                  <w14:solidFill>
                    <w14:schemeClr w14:val="tx1"/>
                  </w14:solidFill>
                </w14:textFill>
              </w:rPr>
            </w:pPr>
            <w:r>
              <w:rPr>
                <w:rFonts w:hint="eastAsia" w:ascii="Times New Roman" w:hAnsi="Times New Roman" w:eastAsia="宋体" w:cs="Times New Roman"/>
                <w:color w:val="000000" w:themeColor="text1"/>
                <w:kern w:val="0"/>
                <w:sz w:val="18"/>
                <w:szCs w:val="18"/>
                <w:lang w:eastAsia="zh-CN"/>
                <w14:textFill>
                  <w14:solidFill>
                    <w14:schemeClr w14:val="tx1"/>
                  </w14:solidFill>
                </w14:textFill>
              </w:rPr>
              <w:t>露天开采区仅完成首平台建设，占地面积减少。</w:t>
            </w:r>
          </w:p>
          <w:p>
            <w:pPr>
              <w:jc w:val="center"/>
              <w:rPr>
                <w:rFonts w:hint="default" w:ascii="Times New Roman" w:hAnsi="Times New Roman" w:eastAsia="宋体" w:cs="Times New Roman"/>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kern w:val="0"/>
                <w:sz w:val="18"/>
                <w:szCs w:val="18"/>
                <w:lang w:eastAsia="zh-CN"/>
                <w14:textFill>
                  <w14:solidFill>
                    <w14:schemeClr w14:val="tx1"/>
                  </w14:solidFill>
                </w14:textFill>
              </w:rPr>
              <w:t>废石场数量减少</w:t>
            </w:r>
            <w:r>
              <w:rPr>
                <w:rFonts w:hint="eastAsia" w:ascii="Times New Roman" w:hAnsi="Times New Roman" w:eastAsia="宋体" w:cs="Times New Roman"/>
                <w:color w:val="000000" w:themeColor="text1"/>
                <w:kern w:val="0"/>
                <w:sz w:val="18"/>
                <w:szCs w:val="18"/>
                <w:lang w:val="en-US" w:eastAsia="zh-CN"/>
                <w14:textFill>
                  <w14:solidFill>
                    <w14:schemeClr w14:val="tx1"/>
                  </w14:solidFill>
                </w14:textFill>
              </w:rPr>
              <w:t>1座。</w:t>
            </w:r>
          </w:p>
        </w:tc>
        <w:tc>
          <w:tcPr>
            <w:tcW w:w="927" w:type="dxa"/>
            <w:vAlign w:val="center"/>
          </w:tcPr>
          <w:p>
            <w:pPr>
              <w:jc w:val="center"/>
              <w:rPr>
                <w:rFonts w:ascii="Times New Roman" w:hAnsi="Times New Roman" w:eastAsia="宋体" w:cs="Times New Roman"/>
                <w:color w:val="000000" w:themeColor="text1"/>
                <w:kern w:val="0"/>
                <w:sz w:val="18"/>
                <w:szCs w:val="18"/>
                <w14:textFill>
                  <w14:solidFill>
                    <w14:schemeClr w14:val="tx1"/>
                  </w14:solidFill>
                </w14:textFill>
              </w:rPr>
            </w:pPr>
            <w:r>
              <w:rPr>
                <w:rFonts w:hint="eastAsia" w:ascii="Times New Roman" w:hAnsi="Times New Roman" w:eastAsia="宋体" w:cs="Times New Roman"/>
                <w:color w:val="000000" w:themeColor="text1"/>
                <w:kern w:val="0"/>
                <w:sz w:val="18"/>
                <w:szCs w:val="18"/>
                <w14:textFill>
                  <w14:solidFill>
                    <w14:schemeClr w14:val="tx1"/>
                  </w14:solidFill>
                </w14:textFill>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9" w:type="dxa"/>
            <w:vAlign w:val="center"/>
          </w:tcPr>
          <w:p>
            <w:pPr>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地点</w:t>
            </w:r>
          </w:p>
        </w:tc>
        <w:tc>
          <w:tcPr>
            <w:tcW w:w="2045" w:type="dxa"/>
            <w:vAlign w:val="center"/>
          </w:tcPr>
          <w:p>
            <w:pPr>
              <w:rPr>
                <w:rFonts w:ascii="Times New Roman" w:hAnsi="Times New Roman" w:eastAsia="宋体" w:cs="Times New Roman"/>
                <w:color w:val="000000" w:themeColor="text1"/>
                <w:kern w:val="0"/>
                <w:sz w:val="18"/>
                <w:szCs w:val="18"/>
                <w14:textFill>
                  <w14:solidFill>
                    <w14:schemeClr w14:val="tx1"/>
                  </w14:solidFill>
                </w14:textFill>
              </w:rPr>
            </w:pPr>
            <w:r>
              <w:rPr>
                <w:rFonts w:hint="eastAsia" w:ascii="Times New Roman" w:hAnsi="Times New Roman" w:eastAsia="宋体" w:cs="Times New Roman"/>
                <w:color w:val="000000" w:themeColor="text1"/>
                <w:kern w:val="0"/>
                <w:sz w:val="18"/>
                <w:szCs w:val="18"/>
                <w14:textFill>
                  <w14:solidFill>
                    <w14:schemeClr w14:val="tx1"/>
                  </w14:solidFill>
                </w14:textFill>
              </w:rPr>
              <w:t>5、</w:t>
            </w:r>
            <w:r>
              <w:rPr>
                <w:rFonts w:ascii="Times New Roman" w:hAnsi="Times New Roman" w:eastAsia="宋体" w:cs="Times New Roman"/>
                <w:color w:val="000000" w:themeColor="text1"/>
                <w:kern w:val="0"/>
                <w:sz w:val="18"/>
                <w:szCs w:val="18"/>
                <w14:textFill>
                  <w14:solidFill>
                    <w14:schemeClr w14:val="tx1"/>
                  </w14:solidFill>
                </w14:textFill>
              </w:rPr>
              <w:t>重新选址；在原厂址附近调整（</w:t>
            </w:r>
            <w:r>
              <w:rPr>
                <w:rFonts w:hint="eastAsia" w:ascii="Times New Roman" w:hAnsi="Times New Roman" w:eastAsia="宋体" w:cs="Times New Roman"/>
                <w:color w:val="000000" w:themeColor="text1"/>
                <w:kern w:val="0"/>
                <w:sz w:val="18"/>
                <w:szCs w:val="18"/>
                <w14:textFill>
                  <w14:solidFill>
                    <w14:schemeClr w14:val="tx1"/>
                  </w14:solidFill>
                </w14:textFill>
              </w:rPr>
              <w:t>包括</w:t>
            </w:r>
            <w:r>
              <w:rPr>
                <w:rFonts w:ascii="Times New Roman" w:hAnsi="Times New Roman" w:eastAsia="宋体" w:cs="Times New Roman"/>
                <w:color w:val="000000" w:themeColor="text1"/>
                <w:kern w:val="0"/>
                <w:sz w:val="18"/>
                <w:szCs w:val="18"/>
                <w14:textFill>
                  <w14:solidFill>
                    <w14:schemeClr w14:val="tx1"/>
                  </w14:solidFill>
                </w14:textFill>
              </w:rPr>
              <w:t>总平面图布置变化）</w:t>
            </w:r>
            <w:r>
              <w:rPr>
                <w:rFonts w:hint="eastAsia" w:ascii="Times New Roman" w:hAnsi="Times New Roman" w:eastAsia="宋体" w:cs="Times New Roman"/>
                <w:color w:val="000000" w:themeColor="text1"/>
                <w:kern w:val="0"/>
                <w:sz w:val="18"/>
                <w:szCs w:val="18"/>
                <w14:textFill>
                  <w14:solidFill>
                    <w14:schemeClr w14:val="tx1"/>
                  </w14:solidFill>
                </w14:textFill>
              </w:rPr>
              <w:t>导致</w:t>
            </w:r>
            <w:r>
              <w:rPr>
                <w:rFonts w:ascii="Times New Roman" w:hAnsi="Times New Roman" w:eastAsia="宋体" w:cs="Times New Roman"/>
                <w:color w:val="000000" w:themeColor="text1"/>
                <w:kern w:val="0"/>
                <w:sz w:val="18"/>
                <w:szCs w:val="18"/>
                <w14:textFill>
                  <w14:solidFill>
                    <w14:schemeClr w14:val="tx1"/>
                  </w14:solidFill>
                </w14:textFill>
              </w:rPr>
              <w:t>环境防护距离范围变化</w:t>
            </w:r>
            <w:r>
              <w:rPr>
                <w:rFonts w:hint="eastAsia" w:ascii="Times New Roman" w:hAnsi="Times New Roman" w:eastAsia="宋体" w:cs="Times New Roman"/>
                <w:color w:val="000000" w:themeColor="text1"/>
                <w:kern w:val="0"/>
                <w:sz w:val="18"/>
                <w:szCs w:val="18"/>
                <w14:textFill>
                  <w14:solidFill>
                    <w14:schemeClr w14:val="tx1"/>
                  </w14:solidFill>
                </w14:textFill>
              </w:rPr>
              <w:t>且</w:t>
            </w:r>
            <w:r>
              <w:rPr>
                <w:rFonts w:ascii="Times New Roman" w:hAnsi="Times New Roman" w:eastAsia="宋体" w:cs="Times New Roman"/>
                <w:color w:val="000000" w:themeColor="text1"/>
                <w:kern w:val="0"/>
                <w:sz w:val="18"/>
                <w:szCs w:val="18"/>
                <w14:textFill>
                  <w14:solidFill>
                    <w14:schemeClr w14:val="tx1"/>
                  </w14:solidFill>
                </w14:textFill>
              </w:rPr>
              <w:t>新增</w:t>
            </w:r>
            <w:r>
              <w:rPr>
                <w:rFonts w:hint="eastAsia" w:ascii="Times New Roman" w:hAnsi="Times New Roman" w:eastAsia="宋体" w:cs="Times New Roman"/>
                <w:color w:val="000000" w:themeColor="text1"/>
                <w:kern w:val="0"/>
                <w:sz w:val="18"/>
                <w:szCs w:val="18"/>
                <w14:textFill>
                  <w14:solidFill>
                    <w14:schemeClr w14:val="tx1"/>
                  </w14:solidFill>
                </w14:textFill>
              </w:rPr>
              <w:t>敏感点</w:t>
            </w:r>
            <w:r>
              <w:rPr>
                <w:rFonts w:ascii="Times New Roman" w:hAnsi="Times New Roman" w:eastAsia="宋体" w:cs="Times New Roman"/>
                <w:color w:val="000000" w:themeColor="text1"/>
                <w:kern w:val="0"/>
                <w:sz w:val="18"/>
                <w:szCs w:val="18"/>
                <w14:textFill>
                  <w14:solidFill>
                    <w14:schemeClr w14:val="tx1"/>
                  </w14:solidFill>
                </w14:textFill>
              </w:rPr>
              <w:t>的。</w:t>
            </w:r>
          </w:p>
        </w:tc>
        <w:tc>
          <w:tcPr>
            <w:tcW w:w="2045" w:type="dxa"/>
            <w:vAlign w:val="center"/>
          </w:tcPr>
          <w:p>
            <w:pPr>
              <w:jc w:val="center"/>
              <w:rPr>
                <w:rFonts w:ascii="Times New Roman" w:hAnsi="Times New Roman" w:eastAsia="宋体" w:cs="Times New Roman"/>
                <w:color w:val="000000" w:themeColor="text1"/>
                <w:kern w:val="0"/>
                <w:sz w:val="18"/>
                <w:szCs w:val="18"/>
                <w14:textFill>
                  <w14:solidFill>
                    <w14:schemeClr w14:val="tx1"/>
                  </w14:solidFill>
                </w14:textFill>
              </w:rPr>
            </w:pPr>
            <w:r>
              <w:rPr>
                <w:rFonts w:hint="eastAsia" w:ascii="Times New Roman" w:hAnsi="Times New Roman" w:eastAsia="宋体" w:cs="Times New Roman"/>
                <w:color w:val="000000" w:themeColor="text1"/>
                <w:kern w:val="0"/>
                <w:sz w:val="18"/>
                <w:szCs w:val="18"/>
                <w14:textFill>
                  <w14:solidFill>
                    <w14:schemeClr w14:val="tx1"/>
                  </w14:solidFill>
                </w14:textFill>
              </w:rPr>
              <w:t>阿坝州金川县集沐乡</w:t>
            </w:r>
          </w:p>
        </w:tc>
        <w:tc>
          <w:tcPr>
            <w:tcW w:w="1812" w:type="dxa"/>
            <w:vAlign w:val="center"/>
          </w:tcPr>
          <w:p>
            <w:pPr>
              <w:jc w:val="center"/>
              <w:rPr>
                <w:rFonts w:ascii="Times New Roman" w:hAnsi="Times New Roman" w:eastAsia="宋体" w:cs="Times New Roman"/>
                <w:color w:val="000000" w:themeColor="text1"/>
                <w:kern w:val="0"/>
                <w:sz w:val="18"/>
                <w:szCs w:val="18"/>
                <w14:textFill>
                  <w14:solidFill>
                    <w14:schemeClr w14:val="tx1"/>
                  </w14:solidFill>
                </w14:textFill>
              </w:rPr>
            </w:pPr>
            <w:r>
              <w:rPr>
                <w:rFonts w:hint="eastAsia" w:ascii="Times New Roman" w:hAnsi="Times New Roman" w:eastAsia="宋体" w:cs="Times New Roman"/>
                <w:color w:val="000000" w:themeColor="text1"/>
                <w:kern w:val="0"/>
                <w:sz w:val="18"/>
                <w:szCs w:val="18"/>
                <w14:textFill>
                  <w14:solidFill>
                    <w14:schemeClr w14:val="tx1"/>
                  </w14:solidFill>
                </w14:textFill>
              </w:rPr>
              <w:t>阿坝州金川县集沐乡</w:t>
            </w:r>
          </w:p>
        </w:tc>
        <w:tc>
          <w:tcPr>
            <w:tcW w:w="1084" w:type="dxa"/>
            <w:vAlign w:val="center"/>
          </w:tcPr>
          <w:p>
            <w:pPr>
              <w:jc w:val="center"/>
              <w:rPr>
                <w:rFonts w:ascii="Times New Roman" w:hAnsi="Times New Roman" w:eastAsia="宋体" w:cs="Times New Roman"/>
                <w:color w:val="000000" w:themeColor="text1"/>
                <w:kern w:val="0"/>
                <w:sz w:val="18"/>
                <w:szCs w:val="18"/>
                <w14:textFill>
                  <w14:solidFill>
                    <w14:schemeClr w14:val="tx1"/>
                  </w14:solidFill>
                </w14:textFill>
              </w:rPr>
            </w:pPr>
            <w:r>
              <w:rPr>
                <w:rFonts w:hint="eastAsia" w:ascii="Times New Roman" w:hAnsi="Times New Roman" w:eastAsia="宋体" w:cs="Times New Roman"/>
                <w:color w:val="000000" w:themeColor="text1"/>
                <w:kern w:val="0"/>
                <w:sz w:val="18"/>
                <w:szCs w:val="18"/>
                <w14:textFill>
                  <w14:solidFill>
                    <w14:schemeClr w14:val="tx1"/>
                  </w14:solidFill>
                </w14:textFill>
              </w:rPr>
              <w:t>无变化</w:t>
            </w:r>
          </w:p>
        </w:tc>
        <w:tc>
          <w:tcPr>
            <w:tcW w:w="927" w:type="dxa"/>
            <w:vAlign w:val="center"/>
          </w:tcPr>
          <w:p>
            <w:pPr>
              <w:jc w:val="center"/>
              <w:rPr>
                <w:rFonts w:ascii="Times New Roman" w:hAnsi="Times New Roman" w:eastAsia="宋体" w:cs="Times New Roman"/>
                <w:color w:val="000000" w:themeColor="text1"/>
                <w:kern w:val="0"/>
                <w:sz w:val="18"/>
                <w:szCs w:val="18"/>
                <w14:textFill>
                  <w14:solidFill>
                    <w14:schemeClr w14:val="tx1"/>
                  </w14:solidFill>
                </w14:textFill>
              </w:rPr>
            </w:pPr>
            <w:r>
              <w:rPr>
                <w:rFonts w:hint="eastAsia" w:ascii="Times New Roman" w:hAnsi="Times New Roman" w:eastAsia="宋体" w:cs="Times New Roman"/>
                <w:color w:val="000000" w:themeColor="text1"/>
                <w:kern w:val="0"/>
                <w:sz w:val="18"/>
                <w:szCs w:val="18"/>
                <w14:textFill>
                  <w14:solidFill>
                    <w14:schemeClr w14:val="tx1"/>
                  </w14:solidFill>
                </w14:textFill>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9" w:type="dxa"/>
            <w:vAlign w:val="center"/>
          </w:tcPr>
          <w:p>
            <w:pPr>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生产工艺</w:t>
            </w:r>
          </w:p>
        </w:tc>
        <w:tc>
          <w:tcPr>
            <w:tcW w:w="2045" w:type="dxa"/>
            <w:vAlign w:val="center"/>
          </w:tcPr>
          <w:p>
            <w:pPr>
              <w:jc w:val="center"/>
              <w:rPr>
                <w:rFonts w:ascii="Times New Roman" w:hAnsi="Times New Roman" w:eastAsia="宋体" w:cs="Times New Roman"/>
                <w:color w:val="000000" w:themeColor="text1"/>
                <w:kern w:val="0"/>
                <w:sz w:val="18"/>
                <w:szCs w:val="18"/>
                <w14:textFill>
                  <w14:solidFill>
                    <w14:schemeClr w14:val="tx1"/>
                  </w14:solidFill>
                </w14:textFill>
              </w:rPr>
            </w:pPr>
            <w:r>
              <w:rPr>
                <w:rFonts w:hint="eastAsia" w:ascii="Times New Roman" w:hAnsi="Times New Roman" w:eastAsia="宋体" w:cs="Times New Roman"/>
                <w:color w:val="000000" w:themeColor="text1"/>
                <w:kern w:val="0"/>
                <w:sz w:val="18"/>
                <w:szCs w:val="18"/>
                <w14:textFill>
                  <w14:solidFill>
                    <w14:schemeClr w14:val="tx1"/>
                  </w14:solidFill>
                </w14:textFill>
              </w:rPr>
              <w:t>6.新增产品品种或生产工艺（含主要生产装置、设备及配套设施）、主要原辅材料、燃料变化，导致以下情形之一：</w:t>
            </w:r>
          </w:p>
          <w:p>
            <w:pPr>
              <w:jc w:val="center"/>
              <w:rPr>
                <w:rFonts w:ascii="Times New Roman" w:hAnsi="Times New Roman" w:eastAsia="宋体" w:cs="Times New Roman"/>
                <w:color w:val="000000" w:themeColor="text1"/>
                <w:kern w:val="0"/>
                <w:sz w:val="18"/>
                <w:szCs w:val="18"/>
                <w14:textFill>
                  <w14:solidFill>
                    <w14:schemeClr w14:val="tx1"/>
                  </w14:solidFill>
                </w14:textFill>
              </w:rPr>
            </w:pPr>
            <w:r>
              <w:rPr>
                <w:rFonts w:hint="eastAsia" w:ascii="Times New Roman" w:hAnsi="Times New Roman" w:eastAsia="宋体" w:cs="Times New Roman"/>
                <w:color w:val="000000" w:themeColor="text1"/>
                <w:kern w:val="0"/>
                <w:sz w:val="18"/>
                <w:szCs w:val="18"/>
                <w14:textFill>
                  <w14:solidFill>
                    <w14:schemeClr w14:val="tx1"/>
                  </w14:solidFill>
                </w14:textFill>
              </w:rPr>
              <w:t>（1）新增排放污染物种类的（毒性、挥发性降低的除外）；</w:t>
            </w:r>
          </w:p>
          <w:p>
            <w:pPr>
              <w:jc w:val="center"/>
              <w:rPr>
                <w:rFonts w:ascii="Times New Roman" w:hAnsi="Times New Roman" w:eastAsia="宋体" w:cs="Times New Roman"/>
                <w:color w:val="000000" w:themeColor="text1"/>
                <w:kern w:val="0"/>
                <w:sz w:val="18"/>
                <w:szCs w:val="18"/>
                <w14:textFill>
                  <w14:solidFill>
                    <w14:schemeClr w14:val="tx1"/>
                  </w14:solidFill>
                </w14:textFill>
              </w:rPr>
            </w:pPr>
            <w:r>
              <w:rPr>
                <w:rFonts w:hint="eastAsia" w:ascii="Times New Roman" w:hAnsi="Times New Roman" w:eastAsia="宋体" w:cs="Times New Roman"/>
                <w:color w:val="000000" w:themeColor="text1"/>
                <w:kern w:val="0"/>
                <w:sz w:val="18"/>
                <w:szCs w:val="18"/>
                <w14:textFill>
                  <w14:solidFill>
                    <w14:schemeClr w14:val="tx1"/>
                  </w14:solidFill>
                </w14:textFill>
              </w:rPr>
              <w:t>（2）位于环境质量不达标区的建设项目相应污染物排放量增加的；</w:t>
            </w:r>
          </w:p>
          <w:p>
            <w:pPr>
              <w:jc w:val="center"/>
              <w:rPr>
                <w:rFonts w:ascii="Times New Roman" w:hAnsi="Times New Roman" w:eastAsia="宋体" w:cs="Times New Roman"/>
                <w:color w:val="000000" w:themeColor="text1"/>
                <w:kern w:val="0"/>
                <w:sz w:val="18"/>
                <w:szCs w:val="18"/>
                <w14:textFill>
                  <w14:solidFill>
                    <w14:schemeClr w14:val="tx1"/>
                  </w14:solidFill>
                </w14:textFill>
              </w:rPr>
            </w:pPr>
            <w:r>
              <w:rPr>
                <w:rFonts w:hint="eastAsia" w:ascii="Times New Roman" w:hAnsi="Times New Roman" w:eastAsia="宋体" w:cs="Times New Roman"/>
                <w:color w:val="000000" w:themeColor="text1"/>
                <w:kern w:val="0"/>
                <w:sz w:val="18"/>
                <w:szCs w:val="18"/>
                <w14:textFill>
                  <w14:solidFill>
                    <w14:schemeClr w14:val="tx1"/>
                  </w14:solidFill>
                </w14:textFill>
              </w:rPr>
              <w:t>（3）废水第一类污染物排放量增加的；</w:t>
            </w:r>
          </w:p>
          <w:p>
            <w:pPr>
              <w:jc w:val="center"/>
              <w:rPr>
                <w:rFonts w:ascii="Times New Roman" w:hAnsi="Times New Roman" w:eastAsia="宋体" w:cs="Times New Roman"/>
                <w:color w:val="000000" w:themeColor="text1"/>
                <w:kern w:val="0"/>
                <w:sz w:val="18"/>
                <w:szCs w:val="18"/>
                <w14:textFill>
                  <w14:solidFill>
                    <w14:schemeClr w14:val="tx1"/>
                  </w14:solidFill>
                </w14:textFill>
              </w:rPr>
            </w:pPr>
            <w:r>
              <w:rPr>
                <w:rFonts w:hint="eastAsia" w:ascii="Times New Roman" w:hAnsi="Times New Roman" w:eastAsia="宋体" w:cs="Times New Roman"/>
                <w:color w:val="000000" w:themeColor="text1"/>
                <w:kern w:val="0"/>
                <w:sz w:val="18"/>
                <w:szCs w:val="18"/>
                <w14:textFill>
                  <w14:solidFill>
                    <w14:schemeClr w14:val="tx1"/>
                  </w14:solidFill>
                </w14:textFill>
              </w:rPr>
              <w:t>（4）其他污染物排放量增加10%及以上的。</w:t>
            </w:r>
          </w:p>
          <w:p>
            <w:pPr>
              <w:jc w:val="center"/>
              <w:rPr>
                <w:rFonts w:ascii="Times New Roman" w:hAnsi="Times New Roman" w:eastAsia="宋体" w:cs="Times New Roman"/>
                <w:color w:val="000000" w:themeColor="text1"/>
                <w:kern w:val="0"/>
                <w:sz w:val="18"/>
                <w:szCs w:val="18"/>
                <w14:textFill>
                  <w14:solidFill>
                    <w14:schemeClr w14:val="tx1"/>
                  </w14:solidFill>
                </w14:textFill>
              </w:rPr>
            </w:pPr>
            <w:r>
              <w:rPr>
                <w:rFonts w:hint="eastAsia" w:ascii="Times New Roman" w:hAnsi="Times New Roman" w:eastAsia="宋体" w:cs="Times New Roman"/>
                <w:color w:val="000000" w:themeColor="text1"/>
                <w:kern w:val="0"/>
                <w:sz w:val="18"/>
                <w:szCs w:val="18"/>
                <w14:textFill>
                  <w14:solidFill>
                    <w14:schemeClr w14:val="tx1"/>
                  </w14:solidFill>
                </w14:textFill>
              </w:rPr>
              <w:t>7.物料运输、装卸、贮存方式变化，导致大气污染物无组织排放量增加10%及以上的。</w:t>
            </w:r>
          </w:p>
        </w:tc>
        <w:tc>
          <w:tcPr>
            <w:tcW w:w="2045" w:type="dxa"/>
            <w:vAlign w:val="center"/>
          </w:tcPr>
          <w:p>
            <w:pPr>
              <w:rPr>
                <w:rFonts w:ascii="Times New Roman" w:hAnsi="Times New Roman" w:eastAsia="宋体" w:cs="Times New Roman"/>
                <w:color w:val="000000" w:themeColor="text1"/>
                <w:kern w:val="0"/>
                <w:sz w:val="18"/>
                <w:szCs w:val="18"/>
                <w14:textFill>
                  <w14:solidFill>
                    <w14:schemeClr w14:val="tx1"/>
                  </w14:solidFill>
                </w14:textFill>
              </w:rPr>
            </w:pPr>
            <w:r>
              <w:rPr>
                <w:rFonts w:hint="eastAsia" w:ascii="宋体" w:hAnsi="宋体" w:eastAsia="宋体" w:cs="宋体"/>
                <w:color w:val="000000" w:themeColor="text1"/>
                <w:kern w:val="0"/>
                <w:sz w:val="18"/>
                <w:szCs w:val="18"/>
                <w14:textFill>
                  <w14:solidFill>
                    <w14:schemeClr w14:val="tx1"/>
                  </w14:solidFill>
                </w14:textFill>
              </w:rPr>
              <w:t>①露天采区基建施工工艺：对开采区的表层进行剥离，土石方剥离以机械施工为主，人工配合辅助施工。施工时分层进行，每层自上而下分层开挖，并及时用人工配合推土机整修。采区土石方剥离过程采取有序组织自地表而下，按3～4m施工阶高在沿帮拉沟落段，各水平平行推进作业。</w:t>
            </w:r>
          </w:p>
          <w:p>
            <w:pPr>
              <w:rPr>
                <w:rFonts w:ascii="宋体" w:hAnsi="宋体" w:eastAsia="宋体" w:cs="宋体"/>
                <w:color w:val="000000" w:themeColor="text1"/>
                <w:kern w:val="0"/>
                <w:sz w:val="18"/>
                <w:szCs w:val="18"/>
                <w14:textFill>
                  <w14:solidFill>
                    <w14:schemeClr w14:val="tx1"/>
                  </w14:solidFill>
                </w14:textFill>
              </w:rPr>
            </w:pPr>
            <w:r>
              <w:rPr>
                <w:rFonts w:hint="eastAsia" w:ascii="宋体" w:hAnsi="宋体" w:eastAsia="宋体" w:cs="宋体"/>
                <w:color w:val="000000" w:themeColor="text1"/>
                <w:kern w:val="0"/>
                <w:sz w:val="18"/>
                <w:szCs w:val="18"/>
                <w14:textFill>
                  <w14:solidFill>
                    <w14:schemeClr w14:val="tx1"/>
                  </w14:solidFill>
                </w14:textFill>
              </w:rPr>
              <w:t>②废石场施工工艺：废石场在建设拦渣坝前，采用推土机对基础进行清理，清理深度应达到设计要求，然后对地基基础进行相应处理。清理出来的表土统一堆放到露天矿基建废石场尾部的表土堆放区，余土堆放到拦渣坝后方，待坝体建成后用于回填。</w:t>
            </w:r>
          </w:p>
          <w:p>
            <w:pPr>
              <w:rPr>
                <w:rFonts w:ascii="Times New Roman" w:hAnsi="Times New Roman" w:eastAsia="宋体" w:cs="Times New Roman"/>
                <w:color w:val="000000" w:themeColor="text1"/>
                <w:kern w:val="0"/>
                <w:sz w:val="18"/>
                <w:szCs w:val="18"/>
                <w14:textFill>
                  <w14:solidFill>
                    <w14:schemeClr w14:val="tx1"/>
                  </w14:solidFill>
                </w14:textFill>
              </w:rPr>
            </w:pPr>
            <w:r>
              <w:rPr>
                <w:rFonts w:hint="eastAsia" w:ascii="宋体" w:hAnsi="宋体" w:eastAsia="宋体" w:cs="宋体"/>
                <w:color w:val="000000" w:themeColor="text1"/>
                <w:kern w:val="0"/>
                <w:sz w:val="18"/>
                <w:szCs w:val="18"/>
                <w14:textFill>
                  <w14:solidFill>
                    <w14:schemeClr w14:val="tx1"/>
                  </w14:solidFill>
                </w14:textFill>
              </w:rPr>
              <w:t>③</w:t>
            </w:r>
            <w:r>
              <w:rPr>
                <w:rFonts w:hint="eastAsia" w:ascii="Times New Roman" w:hAnsi="Times New Roman" w:eastAsia="宋体" w:cs="Times New Roman"/>
                <w:color w:val="000000" w:themeColor="text1"/>
                <w:kern w:val="0"/>
                <w:sz w:val="18"/>
                <w:szCs w:val="18"/>
                <w14:textFill>
                  <w14:solidFill>
                    <w14:schemeClr w14:val="tx1"/>
                  </w14:solidFill>
                </w14:textFill>
              </w:rPr>
              <w:t>场内采用车辆运输。</w:t>
            </w:r>
          </w:p>
        </w:tc>
        <w:tc>
          <w:tcPr>
            <w:tcW w:w="1812" w:type="dxa"/>
            <w:vAlign w:val="center"/>
          </w:tcPr>
          <w:p>
            <w:pPr>
              <w:rPr>
                <w:rFonts w:ascii="Times New Roman" w:hAnsi="Times New Roman" w:eastAsia="宋体" w:cs="Times New Roman"/>
                <w:color w:val="000000" w:themeColor="text1"/>
                <w:kern w:val="0"/>
                <w:sz w:val="18"/>
                <w:szCs w:val="18"/>
                <w14:textFill>
                  <w14:solidFill>
                    <w14:schemeClr w14:val="tx1"/>
                  </w14:solidFill>
                </w14:textFill>
              </w:rPr>
            </w:pPr>
            <w:r>
              <w:rPr>
                <w:rFonts w:hint="eastAsia" w:ascii="宋体" w:hAnsi="宋体" w:eastAsia="宋体" w:cs="宋体"/>
                <w:color w:val="000000" w:themeColor="text1"/>
                <w:kern w:val="0"/>
                <w:sz w:val="18"/>
                <w:szCs w:val="18"/>
                <w14:textFill>
                  <w14:solidFill>
                    <w14:schemeClr w14:val="tx1"/>
                  </w14:solidFill>
                </w14:textFill>
              </w:rPr>
              <w:t>①露天采区基建施工工艺：对开采区的表层进行剥离，土石方剥离以机械施工为主，人工配合辅助施工。施工时分层进行，每层自上而下分层开挖，并及时用人工配合推土机整修。采区土石方剥离过程采取有序组织自地表而下，按3～4m施工阶高在沿帮拉沟落段，各水平平行推进作业。</w:t>
            </w:r>
          </w:p>
          <w:p>
            <w:pPr>
              <w:rPr>
                <w:rFonts w:ascii="宋体" w:hAnsi="宋体" w:eastAsia="宋体" w:cs="宋体"/>
                <w:color w:val="000000" w:themeColor="text1"/>
                <w:kern w:val="0"/>
                <w:sz w:val="18"/>
                <w:szCs w:val="18"/>
                <w14:textFill>
                  <w14:solidFill>
                    <w14:schemeClr w14:val="tx1"/>
                  </w14:solidFill>
                </w14:textFill>
              </w:rPr>
            </w:pPr>
            <w:r>
              <w:rPr>
                <w:rFonts w:hint="eastAsia" w:ascii="宋体" w:hAnsi="宋体" w:eastAsia="宋体" w:cs="宋体"/>
                <w:color w:val="000000" w:themeColor="text1"/>
                <w:kern w:val="0"/>
                <w:sz w:val="18"/>
                <w:szCs w:val="18"/>
                <w14:textFill>
                  <w14:solidFill>
                    <w14:schemeClr w14:val="tx1"/>
                  </w14:solidFill>
                </w14:textFill>
              </w:rPr>
              <w:t>②废石场施工工艺：废石场在建设拦渣坝前，采用推土机对基础进行清理，清理深度应达到设计要求，然后对地基基础进行相应处理。清理出来的表土统一堆放到表土堆放区，余土堆放到拦渣坝后方，待坝体建成后用于回填。</w:t>
            </w:r>
          </w:p>
          <w:p>
            <w:pPr>
              <w:rPr>
                <w:rFonts w:ascii="Times New Roman" w:hAnsi="Times New Roman" w:eastAsia="宋体" w:cs="Times New Roman"/>
                <w:color w:val="000000" w:themeColor="text1"/>
                <w:kern w:val="0"/>
                <w:sz w:val="18"/>
                <w:szCs w:val="18"/>
                <w14:textFill>
                  <w14:solidFill>
                    <w14:schemeClr w14:val="tx1"/>
                  </w14:solidFill>
                </w14:textFill>
              </w:rPr>
            </w:pPr>
            <w:r>
              <w:rPr>
                <w:rFonts w:hint="eastAsia" w:ascii="宋体" w:hAnsi="宋体" w:eastAsia="宋体" w:cs="宋体"/>
                <w:color w:val="000000" w:themeColor="text1"/>
                <w:kern w:val="0"/>
                <w:sz w:val="18"/>
                <w:szCs w:val="18"/>
                <w14:textFill>
                  <w14:solidFill>
                    <w14:schemeClr w14:val="tx1"/>
                  </w14:solidFill>
                </w14:textFill>
              </w:rPr>
              <w:t>③</w:t>
            </w:r>
            <w:r>
              <w:rPr>
                <w:rFonts w:hint="eastAsia" w:ascii="Times New Roman" w:hAnsi="Times New Roman" w:eastAsia="宋体" w:cs="Times New Roman"/>
                <w:color w:val="000000" w:themeColor="text1"/>
                <w:kern w:val="0"/>
                <w:sz w:val="18"/>
                <w:szCs w:val="18"/>
                <w14:textFill>
                  <w14:solidFill>
                    <w14:schemeClr w14:val="tx1"/>
                  </w14:solidFill>
                </w14:textFill>
              </w:rPr>
              <w:t>场内物料</w:t>
            </w:r>
            <w:r>
              <w:rPr>
                <w:rFonts w:ascii="Times New Roman" w:hAnsi="Times New Roman" w:eastAsia="宋体" w:cs="Times New Roman"/>
                <w:color w:val="000000" w:themeColor="text1"/>
                <w:kern w:val="0"/>
                <w:sz w:val="18"/>
                <w:szCs w:val="18"/>
                <w14:textFill>
                  <w14:solidFill>
                    <w14:schemeClr w14:val="tx1"/>
                  </w14:solidFill>
                </w14:textFill>
              </w:rPr>
              <w:t>运输采用索道运输</w:t>
            </w:r>
            <w:r>
              <w:rPr>
                <w:rFonts w:hint="eastAsia" w:ascii="Times New Roman" w:hAnsi="Times New Roman" w:eastAsia="宋体" w:cs="Times New Roman"/>
                <w:color w:val="000000" w:themeColor="text1"/>
                <w:kern w:val="0"/>
                <w:sz w:val="18"/>
                <w:szCs w:val="18"/>
                <w14:textFill>
                  <w14:solidFill>
                    <w14:schemeClr w14:val="tx1"/>
                  </w14:solidFill>
                </w14:textFill>
              </w:rPr>
              <w:t>方式（索道</w:t>
            </w:r>
            <w:r>
              <w:rPr>
                <w:rFonts w:ascii="Times New Roman" w:hAnsi="Times New Roman" w:eastAsia="宋体" w:cs="Times New Roman"/>
                <w:color w:val="000000" w:themeColor="text1"/>
                <w:kern w:val="0"/>
                <w:sz w:val="18"/>
                <w:szCs w:val="18"/>
                <w14:textFill>
                  <w14:solidFill>
                    <w14:schemeClr w14:val="tx1"/>
                  </w14:solidFill>
                </w14:textFill>
              </w:rPr>
              <w:t>建设内容不在本次验收范围内</w:t>
            </w:r>
            <w:r>
              <w:rPr>
                <w:rFonts w:hint="eastAsia" w:ascii="Times New Roman" w:hAnsi="Times New Roman" w:eastAsia="宋体" w:cs="Times New Roman"/>
                <w:color w:val="000000" w:themeColor="text1"/>
                <w:kern w:val="0"/>
                <w:sz w:val="18"/>
                <w:szCs w:val="18"/>
                <w14:textFill>
                  <w14:solidFill>
                    <w14:schemeClr w14:val="tx1"/>
                  </w14:solidFill>
                </w14:textFill>
              </w:rPr>
              <w:t>）。</w:t>
            </w:r>
          </w:p>
        </w:tc>
        <w:tc>
          <w:tcPr>
            <w:tcW w:w="1084" w:type="dxa"/>
            <w:vAlign w:val="center"/>
          </w:tcPr>
          <w:p>
            <w:pPr>
              <w:jc w:val="left"/>
              <w:rPr>
                <w:rFonts w:ascii="Times New Roman" w:hAnsi="Times New Roman" w:eastAsia="宋体" w:cs="Times New Roman"/>
                <w:color w:val="000000" w:themeColor="text1"/>
                <w:kern w:val="0"/>
                <w:sz w:val="18"/>
                <w:szCs w:val="18"/>
                <w14:textFill>
                  <w14:solidFill>
                    <w14:schemeClr w14:val="tx1"/>
                  </w14:solidFill>
                </w14:textFill>
              </w:rPr>
            </w:pPr>
            <w:r>
              <w:rPr>
                <w:rFonts w:hint="eastAsia" w:ascii="Times New Roman" w:hAnsi="Times New Roman" w:eastAsia="宋体" w:cs="Times New Roman"/>
                <w:color w:val="000000" w:themeColor="text1"/>
                <w:kern w:val="0"/>
                <w:sz w:val="18"/>
                <w:szCs w:val="18"/>
                <w14:textFill>
                  <w14:solidFill>
                    <w14:schemeClr w14:val="tx1"/>
                  </w14:solidFill>
                </w14:textFill>
              </w:rPr>
              <w:t>生产</w:t>
            </w:r>
            <w:r>
              <w:rPr>
                <w:rFonts w:ascii="Times New Roman" w:hAnsi="Times New Roman" w:eastAsia="宋体" w:cs="Times New Roman"/>
                <w:color w:val="000000" w:themeColor="text1"/>
                <w:kern w:val="0"/>
                <w:sz w:val="18"/>
                <w:szCs w:val="18"/>
                <w14:textFill>
                  <w14:solidFill>
                    <w14:schemeClr w14:val="tx1"/>
                  </w14:solidFill>
                </w14:textFill>
              </w:rPr>
              <w:t>工艺</w:t>
            </w:r>
            <w:r>
              <w:rPr>
                <w:rFonts w:hint="eastAsia" w:ascii="Times New Roman" w:hAnsi="Times New Roman" w:eastAsia="宋体" w:cs="Times New Roman"/>
                <w:color w:val="000000" w:themeColor="text1"/>
                <w:kern w:val="0"/>
                <w:sz w:val="18"/>
                <w:szCs w:val="18"/>
                <w14:textFill>
                  <w14:solidFill>
                    <w14:schemeClr w14:val="tx1"/>
                  </w14:solidFill>
                </w14:textFill>
              </w:rPr>
              <w:t>无变化。</w:t>
            </w:r>
          </w:p>
          <w:p>
            <w:pPr>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场内</w:t>
            </w:r>
            <w:r>
              <w:rPr>
                <w:rFonts w:hint="eastAsia" w:ascii="Times New Roman" w:hAnsi="Times New Roman" w:eastAsia="宋体" w:cs="Times New Roman"/>
                <w:color w:val="000000" w:themeColor="text1"/>
                <w:kern w:val="0"/>
                <w:sz w:val="18"/>
                <w:szCs w:val="18"/>
                <w14:textFill>
                  <w14:solidFill>
                    <w14:schemeClr w14:val="tx1"/>
                  </w14:solidFill>
                </w14:textFill>
              </w:rPr>
              <w:t>运输由</w:t>
            </w:r>
            <w:r>
              <w:rPr>
                <w:rFonts w:ascii="Times New Roman" w:hAnsi="Times New Roman" w:eastAsia="宋体" w:cs="Times New Roman"/>
                <w:color w:val="000000" w:themeColor="text1"/>
                <w:kern w:val="0"/>
                <w:sz w:val="18"/>
                <w:szCs w:val="18"/>
                <w14:textFill>
                  <w14:solidFill>
                    <w14:schemeClr w14:val="tx1"/>
                  </w14:solidFill>
                </w14:textFill>
              </w:rPr>
              <w:t>道路车辆运输调整成索道运输方式（</w:t>
            </w:r>
            <w:r>
              <w:rPr>
                <w:rFonts w:hint="eastAsia" w:ascii="Times New Roman" w:hAnsi="Times New Roman" w:eastAsia="宋体" w:cs="Times New Roman"/>
                <w:color w:val="000000" w:themeColor="text1"/>
                <w:kern w:val="0"/>
                <w:sz w:val="18"/>
                <w:szCs w:val="18"/>
                <w14:textFill>
                  <w14:solidFill>
                    <w14:schemeClr w14:val="tx1"/>
                  </w14:solidFill>
                </w14:textFill>
              </w:rPr>
              <w:t>索道</w:t>
            </w:r>
            <w:r>
              <w:rPr>
                <w:rFonts w:ascii="Times New Roman" w:hAnsi="Times New Roman" w:eastAsia="宋体" w:cs="Times New Roman"/>
                <w:color w:val="000000" w:themeColor="text1"/>
                <w:kern w:val="0"/>
                <w:sz w:val="18"/>
                <w:szCs w:val="18"/>
                <w14:textFill>
                  <w14:solidFill>
                    <w14:schemeClr w14:val="tx1"/>
                  </w14:solidFill>
                </w14:textFill>
              </w:rPr>
              <w:t>建设内容不在本次验收范围内）</w:t>
            </w:r>
            <w:r>
              <w:rPr>
                <w:rFonts w:hint="eastAsia" w:ascii="Times New Roman" w:hAnsi="Times New Roman" w:eastAsia="宋体" w:cs="Times New Roman"/>
                <w:color w:val="000000" w:themeColor="text1"/>
                <w:kern w:val="0"/>
                <w:sz w:val="18"/>
                <w:szCs w:val="18"/>
                <w14:textFill>
                  <w14:solidFill>
                    <w14:schemeClr w14:val="tx1"/>
                  </w14:solidFill>
                </w14:textFill>
              </w:rPr>
              <w:t>，</w:t>
            </w:r>
            <w:r>
              <w:rPr>
                <w:rFonts w:ascii="Times New Roman" w:hAnsi="Times New Roman" w:eastAsia="宋体" w:cs="Times New Roman"/>
                <w:color w:val="000000" w:themeColor="text1"/>
                <w:kern w:val="0"/>
                <w:sz w:val="18"/>
                <w:szCs w:val="18"/>
                <w14:textFill>
                  <w14:solidFill>
                    <w14:schemeClr w14:val="tx1"/>
                  </w14:solidFill>
                </w14:textFill>
              </w:rPr>
              <w:t>其他装卸、贮存方式无变化</w:t>
            </w:r>
            <w:r>
              <w:rPr>
                <w:rFonts w:hint="eastAsia" w:ascii="Times New Roman" w:hAnsi="Times New Roman" w:eastAsia="宋体" w:cs="Times New Roman"/>
                <w:color w:val="000000" w:themeColor="text1"/>
                <w:kern w:val="0"/>
                <w:sz w:val="18"/>
                <w:szCs w:val="18"/>
                <w14:textFill>
                  <w14:solidFill>
                    <w14:schemeClr w14:val="tx1"/>
                  </w14:solidFill>
                </w14:textFill>
              </w:rPr>
              <w:t>。</w:t>
            </w:r>
          </w:p>
        </w:tc>
        <w:tc>
          <w:tcPr>
            <w:tcW w:w="927" w:type="dxa"/>
            <w:vAlign w:val="center"/>
          </w:tcPr>
          <w:p>
            <w:pPr>
              <w:jc w:val="center"/>
              <w:rPr>
                <w:rFonts w:ascii="Times New Roman" w:hAnsi="Times New Roman" w:eastAsia="宋体" w:cs="Times New Roman"/>
                <w:color w:val="000000" w:themeColor="text1"/>
                <w:kern w:val="0"/>
                <w:sz w:val="18"/>
                <w:szCs w:val="18"/>
                <w14:textFill>
                  <w14:solidFill>
                    <w14:schemeClr w14:val="tx1"/>
                  </w14:solidFill>
                </w14:textFill>
              </w:rPr>
            </w:pPr>
            <w:r>
              <w:rPr>
                <w:rFonts w:hint="eastAsia" w:ascii="Times New Roman" w:hAnsi="Times New Roman" w:eastAsia="宋体" w:cs="Times New Roman"/>
                <w:color w:val="000000" w:themeColor="text1"/>
                <w:kern w:val="0"/>
                <w:sz w:val="18"/>
                <w:szCs w:val="18"/>
                <w14:textFill>
                  <w14:solidFill>
                    <w14:schemeClr w14:val="tx1"/>
                  </w14:solidFill>
                </w14:textFill>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9" w:type="dxa"/>
            <w:vAlign w:val="center"/>
          </w:tcPr>
          <w:p>
            <w:pPr>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环境保护措施</w:t>
            </w:r>
          </w:p>
        </w:tc>
        <w:tc>
          <w:tcPr>
            <w:tcW w:w="2045" w:type="dxa"/>
            <w:vAlign w:val="center"/>
          </w:tcPr>
          <w:p>
            <w:pPr>
              <w:rPr>
                <w:rFonts w:ascii="Times New Roman" w:hAnsi="Times New Roman" w:eastAsia="宋体" w:cs="Times New Roman"/>
                <w:color w:val="000000" w:themeColor="text1"/>
                <w:kern w:val="0"/>
                <w:sz w:val="18"/>
                <w:szCs w:val="18"/>
                <w14:textFill>
                  <w14:solidFill>
                    <w14:schemeClr w14:val="tx1"/>
                  </w14:solidFill>
                </w14:textFill>
              </w:rPr>
            </w:pPr>
            <w:r>
              <w:rPr>
                <w:rFonts w:hint="eastAsia" w:ascii="Times New Roman" w:hAnsi="Times New Roman" w:eastAsia="宋体" w:cs="Times New Roman"/>
                <w:color w:val="000000" w:themeColor="text1"/>
                <w:kern w:val="0"/>
                <w:sz w:val="18"/>
                <w:szCs w:val="18"/>
                <w14:textFill>
                  <w14:solidFill>
                    <w14:schemeClr w14:val="tx1"/>
                  </w14:solidFill>
                </w14:textFill>
              </w:rPr>
              <w:t>8.废气、废水污染防治措施变化，导致第6条中所列情形之一（废气无组织排放改为有组织排放、污染防治措施强化或改进的除外）或大气污染物无组织排放量增加10%及以上的。</w:t>
            </w:r>
          </w:p>
          <w:p>
            <w:pPr>
              <w:rPr>
                <w:rFonts w:ascii="Times New Roman" w:hAnsi="Times New Roman" w:eastAsia="宋体" w:cs="Times New Roman"/>
                <w:color w:val="000000" w:themeColor="text1"/>
                <w:kern w:val="0"/>
                <w:sz w:val="18"/>
                <w:szCs w:val="18"/>
                <w14:textFill>
                  <w14:solidFill>
                    <w14:schemeClr w14:val="tx1"/>
                  </w14:solidFill>
                </w14:textFill>
              </w:rPr>
            </w:pPr>
            <w:r>
              <w:rPr>
                <w:rFonts w:hint="eastAsia" w:ascii="Times New Roman" w:hAnsi="Times New Roman" w:eastAsia="宋体" w:cs="Times New Roman"/>
                <w:color w:val="000000" w:themeColor="text1"/>
                <w:kern w:val="0"/>
                <w:sz w:val="18"/>
                <w:szCs w:val="18"/>
                <w14:textFill>
                  <w14:solidFill>
                    <w14:schemeClr w14:val="tx1"/>
                  </w14:solidFill>
                </w14:textFill>
              </w:rPr>
              <w:t>9.新增废水直接排放口；废水由间接排放改为直接排放；废水直接排放口位置变化，导致不利环境影响加重的。</w:t>
            </w:r>
          </w:p>
          <w:p>
            <w:pPr>
              <w:rPr>
                <w:rFonts w:ascii="Times New Roman" w:hAnsi="Times New Roman" w:eastAsia="宋体" w:cs="Times New Roman"/>
                <w:color w:val="000000" w:themeColor="text1"/>
                <w:kern w:val="0"/>
                <w:sz w:val="18"/>
                <w:szCs w:val="18"/>
                <w14:textFill>
                  <w14:solidFill>
                    <w14:schemeClr w14:val="tx1"/>
                  </w14:solidFill>
                </w14:textFill>
              </w:rPr>
            </w:pPr>
            <w:r>
              <w:rPr>
                <w:rFonts w:hint="eastAsia" w:ascii="Times New Roman" w:hAnsi="Times New Roman" w:eastAsia="宋体" w:cs="Times New Roman"/>
                <w:color w:val="000000" w:themeColor="text1"/>
                <w:kern w:val="0"/>
                <w:sz w:val="18"/>
                <w:szCs w:val="18"/>
                <w14:textFill>
                  <w14:solidFill>
                    <w14:schemeClr w14:val="tx1"/>
                  </w14:solidFill>
                </w14:textFill>
              </w:rPr>
              <w:t>10.新增废气主要排放口（废气无组织排放改为有组织排放的除外）；主要排放口排气筒高度降低10%及以上的。</w:t>
            </w:r>
          </w:p>
          <w:p>
            <w:pPr>
              <w:rPr>
                <w:rFonts w:ascii="Times New Roman" w:hAnsi="Times New Roman" w:eastAsia="宋体" w:cs="Times New Roman"/>
                <w:color w:val="000000" w:themeColor="text1"/>
                <w:kern w:val="0"/>
                <w:sz w:val="18"/>
                <w:szCs w:val="18"/>
                <w14:textFill>
                  <w14:solidFill>
                    <w14:schemeClr w14:val="tx1"/>
                  </w14:solidFill>
                </w14:textFill>
              </w:rPr>
            </w:pPr>
            <w:r>
              <w:rPr>
                <w:rFonts w:hint="eastAsia" w:ascii="Times New Roman" w:hAnsi="Times New Roman" w:eastAsia="宋体" w:cs="Times New Roman"/>
                <w:color w:val="000000" w:themeColor="text1"/>
                <w:kern w:val="0"/>
                <w:sz w:val="18"/>
                <w:szCs w:val="18"/>
                <w14:textFill>
                  <w14:solidFill>
                    <w14:schemeClr w14:val="tx1"/>
                  </w14:solidFill>
                </w14:textFill>
              </w:rPr>
              <w:t>11.噪声、土壤或地下水污染防治措施变化，导致不利环境影响加重的。</w:t>
            </w:r>
          </w:p>
          <w:p>
            <w:pPr>
              <w:rPr>
                <w:rFonts w:ascii="Times New Roman" w:hAnsi="Times New Roman" w:eastAsia="宋体" w:cs="Times New Roman"/>
                <w:color w:val="000000" w:themeColor="text1"/>
                <w:kern w:val="0"/>
                <w:sz w:val="18"/>
                <w:szCs w:val="18"/>
                <w14:textFill>
                  <w14:solidFill>
                    <w14:schemeClr w14:val="tx1"/>
                  </w14:solidFill>
                </w14:textFill>
              </w:rPr>
            </w:pPr>
            <w:r>
              <w:rPr>
                <w:rFonts w:hint="eastAsia" w:ascii="Times New Roman" w:hAnsi="Times New Roman" w:eastAsia="宋体" w:cs="Times New Roman"/>
                <w:color w:val="000000" w:themeColor="text1"/>
                <w:kern w:val="0"/>
                <w:sz w:val="18"/>
                <w:szCs w:val="18"/>
                <w14:textFill>
                  <w14:solidFill>
                    <w14:schemeClr w14:val="tx1"/>
                  </w14:solidFill>
                </w14:textFill>
              </w:rPr>
              <w:t>12.固体废物利用处置方式由委托外单位利用处置改为自行利用处置的（自行利用处置设施单独开展环境影响评价的除外）；固体废物自行处置方式变化，导致不利环境影响加重的。</w:t>
            </w:r>
          </w:p>
          <w:p>
            <w:pPr>
              <w:jc w:val="center"/>
              <w:rPr>
                <w:rFonts w:ascii="Times New Roman" w:hAnsi="Times New Roman" w:eastAsia="宋体" w:cs="Times New Roman"/>
                <w:color w:val="000000" w:themeColor="text1"/>
                <w:kern w:val="0"/>
                <w:sz w:val="18"/>
                <w:szCs w:val="18"/>
                <w14:textFill>
                  <w14:solidFill>
                    <w14:schemeClr w14:val="tx1"/>
                  </w14:solidFill>
                </w14:textFill>
              </w:rPr>
            </w:pPr>
            <w:r>
              <w:rPr>
                <w:rFonts w:hint="eastAsia" w:ascii="Times New Roman" w:hAnsi="Times New Roman" w:eastAsia="宋体" w:cs="Times New Roman"/>
                <w:color w:val="000000" w:themeColor="text1"/>
                <w:kern w:val="0"/>
                <w:sz w:val="18"/>
                <w:szCs w:val="18"/>
                <w14:textFill>
                  <w14:solidFill>
                    <w14:schemeClr w14:val="tx1"/>
                  </w14:solidFill>
                </w14:textFill>
              </w:rPr>
              <w:t>13.事故废水暂存能力或拦截设施变化，导致环境风险防范能力弱化或降低的。</w:t>
            </w:r>
          </w:p>
        </w:tc>
        <w:tc>
          <w:tcPr>
            <w:tcW w:w="2045" w:type="dxa"/>
            <w:vAlign w:val="center"/>
          </w:tcPr>
          <w:p>
            <w:pPr>
              <w:rPr>
                <w:rFonts w:ascii="Times New Roman" w:hAnsi="Times New Roman" w:eastAsia="宋体" w:cs="Times New Roman"/>
                <w:color w:val="000000" w:themeColor="text1"/>
                <w:kern w:val="0"/>
                <w:sz w:val="18"/>
                <w:szCs w:val="18"/>
                <w14:textFill>
                  <w14:solidFill>
                    <w14:schemeClr w14:val="tx1"/>
                  </w14:solidFill>
                </w14:textFill>
              </w:rPr>
            </w:pPr>
            <w:r>
              <w:rPr>
                <w:rFonts w:hint="eastAsia" w:ascii="Times New Roman" w:hAnsi="Times New Roman" w:eastAsia="宋体" w:cs="Times New Roman"/>
                <w:color w:val="000000" w:themeColor="text1"/>
                <w:kern w:val="0"/>
                <w:sz w:val="18"/>
                <w:szCs w:val="18"/>
                <w14:textFill>
                  <w14:solidFill>
                    <w14:schemeClr w14:val="tx1"/>
                  </w14:solidFill>
                </w14:textFill>
              </w:rPr>
              <w:t>废气：对中深孔爆破采用多排孔微差爆破，降低二次破碎频率，减少爆破废气产生量；露天采区作业区根据天气情况采用洒水车定期或不定期在产尘区洒水降尘，抑制粉尘的产生和飞扬；露天矿基建废石场采用洒水车降尘，露天矿生产废石场采用洒水喷淋系统降尘。</w:t>
            </w:r>
          </w:p>
          <w:p>
            <w:pPr>
              <w:rPr>
                <w:rFonts w:ascii="Times New Roman" w:hAnsi="Times New Roman" w:eastAsia="宋体" w:cs="Times New Roman"/>
                <w:color w:val="000000" w:themeColor="text1"/>
                <w:kern w:val="0"/>
                <w:sz w:val="18"/>
                <w:szCs w:val="18"/>
                <w14:textFill>
                  <w14:solidFill>
                    <w14:schemeClr w14:val="tx1"/>
                  </w14:solidFill>
                </w14:textFill>
              </w:rPr>
            </w:pPr>
            <w:r>
              <w:rPr>
                <w:rFonts w:hint="eastAsia" w:ascii="Times New Roman" w:hAnsi="Times New Roman" w:eastAsia="宋体" w:cs="Times New Roman"/>
                <w:color w:val="000000" w:themeColor="text1"/>
                <w:kern w:val="0"/>
                <w:sz w:val="18"/>
                <w:szCs w:val="18"/>
                <w14:textFill>
                  <w14:solidFill>
                    <w14:schemeClr w14:val="tx1"/>
                  </w14:solidFill>
                </w14:textFill>
              </w:rPr>
              <w:t>废水：一采区采用分台阶截流的排水方案，排水沟末端设置沉淀池100m</w:t>
            </w:r>
            <w:r>
              <w:rPr>
                <w:rFonts w:hint="eastAsia" w:ascii="Times New Roman" w:hAnsi="Times New Roman" w:eastAsia="宋体" w:cs="Times New Roman"/>
                <w:color w:val="000000" w:themeColor="text1"/>
                <w:kern w:val="0"/>
                <w:sz w:val="18"/>
                <w:szCs w:val="18"/>
                <w:vertAlign w:val="superscript"/>
                <w14:textFill>
                  <w14:solidFill>
                    <w14:schemeClr w14:val="tx1"/>
                  </w14:solidFill>
                </w14:textFill>
              </w:rPr>
              <w:t>3</w:t>
            </w:r>
            <w:r>
              <w:rPr>
                <w:rFonts w:hint="eastAsia" w:ascii="Times New Roman" w:hAnsi="Times New Roman" w:eastAsia="宋体" w:cs="Times New Roman"/>
                <w:color w:val="000000" w:themeColor="text1"/>
                <w:kern w:val="0"/>
                <w:sz w:val="18"/>
                <w:szCs w:val="18"/>
                <w14:textFill>
                  <w14:solidFill>
                    <w14:schemeClr w14:val="tx1"/>
                  </w14:solidFill>
                </w14:textFill>
              </w:rPr>
              <w:t>收集采区内涌水，沉淀后用于露天采区湿法作业、降尘等用水；露天矿生产废石场分三台进行堆存，围绕废石场修建截洪沟，废石场底部设置排水盲沟，并在碾压堆石坝下游设置沉淀池1座，与排水盲沟相连，废水澄清后用于废石场降尘，多余废水用于选矿生产用水；生活区建设一套“隔油池+地埋式一体化污水处理设施”，生活污水经处理后，回用于选厂生产用水（规模30t/d）。</w:t>
            </w:r>
          </w:p>
        </w:tc>
        <w:tc>
          <w:tcPr>
            <w:tcW w:w="1812" w:type="dxa"/>
            <w:vAlign w:val="center"/>
          </w:tcPr>
          <w:p>
            <w:pPr>
              <w:rPr>
                <w:rFonts w:ascii="Times New Roman" w:hAnsi="Times New Roman" w:eastAsia="宋体" w:cs="Times New Roman"/>
                <w:color w:val="000000" w:themeColor="text1"/>
                <w:kern w:val="0"/>
                <w:sz w:val="18"/>
                <w:szCs w:val="18"/>
                <w14:textFill>
                  <w14:solidFill>
                    <w14:schemeClr w14:val="tx1"/>
                  </w14:solidFill>
                </w14:textFill>
              </w:rPr>
            </w:pPr>
            <w:r>
              <w:rPr>
                <w:rFonts w:hint="eastAsia" w:ascii="Times New Roman" w:hAnsi="Times New Roman" w:eastAsia="宋体" w:cs="Times New Roman"/>
                <w:color w:val="000000" w:themeColor="text1"/>
                <w:kern w:val="0"/>
                <w:sz w:val="18"/>
                <w:szCs w:val="18"/>
                <w14:textFill>
                  <w14:solidFill>
                    <w14:schemeClr w14:val="tx1"/>
                  </w14:solidFill>
                </w14:textFill>
              </w:rPr>
              <w:t>废气：对中深孔爆破采用多排孔微差爆破，降低二次破碎频率，减少爆破废气产生量；露天采区作业区根据天气情况采用洒水车定期或不定期在产尘区洒水降尘，抑制粉尘的产生和飞扬；露天矿基建废石场采用洒水车降尘，露天矿生产废石场采用洒水喷淋系统降尘。</w:t>
            </w:r>
          </w:p>
          <w:p>
            <w:pPr>
              <w:rPr>
                <w:rFonts w:ascii="Times New Roman" w:hAnsi="Times New Roman" w:eastAsia="宋体" w:cs="Times New Roman"/>
                <w:color w:val="000000" w:themeColor="text1"/>
                <w:kern w:val="0"/>
                <w:sz w:val="18"/>
                <w:szCs w:val="18"/>
                <w14:textFill>
                  <w14:solidFill>
                    <w14:schemeClr w14:val="tx1"/>
                  </w14:solidFill>
                </w14:textFill>
              </w:rPr>
            </w:pPr>
            <w:r>
              <w:rPr>
                <w:rFonts w:hint="eastAsia" w:ascii="Times New Roman" w:hAnsi="Times New Roman" w:eastAsia="宋体" w:cs="Times New Roman"/>
                <w:color w:val="000000" w:themeColor="text1"/>
                <w:kern w:val="0"/>
                <w:sz w:val="18"/>
                <w:szCs w:val="18"/>
                <w14:textFill>
                  <w14:solidFill>
                    <w14:schemeClr w14:val="tx1"/>
                  </w14:solidFill>
                </w14:textFill>
              </w:rPr>
              <w:t>废水：一采区采用分台阶截流的排水方案</w:t>
            </w:r>
            <w:r>
              <w:rPr>
                <w:rFonts w:hint="eastAsia" w:ascii="Times New Roman" w:hAnsi="Times New Roman" w:eastAsia="宋体" w:cs="Times New Roman"/>
                <w:color w:val="000000" w:themeColor="text1"/>
                <w:kern w:val="0"/>
                <w:sz w:val="18"/>
                <w:szCs w:val="18"/>
                <w:highlight w:val="none"/>
                <w14:textFill>
                  <w14:solidFill>
                    <w14:schemeClr w14:val="tx1"/>
                  </w14:solidFill>
                </w14:textFill>
              </w:rPr>
              <w:t>，已修建截水沟870m，排水沟1558m，排水沟末端</w:t>
            </w:r>
            <w:r>
              <w:rPr>
                <w:rFonts w:hint="eastAsia" w:ascii="Times New Roman" w:hAnsi="Times New Roman" w:eastAsia="宋体" w:cs="Times New Roman"/>
                <w:color w:val="000000" w:themeColor="text1"/>
                <w:kern w:val="0"/>
                <w:sz w:val="18"/>
                <w:szCs w:val="18"/>
                <w:highlight w:val="none"/>
                <w:lang w:val="en-US" w:eastAsia="zh-CN"/>
                <w14:textFill>
                  <w14:solidFill>
                    <w14:schemeClr w14:val="tx1"/>
                  </w14:solidFill>
                </w14:textFill>
              </w:rPr>
              <w:t>临时</w:t>
            </w:r>
            <w:r>
              <w:rPr>
                <w:rFonts w:hint="eastAsia" w:ascii="Times New Roman" w:hAnsi="Times New Roman" w:eastAsia="宋体" w:cs="Times New Roman"/>
                <w:color w:val="000000" w:themeColor="text1"/>
                <w:kern w:val="0"/>
                <w:sz w:val="18"/>
                <w:szCs w:val="18"/>
                <w:highlight w:val="none"/>
                <w14:textFill>
                  <w14:solidFill>
                    <w14:schemeClr w14:val="tx1"/>
                  </w14:solidFill>
                </w14:textFill>
              </w:rPr>
              <w:t>设置</w:t>
            </w:r>
            <w:r>
              <w:rPr>
                <w:rFonts w:hint="eastAsia" w:ascii="Times New Roman" w:hAnsi="Times New Roman" w:eastAsia="宋体" w:cs="Times New Roman"/>
                <w:color w:val="000000" w:themeColor="text1"/>
                <w:kern w:val="0"/>
                <w:sz w:val="18"/>
                <w:szCs w:val="18"/>
                <w:highlight w:val="none"/>
                <w:lang w:val="en-US" w:eastAsia="zh-CN"/>
                <w14:textFill>
                  <w14:solidFill>
                    <w14:schemeClr w14:val="tx1"/>
                  </w14:solidFill>
                </w14:textFill>
              </w:rPr>
              <w:t>10m</w:t>
            </w:r>
            <w:r>
              <w:rPr>
                <w:rFonts w:hint="eastAsia" w:ascii="Times New Roman" w:hAnsi="Times New Roman" w:eastAsia="宋体" w:cs="Times New Roman"/>
                <w:color w:val="000000" w:themeColor="text1"/>
                <w:kern w:val="0"/>
                <w:sz w:val="18"/>
                <w:szCs w:val="18"/>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kern w:val="0"/>
                <w:sz w:val="18"/>
                <w:szCs w:val="18"/>
                <w:highlight w:val="none"/>
                <w14:textFill>
                  <w14:solidFill>
                    <w14:schemeClr w14:val="tx1"/>
                  </w14:solidFill>
                </w14:textFill>
              </w:rPr>
              <w:t>沉砂池1口，收集采区内涌水，沉淀后用于露天采区湿法作业、降尘等用水；露采配套废石场修建截洪沟1750m，</w:t>
            </w:r>
            <w:r>
              <w:rPr>
                <w:rFonts w:hint="eastAsia" w:ascii="Times New Roman" w:hAnsi="Times New Roman" w:eastAsia="宋体" w:cs="Times New Roman"/>
                <w:color w:val="000000" w:themeColor="text1"/>
                <w:kern w:val="0"/>
                <w:sz w:val="18"/>
                <w:szCs w:val="18"/>
                <w:highlight w:val="none"/>
                <w:lang w:val="en-US" w:eastAsia="zh-CN"/>
                <w14:textFill>
                  <w14:solidFill>
                    <w14:schemeClr w14:val="tx1"/>
                  </w14:solidFill>
                </w14:textFill>
              </w:rPr>
              <w:t>临时设置10m</w:t>
            </w:r>
            <w:r>
              <w:rPr>
                <w:rFonts w:hint="eastAsia" w:ascii="Times New Roman" w:hAnsi="Times New Roman" w:eastAsia="宋体" w:cs="Times New Roman"/>
                <w:color w:val="000000" w:themeColor="text1"/>
                <w:kern w:val="0"/>
                <w:sz w:val="18"/>
                <w:szCs w:val="18"/>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kern w:val="0"/>
                <w:sz w:val="18"/>
                <w:szCs w:val="18"/>
                <w:highlight w:val="none"/>
                <w14:textFill>
                  <w14:solidFill>
                    <w14:schemeClr w14:val="tx1"/>
                  </w14:solidFill>
                </w14:textFill>
              </w:rPr>
              <w:t>沉砂池1座，废水澄清后用于废石场降尘，多余废水用于选矿生产用水；</w:t>
            </w:r>
            <w:r>
              <w:rPr>
                <w:rFonts w:hint="eastAsia" w:ascii="Times New Roman" w:hAnsi="Times New Roman" w:eastAsia="宋体" w:cs="Times New Roman"/>
                <w:color w:val="000000" w:themeColor="text1"/>
                <w:kern w:val="0"/>
                <w:sz w:val="18"/>
                <w:szCs w:val="18"/>
                <w14:textFill>
                  <w14:solidFill>
                    <w14:schemeClr w14:val="tx1"/>
                  </w14:solidFill>
                </w14:textFill>
              </w:rPr>
              <w:t>生活区建设一套“隔油池+地埋式一体化污水处理设施”，生活污水经处理后，回用于选厂生产用水（规模30t/d）</w:t>
            </w:r>
            <w:r>
              <w:rPr>
                <w:rFonts w:hint="eastAsia" w:ascii="Times New Roman" w:hAnsi="Times New Roman" w:eastAsia="宋体" w:cs="Times New Roman"/>
                <w:color w:val="000000" w:themeColor="text1"/>
                <w:kern w:val="0"/>
                <w:sz w:val="18"/>
                <w:szCs w:val="18"/>
                <w:highlight w:val="none"/>
                <w14:textFill>
                  <w14:solidFill>
                    <w14:schemeClr w14:val="tx1"/>
                  </w14:solidFill>
                </w14:textFill>
              </w:rPr>
              <w:t>。</w:t>
            </w:r>
          </w:p>
        </w:tc>
        <w:tc>
          <w:tcPr>
            <w:tcW w:w="1084" w:type="dxa"/>
            <w:vAlign w:val="center"/>
          </w:tcPr>
          <w:p>
            <w:pPr>
              <w:jc w:val="center"/>
              <w:rPr>
                <w:rFonts w:hint="eastAsia" w:ascii="Times New Roman" w:hAnsi="Times New Roman" w:eastAsia="宋体" w:cs="Times New Roman"/>
                <w:color w:val="000000" w:themeColor="text1"/>
                <w:kern w:val="0"/>
                <w:sz w:val="18"/>
                <w:szCs w:val="18"/>
                <w:lang w:eastAsia="zh-CN"/>
                <w14:textFill>
                  <w14:solidFill>
                    <w14:schemeClr w14:val="tx1"/>
                  </w14:solidFill>
                </w14:textFill>
              </w:rPr>
            </w:pPr>
            <w:r>
              <w:rPr>
                <w:rFonts w:hint="eastAsia" w:ascii="Times New Roman" w:hAnsi="Times New Roman" w:eastAsia="宋体" w:cs="Times New Roman"/>
                <w:color w:val="000000" w:themeColor="text1"/>
                <w:kern w:val="0"/>
                <w:sz w:val="18"/>
                <w:szCs w:val="18"/>
                <w:lang w:eastAsia="zh-CN"/>
                <w14:textFill>
                  <w14:solidFill>
                    <w14:schemeClr w14:val="tx1"/>
                  </w14:solidFill>
                </w14:textFill>
              </w:rPr>
              <w:t>露天开采区仅完成首平台建设，占地面积减少，因此截排水沟长度减少；露采配套废石场根据实际情况，实施的泄洪沟略有减少。</w:t>
            </w:r>
          </w:p>
        </w:tc>
        <w:tc>
          <w:tcPr>
            <w:tcW w:w="927" w:type="dxa"/>
            <w:vAlign w:val="center"/>
          </w:tcPr>
          <w:p>
            <w:pPr>
              <w:jc w:val="center"/>
              <w:rPr>
                <w:rFonts w:ascii="Times New Roman" w:hAnsi="Times New Roman" w:eastAsia="宋体" w:cs="Times New Roman"/>
                <w:color w:val="000000" w:themeColor="text1"/>
                <w:kern w:val="0"/>
                <w:sz w:val="18"/>
                <w:szCs w:val="18"/>
                <w14:textFill>
                  <w14:solidFill>
                    <w14:schemeClr w14:val="tx1"/>
                  </w14:solidFill>
                </w14:textFill>
              </w:rPr>
            </w:pPr>
            <w:r>
              <w:rPr>
                <w:rFonts w:hint="eastAsia" w:ascii="Times New Roman" w:hAnsi="Times New Roman" w:eastAsia="宋体" w:cs="Times New Roman"/>
                <w:color w:val="000000" w:themeColor="text1"/>
                <w:kern w:val="0"/>
                <w:sz w:val="18"/>
                <w:szCs w:val="18"/>
                <w14:textFill>
                  <w14:solidFill>
                    <w14:schemeClr w14:val="tx1"/>
                  </w14:solidFill>
                </w14:textFill>
              </w:rPr>
              <w:t>否</w:t>
            </w:r>
          </w:p>
        </w:tc>
      </w:tr>
    </w:tbl>
    <w:p>
      <w:pPr>
        <w:pStyle w:val="4"/>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2.2.</w:t>
      </w:r>
      <w:r>
        <w:rPr>
          <w:rFonts w:hint="eastAsia" w:eastAsia="宋体" w:cs="Times New Roman"/>
          <w:color w:val="000000" w:themeColor="text1"/>
          <w:lang w:val="en-US" w:eastAsia="zh-CN"/>
          <w14:textFill>
            <w14:solidFill>
              <w14:schemeClr w14:val="tx1"/>
            </w14:solidFill>
          </w14:textFill>
        </w:rPr>
        <w:t>11</w:t>
      </w:r>
      <w:r>
        <w:rPr>
          <w:rFonts w:eastAsia="宋体" w:cs="Times New Roman"/>
          <w:color w:val="000000" w:themeColor="text1"/>
          <w14:textFill>
            <w14:solidFill>
              <w14:schemeClr w14:val="tx1"/>
            </w14:solidFill>
          </w14:textFill>
        </w:rPr>
        <w:t xml:space="preserve"> 验收工况</w:t>
      </w:r>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根据《建设项目竣工环境保护验收技术规范 生态影响类》(HJ/T 394－2007)等要求，“对于水利水电项目、输变电工程、油气开发工程（含集输管线）、矿山采选可按其行业特征执行，在工程正常运行的情况下即可开展验收调查工作。对于分期建设、分期投入生产的建设项目应分阶段开展验收调查工作。”</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露天开采矿区的</w:t>
      </w:r>
      <w:r>
        <w:rPr>
          <w:rFonts w:ascii="Times New Roman" w:hAnsi="Times New Roman" w:eastAsia="宋体" w:cs="Times New Roman"/>
          <w:color w:val="000000" w:themeColor="text1"/>
          <w:sz w:val="24"/>
          <w:szCs w:val="24"/>
          <w14:textFill>
            <w14:solidFill>
              <w14:schemeClr w14:val="tx1"/>
            </w14:solidFill>
          </w14:textFill>
        </w:rPr>
        <w:t>建设于2021年9月已顺利完成，2021年10月开始进入</w:t>
      </w:r>
      <w:r>
        <w:rPr>
          <w:rFonts w:hint="eastAsia" w:ascii="Times New Roman" w:hAnsi="Times New Roman" w:eastAsia="宋体" w:cs="Times New Roman"/>
          <w:color w:val="000000" w:themeColor="text1"/>
          <w:sz w:val="24"/>
          <w:szCs w:val="24"/>
          <w14:textFill>
            <w14:solidFill>
              <w14:schemeClr w14:val="tx1"/>
            </w14:solidFill>
          </w14:textFill>
        </w:rPr>
        <w:t>试采期</w:t>
      </w:r>
      <w:r>
        <w:rPr>
          <w:rFonts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14:textFill>
            <w14:solidFill>
              <w14:schemeClr w14:val="tx1"/>
            </w14:solidFill>
          </w14:textFill>
        </w:rPr>
        <w:t>目前露天采场稳定开采原矿</w:t>
      </w:r>
      <w:r>
        <w:rPr>
          <w:rFonts w:ascii="Times New Roman" w:hAnsi="Times New Roman" w:eastAsia="宋体" w:cs="Times New Roman"/>
          <w:color w:val="000000" w:themeColor="text1"/>
          <w:sz w:val="24"/>
          <w:szCs w:val="24"/>
          <w14:textFill>
            <w14:solidFill>
              <w14:schemeClr w14:val="tx1"/>
            </w14:solidFill>
          </w14:textFill>
        </w:rPr>
        <w:t>，环境保护设施正常运行。</w:t>
      </w:r>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sectPr>
          <w:pgSz w:w="11906" w:h="16838"/>
          <w:pgMar w:top="1440" w:right="1800" w:bottom="1440" w:left="1800" w:header="851" w:footer="567" w:gutter="0"/>
          <w:cols w:space="425" w:num="1"/>
          <w:docGrid w:type="lines" w:linePitch="312" w:charSpace="0"/>
        </w:sectPr>
      </w:pPr>
    </w:p>
    <w:p>
      <w:pPr>
        <w:pStyle w:val="2"/>
        <w:rPr>
          <w:color w:val="000000" w:themeColor="text1"/>
          <w14:textFill>
            <w14:solidFill>
              <w14:schemeClr w14:val="tx1"/>
            </w14:solidFill>
          </w14:textFill>
        </w:rPr>
      </w:pPr>
      <w:bookmarkStart w:id="16" w:name="_Toc62202380"/>
      <w:r>
        <w:rPr>
          <w:rFonts w:hint="eastAsia"/>
          <w:color w:val="000000" w:themeColor="text1"/>
          <w14:textFill>
            <w14:solidFill>
              <w14:schemeClr w14:val="tx1"/>
            </w14:solidFill>
          </w14:textFill>
        </w:rPr>
        <w:t>3</w:t>
      </w:r>
      <w:r>
        <w:rPr>
          <w:color w:val="000000" w:themeColor="text1"/>
          <w14:textFill>
            <w14:solidFill>
              <w14:schemeClr w14:val="tx1"/>
            </w14:solidFill>
          </w14:textFill>
        </w:rPr>
        <w:t xml:space="preserve"> 环境影响报告书回顾</w:t>
      </w:r>
      <w:bookmarkEnd w:id="16"/>
    </w:p>
    <w:p>
      <w:pPr>
        <w:pStyle w:val="3"/>
        <w:rPr>
          <w:color w:val="000000" w:themeColor="text1"/>
          <w14:textFill>
            <w14:solidFill>
              <w14:schemeClr w14:val="tx1"/>
            </w14:solidFill>
          </w14:textFill>
        </w:rPr>
      </w:pPr>
      <w:bookmarkStart w:id="17" w:name="_Toc62202381"/>
      <w:r>
        <w:rPr>
          <w:rFonts w:hint="eastAsia"/>
          <w:color w:val="000000" w:themeColor="text1"/>
          <w14:textFill>
            <w14:solidFill>
              <w14:schemeClr w14:val="tx1"/>
            </w14:solidFill>
          </w14:textFill>
        </w:rPr>
        <w:t>3</w:t>
      </w:r>
      <w:r>
        <w:rPr>
          <w:color w:val="000000" w:themeColor="text1"/>
          <w14:textFill>
            <w14:solidFill>
              <w14:schemeClr w14:val="tx1"/>
            </w14:solidFill>
          </w14:textFill>
        </w:rPr>
        <w:t>.1 环境影响评价主要结论与建议</w:t>
      </w:r>
      <w:bookmarkEnd w:id="17"/>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.1.1 工程概述</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业隆沟锂辉石矿隶属于金川奥伊诺矿业有限公司，金川奥伊诺矿业有限公司成立于2006年8月21日，是一家以资源投资，矿产品开采加工为主业的有限责任公司。2007年5月24日，金川奥伊诺矿业有限公司以川探矿权招拍挂合同[2007]008号获得金川县业隆沟锂矿探矿权，并前后在2009年6月、2011年6月、2013年7月、2015年9月、2018年2月共进行了5次探矿权延续。</w:t>
      </w:r>
    </w:p>
    <w:p>
      <w:pPr>
        <w:spacing w:line="360" w:lineRule="auto"/>
        <w:ind w:firstLine="480" w:firstLineChars="200"/>
        <w:rPr>
          <w:rFonts w:ascii="Times New Roman" w:hAnsi="Times New Roman" w:cs="Times New Roman"/>
          <w:color w:val="000000" w:themeColor="text1"/>
          <w:sz w:val="24"/>
          <w:szCs w:val="24"/>
          <w:highlight w:val="yellow"/>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金川奥伊诺矿业有限公司拟投资77288万元建设业隆沟锂辉石矿采选尾工程，该项目属于新建项目，建设内容包括露天开采、选厂、尾矿库、露天矿废石场、坑采基建废石场、矿石和废石运输道路、尾矿输送管线和回水管线等。</w:t>
      </w:r>
    </w:p>
    <w:p>
      <w:pPr>
        <w:pStyle w:val="4"/>
        <w:bidi w:val="0"/>
      </w:pPr>
      <w:r>
        <w:rPr>
          <w:rFonts w:hint="eastAsia"/>
        </w:rPr>
        <w:t>3</w:t>
      </w:r>
      <w:r>
        <w:t xml:space="preserve">.1.2 </w:t>
      </w:r>
      <w:r>
        <w:rPr>
          <w:rFonts w:hint="eastAsia"/>
        </w:rPr>
        <w:t>产业政策和规划符合性</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1、产业政策符合性</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根据《产业结构调整指导目录（2011年本）》（2013年修正），本项目不属于鼓励类、限制类、淘汰类，即为允许类；本项目不属于国土资源部、国家发展和改革委员会“关于发布实施《限制用地项目目录（2012年本）》和《禁止用地项目目录（2012年本）》的通知”中的项目。</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本项目所在地不涉及《中华人民共和国矿产资源法》、《矿山生态环境保护与污染防治技术政策》等国家和省规定禁止和限制勘察、采矿的自然保护区、风景名胜区、森林公园、饮用水水源保护区、重要湖泊周边、文物古迹据在地、地质遗迹保护区、基本农田保护区、港口、码头、机场、军事禁区、地质灾害危险区、水库、重要水源地及主要交通干线两侧等。</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因此，本项目建设符合国家当前产业政策。</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w:t>
      </w:r>
      <w:r>
        <w:rPr>
          <w:rFonts w:hint="eastAsia" w:ascii="Times New Roman" w:hAnsi="Times New Roman" w:cs="Times New Roman"/>
          <w:color w:val="000000" w:themeColor="text1"/>
          <w:sz w:val="24"/>
          <w:szCs w:val="24"/>
          <w14:textFill>
            <w14:solidFill>
              <w14:schemeClr w14:val="tx1"/>
            </w14:solidFill>
          </w14:textFill>
        </w:rPr>
        <w:t>、规划符合性</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本项目位于阿坝州金川县集沐乡业隆村与毛日乡七一村接壤处的业隆沟，矿区总面积4.37km</w:t>
      </w:r>
      <w:r>
        <w:rPr>
          <w:rFonts w:hint="eastAsia" w:ascii="Times New Roman" w:hAnsi="Times New Roman" w:cs="Times New Roman"/>
          <w:color w:val="000000" w:themeColor="text1"/>
          <w:sz w:val="24"/>
          <w:szCs w:val="24"/>
          <w:vertAlign w:val="superscript"/>
          <w14:textFill>
            <w14:solidFill>
              <w14:schemeClr w14:val="tx1"/>
            </w14:solidFill>
          </w14:textFill>
        </w:rPr>
        <w:t>2</w:t>
      </w:r>
      <w:r>
        <w:rPr>
          <w:rFonts w:hint="eastAsia" w:ascii="Times New Roman" w:hAnsi="Times New Roman" w:cs="Times New Roman"/>
          <w:color w:val="000000" w:themeColor="text1"/>
          <w:sz w:val="24"/>
          <w:szCs w:val="24"/>
          <w14:textFill>
            <w14:solidFill>
              <w14:schemeClr w14:val="tx1"/>
            </w14:solidFill>
          </w14:textFill>
        </w:rPr>
        <w:t>，项目不涉及基本农田。项目建设符合《国家重点生态功能保护区规划纲要》、《全国生态功能区划》、《全国生态脆弱区保护规划纲要》、《全国主体功能区规划》、《“十三五”生态环境保护规划》、《四川省“十三五”生态保护与建设规划》、《全国矿产资源规划（2016－2020年）》、《四川省矿产资源总体规划（2016-2020）》、《阿坝藏族羌族自治州矿产资源总体规划（2016-2020年）》、《四川省主体功能区规划》、《四川省生态功能区划》、《大气污染防治行动计划》、《水污染防治行动计划》、《土壤污染防治行动计划》、《四川省“十三五”重金属污染防治实施方案》等相关规划。</w: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.1.3 评价结论</w:t>
      </w:r>
    </w:p>
    <w:p>
      <w:pPr>
        <w:spacing w:line="360" w:lineRule="auto"/>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 xml:space="preserve">3.1.3.1 </w:t>
      </w:r>
      <w:r>
        <w:rPr>
          <w:rFonts w:hint="eastAsia" w:ascii="Times New Roman" w:hAnsi="Times New Roman" w:cs="Times New Roman"/>
          <w:b/>
          <w:color w:val="000000" w:themeColor="text1"/>
          <w:sz w:val="24"/>
          <w:szCs w:val="24"/>
          <w14:textFill>
            <w14:solidFill>
              <w14:schemeClr w14:val="tx1"/>
            </w14:solidFill>
          </w14:textFill>
        </w:rPr>
        <w:t>环境现状评价结论</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w:t>
      </w:r>
      <w:r>
        <w:rPr>
          <w:rFonts w:hint="eastAsia" w:ascii="Times New Roman" w:hAnsi="Times New Roman" w:cs="Times New Roman"/>
          <w:color w:val="000000" w:themeColor="text1"/>
          <w:sz w:val="24"/>
          <w:szCs w:val="24"/>
          <w14:textFill>
            <w14:solidFill>
              <w14:schemeClr w14:val="tx1"/>
            </w14:solidFill>
          </w14:textFill>
        </w:rPr>
        <w:t>、环境质量现状</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（1）大气环境：根据监测结果，项目所在区域环境空气中主要指标因子SO</w:t>
      </w:r>
      <w:r>
        <w:rPr>
          <w:rFonts w:hint="eastAsia" w:ascii="Times New Roman" w:hAnsi="Times New Roman" w:cs="Times New Roman"/>
          <w:color w:val="000000" w:themeColor="text1"/>
          <w:sz w:val="24"/>
          <w:szCs w:val="24"/>
          <w:vertAlign w:val="subscript"/>
          <w14:textFill>
            <w14:solidFill>
              <w14:schemeClr w14:val="tx1"/>
            </w14:solidFill>
          </w14:textFill>
        </w:rPr>
        <w:t>2</w:t>
      </w:r>
      <w:r>
        <w:rPr>
          <w:rFonts w:hint="eastAsia" w:ascii="Times New Roman" w:hAnsi="Times New Roman" w:cs="Times New Roman"/>
          <w:color w:val="000000" w:themeColor="text1"/>
          <w:sz w:val="24"/>
          <w:szCs w:val="24"/>
          <w14:textFill>
            <w14:solidFill>
              <w14:schemeClr w14:val="tx1"/>
            </w14:solidFill>
          </w14:textFill>
        </w:rPr>
        <w:t>、NO</w:t>
      </w:r>
      <w:r>
        <w:rPr>
          <w:rFonts w:hint="eastAsia" w:ascii="Times New Roman" w:hAnsi="Times New Roman" w:cs="Times New Roman"/>
          <w:color w:val="000000" w:themeColor="text1"/>
          <w:sz w:val="24"/>
          <w:szCs w:val="24"/>
          <w:vertAlign w:val="subscript"/>
          <w14:textFill>
            <w14:solidFill>
              <w14:schemeClr w14:val="tx1"/>
            </w14:solidFill>
          </w14:textFill>
        </w:rPr>
        <w:t>2</w:t>
      </w:r>
      <w:r>
        <w:rPr>
          <w:rFonts w:hint="eastAsia" w:ascii="Times New Roman" w:hAnsi="Times New Roman" w:cs="Times New Roman"/>
          <w:color w:val="000000" w:themeColor="text1"/>
          <w:sz w:val="24"/>
          <w:szCs w:val="24"/>
          <w14:textFill>
            <w14:solidFill>
              <w14:schemeClr w14:val="tx1"/>
            </w14:solidFill>
          </w14:textFill>
        </w:rPr>
        <w:t>、PM</w:t>
      </w:r>
      <w:r>
        <w:rPr>
          <w:rFonts w:hint="eastAsia" w:ascii="Times New Roman" w:hAnsi="Times New Roman" w:cs="Times New Roman"/>
          <w:color w:val="000000" w:themeColor="text1"/>
          <w:sz w:val="24"/>
          <w:szCs w:val="24"/>
          <w:vertAlign w:val="subscript"/>
          <w14:textFill>
            <w14:solidFill>
              <w14:schemeClr w14:val="tx1"/>
            </w14:solidFill>
          </w14:textFill>
        </w:rPr>
        <w:t>10</w:t>
      </w:r>
      <w:r>
        <w:rPr>
          <w:rFonts w:hint="eastAsia" w:ascii="Times New Roman" w:hAnsi="Times New Roman" w:cs="Times New Roman"/>
          <w:color w:val="000000" w:themeColor="text1"/>
          <w:sz w:val="24"/>
          <w:szCs w:val="24"/>
          <w14:textFill>
            <w14:solidFill>
              <w14:schemeClr w14:val="tx1"/>
            </w14:solidFill>
          </w14:textFill>
        </w:rPr>
        <w:t>、PM</w:t>
      </w:r>
      <w:r>
        <w:rPr>
          <w:rFonts w:hint="eastAsia" w:ascii="Times New Roman" w:hAnsi="Times New Roman" w:cs="Times New Roman"/>
          <w:color w:val="000000" w:themeColor="text1"/>
          <w:sz w:val="24"/>
          <w:szCs w:val="24"/>
          <w:vertAlign w:val="subscript"/>
          <w14:textFill>
            <w14:solidFill>
              <w14:schemeClr w14:val="tx1"/>
            </w14:solidFill>
          </w14:textFill>
        </w:rPr>
        <w:t>2.5</w:t>
      </w:r>
      <w:r>
        <w:rPr>
          <w:rFonts w:hint="eastAsia" w:ascii="Times New Roman" w:hAnsi="Times New Roman" w:cs="Times New Roman"/>
          <w:color w:val="000000" w:themeColor="text1"/>
          <w:sz w:val="24"/>
          <w:szCs w:val="24"/>
          <w14:textFill>
            <w14:solidFill>
              <w14:schemeClr w14:val="tx1"/>
            </w14:solidFill>
          </w14:textFill>
        </w:rPr>
        <w:t>和TSP均在《环境空气质量标准》（GB3095-2012）二级标准限值内，各因子最大浓度值占标准浓度值的百分比均小于1，说明该区域环境空气质量良好。</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2）地表水环境：本项目监测的1-5#、8#地表水断面，各监测指标均能满足《地表水环境质量标准》（GB3838-2002）Ⅲ类水域标准要求，各因子最大浓度值占标准浓度值的百分比均小于1。6#（双海子）、7#（孔雀湖）除硫化物指标超过《地表水环境质量标准》（GB3838-2002）</w:t>
      </w:r>
      <w:r>
        <w:rPr>
          <w:rFonts w:ascii="Times New Roman" w:hAnsi="Times New Roman" w:eastAsia="仿宋" w:cs="Times New Roman"/>
          <w:color w:val="000000" w:themeColor="text1"/>
          <w:sz w:val="24"/>
          <w:szCs w:val="24"/>
          <w14:textFill>
            <w14:solidFill>
              <w14:schemeClr w14:val="tx1"/>
            </w14:solidFill>
          </w14:textFill>
        </w:rPr>
        <w:t>Ⅰ</w:t>
      </w:r>
      <w:r>
        <w:rPr>
          <w:rFonts w:hint="eastAsia" w:ascii="Times New Roman" w:hAnsi="Times New Roman" w:cs="Times New Roman"/>
          <w:color w:val="000000" w:themeColor="text1"/>
          <w:sz w:val="24"/>
          <w:szCs w:val="24"/>
          <w14:textFill>
            <w14:solidFill>
              <w14:schemeClr w14:val="tx1"/>
            </w14:solidFill>
          </w14:textFill>
        </w:rPr>
        <w:t>类标准限值外，其余各环境要素各监测指标均能满足相应的环境质量标准。6#（双海子）、7#（孔雀湖）硫化物单因子最大浓度占标率分别为1.06、1.32，略超过</w:t>
      </w:r>
      <w:r>
        <w:rPr>
          <w:rFonts w:ascii="Times New Roman" w:hAnsi="Times New Roman" w:eastAsia="仿宋" w:cs="Times New Roman"/>
          <w:color w:val="000000" w:themeColor="text1"/>
          <w:sz w:val="24"/>
          <w:szCs w:val="24"/>
          <w14:textFill>
            <w14:solidFill>
              <w14:schemeClr w14:val="tx1"/>
            </w14:solidFill>
          </w14:textFill>
        </w:rPr>
        <w:t>Ⅰ</w:t>
      </w:r>
      <w:r>
        <w:rPr>
          <w:rFonts w:hint="eastAsia" w:ascii="Times New Roman" w:hAnsi="Times New Roman" w:cs="Times New Roman"/>
          <w:color w:val="000000" w:themeColor="text1"/>
          <w:sz w:val="24"/>
          <w:szCs w:val="24"/>
          <w14:textFill>
            <w14:solidFill>
              <w14:schemeClr w14:val="tx1"/>
            </w14:solidFill>
          </w14:textFill>
        </w:rPr>
        <w:t>类标准限值，项目区未受人为污染，硫化物超标原生地质环境所致。总体而言，本项目所在区域的地表水环境质量较好。此外，本项目生产、生活过程中产生的废水均得到了合理利用，没有废水直接排入地表水体，因此双海子、孔雀湖不作为本项目的纳污水体，不会对双海子和孔雀湖造成污染影响，项目建设不会改变双海子和孔雀湖的水环境质量类别。</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（3）地下水环境：根据地下水环境质量现状监测结果，各监测指标均能满足《地下水质量标准》（GB/T 14848-2017）</w:t>
      </w:r>
      <w:r>
        <w:rPr>
          <w:rFonts w:ascii="Times New Roman" w:hAnsi="Times New Roman" w:eastAsia="仿宋" w:cs="Times New Roman"/>
          <w:color w:val="000000" w:themeColor="text1"/>
          <w:sz w:val="24"/>
          <w:szCs w:val="24"/>
          <w14:textFill>
            <w14:solidFill>
              <w14:schemeClr w14:val="tx1"/>
            </w14:solidFill>
          </w14:textFill>
        </w:rPr>
        <w:t>Ⅲ</w:t>
      </w:r>
      <w:r>
        <w:rPr>
          <w:rFonts w:hint="eastAsia" w:ascii="Times New Roman" w:hAnsi="Times New Roman" w:cs="Times New Roman"/>
          <w:color w:val="000000" w:themeColor="text1"/>
          <w:sz w:val="24"/>
          <w:szCs w:val="24"/>
          <w14:textFill>
            <w14:solidFill>
              <w14:schemeClr w14:val="tx1"/>
            </w14:solidFill>
          </w14:textFill>
        </w:rPr>
        <w:t>类水域标准要求，项目所在区域地下水环境质量较好。</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（4）声环境：根据监测结果，各监测点环境噪声昼间等效声级为35.1-48.3dB(A)，夜间等效声级为33.7-38.7dB(A)，噪声值均能达到GB3096-2008《声环境质量标准》2类标准（昼间</w:t>
      </w:r>
      <w:r>
        <w:rPr>
          <w:rFonts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60dB(A)，夜间</w:t>
      </w:r>
      <w:r>
        <w:rPr>
          <w:rFonts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50dB(A)）的要求。因此，项目所在区域声环境质量较好。</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（5）土壤环境：根据监测结果，各监测点位监测指标均能达到《土壤环境质量标准》（GB15618-1995）三级标准要求，项目所在区域土壤环境质量较好。</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（6）底泥：由于河流底泥无评价标准，因此，本次河流底泥的监测结果仅作为背景值留存。</w:t>
      </w:r>
    </w:p>
    <w:p>
      <w:pPr>
        <w:spacing w:line="360" w:lineRule="auto"/>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 xml:space="preserve">3.1.2.2 </w:t>
      </w:r>
      <w:r>
        <w:rPr>
          <w:rFonts w:hint="eastAsia" w:ascii="Times New Roman" w:hAnsi="Times New Roman" w:cs="Times New Roman"/>
          <w:b/>
          <w:color w:val="000000" w:themeColor="text1"/>
          <w:sz w:val="24"/>
          <w:szCs w:val="24"/>
          <w14:textFill>
            <w14:solidFill>
              <w14:schemeClr w14:val="tx1"/>
            </w14:solidFill>
          </w14:textFill>
        </w:rPr>
        <w:t>环境影响预测评价结论</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（1）施工期主要环境影响及其预防措施</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①环境空气</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项目施工期废气主要为施工粉尘、扬尘，其次为燃油机械设备产生的废气、运输车辆产生的汽车尾气和道路扬尘。</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根据类比调查，施工工地内TSP浓度较高，约为0.6～0.8mg/m</w:t>
      </w:r>
      <w:r>
        <w:rPr>
          <w:rFonts w:hint="eastAsia" w:ascii="Times New Roman" w:hAnsi="Times New Roman" w:cs="Times New Roman"/>
          <w:color w:val="000000" w:themeColor="text1"/>
          <w:sz w:val="24"/>
          <w:szCs w:val="24"/>
          <w:vertAlign w:val="superscript"/>
          <w14:textFill>
            <w14:solidFill>
              <w14:schemeClr w14:val="tx1"/>
            </w14:solidFill>
          </w14:textFill>
        </w:rPr>
        <w:t>3</w:t>
      </w:r>
      <w:r>
        <w:rPr>
          <w:rFonts w:hint="eastAsia" w:ascii="Times New Roman" w:hAnsi="Times New Roman" w:cs="Times New Roman"/>
          <w:color w:val="000000" w:themeColor="text1"/>
          <w:sz w:val="24"/>
          <w:szCs w:val="24"/>
          <w14:textFill>
            <w14:solidFill>
              <w14:schemeClr w14:val="tx1"/>
            </w14:solidFill>
          </w14:textFill>
        </w:rPr>
        <w:t>；150m处可降至0.25～0.28mg/m</w:t>
      </w:r>
      <w:r>
        <w:rPr>
          <w:rFonts w:hint="eastAsia" w:ascii="Times New Roman" w:hAnsi="Times New Roman" w:cs="Times New Roman"/>
          <w:color w:val="000000" w:themeColor="text1"/>
          <w:sz w:val="24"/>
          <w:szCs w:val="24"/>
          <w:vertAlign w:val="superscript"/>
          <w14:textFill>
            <w14:solidFill>
              <w14:schemeClr w14:val="tx1"/>
            </w14:solidFill>
          </w14:textFill>
        </w:rPr>
        <w:t>3</w:t>
      </w:r>
      <w:r>
        <w:rPr>
          <w:rFonts w:hint="eastAsia" w:ascii="Times New Roman" w:hAnsi="Times New Roman" w:cs="Times New Roman"/>
          <w:color w:val="000000" w:themeColor="text1"/>
          <w:sz w:val="24"/>
          <w:szCs w:val="24"/>
          <w14:textFill>
            <w14:solidFill>
              <w14:schemeClr w14:val="tx1"/>
            </w14:solidFill>
          </w14:textFill>
        </w:rPr>
        <w:t>，能够满足环境空气质量标准二级标准。施工场地应做好防尘降尘措施，材料堆放应加盖篷布，开挖的土石方及时清运，产尘点要适时洒水降尘。研究表明，通过洒水可有效地减少70%的起尘量。</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施工期施工运输车辆的往来将产生道路二次扬尘污染，道路扬尘影响半径小，但短时浓度较高，应加强施工期运输道路的车辆管理工作，出场时清洗车轮，确保泥土不带出场外，在人口稠密区定期洒水降尘，减轻道路扬尘造成的空气污染。</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燃油动力机械使用过程中会无组织排放燃油废气，车辆运输过程中也会产生汽车尾气，这些废气中的主要污染物有NO</w:t>
      </w:r>
      <w:r>
        <w:rPr>
          <w:rFonts w:hint="eastAsia" w:ascii="Times New Roman" w:hAnsi="Times New Roman" w:cs="Times New Roman"/>
          <w:color w:val="000000" w:themeColor="text1"/>
          <w:sz w:val="24"/>
          <w:szCs w:val="24"/>
          <w:vertAlign w:val="subscript"/>
          <w14:textFill>
            <w14:solidFill>
              <w14:schemeClr w14:val="tx1"/>
            </w14:solidFill>
          </w14:textFill>
        </w:rPr>
        <w:t>2</w:t>
      </w:r>
      <w:r>
        <w:rPr>
          <w:rFonts w:hint="eastAsia" w:ascii="Times New Roman" w:hAnsi="Times New Roman" w:cs="Times New Roman"/>
          <w:color w:val="000000" w:themeColor="text1"/>
          <w:sz w:val="24"/>
          <w:szCs w:val="24"/>
          <w14:textFill>
            <w14:solidFill>
              <w14:schemeClr w14:val="tx1"/>
            </w14:solidFill>
          </w14:textFill>
        </w:rPr>
        <w:t>、CO、SO</w:t>
      </w:r>
      <w:r>
        <w:rPr>
          <w:rFonts w:hint="eastAsia" w:ascii="Times New Roman" w:hAnsi="Times New Roman" w:cs="Times New Roman"/>
          <w:color w:val="000000" w:themeColor="text1"/>
          <w:sz w:val="24"/>
          <w:szCs w:val="24"/>
          <w:vertAlign w:val="subscript"/>
          <w14:textFill>
            <w14:solidFill>
              <w14:schemeClr w14:val="tx1"/>
            </w14:solidFill>
          </w14:textFill>
        </w:rPr>
        <w:t>2</w:t>
      </w:r>
      <w:r>
        <w:rPr>
          <w:rFonts w:hint="eastAsia" w:ascii="Times New Roman" w:hAnsi="Times New Roman" w:cs="Times New Roman"/>
          <w:color w:val="000000" w:themeColor="text1"/>
          <w:sz w:val="24"/>
          <w:szCs w:val="24"/>
          <w14:textFill>
            <w14:solidFill>
              <w14:schemeClr w14:val="tx1"/>
            </w14:solidFill>
          </w14:textFill>
        </w:rPr>
        <w:t>和THC等，但产生量不大，影响范围比较局部。应加强机械和车辆的保养与维护，使之处于良好的运行工况，并且使用符合国家相关标准的油料，可降低施工机械废气和汽车尾气的影响。</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综上，项目施工会对周边空气环境产生一定的污染，但在采取相应的措施后，能减轻对空气环境的污染。项目施工对空气环境的污染会随着施工作业的结束而消除，不会造成遗留的环境问题。</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②地表水环境</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项目施工期对地表水环境的影响主要表现为施工废水和施工人员生活污水对地表水环境的影响。施工废水主要污染物为SS和石油类，生活污水主要污染物为COD、SS、NH</w:t>
      </w:r>
      <w:r>
        <w:rPr>
          <w:rFonts w:hint="eastAsia" w:ascii="Times New Roman" w:hAnsi="Times New Roman" w:cs="Times New Roman"/>
          <w:color w:val="000000" w:themeColor="text1"/>
          <w:sz w:val="24"/>
          <w:szCs w:val="24"/>
          <w:vertAlign w:val="subscript"/>
          <w14:textFill>
            <w14:solidFill>
              <w14:schemeClr w14:val="tx1"/>
            </w14:solidFill>
          </w14:textFill>
        </w:rPr>
        <w:t>3</w:t>
      </w:r>
      <w:r>
        <w:rPr>
          <w:rFonts w:hint="eastAsia" w:ascii="Times New Roman" w:hAnsi="Times New Roman" w:cs="Times New Roman"/>
          <w:color w:val="000000" w:themeColor="text1"/>
          <w:sz w:val="24"/>
          <w:szCs w:val="24"/>
          <w14:textFill>
            <w14:solidFill>
              <w14:schemeClr w14:val="tx1"/>
            </w14:solidFill>
          </w14:textFill>
        </w:rPr>
        <w:t>-N。</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本项目采取的环保措施如下：加强施工管理和工程监理工作，严格检查施工机械，有效防止跑、冒、滴、漏；施工材料堆放远离地表水体，选择暴雨径流难以冲刷的地方，并配备临时遮挡的帆布；运输车辆加盖帆布，防止土石方和散体施工材料等落入水中；在施工场地内修建截排水沟和临时沉淀池，在施工机械检修点等有含油废水排放的工场，设置简易的隔油池；施工期修建临时旱厕，固体物适时清掏后用于附近林地施肥。</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本项目废水未直接排入工程沿线的地表水体，对项目周围地表水环境的影响很小。</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③地下水环境</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针对施工期产污特征及与地下水环境相关要素，提出以下保护措施：施工区建临时旱厕，收集生活污水用于当地林木灌溉施肥；土建工程中混凝土拌和废水、车辆冲洗废水中泥沙和石油类含量较高，应在施工场地设置临时沉沙池，经隔油沉淀处理后全部循环利用，不外排；物料堆场采取覆盖措施，防止产生水土流失污染地下水。采取措施后，项目施工对地下水环境的影响较小。</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④声环境</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施工期间的噪声主要来自施工机械作业和运输车辆。应尽量采用低噪声机械，施工过程中应经常对设备进行维护保养，避免由于设备性能差而使噪声增强。采取上述措施后，能减轻噪声对周围环境的不利影响。</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⑤固体废物</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矿山基建剥离、井巷基建开挖、工业场地建设、废石场、尾矿库地表清理等会产生大量的土石方和表土。建设期废石可优先用于矿区道路铺筑。生产期共剥离的表土5.64万m</w:t>
      </w:r>
      <w:r>
        <w:rPr>
          <w:rFonts w:ascii="Times New Roman" w:hAnsi="Times New Roman" w:cs="Times New Roman"/>
          <w:color w:val="000000" w:themeColor="text1"/>
          <w:sz w:val="24"/>
          <w:szCs w:val="24"/>
          <w:vertAlign w:val="superscript"/>
          <w14:textFill>
            <w14:solidFill>
              <w14:schemeClr w14:val="tx1"/>
            </w14:solidFill>
          </w14:textFill>
        </w:rPr>
        <w:t>3</w:t>
      </w:r>
      <w:r>
        <w:rPr>
          <w:rFonts w:hint="eastAsia" w:ascii="Times New Roman" w:hAnsi="Times New Roman" w:cs="Times New Roman"/>
          <w:color w:val="000000" w:themeColor="text1"/>
          <w:sz w:val="24"/>
          <w:szCs w:val="24"/>
          <w14:textFill>
            <w14:solidFill>
              <w14:schemeClr w14:val="tx1"/>
            </w14:solidFill>
          </w14:textFill>
        </w:rPr>
        <w:t>，堆存至露天矿基建废石场尾部，后期用于绿化覆土。其他场地建设弃方10.01万m</w:t>
      </w:r>
      <w:r>
        <w:rPr>
          <w:rFonts w:hint="eastAsia" w:ascii="Times New Roman" w:hAnsi="Times New Roman" w:cs="Times New Roman"/>
          <w:color w:val="000000" w:themeColor="text1"/>
          <w:sz w:val="24"/>
          <w:szCs w:val="24"/>
          <w:vertAlign w:val="superscript"/>
          <w14:textFill>
            <w14:solidFill>
              <w14:schemeClr w14:val="tx1"/>
            </w14:solidFill>
          </w14:textFill>
        </w:rPr>
        <w:t>3</w:t>
      </w:r>
      <w:r>
        <w:rPr>
          <w:rFonts w:hint="eastAsia" w:ascii="Times New Roman" w:hAnsi="Times New Roman" w:cs="Times New Roman"/>
          <w:color w:val="000000" w:themeColor="text1"/>
          <w:sz w:val="24"/>
          <w:szCs w:val="24"/>
          <w14:textFill>
            <w14:solidFill>
              <w14:schemeClr w14:val="tx1"/>
            </w14:solidFill>
          </w14:textFill>
        </w:rPr>
        <w:t>，运往坑采基建废石场堆存。露天采区基建期采出废石37.41万m</w:t>
      </w:r>
      <w:r>
        <w:rPr>
          <w:rFonts w:ascii="Times New Roman" w:hAnsi="Times New Roman" w:cs="Times New Roman"/>
          <w:color w:val="000000" w:themeColor="text1"/>
          <w:sz w:val="24"/>
          <w:szCs w:val="24"/>
          <w:vertAlign w:val="superscript"/>
          <w14:textFill>
            <w14:solidFill>
              <w14:schemeClr w14:val="tx1"/>
            </w14:solidFill>
          </w14:textFill>
        </w:rPr>
        <w:t>3</w:t>
      </w:r>
      <w:r>
        <w:rPr>
          <w:rFonts w:hint="eastAsia" w:ascii="Times New Roman" w:hAnsi="Times New Roman" w:cs="Times New Roman"/>
          <w:color w:val="000000" w:themeColor="text1"/>
          <w:sz w:val="24"/>
          <w:szCs w:val="24"/>
          <w14:textFill>
            <w14:solidFill>
              <w14:schemeClr w14:val="tx1"/>
            </w14:solidFill>
          </w14:textFill>
        </w:rPr>
        <w:t>，运往露天矿基建废石场堆存。二采区基建期采出废石14.6万m</w:t>
      </w:r>
      <w:r>
        <w:rPr>
          <w:rFonts w:hint="eastAsia" w:ascii="Times New Roman" w:hAnsi="Times New Roman" w:cs="Times New Roman"/>
          <w:color w:val="000000" w:themeColor="text1"/>
          <w:sz w:val="24"/>
          <w:szCs w:val="24"/>
          <w:vertAlign w:val="superscript"/>
          <w14:textFill>
            <w14:solidFill>
              <w14:schemeClr w14:val="tx1"/>
            </w14:solidFill>
          </w14:textFill>
        </w:rPr>
        <w:t>3</w:t>
      </w:r>
      <w:r>
        <w:rPr>
          <w:rFonts w:hint="eastAsia" w:ascii="Times New Roman" w:hAnsi="Times New Roman" w:cs="Times New Roman"/>
          <w:color w:val="000000" w:themeColor="text1"/>
          <w:sz w:val="24"/>
          <w:szCs w:val="24"/>
          <w14:textFill>
            <w14:solidFill>
              <w14:schemeClr w14:val="tx1"/>
            </w14:solidFill>
          </w14:textFill>
        </w:rPr>
        <w:t>，运往坑采基建废石场堆存。</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施工期生活垃圾产生量为0.1t/a。生活垃圾定点收集后，定期清运至金川县城市生活垃圾卫生填埋场统一处置。</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本项目施工期固体废物去向明确，不会产生二次污染，对周围环境影响较小。</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⑥生态环境</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施工期对生态环境的影响和破坏主要表现为对土地利用性质的改变、植被面积的减少、地形地貌和自然景观的改变、水土流失、野生动物分布、栖息和活动受到影响。本项目拟采取的生态环境保护措施如下：</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组成生态环境保护管理小组，全面掌握在施工建设和运行阶段的生态环境变化情况，严格执行设计文件要求和国家及地方有关环境保护、水土保持的规定；严格按征地范围进行施工，不随意扩大施工临时占地的范围，减少对植被的破坏；加强对短期和长期占地分类管理，合理布设防治区；施工范围内地表剥离表层植粘层和土壤分层剥离、分层堆放，用于后期土地复垦和自然植被恢复；制定生态恢复方案和植物物种选择标准，充分考虑，乔木、灌木及草本植物的合理搭配及空间资源合理利用。</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工程建设不可避免的会对生态环境造成影响和破坏，采取相应措施后，能最大限度的减少这种破坏影响。</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（2）调试期主要环境影响及其防治措施</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①环境空气</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选厂粗碎室、中/细碎室、筛分车间各配套安装一套“集气罩+脉冲袋式除尘器+15m高排气筒”，粉矿仓处安装一套“脉冲袋式除尘器+15m高排气筒”。脉冲袋式除尘器的除尘效率可达99%以上，经处理后，粗碎室粉尘排放浓度为10mg/m</w:t>
      </w:r>
      <w:r>
        <w:rPr>
          <w:rFonts w:hint="eastAsia" w:ascii="Times New Roman" w:hAnsi="Times New Roman" w:cs="Times New Roman"/>
          <w:color w:val="000000" w:themeColor="text1"/>
          <w:sz w:val="24"/>
          <w:szCs w:val="24"/>
          <w:vertAlign w:val="superscript"/>
          <w14:textFill>
            <w14:solidFill>
              <w14:schemeClr w14:val="tx1"/>
            </w14:solidFill>
          </w14:textFill>
        </w:rPr>
        <w:t>3</w:t>
      </w:r>
      <w:r>
        <w:rPr>
          <w:rFonts w:hint="eastAsia" w:ascii="Times New Roman" w:hAnsi="Times New Roman" w:cs="Times New Roman"/>
          <w:color w:val="000000" w:themeColor="text1"/>
          <w:sz w:val="24"/>
          <w:szCs w:val="24"/>
          <w14:textFill>
            <w14:solidFill>
              <w14:schemeClr w14:val="tx1"/>
            </w14:solidFill>
          </w14:textFill>
        </w:rPr>
        <w:t>，排放量为0.9t/a，中/细碎室粉尘排放浓度为25mg/m</w:t>
      </w:r>
      <w:r>
        <w:rPr>
          <w:rFonts w:hint="eastAsia" w:ascii="Times New Roman" w:hAnsi="Times New Roman" w:cs="Times New Roman"/>
          <w:color w:val="000000" w:themeColor="text1"/>
          <w:sz w:val="24"/>
          <w:szCs w:val="24"/>
          <w:vertAlign w:val="superscript"/>
          <w14:textFill>
            <w14:solidFill>
              <w14:schemeClr w14:val="tx1"/>
            </w14:solidFill>
          </w14:textFill>
        </w:rPr>
        <w:t>3</w:t>
      </w:r>
      <w:r>
        <w:rPr>
          <w:rFonts w:hint="eastAsia" w:ascii="Times New Roman" w:hAnsi="Times New Roman" w:cs="Times New Roman"/>
          <w:color w:val="000000" w:themeColor="text1"/>
          <w:sz w:val="24"/>
          <w:szCs w:val="24"/>
          <w14:textFill>
            <w14:solidFill>
              <w14:schemeClr w14:val="tx1"/>
            </w14:solidFill>
          </w14:textFill>
        </w:rPr>
        <w:t>，排放量为4.74t/a，筛分车间粉尘排放浓度为50mg/m</w:t>
      </w:r>
      <w:r>
        <w:rPr>
          <w:rFonts w:hint="eastAsia" w:ascii="Times New Roman" w:hAnsi="Times New Roman" w:cs="Times New Roman"/>
          <w:color w:val="000000" w:themeColor="text1"/>
          <w:sz w:val="24"/>
          <w:szCs w:val="24"/>
          <w:vertAlign w:val="superscript"/>
          <w14:textFill>
            <w14:solidFill>
              <w14:schemeClr w14:val="tx1"/>
            </w14:solidFill>
          </w14:textFill>
        </w:rPr>
        <w:t>3</w:t>
      </w:r>
      <w:r>
        <w:rPr>
          <w:rFonts w:hint="eastAsia" w:ascii="Times New Roman" w:hAnsi="Times New Roman" w:cs="Times New Roman"/>
          <w:color w:val="000000" w:themeColor="text1"/>
          <w:sz w:val="24"/>
          <w:szCs w:val="24"/>
          <w14:textFill>
            <w14:solidFill>
              <w14:schemeClr w14:val="tx1"/>
            </w14:solidFill>
          </w14:textFill>
        </w:rPr>
        <w:t>，排放量为9.48t/a，粉矿仓粉尘排放浓度为30mg/m</w:t>
      </w:r>
      <w:r>
        <w:rPr>
          <w:rFonts w:hint="eastAsia" w:ascii="Times New Roman" w:hAnsi="Times New Roman" w:cs="Times New Roman"/>
          <w:color w:val="000000" w:themeColor="text1"/>
          <w:sz w:val="24"/>
          <w:szCs w:val="24"/>
          <w:vertAlign w:val="superscript"/>
          <w14:textFill>
            <w14:solidFill>
              <w14:schemeClr w14:val="tx1"/>
            </w14:solidFill>
          </w14:textFill>
        </w:rPr>
        <w:t>3</w:t>
      </w:r>
      <w:r>
        <w:rPr>
          <w:rFonts w:hint="eastAsia" w:ascii="Times New Roman" w:hAnsi="Times New Roman" w:cs="Times New Roman"/>
          <w:color w:val="000000" w:themeColor="text1"/>
          <w:sz w:val="24"/>
          <w:szCs w:val="24"/>
          <w14:textFill>
            <w14:solidFill>
              <w14:schemeClr w14:val="tx1"/>
            </w14:solidFill>
          </w14:textFill>
        </w:rPr>
        <w:t>，排放量为5.69t/a，处理后的粉尘能达到《大气污染物综合排放标准》中二级排放标准要求。</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充填制备站水泥仓处安装“布袋除尘器+15m高排气筒”1套，布袋除尘器除尘效率按99%计算，经处理后，充填制备站水泥仓粉尘排放浓度为30mg/m</w:t>
      </w:r>
      <w:r>
        <w:rPr>
          <w:rFonts w:hint="eastAsia" w:ascii="Times New Roman" w:hAnsi="Times New Roman" w:cs="Times New Roman"/>
          <w:color w:val="000000" w:themeColor="text1"/>
          <w:sz w:val="24"/>
          <w:szCs w:val="24"/>
          <w:vertAlign w:val="superscript"/>
          <w14:textFill>
            <w14:solidFill>
              <w14:schemeClr w14:val="tx1"/>
            </w14:solidFill>
          </w14:textFill>
        </w:rPr>
        <w:t>3</w:t>
      </w:r>
      <w:r>
        <w:rPr>
          <w:rFonts w:hint="eastAsia" w:ascii="Times New Roman" w:hAnsi="Times New Roman" w:cs="Times New Roman"/>
          <w:color w:val="000000" w:themeColor="text1"/>
          <w:sz w:val="24"/>
          <w:szCs w:val="24"/>
          <w14:textFill>
            <w14:solidFill>
              <w14:schemeClr w14:val="tx1"/>
            </w14:solidFill>
          </w14:textFill>
        </w:rPr>
        <w:t>，排放量为0.32t/a，能达到《大气污染物综合排放标准》中二级排放标准要求。</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根根据无组织排放粉尘大气环境防护距离和卫生防护距离的计算结果，分别以露天采区、坑采基建废石场、露天矿基建废石场、露天矿生产废石场、选厂原矿堆场（含卸矿平台）、粗碎室、中/细碎室、筛分车间、尾矿库、3920m坑口工业场地临时堆矿场边界外推50m的范围划定卫生防护距离。</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采区爆破采用的炸药的主要成份为硝酸铵，其爆破时产生污染物主要有粉尘、NO</w:t>
      </w:r>
      <w:r>
        <w:rPr>
          <w:rFonts w:hint="eastAsia" w:ascii="Times New Roman" w:hAnsi="Times New Roman" w:cs="Times New Roman"/>
          <w:color w:val="000000" w:themeColor="text1"/>
          <w:sz w:val="24"/>
          <w:szCs w:val="24"/>
          <w:vertAlign w:val="subscript"/>
          <w14:textFill>
            <w14:solidFill>
              <w14:schemeClr w14:val="tx1"/>
            </w14:solidFill>
          </w14:textFill>
        </w:rPr>
        <w:t>2</w:t>
      </w:r>
      <w:r>
        <w:rPr>
          <w:rFonts w:hint="eastAsia" w:ascii="Times New Roman" w:hAnsi="Times New Roman" w:cs="Times New Roman"/>
          <w:color w:val="000000" w:themeColor="text1"/>
          <w:sz w:val="24"/>
          <w:szCs w:val="24"/>
          <w14:textFill>
            <w14:solidFill>
              <w14:schemeClr w14:val="tx1"/>
            </w14:solidFill>
          </w14:textFill>
        </w:rPr>
        <w:t>及CO等，对爆堆进行洒水降尘后，其粉尘散逸量较小，经大气扩散后其对矿区周围环境质量影响较小。</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食堂以清洁能源电为燃料，食堂安装油烟净化器，食堂油烟净化后的油烟经专用烟道引至屋顶排放，油烟净化器的净化效率约80%。根据工程分析，食堂油烟经油烟净化器净化后，油烟排放浓度小于2mg/m</w:t>
      </w:r>
      <w:r>
        <w:rPr>
          <w:rFonts w:hint="eastAsia" w:ascii="Times New Roman" w:hAnsi="Times New Roman" w:cs="Times New Roman"/>
          <w:color w:val="000000" w:themeColor="text1"/>
          <w:sz w:val="24"/>
          <w:szCs w:val="24"/>
          <w:vertAlign w:val="superscript"/>
          <w14:textFill>
            <w14:solidFill>
              <w14:schemeClr w14:val="tx1"/>
            </w14:solidFill>
          </w14:textFill>
        </w:rPr>
        <w:t>3</w:t>
      </w:r>
      <w:r>
        <w:rPr>
          <w:rFonts w:hint="eastAsia" w:ascii="Times New Roman" w:hAnsi="Times New Roman" w:cs="Times New Roman"/>
          <w:color w:val="000000" w:themeColor="text1"/>
          <w:sz w:val="24"/>
          <w:szCs w:val="24"/>
          <w14:textFill>
            <w14:solidFill>
              <w14:schemeClr w14:val="tx1"/>
            </w14:solidFill>
          </w14:textFill>
        </w:rPr>
        <w:t>，能达到《饮食业油烟排放标准（试行）》（GB18483-2001）中小型食堂标准的要求。项目地处高山地带，地广人稀，利于废气快速扩散，对周围空气环境质量影响非常小。</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②地表水环境</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本项目生产废水和生活污水经处理后全部回用于生产，经处理后回用水水质能达到《污染物综合排放标准》表4一级标准和《城市污水再生利用 城市杂用水水质》（GB/T 18920-2002）中城市杂用水水质标准要求，项目调试期间无废水直接排入地表水体。</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露天采区修建截洪沟，拦截露天采区境界外的雨水。露天采区内的涌水经排水沟、沉淀池收集沉淀后，用于露天采区湿法作业、降尘等用水；地下开采为平硐开拓，会产生矿井涌水，本项目二至八采区均为地下采区，拟在每个地下采区可排水的平洞出口设置涌水处理站（沉淀池+清水池），矿井涌水经沉淀处理后，优先用于本采区工艺用水，多余涌水回用于选厂生产用水、其他采区用水等，不直接排入地表水体，对项目所在区域的地表水环境影响较小；二采区采用尾矿充填，充填体由尾矿、水泥和水按一定的比例混合制成，充填体送入井下后一段时间，充填体中会渗出一定量的水，二采场充填渗水与矿井涌水一同进入涌水处理站处理；维修车间维修废水经隔油池预处理后，回用于选厂生产用水；选厂工艺废水、实验室废水、尾矿压滤废水经选厂生产废水处理站处理后回用于选矿生产，不外排；冷却、水封废水和锅炉用水软化产生的离子交换树脂再生废水以及锅炉排污水，回用于选矿生产；地面冲洗废水和初期雨水沉淀后回用于选矿生产，不外排；尾矿库采取清污分流措施，尾矿库外围修建截洪沟（锚固沟可兼作部分截洪沟），截留库区外部的大气降水，此部分废水未与尾矿接触，直接引入尾矿库下游的天然冲沟；尾矿库设置排水管-排水井、坡面排水沟等，将入库雨水引入集液池，集液池收集的雨水未浸入尾矿；集液池收集的水可用于尾矿库降尘和回用选厂工艺用水，尾矿库降尘和回用选厂工艺用水优先使用渗滤液收集池中的水，水量不足之处由集液池中的水补充，集液池收集的水若在72h内消纳不掉，则作为清水直接排入尾矿库下游冲沟。尾矿库渗滤液经排渗盲沟引入下游的渗滤液收集池，渗滤液收集池只收集渗滤液，雨水不进入；尾矿库渗滤液回喷尾矿库，用于尾矿库降尘，多余废水通过尾矿回水管线自流进入选厂，回用于选矿工艺用水，尾矿库渗滤液不外排；废石场淋溶废水经淋溶废水收集池收集澄清后用于废石场降尘，多余废水回用于选厂生产用水；在生活区安装一套“隔油池（食堂废水）+地埋式一体化二级生化污水处理设施”，其余各值班室、工业场地根据需要修建旱厕。生活污水经处理后，回用于选厂生产用水，其余各值班室、工业场地生活污水经旱厕收集后定期由罐车运至生活区生活污水处理系统处理。</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综上所述，本项目调试期产生的废水均得到合理利用，不会直接排入地表水体，不会对项目所在区域的地表水环境产生明显影响。</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③地下水环境</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应做好矿区的分区防渗工作，其中重点防渗区为尾矿库、初期坝、拦污坝、集液池、钽铌精矿沉淀池、浓密池、选厂厂前回水水池、锂精矿脱水车间、尾矿回水水池等。采取相应的防渗措施后，项目调试期对地下水环境的影响较小。</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④声环境</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选厂高噪声设备主要为破碎机、振动筛、球磨机等。设备安装时应作隔声、减振（如减震橡胶垫）、降噪处理，考虑对其置于封闭厂房内，必要时对墙壁进行吸声处理。项目拟建地附近人烟稀少，最近的居民点亚斯达（业隆村）距离选厂约6.9km，项目运营不会产生噪声扰民现象。虽然露天开采机械设备噪声和爆破噪声对项目区声环境质量有一定的影响，但不会产生噪声扰民现象，因此露天采区噪声对环境的影响是可以接受的。</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⑤固体废物</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本项目设置3处废石场，分别为露天矿基建废石场、露天矿生产废石场、坑采基建废石场，一采区（露天采区）基建废石堆至露天矿基建废石场，一采区（露天采区）生产废石堆至露天矿生产废石场，二采区基建废石堆至坑采基建废石场，二采区生产期废石和三至八采区基建和生产废石堆至露天矿生产废石场；选厂的尾矿浆经尾矿输送管线泵入尾矿库左岸的尾矿压滤车间，经压滤后，尾矿含水率降至20%，尾矿优先用于二采区井下充填，多余尾矿由皮带送往尾矿库干堆；选厂弱磁选工段，混合精矿浆中的磁选废物被选别出来，主要成分为磁性铁，磁选废物因利用价值不高，送至尾矿库堆存；废油、含油棉纱、含油废手套、废油桶等，属于危险废物“HW08废矿物油与含矿物油废物”，废油、废油桶在选厂维修车间内设置危废暂存间，委托有相应类别危废处理资质的单位回收处理；含油棉纱、含油废手套属于豁免的危险废物，混入生活垃圾一同处置；对于员工产生的生活垃圾，应在生活区内合理布设垃圾桶，定期清运至金川县城市生活垃圾卫生填埋场统一处置。</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项目调试期产生的固体废物去向明确，不会产生二次污染。</w:t>
      </w:r>
    </w:p>
    <w:p>
      <w:pPr>
        <w:spacing w:line="36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 xml:space="preserve">3.1.2.3 </w:t>
      </w:r>
      <w:r>
        <w:rPr>
          <w:rFonts w:hint="eastAsia" w:ascii="Times New Roman" w:hAnsi="Times New Roman" w:cs="Times New Roman"/>
          <w:b/>
          <w:color w:val="000000" w:themeColor="text1"/>
          <w:sz w:val="24"/>
          <w:szCs w:val="24"/>
          <w14:textFill>
            <w14:solidFill>
              <w14:schemeClr w14:val="tx1"/>
            </w14:solidFill>
          </w14:textFill>
        </w:rPr>
        <w:t>水土保持</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水土流失防治措施在纳入主体工程设计已有水土保持措施后，形成了工程措施与植物措施并重，永久措施和临时措施相结合的一个完整的防治体系。在水土保持方案实施后，基本能控制因工程建设带来的新增水土流失，有效保护水土资源。各项水土保持措施发挥综合效益后，能使现有工程建设期和试运行期工程区内各项防治指标均达到规范要求的水土流失防治目标。</w:t>
      </w:r>
    </w:p>
    <w:p>
      <w:pPr>
        <w:spacing w:line="360" w:lineRule="auto"/>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3.1.2.</w:t>
      </w:r>
      <w:r>
        <w:rPr>
          <w:rFonts w:hint="eastAsia" w:ascii="Times New Roman" w:hAnsi="Times New Roman" w:cs="Times New Roman"/>
          <w:b/>
          <w:color w:val="000000" w:themeColor="text1"/>
          <w:sz w:val="24"/>
          <w:szCs w:val="24"/>
          <w14:textFill>
            <w14:solidFill>
              <w14:schemeClr w14:val="tx1"/>
            </w14:solidFill>
          </w14:textFill>
        </w:rPr>
        <w:t>4</w:t>
      </w:r>
      <w:r>
        <w:rPr>
          <w:rFonts w:ascii="Times New Roman" w:hAnsi="Times New Roman" w:cs="Times New Roman"/>
          <w:b/>
          <w:color w:val="000000" w:themeColor="text1"/>
          <w:sz w:val="24"/>
          <w:szCs w:val="24"/>
          <w14:textFill>
            <w14:solidFill>
              <w14:schemeClr w14:val="tx1"/>
            </w14:solidFill>
          </w14:textFill>
        </w:rPr>
        <w:t xml:space="preserve"> </w:t>
      </w:r>
      <w:r>
        <w:rPr>
          <w:rFonts w:hint="eastAsia" w:ascii="Times New Roman" w:hAnsi="Times New Roman" w:cs="Times New Roman"/>
          <w:b/>
          <w:color w:val="000000" w:themeColor="text1"/>
          <w:sz w:val="24"/>
          <w:szCs w:val="24"/>
          <w14:textFill>
            <w14:solidFill>
              <w14:schemeClr w14:val="tx1"/>
            </w14:solidFill>
          </w14:textFill>
        </w:rPr>
        <w:t>环境风险</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本项目主要环境风险是尾矿库溃坝、尾矿输送管线和尾矿回水管线破损泄露、炸药库爆炸、油品存放点油品泄露、废石场泥石流等，经采取相应的风险防范措施后，发生环境风险事故的可能性较小。项目必须严格按照有关规定、规范的要求对各项设施进行监控和管理，按照《尾矿库环境应急管理工作指南（试行）》等相关文件以及本报告书中提出的各项环保要求，并制定相应的环境风险应急预案，在认真落实工程拟采取的环保措施后，可将环境风险事故的危害程度降到最低。因此，本项目从环境风险角度分析是可行的。</w:t>
      </w:r>
    </w:p>
    <w:p>
      <w:pPr>
        <w:spacing w:line="360" w:lineRule="auto"/>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 xml:space="preserve">3.1.2.5 </w:t>
      </w:r>
      <w:r>
        <w:rPr>
          <w:rFonts w:hint="eastAsia" w:ascii="Times New Roman" w:hAnsi="Times New Roman" w:cs="Times New Roman"/>
          <w:b/>
          <w:color w:val="000000" w:themeColor="text1"/>
          <w:sz w:val="24"/>
          <w:szCs w:val="24"/>
          <w14:textFill>
            <w14:solidFill>
              <w14:schemeClr w14:val="tx1"/>
            </w14:solidFill>
          </w14:textFill>
        </w:rPr>
        <w:t>环境影响经济损益</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本项目建设带来的环境损失主要表现在占用土地和施工期对生态环境的影响上；但项目建成后，将产生良好的经济效益和社会效益。</w:t>
      </w:r>
    </w:p>
    <w:p>
      <w:pPr>
        <w:spacing w:line="360" w:lineRule="auto"/>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 xml:space="preserve">3.1.2.6 </w:t>
      </w:r>
      <w:r>
        <w:rPr>
          <w:rFonts w:hint="eastAsia" w:ascii="Times New Roman" w:hAnsi="Times New Roman" w:cs="Times New Roman"/>
          <w:b/>
          <w:color w:val="000000" w:themeColor="text1"/>
          <w:sz w:val="24"/>
          <w:szCs w:val="24"/>
          <w14:textFill>
            <w14:solidFill>
              <w14:schemeClr w14:val="tx1"/>
            </w14:solidFill>
          </w14:textFill>
        </w:rPr>
        <w:t>公众参与</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项目建设单位通过网络公示、现场公示、实地走访发放调查问卷等方式开展了本项目环境影响评价公众参与工作，编写了《金川奥伊诺矿业有限公司业隆沟锂辉石矿采选尾工程环境影响评价公众参与报告》。在2次网络公示和现场公示期间，均未收到公众的反馈意见，5份团体问卷调查表和58份个人问卷调查表均表示赞成本项目的建设，其中金川县安全生产监督管理局提出“严格按照环评、安评、发改、国土等相关法律法规执行”，金川县国土资源局提出“建议严格按照金川奥伊诺矿业有限公司业隆沟锂辉石矿矿产资源开发利用方案提出的措施落实各项环境保护工作”等意见和建议，我们将认真考虑，在项目环境影响评价和实施过程中加以体现。</w:t>
      </w:r>
    </w:p>
    <w:p>
      <w:pPr>
        <w:spacing w:line="360" w:lineRule="auto"/>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 xml:space="preserve">3.1.2.7 </w:t>
      </w:r>
      <w:r>
        <w:rPr>
          <w:rFonts w:hint="eastAsia" w:ascii="Times New Roman" w:hAnsi="Times New Roman" w:cs="Times New Roman"/>
          <w:b/>
          <w:color w:val="000000" w:themeColor="text1"/>
          <w:sz w:val="24"/>
          <w:szCs w:val="24"/>
          <w14:textFill>
            <w14:solidFill>
              <w14:schemeClr w14:val="tx1"/>
            </w14:solidFill>
          </w14:textFill>
        </w:rPr>
        <w:t>综合评价结论</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项目在施工期和调试期会对项目沿线区域的大气环境、地表水环境、地下水环境、声环境、生态环境和社会环境造成不同程度的影响，影响较为突出的是施工期对大气环境、声环境、生态环境的影响，调试期对大气环境、水环境、声环境的影响以及尾矿库溃坝导致的环境风险影响等。本评价对项目产生的环境影响进行了详细的分析、预测，在此基础上提出了严格的污染防治措施，并且开展了公众调查工作，充分听取了相关民众的意见。</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项目的施工单位、建设单位应加强环境管理，严格落实本报告提出的污染防治措施，在此基础上，从环境保护角度而言，金川奥伊诺矿业有限公司锂辉石矿采选尾工程的建设是可行的。</w:t>
      </w:r>
    </w:p>
    <w:p>
      <w:pPr>
        <w:pStyle w:val="4"/>
        <w:rPr>
          <w:color w:val="000000" w:themeColor="text1"/>
          <w14:textFill>
            <w14:solidFill>
              <w14:schemeClr w14:val="tx1"/>
            </w14:solidFill>
          </w14:textFill>
        </w:rPr>
      </w:pPr>
      <w:r>
        <w:rPr>
          <w:color w:val="000000" w:themeColor="text1"/>
          <w14:textFill>
            <w14:solidFill>
              <w14:schemeClr w14:val="tx1"/>
            </w14:solidFill>
          </w14:textFill>
        </w:rPr>
        <w:t xml:space="preserve">3.1.3 </w:t>
      </w:r>
      <w:r>
        <w:rPr>
          <w:rFonts w:hint="eastAsia"/>
          <w:color w:val="000000" w:themeColor="text1"/>
          <w14:textFill>
            <w14:solidFill>
              <w14:schemeClr w14:val="tx1"/>
            </w14:solidFill>
          </w14:textFill>
        </w:rPr>
        <w:t>建议</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（1）项目区应加强绿化，可铺植草坪或种植对大气含尘浓度不产生有害影响的树木和灌丛，尽量减少厂区内裸土面积。</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（2）在日常生产中应加强环境保护管理，配置专职环保人员，建立环境保护责任制，落实到人，确保各污染防治措施正常有效运行，并加强员工的环境保护意识，提高专职环保人员的业务水平和环境管理水平。</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（3）在生产运行时，应注意借鉴国内外大型选厂的先进工艺技术和管理经验，进一步提高先进技术装备和清洁生产水平。</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（4）对开采过程中形成的坑地，应利用废弃土、石料回填平整，并在表层覆土，对整治后的土地加以改造利用，乔、灌、草合理配置，以尽快恢复植被，保持水土。</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5）对项目基建和生产运行中形成不稳定边坡，应采取护坡工程；对采矿区不能开采或矿石已采竭的裸露地表，应作为林业用地，种植乡土树种，并做好乔、灌、草合理配置，以尽快恢复植被，减轻采矿区的水土流失。</w:t>
      </w:r>
    </w:p>
    <w:p>
      <w:pPr>
        <w:pStyle w:val="3"/>
        <w:rPr>
          <w:color w:val="000000" w:themeColor="text1"/>
          <w14:textFill>
            <w14:solidFill>
              <w14:schemeClr w14:val="tx1"/>
            </w14:solidFill>
          </w14:textFill>
        </w:rPr>
      </w:pPr>
      <w:bookmarkStart w:id="18" w:name="_Toc62202382"/>
      <w:r>
        <w:rPr>
          <w:rFonts w:hint="eastAsia"/>
          <w:color w:val="000000" w:themeColor="text1"/>
          <w14:textFill>
            <w14:solidFill>
              <w14:schemeClr w14:val="tx1"/>
            </w14:solidFill>
          </w14:textFill>
        </w:rPr>
        <w:t>3</w:t>
      </w:r>
      <w:r>
        <w:rPr>
          <w:color w:val="000000" w:themeColor="text1"/>
          <w14:textFill>
            <w14:solidFill>
              <w14:schemeClr w14:val="tx1"/>
            </w14:solidFill>
          </w14:textFill>
        </w:rPr>
        <w:t>.2 环境影响评价报告书批复</w:t>
      </w:r>
      <w:bookmarkEnd w:id="18"/>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该项目位于阿坝州金川县集沐乡境内，矿区面积约4.37km</w:t>
      </w:r>
      <w:r>
        <w:rPr>
          <w:rFonts w:hint="eastAsia" w:ascii="Times New Roman" w:hAnsi="Times New Roman" w:cs="Times New Roman"/>
          <w:color w:val="000000" w:themeColor="text1"/>
          <w:sz w:val="24"/>
          <w:szCs w:val="24"/>
          <w:vertAlign w:val="superscript"/>
          <w14:textFill>
            <w14:solidFill>
              <w14:schemeClr w14:val="tx1"/>
            </w14:solidFill>
          </w14:textFill>
        </w:rPr>
        <w:t>2</w:t>
      </w:r>
      <w:r>
        <w:rPr>
          <w:rFonts w:hint="eastAsia" w:ascii="Times New Roman" w:hAnsi="Times New Roman" w:cs="Times New Roman"/>
          <w:color w:val="000000" w:themeColor="text1"/>
          <w:sz w:val="24"/>
          <w:szCs w:val="24"/>
          <w14:textFill>
            <w14:solidFill>
              <w14:schemeClr w14:val="tx1"/>
            </w14:solidFill>
          </w14:textFill>
        </w:rPr>
        <w:t>，开采标高4552m至3884m。本工程包括采矿和配套的选矿两部分。采矿采用露天 地下联合开采方式，其中一采区为露天开采（采用台阶纵向采矿法）、二至八采区为地下开采（采用上向分层充填法、分段空场嗣后充填法）；露天采场采用公路开拓运输，地下采场采用平硐 溜井（或辅助盲斜坡道）开拓无轨运输或平硐开拓无轨运输。主要建设内容为新建露天采场1个、地下采场7个（共设14个采矿中段、16个平硐）、废石场3个（露天矿基建废石场有效容积约58万m</w:t>
      </w:r>
      <w:r>
        <w:rPr>
          <w:rFonts w:hint="eastAsia" w:ascii="Times New Roman" w:hAnsi="Times New Roman" w:cs="Times New Roman"/>
          <w:color w:val="000000" w:themeColor="text1"/>
          <w:sz w:val="24"/>
          <w:szCs w:val="24"/>
          <w:vertAlign w:val="superscript"/>
          <w14:textFill>
            <w14:solidFill>
              <w14:schemeClr w14:val="tx1"/>
            </w14:solidFill>
          </w14:textFill>
        </w:rPr>
        <w:t>3</w:t>
      </w:r>
      <w:r>
        <w:rPr>
          <w:rFonts w:hint="eastAsia" w:ascii="Times New Roman" w:hAnsi="Times New Roman" w:cs="Times New Roman"/>
          <w:color w:val="000000" w:themeColor="text1"/>
          <w:sz w:val="24"/>
          <w:szCs w:val="24"/>
          <w14:textFill>
            <w14:solidFill>
              <w14:schemeClr w14:val="tx1"/>
            </w14:solidFill>
          </w14:textFill>
        </w:rPr>
        <w:t>、露天矿生产废石场有效容积约500万m</w:t>
      </w:r>
      <w:r>
        <w:rPr>
          <w:rFonts w:hint="eastAsia" w:ascii="Times New Roman" w:hAnsi="Times New Roman" w:cs="Times New Roman"/>
          <w:color w:val="000000" w:themeColor="text1"/>
          <w:sz w:val="24"/>
          <w:szCs w:val="24"/>
          <w:vertAlign w:val="superscript"/>
          <w14:textFill>
            <w14:solidFill>
              <w14:schemeClr w14:val="tx1"/>
            </w14:solidFill>
          </w14:textFill>
        </w:rPr>
        <w:t>3</w:t>
      </w:r>
      <w:r>
        <w:rPr>
          <w:rFonts w:hint="eastAsia" w:ascii="Times New Roman" w:hAnsi="Times New Roman" w:cs="Times New Roman"/>
          <w:color w:val="000000" w:themeColor="text1"/>
          <w:sz w:val="24"/>
          <w:szCs w:val="24"/>
          <w14:textFill>
            <w14:solidFill>
              <w14:schemeClr w14:val="tx1"/>
            </w14:solidFill>
          </w14:textFill>
        </w:rPr>
        <w:t>、坑采基建废石场有效容积约38万m</w:t>
      </w:r>
      <w:r>
        <w:rPr>
          <w:rFonts w:hint="eastAsia" w:ascii="Times New Roman" w:hAnsi="Times New Roman" w:cs="Times New Roman"/>
          <w:color w:val="000000" w:themeColor="text1"/>
          <w:sz w:val="24"/>
          <w:szCs w:val="24"/>
          <w:vertAlign w:val="superscript"/>
          <w14:textFill>
            <w14:solidFill>
              <w14:schemeClr w14:val="tx1"/>
            </w14:solidFill>
          </w14:textFill>
        </w:rPr>
        <w:t>3</w:t>
      </w:r>
      <w:r>
        <w:rPr>
          <w:rFonts w:hint="eastAsia" w:ascii="Times New Roman" w:hAnsi="Times New Roman" w:cs="Times New Roman"/>
          <w:color w:val="000000" w:themeColor="text1"/>
          <w:sz w:val="24"/>
          <w:szCs w:val="24"/>
          <w14:textFill>
            <w14:solidFill>
              <w14:schemeClr w14:val="tx1"/>
            </w14:solidFill>
          </w14:textFill>
        </w:rPr>
        <w:t>），并配套建设露天工业场地1个（设综合仓库、桶装油品间等）、坑口工业场地7个（在二采区设临时堆矿场、维修车间、倒班宿舍、综合仓库、配电室、空压机站、值班室等设施；三至八采区分别设综合仓库、配电室、值班室等设施）、矿区公路（改造既有道路约30km、新建道路约10km）、油品存放点、生活区等公辅设施。矿山总服务年限18年，其中基建期1年，露天与地下联合开采7年，之后转入全地下开采10年。</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选矿采用“浮选 磁选 重选”联合选矿工艺。主要建设内容为新建选矿厂（设原矿堆场、粗碎室、中/细碎室、筛分车间、粉矿仓、磨矿车间、浮选车间、锂精矿浓密池、精矿脱水车间、精矿堆存车间、尾矿浓密池、尾矿输送车间、综合仓库等设施）、尾矿库1座（包括初期坝、拦污坝、尾矿堆坝及排洪设施，有效库容306万m</w:t>
      </w:r>
      <w:r>
        <w:rPr>
          <w:rFonts w:hint="eastAsia" w:ascii="Times New Roman" w:hAnsi="Times New Roman" w:cs="Times New Roman"/>
          <w:color w:val="000000" w:themeColor="text1"/>
          <w:sz w:val="24"/>
          <w:szCs w:val="24"/>
          <w:vertAlign w:val="superscript"/>
          <w14:textFill>
            <w14:solidFill>
              <w14:schemeClr w14:val="tx1"/>
            </w14:solidFill>
          </w14:textFill>
        </w:rPr>
        <w:t>3</w:t>
      </w:r>
      <w:r>
        <w:rPr>
          <w:rFonts w:hint="eastAsia" w:ascii="Times New Roman" w:hAnsi="Times New Roman" w:cs="Times New Roman"/>
          <w:color w:val="000000" w:themeColor="text1"/>
          <w:sz w:val="24"/>
          <w:szCs w:val="24"/>
          <w14:textFill>
            <w14:solidFill>
              <w14:schemeClr w14:val="tx1"/>
            </w14:solidFill>
          </w14:textFill>
        </w:rPr>
        <w:t>，服务年限18年）、充填制备站、尾矿压滤车间、尾矿输送管线及回水管线（长度均约2.2km）、锅炉房（2×10t/h电锅炉）、选厂生产废水处理站等公辅设施。</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工程建成后采选规模为40.5万t/a，形成年产锂精矿6.96万t、钽铌精矿78.3t的生产能力。工程总投资77288万元，其中环保投资4424.94万元。</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该项目矿产资源开发利用方案经四川省国土资源厅备案同意（川国土资矿开备〔2018〕4号）。项目符合《四川省矿产资源总体规划（2016—2020年）》《阿坝藏族羌族自治州矿产资源总体规划（2016—2020年）》等相关规划。该项目严格按照报告书中所列建设项目的性质、规模、工艺、地点和拟采取的环境保护措施建设和运行，对环境的不利影响能够得到缓解和控制。因此，我厅同意报告书结论。你公司应全面落实报告书提出的各项环境保护对策措施和本批复要求。项目建设应重点做好以下工作。</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1）严格按照《矿山生态环境保护与污染防治技术政策》（环发〔2005〕109号）要求，加强建设期和生产期环境保护工作，优化开采工艺设计及设备选型，落实环保投资及各项污染防治设施建设，明确单位内部环境管理机构、人员；认真履行环境保护“三同时”制度，结合区域高海拔的气候特点，加强各类设施的保温措施、运行维护管理，确保各项设施稳定运行及污染物稳定达标排放；强化环境管理，杜绝事故污染，确保环境安全。</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（2）落实建设期污染防治措施和生态保护措施，合理布置施工场地，施工活动应控制在征地范围内，严格控制施工临时占地，做好施工弃渣、废石的处置和综合利用，落实水土保持措施，减少新增水土流失。</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3）落实并优化报告书提出的大气污染防治措施，生产过程中要加强管理，规范操作，确保废气达标排放。采场采用湿法作业，采掘、转运及装卸点均设置喷雾降尘装置；通过封闭运输、洒水降尘等措施，控制和减少运输、装卸及堆存过程中扬尘对周围环境的影响。</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选厂粗碎、中/细碎、筛分产生的粉尘经“集气罩 脉冲袋式除尘器”处理后由15m排气筒达标排放；选厂粉矿仓、充填制备站水泥仓产生的粉尘经脉冲袋式除尘器处理后由15m排气筒达标排放；废石场和尾矿库采取定期洒水降尘。</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按报告书要求在露天采区、露天矿基建废石场、露天矿生产废石场、坑采基建废石场、3920m坑口工业场地临时堆矿场地、选厂原矿堆场（含卸矿平台）、选厂粗碎室、中/细碎室、筛分车间、尾矿库边界外分别设置50m卫生防护距离，控制和减小无组织排放粉尘对周围环境的不利影响，该范围内现无人居分布，今后在卫生防护距离范围内不得建设学校、医院、居住区等敏感建筑。</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4）落实并优化各类废污水处理措施。完善采场“清污分流”，落实矿坑水收集、处理和回用措施，确保有效回用，不外排。露天采场（一采区）涌水、地下采场矿井涌水、充填渗水、废石场淋溶废水等经沉淀处理后回用于湿法作业及洒水降尘、选矿生产等；机修废水经隔油池处理后回用于选矿生产；</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选矿工艺废水、尾矿压滤废水、实验室废水经“絮凝沉淀 酸碱中和”处理后回用于选矿生产；选厂设备冷却及水封废水、锅炉排污水及软水制备树脂再生废水收集后回用于选矿生产；选厂初期雨水、地面冲洗废水经沉淀处理后回用于选矿生产；尾矿库渗滤液回用于选矿生产等。生活污水经地埋式一体化二级生化处理设施，处理达相关要求后用于选矿生产。</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5）落实地下水污染防治措施。按照相关要求，对尾矿库、磨矿车间、浮选车间等区域落实分区防渗措施，防止地下水环境污染。并在地下采场、尾矿库、废石场、选矿厂、油品存放点等区域设置监测井，对工程运行后地下水环境进行跟踪监测。</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6）落实噪声污染防治措施。项目噪声主要为采选机械设备噪声及爆破、运输噪声等，通过选用低噪声设备，采取减振、隔声、消声等措施，确保厂界噪声达标排放。结合生态环境特点（尤其是野生动物分布及生活习性等情况），优化爆破作业方式、时间，合理安排厂区高噪声源位置，控制和减少对生态的影响。</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7）落实并优化报告书提出的固体废物处置措施。项目废石、尾矿、选厂磁选废物属于Ⅰ类一般工业固体废物。基建、采矿过程中产生的废石送相应废石场堆存；尾矿输送至尾矿压滤车间经压滤后，部分与水泥混合后用于二采区采坑充填，剩余部分输送至尾矿库堆存；选厂磁选废物送尾矿库堆存；废油、废油桶等属危险废物，送有资质的单位处置；选矿厂袋式除尘器收尘返回选矿作为原料，充填制备站水泥仓袋式除尘器收尘作为填充原料；生活垃圾清运至金川县城市生活垃圾填埋场处置。加强对各种固体废弃物的收集、暂存、转运、处置及综合利用过程的管理，采取有效、可靠的防范措施，防止产生二次污染。</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（8）强化企业清洁生产管理，在工艺设备、资源能源利用指标、废物回收利用指标及环境管理等方面认真落实清洁生产要求，确保各项指标达到国内行业先进水平。</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9）项目区域属于高海拔生态脆弱区，应按照《矿山生态环境保护与恢复治理技术规范（试行）》（HJ651-2013）相关要求，严格落实生态保护及补偿措施。各类弃渣、废石严格按规定处置，禁止随意堆放，及时对施工临时占地进行生态恢复，控制和减少新增水土流失。加强地表沉降监测，如采矿引起地表沉陷应采取有效防治措施，避免对生态环境造成不利影响。</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按报告书要求根据不同时段（建设期、生产期、矿山服务期满后）分别落实生态恢复措施，对破坏的草地、林地及时采取生态修复措施，植被恢复系数须达到国家和地方规定的指标要求。矿山服务期满后，应结合区域环境特点，对工业场地、采场、排土场、尾矿库等全面进行生态恢复，植被恢复应尽量利用当地乡土物种，就地开展原生草皮移栽，促进植被尽快恢复。</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（1</w:t>
      </w:r>
      <w:r>
        <w:rPr>
          <w:rFonts w:ascii="Times New Roman" w:hAnsi="Times New Roman" w:cs="Times New Roman"/>
          <w:color w:val="000000" w:themeColor="text1"/>
          <w:sz w:val="24"/>
          <w:szCs w:val="24"/>
          <w14:textFill>
            <w14:solidFill>
              <w14:schemeClr w14:val="tx1"/>
            </w14:solidFill>
          </w14:textFill>
        </w:rPr>
        <w:t>0</w:t>
      </w:r>
      <w:r>
        <w:rPr>
          <w:rFonts w:hint="eastAsia" w:ascii="Times New Roman" w:hAnsi="Times New Roman" w:cs="Times New Roman"/>
          <w:color w:val="000000" w:themeColor="text1"/>
          <w:sz w:val="24"/>
          <w:szCs w:val="24"/>
          <w14:textFill>
            <w14:solidFill>
              <w14:schemeClr w14:val="tx1"/>
            </w14:solidFill>
          </w14:textFill>
        </w:rPr>
        <w:t>）落实并优化报告书提出的各项风险防范措施。加强排土场、尾矿库技术管理，防止事故风险。严格按《选矿厂尾矿设施设计规范》要求进行尾矿库各种建构筑物设计，按《尾矿库环境应急预案编制指南》相关要求编制尾矿库环境应急预案，严格落实尾矿库环境风险防范措施及应急预案，防止因尾矿库事故引发的突发性环境事件，建立应急响应机制，确保环境安全。</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（1</w:t>
      </w:r>
      <w:r>
        <w:rPr>
          <w:rFonts w:ascii="Times New Roman" w:hAnsi="Times New Roman" w:cs="Times New Roman"/>
          <w:color w:val="000000" w:themeColor="text1"/>
          <w:sz w:val="24"/>
          <w:szCs w:val="24"/>
          <w14:textFill>
            <w14:solidFill>
              <w14:schemeClr w14:val="tx1"/>
            </w14:solidFill>
          </w14:textFill>
        </w:rPr>
        <w:t>1</w:t>
      </w:r>
      <w:r>
        <w:rPr>
          <w:rFonts w:hint="eastAsia" w:ascii="Times New Roman" w:hAnsi="Times New Roman" w:cs="Times New Roman"/>
          <w:color w:val="000000" w:themeColor="text1"/>
          <w:sz w:val="24"/>
          <w:szCs w:val="24"/>
          <w14:textFill>
            <w14:solidFill>
              <w14:schemeClr w14:val="tx1"/>
            </w14:solidFill>
          </w14:textFill>
        </w:rPr>
        <w:t>）初步设计阶段应进一步细化环境保护设施，在环保篇章中落实防治生态破坏和环境污染的各项措施及投资。</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（1</w:t>
      </w:r>
      <w:r>
        <w:rPr>
          <w:rFonts w:ascii="Times New Roman" w:hAnsi="Times New Roman" w:cs="Times New Roman"/>
          <w:color w:val="000000" w:themeColor="text1"/>
          <w:sz w:val="24"/>
          <w:szCs w:val="24"/>
          <w14:textFill>
            <w14:solidFill>
              <w14:schemeClr w14:val="tx1"/>
            </w14:solidFill>
          </w14:textFill>
        </w:rPr>
        <w:t>2</w:t>
      </w:r>
      <w:r>
        <w:rPr>
          <w:rFonts w:hint="eastAsia" w:ascii="Times New Roman" w:hAnsi="Times New Roman" w:cs="Times New Roman"/>
          <w:color w:val="000000" w:themeColor="text1"/>
          <w:sz w:val="24"/>
          <w:szCs w:val="24"/>
          <w14:textFill>
            <w14:solidFill>
              <w14:schemeClr w14:val="tx1"/>
            </w14:solidFill>
          </w14:textFill>
        </w:rPr>
        <w:t>）加强事中事后环境监管，结合项目和区域环境特点，建立现代化监控体系，并认真开展工程环境监理，确保各项环境保护措施的有效落实。</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（1</w:t>
      </w:r>
      <w:r>
        <w:rPr>
          <w:rFonts w:ascii="Times New Roman" w:hAnsi="Times New Roman" w:cs="Times New Roman"/>
          <w:color w:val="000000" w:themeColor="text1"/>
          <w:sz w:val="24"/>
          <w:szCs w:val="24"/>
          <w14:textFill>
            <w14:solidFill>
              <w14:schemeClr w14:val="tx1"/>
            </w14:solidFill>
          </w14:textFill>
        </w:rPr>
        <w:t>3</w:t>
      </w:r>
      <w:r>
        <w:rPr>
          <w:rFonts w:hint="eastAsia" w:ascii="Times New Roman" w:hAnsi="Times New Roman" w:cs="Times New Roman"/>
          <w:color w:val="000000" w:themeColor="text1"/>
          <w:sz w:val="24"/>
          <w:szCs w:val="24"/>
          <w14:textFill>
            <w14:solidFill>
              <w14:schemeClr w14:val="tx1"/>
            </w14:solidFill>
          </w14:textFill>
        </w:rPr>
        <w:t>）项目建成投产后，建设单位应按照《建设项目环境影响后评价管理办法（试行）》要求，开展建设项目后评价工作。</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（1</w:t>
      </w:r>
      <w:r>
        <w:rPr>
          <w:rFonts w:ascii="Times New Roman" w:hAnsi="Times New Roman" w:cs="Times New Roman"/>
          <w:color w:val="000000" w:themeColor="text1"/>
          <w:sz w:val="24"/>
          <w:szCs w:val="24"/>
          <w14:textFill>
            <w14:solidFill>
              <w14:schemeClr w14:val="tx1"/>
            </w14:solidFill>
          </w14:textFill>
        </w:rPr>
        <w:t>4</w:t>
      </w:r>
      <w:r>
        <w:rPr>
          <w:rFonts w:hint="eastAsia" w:ascii="Times New Roman" w:hAnsi="Times New Roman" w:cs="Times New Roman"/>
          <w:color w:val="000000" w:themeColor="text1"/>
          <w:sz w:val="24"/>
          <w:szCs w:val="24"/>
          <w14:textFill>
            <w14:solidFill>
              <w14:schemeClr w14:val="tx1"/>
            </w14:solidFill>
          </w14:textFill>
        </w:rPr>
        <w:t>）项目开工建设前，应依法完备其他行政许可手续。</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（1</w:t>
      </w:r>
      <w:r>
        <w:rPr>
          <w:rFonts w:ascii="Times New Roman" w:hAnsi="Times New Roman" w:cs="Times New Roman"/>
          <w:color w:val="000000" w:themeColor="text1"/>
          <w:sz w:val="24"/>
          <w:szCs w:val="24"/>
          <w14:textFill>
            <w14:solidFill>
              <w14:schemeClr w14:val="tx1"/>
            </w14:solidFill>
          </w14:textFill>
        </w:rPr>
        <w:t>5</w:t>
      </w:r>
      <w:r>
        <w:rPr>
          <w:rFonts w:hint="eastAsia" w:ascii="Times New Roman" w:hAnsi="Times New Roman" w:cs="Times New Roman"/>
          <w:color w:val="000000" w:themeColor="text1"/>
          <w:sz w:val="24"/>
          <w:szCs w:val="24"/>
          <w14:textFill>
            <w14:solidFill>
              <w14:schemeClr w14:val="tx1"/>
            </w14:solidFill>
          </w14:textFill>
        </w:rPr>
        <w:t>）建设项目必须严格执行配套建设的环境保护设施与主体工程同时设计、同时施工、同时投产使用的环境保护“三同时”制度。建设项目竣工后，你公司应按规定标准和程序，对配套建设的环境保护设施进行验收。</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（1</w:t>
      </w:r>
      <w:r>
        <w:rPr>
          <w:rFonts w:ascii="Times New Roman" w:hAnsi="Times New Roman" w:cs="Times New Roman"/>
          <w:color w:val="000000" w:themeColor="text1"/>
          <w:sz w:val="24"/>
          <w:szCs w:val="24"/>
          <w14:textFill>
            <w14:solidFill>
              <w14:schemeClr w14:val="tx1"/>
            </w14:solidFill>
          </w14:textFill>
        </w:rPr>
        <w:t>6</w:t>
      </w:r>
      <w:r>
        <w:rPr>
          <w:rFonts w:hint="eastAsia" w:ascii="Times New Roman" w:hAnsi="Times New Roman" w:cs="Times New Roman"/>
          <w:color w:val="000000" w:themeColor="text1"/>
          <w:sz w:val="24"/>
          <w:szCs w:val="24"/>
          <w14:textFill>
            <w14:solidFill>
              <w14:schemeClr w14:val="tx1"/>
            </w14:solidFill>
          </w14:textFill>
        </w:rPr>
        <w:t>）项目环境影响评价文件经批准后，如工程的性质、规模、工艺、地点或者防治污染、防止生态破坏的措施发生重大变动的，建设单位应当重新报批环境影响评价文件，否则不得实施建设。自环评批复文件批准之日起，如工程超过5年未开工建设，环境影响评价文件应当报我厅重新审核。</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sectPr>
          <w:pgSz w:w="11906" w:h="16838"/>
          <w:pgMar w:top="1440" w:right="1800" w:bottom="1440" w:left="1800" w:header="851" w:footer="992" w:gutter="0"/>
          <w:cols w:space="425" w:num="1"/>
          <w:docGrid w:type="lines" w:linePitch="312" w:charSpace="0"/>
        </w:sectPr>
      </w:pPr>
    </w:p>
    <w:p>
      <w:pPr>
        <w:pStyle w:val="2"/>
        <w:rPr>
          <w:color w:val="000000" w:themeColor="text1"/>
          <w14:textFill>
            <w14:solidFill>
              <w14:schemeClr w14:val="tx1"/>
            </w14:solidFill>
          </w14:textFill>
        </w:rPr>
      </w:pPr>
      <w:bookmarkStart w:id="19" w:name="_Toc62202383"/>
      <w:r>
        <w:rPr>
          <w:rFonts w:hint="eastAsia"/>
          <w:color w:val="000000" w:themeColor="text1"/>
          <w14:textFill>
            <w14:solidFill>
              <w14:schemeClr w14:val="tx1"/>
            </w14:solidFill>
          </w14:textFill>
        </w:rPr>
        <w:t>4</w:t>
      </w:r>
      <w:r>
        <w:rPr>
          <w:color w:val="000000" w:themeColor="text1"/>
          <w14:textFill>
            <w14:solidFill>
              <w14:schemeClr w14:val="tx1"/>
            </w14:solidFill>
          </w14:textFill>
        </w:rPr>
        <w:t>. 环保措施落实情况调查</w:t>
      </w:r>
      <w:bookmarkEnd w:id="19"/>
    </w:p>
    <w:p>
      <w:pPr>
        <w:pStyle w:val="3"/>
        <w:rPr>
          <w:color w:val="000000" w:themeColor="text1"/>
          <w14:textFill>
            <w14:solidFill>
              <w14:schemeClr w14:val="tx1"/>
            </w14:solidFill>
          </w14:textFill>
        </w:rPr>
      </w:pPr>
      <w:bookmarkStart w:id="20" w:name="_Toc62202384"/>
      <w:r>
        <w:rPr>
          <w:rFonts w:hint="eastAsia"/>
          <w:color w:val="000000" w:themeColor="text1"/>
          <w14:textFill>
            <w14:solidFill>
              <w14:schemeClr w14:val="tx1"/>
            </w14:solidFill>
          </w14:textFill>
        </w:rPr>
        <w:t>4</w:t>
      </w:r>
      <w:r>
        <w:rPr>
          <w:color w:val="000000" w:themeColor="text1"/>
          <w14:textFill>
            <w14:solidFill>
              <w14:schemeClr w14:val="tx1"/>
            </w14:solidFill>
          </w14:textFill>
        </w:rPr>
        <w:t>.1 环境保护措施落实情况</w:t>
      </w:r>
      <w:bookmarkEnd w:id="20"/>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《业隆沟锂辉石矿采选尾工程环境影响报告书（报批件）》中对工程施工期和调试期提出了较为全面、详细的环境保护措施。</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本次竣工环保验收调查的重要任务之一是查清工程在设计、施工及调试过程中，对环境影响报告书及其批复中要求的环保措施和建议的落实情况。本章根据金川奥伊诺矿业有限公司及四川爱欧特环保科技有限公司提供的工程建设期相关资料以及现场迹地踏勘获取的工程已采取的环境保护措施落实情况信息进行整理，并用检查表法与环境影响报告书、环评报告书批复文件要求进行对比分析。</w: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.1.1 环境污染防治措施落实情况</w:t>
      </w:r>
    </w:p>
    <w:p>
      <w:pPr>
        <w:spacing w:line="360" w:lineRule="auto"/>
        <w:rPr>
          <w:rFonts w:ascii="Times New Roman" w:hAnsi="Times New Roman" w:cs="Times New Roman"/>
          <w:b/>
          <w:color w:val="000000" w:themeColor="text1"/>
          <w:sz w:val="24"/>
          <w14:textFill>
            <w14:solidFill>
              <w14:schemeClr w14:val="tx1"/>
            </w14:solidFill>
          </w14:textFill>
        </w:rPr>
      </w:pPr>
      <w:r>
        <w:rPr>
          <w:rFonts w:ascii="Times New Roman" w:hAnsi="Times New Roman" w:cs="Times New Roman"/>
          <w:b/>
          <w:color w:val="000000" w:themeColor="text1"/>
          <w:sz w:val="24"/>
          <w14:textFill>
            <w14:solidFill>
              <w14:schemeClr w14:val="tx1"/>
            </w14:solidFill>
          </w14:textFill>
        </w:rPr>
        <w:t>4.1.1.1 水环境保护措施落实情况</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1、施工期</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施工期修建临时旱厕，对生活污水进行收集处理，旱厕定期掏挖用于附近林地施肥。</w:t>
      </w:r>
    </w:p>
    <w:p>
      <w:pPr>
        <w:spacing w:line="360" w:lineRule="auto"/>
        <w:jc w:val="center"/>
        <w:rPr>
          <w:rFonts w:ascii="Times New Roman" w:hAnsi="Times New Roman" w:cs="Times New Roman"/>
          <w:color w:val="000000" w:themeColor="text1"/>
          <w:sz w:val="24"/>
          <w:szCs w:val="24"/>
          <w14:textFill>
            <w14:solidFill>
              <w14:schemeClr w14:val="tx1"/>
            </w14:solidFill>
          </w14:textFill>
        </w:rPr>
      </w:pPr>
      <w:r>
        <w:drawing>
          <wp:inline distT="0" distB="0" distL="0" distR="0">
            <wp:extent cx="2399665" cy="1799590"/>
            <wp:effectExtent l="0" t="0" r="63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00000" cy="1800000"/>
                    </a:xfrm>
                    <a:prstGeom prst="rect">
                      <a:avLst/>
                    </a:prstGeom>
                    <a:noFill/>
                    <a:ln>
                      <a:noFill/>
                    </a:ln>
                  </pic:spPr>
                </pic:pic>
              </a:graphicData>
            </a:graphic>
          </wp:inline>
        </w:drawing>
      </w:r>
    </w:p>
    <w:p>
      <w:pPr>
        <w:spacing w:line="360" w:lineRule="auto"/>
        <w:jc w:val="center"/>
        <w:rPr>
          <w:rFonts w:ascii="Times New Roman" w:hAnsi="Times New Roman" w:cs="Times New Roman"/>
          <w:b/>
          <w:color w:val="000000" w:themeColor="text1"/>
          <w:szCs w:val="24"/>
          <w14:textFill>
            <w14:solidFill>
              <w14:schemeClr w14:val="tx1"/>
            </w14:solidFill>
          </w14:textFill>
        </w:rPr>
      </w:pPr>
      <w:r>
        <w:rPr>
          <w:rFonts w:hint="eastAsia" w:ascii="Times New Roman" w:hAnsi="Times New Roman" w:cs="Times New Roman"/>
          <w:b/>
          <w:color w:val="000000" w:themeColor="text1"/>
          <w:szCs w:val="24"/>
          <w14:textFill>
            <w14:solidFill>
              <w14:schemeClr w14:val="tx1"/>
            </w14:solidFill>
          </w14:textFill>
        </w:rPr>
        <w:t>图4</w:t>
      </w:r>
      <w:r>
        <w:rPr>
          <w:rFonts w:ascii="Times New Roman" w:hAnsi="Times New Roman" w:cs="Times New Roman"/>
          <w:b/>
          <w:color w:val="000000" w:themeColor="text1"/>
          <w:szCs w:val="24"/>
          <w14:textFill>
            <w14:solidFill>
              <w14:schemeClr w14:val="tx1"/>
            </w14:solidFill>
          </w14:textFill>
        </w:rPr>
        <w:t xml:space="preserve">.1-1  </w:t>
      </w:r>
      <w:r>
        <w:rPr>
          <w:rFonts w:hint="eastAsia" w:ascii="Times New Roman" w:hAnsi="Times New Roman" w:cs="Times New Roman"/>
          <w:b/>
          <w:color w:val="000000" w:themeColor="text1"/>
          <w:szCs w:val="24"/>
          <w14:textFill>
            <w14:solidFill>
              <w14:schemeClr w14:val="tx1"/>
            </w14:solidFill>
          </w14:textFill>
        </w:rPr>
        <w:t>施工期修建旱厕</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2、调试期</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项目调试期污水主要是露天采区外排水和采区内涌水、废石场淋溶废水及生活污水。</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调试期生活污水配备了生活污水处理系统，生活污水处理后用做选厂生产用水，不外排；生产废水按照环境影响评价报告文件要求建设污水处理设施，生产废水处理后回用于生产，无外排。</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采用分台阶截流的排水方案，排水沟末端设置沉淀池100m</w:t>
      </w:r>
      <w:r>
        <w:rPr>
          <w:rFonts w:hint="eastAsia" w:ascii="Times New Roman" w:hAnsi="Times New Roman" w:cs="Times New Roman"/>
          <w:color w:val="000000" w:themeColor="text1"/>
          <w:sz w:val="24"/>
          <w:szCs w:val="24"/>
          <w:vertAlign w:val="superscript"/>
          <w14:textFill>
            <w14:solidFill>
              <w14:schemeClr w14:val="tx1"/>
            </w14:solidFill>
          </w14:textFill>
        </w:rPr>
        <w:t>3</w:t>
      </w:r>
      <w:r>
        <w:rPr>
          <w:rFonts w:hint="eastAsia" w:ascii="Times New Roman" w:hAnsi="Times New Roman" w:cs="Times New Roman"/>
          <w:color w:val="000000" w:themeColor="text1"/>
          <w:sz w:val="24"/>
          <w:szCs w:val="24"/>
          <w14:textFill>
            <w14:solidFill>
              <w14:schemeClr w14:val="tx1"/>
            </w14:solidFill>
          </w14:textFill>
        </w:rPr>
        <w:t>收集采区内涌水，沉淀后用于露天采区湿法作业、降尘等用水；露天矿生产废石场分三台进行堆存，围绕废石场修建截洪沟，废石场底部设置排水盲沟，并在碾压堆石坝下游设置</w:t>
      </w:r>
      <w:r>
        <w:rPr>
          <w:rFonts w:hint="eastAsia" w:ascii="Times New Roman" w:hAnsi="Times New Roman" w:cs="Times New Roman"/>
          <w:color w:val="000000" w:themeColor="text1"/>
          <w:sz w:val="24"/>
          <w:szCs w:val="24"/>
          <w:lang w:val="en-US" w:eastAsia="zh-CN"/>
          <w14:textFill>
            <w14:solidFill>
              <w14:schemeClr w14:val="tx1"/>
            </w14:solidFill>
          </w14:textFill>
        </w:rPr>
        <w:t>沉砂池</w:t>
      </w:r>
      <w:r>
        <w:rPr>
          <w:rFonts w:hint="eastAsia" w:ascii="Times New Roman" w:hAnsi="Times New Roman" w:cs="Times New Roman"/>
          <w:color w:val="000000" w:themeColor="text1"/>
          <w:sz w:val="24"/>
          <w:szCs w:val="24"/>
          <w14:textFill>
            <w14:solidFill>
              <w14:schemeClr w14:val="tx1"/>
            </w14:solidFill>
          </w14:textFill>
        </w:rPr>
        <w:t>1座，与排水盲沟相连，废水澄清后用于废石场降尘，多余废水用于选矿生产用水。项目</w:t>
      </w:r>
      <w:r>
        <w:rPr>
          <w:rFonts w:ascii="Times New Roman" w:hAnsi="Times New Roman" w:cs="Times New Roman"/>
          <w:color w:val="000000" w:themeColor="text1"/>
          <w:sz w:val="24"/>
          <w:szCs w:val="24"/>
          <w14:textFill>
            <w14:solidFill>
              <w14:schemeClr w14:val="tx1"/>
            </w14:solidFill>
          </w14:textFill>
        </w:rPr>
        <w:t>建设有</w:t>
      </w:r>
      <w:r>
        <w:rPr>
          <w:rFonts w:hint="eastAsia" w:ascii="Times New Roman" w:hAnsi="Times New Roman" w:cs="Times New Roman"/>
          <w:color w:val="000000" w:themeColor="text1"/>
          <w:sz w:val="24"/>
          <w:szCs w:val="24"/>
          <w14:textFill>
            <w14:solidFill>
              <w14:schemeClr w14:val="tx1"/>
            </w14:solidFill>
          </w14:textFill>
        </w:rPr>
        <w:t>9处地下水</w:t>
      </w:r>
      <w:r>
        <w:rPr>
          <w:rFonts w:ascii="Times New Roman" w:hAnsi="Times New Roman" w:cs="Times New Roman"/>
          <w:color w:val="000000" w:themeColor="text1"/>
          <w:sz w:val="24"/>
          <w:szCs w:val="24"/>
          <w14:textFill>
            <w14:solidFill>
              <w14:schemeClr w14:val="tx1"/>
            </w14:solidFill>
          </w14:textFill>
        </w:rPr>
        <w:t>污染监测井</w:t>
      </w:r>
      <w:r>
        <w:rPr>
          <w:rFonts w:hint="eastAsia" w:ascii="Times New Roman" w:hAnsi="Times New Roman" w:cs="Times New Roman"/>
          <w:color w:val="000000" w:themeColor="text1"/>
          <w:sz w:val="24"/>
          <w:szCs w:val="24"/>
          <w14:textFill>
            <w14:solidFill>
              <w14:schemeClr w14:val="tx1"/>
            </w14:solidFill>
          </w14:textFill>
        </w:rPr>
        <w:t>，分别</w:t>
      </w:r>
      <w:r>
        <w:rPr>
          <w:rFonts w:ascii="Times New Roman" w:hAnsi="Times New Roman" w:cs="Times New Roman"/>
          <w:color w:val="000000" w:themeColor="text1"/>
          <w:sz w:val="24"/>
          <w:szCs w:val="24"/>
          <w14:textFill>
            <w14:solidFill>
              <w14:schemeClr w14:val="tx1"/>
            </w14:solidFill>
          </w14:textFill>
        </w:rPr>
        <w:t>位于：五采区下游、拦污坝下游、尾矿库南东侧、尾矿库南西侧、尾矿库堆积坝、尾矿库北东侧、</w:t>
      </w:r>
      <w:r>
        <w:rPr>
          <w:rFonts w:hint="eastAsia" w:ascii="Times New Roman" w:hAnsi="Times New Roman" w:cs="Times New Roman"/>
          <w:color w:val="000000" w:themeColor="text1"/>
          <w:sz w:val="24"/>
          <w:szCs w:val="24"/>
          <w14:textFill>
            <w14:solidFill>
              <w14:schemeClr w14:val="tx1"/>
            </w14:solidFill>
          </w14:textFill>
        </w:rPr>
        <w:t>露天</w:t>
      </w:r>
      <w:r>
        <w:rPr>
          <w:rFonts w:ascii="Times New Roman" w:hAnsi="Times New Roman" w:cs="Times New Roman"/>
          <w:color w:val="000000" w:themeColor="text1"/>
          <w:sz w:val="24"/>
          <w:szCs w:val="24"/>
          <w14:textFill>
            <w14:solidFill>
              <w14:schemeClr w14:val="tx1"/>
            </w14:solidFill>
          </w14:textFill>
        </w:rPr>
        <w:t>基建废石场下游、选厂下游（</w:t>
      </w:r>
      <w:r>
        <w:rPr>
          <w:rFonts w:hint="eastAsia" w:ascii="Times New Roman" w:hAnsi="Times New Roman" w:cs="Times New Roman"/>
          <w:color w:val="000000" w:themeColor="text1"/>
          <w:sz w:val="24"/>
          <w:szCs w:val="24"/>
          <w14:textFill>
            <w14:solidFill>
              <w14:schemeClr w14:val="tx1"/>
            </w14:solidFill>
          </w14:textFill>
        </w:rPr>
        <w:t>2处</w:t>
      </w:r>
      <w:r>
        <w:rPr>
          <w:rFonts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通过以上措施，降低了对环境影响，本项目基本按照环评及批复要求落实了相应水环境保护措施。水环境保护措施落实情况见下表。</w:t>
      </w:r>
    </w:p>
    <w:p>
      <w:pPr>
        <w:spacing w:line="36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drawing>
          <wp:inline distT="0" distB="0" distL="114300" distR="114300">
            <wp:extent cx="2376170" cy="1795145"/>
            <wp:effectExtent l="0" t="0" r="5080" b="14605"/>
            <wp:docPr id="50" name="图片 50" descr="07b5950da1e090cfba4bc5fb2a6c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07b5950da1e090cfba4bc5fb2a6c250"/>
                    <pic:cNvPicPr>
                      <a:picLocks noChangeAspect="1"/>
                    </pic:cNvPicPr>
                  </pic:nvPicPr>
                  <pic:blipFill>
                    <a:blip r:embed="rId13"/>
                    <a:srcRect t="29777" b="13535"/>
                    <a:stretch>
                      <a:fillRect/>
                    </a:stretch>
                  </pic:blipFill>
                  <pic:spPr>
                    <a:xfrm>
                      <a:off x="0" y="0"/>
                      <a:ext cx="2376170" cy="1795145"/>
                    </a:xfrm>
                    <a:prstGeom prst="rect">
                      <a:avLst/>
                    </a:prstGeom>
                  </pic:spPr>
                </pic:pic>
              </a:graphicData>
            </a:graphic>
          </wp:inline>
        </w:drawing>
      </w:r>
      <w:r>
        <w:rPr>
          <w:rFonts w:ascii="Times New Roman" w:hAnsi="Times New Roman" w:cs="Times New Roman"/>
          <w:color w:val="000000" w:themeColor="text1"/>
          <w:sz w:val="24"/>
          <w:szCs w:val="24"/>
          <w14:textFill>
            <w14:solidFill>
              <w14:schemeClr w14:val="tx1"/>
            </w14:solidFill>
          </w14:textFill>
        </w:rPr>
        <w:t xml:space="preserve">    </w:t>
      </w:r>
      <w:r>
        <w:rPr>
          <w:rFonts w:hint="eastAsia" w:ascii="Times New Roman" w:hAnsi="Times New Roman" w:cs="Times New Roman"/>
          <w:color w:val="000000" w:themeColor="text1"/>
          <w:sz w:val="24"/>
          <w:szCs w:val="24"/>
          <w14:textFill>
            <w14:solidFill>
              <w14:schemeClr w14:val="tx1"/>
            </w14:solidFill>
          </w14:textFill>
        </w:rPr>
        <w:drawing>
          <wp:inline distT="0" distB="0" distL="114300" distR="114300">
            <wp:extent cx="2376170" cy="1804670"/>
            <wp:effectExtent l="0" t="0" r="5080" b="5080"/>
            <wp:docPr id="51" name="图片 51" descr="33e45ac39cb755645f2421a00d110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33e45ac39cb755645f2421a00d1107c"/>
                    <pic:cNvPicPr>
                      <a:picLocks noChangeAspect="1"/>
                    </pic:cNvPicPr>
                  </pic:nvPicPr>
                  <pic:blipFill>
                    <a:blip r:embed="rId14"/>
                    <a:srcRect t="17746" b="25266"/>
                    <a:stretch>
                      <a:fillRect/>
                    </a:stretch>
                  </pic:blipFill>
                  <pic:spPr>
                    <a:xfrm>
                      <a:off x="0" y="0"/>
                      <a:ext cx="2376170" cy="1804670"/>
                    </a:xfrm>
                    <a:prstGeom prst="rect">
                      <a:avLst/>
                    </a:prstGeom>
                  </pic:spPr>
                </pic:pic>
              </a:graphicData>
            </a:graphic>
          </wp:inline>
        </w:drawing>
      </w:r>
    </w:p>
    <w:p>
      <w:pPr>
        <w:spacing w:line="360" w:lineRule="auto"/>
        <w:jc w:val="center"/>
        <w:rPr>
          <w:rFonts w:hint="eastAsia" w:ascii="Times New Roman" w:hAnsi="Times New Roman" w:cs="Times New Roman" w:eastAsiaTheme="minorEastAsia"/>
          <w:b/>
          <w:color w:val="000000" w:themeColor="text1"/>
          <w:szCs w:val="24"/>
          <w:lang w:eastAsia="zh-CN"/>
          <w14:textFill>
            <w14:solidFill>
              <w14:schemeClr w14:val="tx1"/>
            </w14:solidFill>
          </w14:textFill>
        </w:rPr>
      </w:pPr>
      <w:r>
        <w:rPr>
          <w:rFonts w:hint="eastAsia" w:ascii="Times New Roman" w:hAnsi="Times New Roman" w:cs="Times New Roman"/>
          <w:b/>
          <w:color w:val="000000" w:themeColor="text1"/>
          <w:szCs w:val="24"/>
          <w14:textFill>
            <w14:solidFill>
              <w14:schemeClr w14:val="tx1"/>
            </w14:solidFill>
          </w14:textFill>
        </w:rPr>
        <w:t>图4</w:t>
      </w:r>
      <w:r>
        <w:rPr>
          <w:rFonts w:ascii="Times New Roman" w:hAnsi="Times New Roman" w:cs="Times New Roman"/>
          <w:b/>
          <w:color w:val="000000" w:themeColor="text1"/>
          <w:szCs w:val="24"/>
          <w14:textFill>
            <w14:solidFill>
              <w14:schemeClr w14:val="tx1"/>
            </w14:solidFill>
          </w14:textFill>
        </w:rPr>
        <w:t xml:space="preserve">.1-2  </w:t>
      </w:r>
      <w:r>
        <w:rPr>
          <w:rFonts w:hint="eastAsia" w:ascii="Times New Roman" w:hAnsi="Times New Roman" w:cs="Times New Roman"/>
          <w:b/>
          <w:color w:val="000000" w:themeColor="text1"/>
          <w:szCs w:val="24"/>
          <w14:textFill>
            <w14:solidFill>
              <w14:schemeClr w14:val="tx1"/>
            </w14:solidFill>
          </w14:textFill>
        </w:rPr>
        <w:t xml:space="preserve">废石场周边截水沟 </w:t>
      </w:r>
      <w:r>
        <w:rPr>
          <w:rFonts w:ascii="Times New Roman" w:hAnsi="Times New Roman" w:cs="Times New Roman"/>
          <w:b/>
          <w:color w:val="000000" w:themeColor="text1"/>
          <w:szCs w:val="24"/>
          <w14:textFill>
            <w14:solidFill>
              <w14:schemeClr w14:val="tx1"/>
            </w14:solidFill>
          </w14:textFill>
        </w:rPr>
        <w:t xml:space="preserve">           </w:t>
      </w:r>
      <w:r>
        <w:rPr>
          <w:rFonts w:hint="eastAsia" w:ascii="Times New Roman" w:hAnsi="Times New Roman" w:cs="Times New Roman"/>
          <w:b/>
          <w:color w:val="000000" w:themeColor="text1"/>
          <w:szCs w:val="24"/>
          <w14:textFill>
            <w14:solidFill>
              <w14:schemeClr w14:val="tx1"/>
            </w14:solidFill>
          </w14:textFill>
        </w:rPr>
        <w:t xml:space="preserve"> </w:t>
      </w:r>
      <w:r>
        <w:rPr>
          <w:rFonts w:ascii="Times New Roman" w:hAnsi="Times New Roman" w:cs="Times New Roman"/>
          <w:b/>
          <w:color w:val="000000" w:themeColor="text1"/>
          <w:szCs w:val="24"/>
          <w14:textFill>
            <w14:solidFill>
              <w14:schemeClr w14:val="tx1"/>
            </w14:solidFill>
          </w14:textFill>
        </w:rPr>
        <w:t xml:space="preserve">  </w:t>
      </w:r>
      <w:r>
        <w:rPr>
          <w:rFonts w:hint="eastAsia" w:ascii="Times New Roman" w:hAnsi="Times New Roman" w:cs="Times New Roman"/>
          <w:b/>
          <w:color w:val="000000" w:themeColor="text1"/>
          <w:szCs w:val="24"/>
          <w14:textFill>
            <w14:solidFill>
              <w14:schemeClr w14:val="tx1"/>
            </w14:solidFill>
          </w14:textFill>
        </w:rPr>
        <w:t>图4</w:t>
      </w:r>
      <w:r>
        <w:rPr>
          <w:rFonts w:ascii="Times New Roman" w:hAnsi="Times New Roman" w:cs="Times New Roman"/>
          <w:b/>
          <w:color w:val="000000" w:themeColor="text1"/>
          <w:szCs w:val="24"/>
          <w14:textFill>
            <w14:solidFill>
              <w14:schemeClr w14:val="tx1"/>
            </w14:solidFill>
          </w14:textFill>
        </w:rPr>
        <w:t xml:space="preserve">.1-3  </w:t>
      </w:r>
      <w:r>
        <w:rPr>
          <w:rFonts w:hint="eastAsia" w:ascii="Times New Roman" w:hAnsi="Times New Roman" w:cs="Times New Roman"/>
          <w:b/>
          <w:color w:val="000000" w:themeColor="text1"/>
          <w:szCs w:val="24"/>
          <w:lang w:val="en-US" w:eastAsia="zh-CN"/>
          <w14:textFill>
            <w14:solidFill>
              <w14:schemeClr w14:val="tx1"/>
            </w14:solidFill>
          </w14:textFill>
        </w:rPr>
        <w:t>沉砂池</w:t>
      </w:r>
    </w:p>
    <w:p>
      <w:pPr>
        <w:spacing w:line="360" w:lineRule="auto"/>
        <w:jc w:val="center"/>
        <w:rPr>
          <w:rFonts w:ascii="Times New Roman" w:hAnsi="Times New Roman" w:cs="Times New Roman"/>
          <w:b/>
          <w:color w:val="000000" w:themeColor="text1"/>
          <w:szCs w:val="24"/>
          <w14:textFill>
            <w14:solidFill>
              <w14:schemeClr w14:val="tx1"/>
            </w14:solidFill>
          </w14:textFill>
        </w:rPr>
      </w:pPr>
      <w:r>
        <w:rPr>
          <w:rFonts w:hint="eastAsia" w:ascii="Times New Roman" w:hAnsi="Times New Roman" w:cs="Times New Roman"/>
          <w:b/>
          <w:color w:val="000000" w:themeColor="text1"/>
          <w:szCs w:val="24"/>
          <w14:textFill>
            <w14:solidFill>
              <w14:schemeClr w14:val="tx1"/>
            </w14:solidFill>
          </w14:textFill>
        </w:rPr>
        <w:drawing>
          <wp:inline distT="0" distB="0" distL="114300" distR="114300">
            <wp:extent cx="2376170" cy="1804670"/>
            <wp:effectExtent l="0" t="0" r="5080" b="5080"/>
            <wp:docPr id="64" name="图片 64" descr="76c5914becb8a0fbee3af588e6e99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76c5914becb8a0fbee3af588e6e993c"/>
                    <pic:cNvPicPr>
                      <a:picLocks noChangeAspect="1"/>
                    </pic:cNvPicPr>
                  </pic:nvPicPr>
                  <pic:blipFill>
                    <a:blip r:embed="rId15"/>
                    <a:srcRect t="3309" b="39703"/>
                    <a:stretch>
                      <a:fillRect/>
                    </a:stretch>
                  </pic:blipFill>
                  <pic:spPr>
                    <a:xfrm>
                      <a:off x="0" y="0"/>
                      <a:ext cx="2376170" cy="1804670"/>
                    </a:xfrm>
                    <a:prstGeom prst="rect">
                      <a:avLst/>
                    </a:prstGeom>
                  </pic:spPr>
                </pic:pic>
              </a:graphicData>
            </a:graphic>
          </wp:inline>
        </w:drawing>
      </w:r>
      <w:r>
        <w:rPr>
          <w:rFonts w:hint="eastAsia" w:ascii="Times New Roman" w:hAnsi="Times New Roman" w:cs="Times New Roman"/>
          <w:b/>
          <w:color w:val="000000" w:themeColor="text1"/>
          <w:szCs w:val="24"/>
          <w14:textFill>
            <w14:solidFill>
              <w14:schemeClr w14:val="tx1"/>
            </w14:solidFill>
          </w14:textFill>
        </w:rPr>
        <w:t xml:space="preserve"> </w:t>
      </w:r>
      <w:r>
        <w:rPr>
          <w:rFonts w:ascii="Times New Roman" w:hAnsi="Times New Roman" w:cs="Times New Roman"/>
          <w:b/>
          <w:color w:val="000000" w:themeColor="text1"/>
          <w:szCs w:val="24"/>
          <w14:textFill>
            <w14:solidFill>
              <w14:schemeClr w14:val="tx1"/>
            </w14:solidFill>
          </w14:textFill>
        </w:rPr>
        <w:t xml:space="preserve">   </w:t>
      </w:r>
      <w:r>
        <w:rPr>
          <w:rFonts w:hint="eastAsia" w:ascii="Times New Roman" w:hAnsi="Times New Roman" w:cs="Times New Roman"/>
          <w:b/>
          <w:color w:val="000000" w:themeColor="text1"/>
          <w:szCs w:val="24"/>
          <w14:textFill>
            <w14:solidFill>
              <w14:schemeClr w14:val="tx1"/>
            </w14:solidFill>
          </w14:textFill>
        </w:rPr>
        <w:drawing>
          <wp:inline distT="0" distB="0" distL="114300" distR="114300">
            <wp:extent cx="2376170" cy="1783080"/>
            <wp:effectExtent l="0" t="0" r="5080" b="7620"/>
            <wp:docPr id="65" name="图片 65" descr="baf5d1d39fdf4ff709eb11302d043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baf5d1d39fdf4ff709eb11302d043e0"/>
                    <pic:cNvPicPr>
                      <a:picLocks noChangeAspect="1"/>
                    </pic:cNvPicPr>
                  </pic:nvPicPr>
                  <pic:blipFill>
                    <a:blip r:embed="rId16"/>
                    <a:stretch>
                      <a:fillRect/>
                    </a:stretch>
                  </pic:blipFill>
                  <pic:spPr>
                    <a:xfrm>
                      <a:off x="0" y="0"/>
                      <a:ext cx="2376170" cy="1783080"/>
                    </a:xfrm>
                    <a:prstGeom prst="rect">
                      <a:avLst/>
                    </a:prstGeom>
                  </pic:spPr>
                </pic:pic>
              </a:graphicData>
            </a:graphic>
          </wp:inline>
        </w:drawing>
      </w:r>
    </w:p>
    <w:p>
      <w:pPr>
        <w:spacing w:line="360" w:lineRule="auto"/>
        <w:jc w:val="center"/>
        <w:rPr>
          <w:rFonts w:ascii="Times New Roman" w:hAnsi="Times New Roman" w:cs="Times New Roman"/>
          <w:b/>
          <w:color w:val="000000" w:themeColor="text1"/>
          <w:szCs w:val="24"/>
          <w14:textFill>
            <w14:solidFill>
              <w14:schemeClr w14:val="tx1"/>
            </w14:solidFill>
          </w14:textFill>
        </w:rPr>
      </w:pPr>
      <w:r>
        <w:rPr>
          <w:rFonts w:hint="eastAsia" w:ascii="Times New Roman" w:hAnsi="Times New Roman" w:cs="Times New Roman"/>
          <w:b/>
          <w:color w:val="000000" w:themeColor="text1"/>
          <w:szCs w:val="24"/>
          <w14:textFill>
            <w14:solidFill>
              <w14:schemeClr w14:val="tx1"/>
            </w14:solidFill>
          </w14:textFill>
        </w:rPr>
        <w:t>图4</w:t>
      </w:r>
      <w:r>
        <w:rPr>
          <w:rFonts w:ascii="Times New Roman" w:hAnsi="Times New Roman" w:cs="Times New Roman"/>
          <w:b/>
          <w:color w:val="000000" w:themeColor="text1"/>
          <w:szCs w:val="24"/>
          <w14:textFill>
            <w14:solidFill>
              <w14:schemeClr w14:val="tx1"/>
            </w14:solidFill>
          </w14:textFill>
        </w:rPr>
        <w:t xml:space="preserve">.1-4  </w:t>
      </w:r>
      <w:r>
        <w:rPr>
          <w:rFonts w:hint="eastAsia" w:ascii="Times New Roman" w:hAnsi="Times New Roman" w:cs="Times New Roman"/>
          <w:b/>
          <w:color w:val="000000" w:themeColor="text1"/>
          <w:szCs w:val="24"/>
          <w14:textFill>
            <w14:solidFill>
              <w14:schemeClr w14:val="tx1"/>
            </w14:solidFill>
          </w14:textFill>
        </w:rPr>
        <w:t xml:space="preserve">地下水监测井 </w:t>
      </w:r>
      <w:r>
        <w:rPr>
          <w:rFonts w:ascii="Times New Roman" w:hAnsi="Times New Roman" w:cs="Times New Roman"/>
          <w:b/>
          <w:color w:val="000000" w:themeColor="text1"/>
          <w:szCs w:val="24"/>
          <w14:textFill>
            <w14:solidFill>
              <w14:schemeClr w14:val="tx1"/>
            </w14:solidFill>
          </w14:textFill>
        </w:rPr>
        <w:t xml:space="preserve">                </w:t>
      </w:r>
      <w:r>
        <w:rPr>
          <w:rFonts w:hint="eastAsia" w:ascii="Times New Roman" w:hAnsi="Times New Roman" w:cs="Times New Roman"/>
          <w:b/>
          <w:color w:val="000000" w:themeColor="text1"/>
          <w:szCs w:val="24"/>
          <w14:textFill>
            <w14:solidFill>
              <w14:schemeClr w14:val="tx1"/>
            </w14:solidFill>
          </w14:textFill>
        </w:rPr>
        <w:t>图4</w:t>
      </w:r>
      <w:r>
        <w:rPr>
          <w:rFonts w:ascii="Times New Roman" w:hAnsi="Times New Roman" w:cs="Times New Roman"/>
          <w:b/>
          <w:color w:val="000000" w:themeColor="text1"/>
          <w:szCs w:val="24"/>
          <w14:textFill>
            <w14:solidFill>
              <w14:schemeClr w14:val="tx1"/>
            </w14:solidFill>
          </w14:textFill>
        </w:rPr>
        <w:t xml:space="preserve">.1-5  </w:t>
      </w:r>
      <w:r>
        <w:rPr>
          <w:rFonts w:hint="eastAsia" w:ascii="Times New Roman" w:hAnsi="Times New Roman" w:cs="Times New Roman"/>
          <w:b/>
          <w:color w:val="000000" w:themeColor="text1"/>
          <w:szCs w:val="24"/>
          <w14:textFill>
            <w14:solidFill>
              <w14:schemeClr w14:val="tx1"/>
            </w14:solidFill>
          </w14:textFill>
        </w:rPr>
        <w:t>碾压堆石坝</w:t>
      </w:r>
    </w:p>
    <w:p>
      <w:pPr>
        <w:spacing w:line="360" w:lineRule="auto"/>
        <w:jc w:val="center"/>
        <w:rPr>
          <w:rFonts w:ascii="Times New Roman" w:hAnsi="Times New Roman" w:cs="Times New Roman"/>
          <w:b/>
          <w:color w:val="000000" w:themeColor="text1"/>
          <w:szCs w:val="24"/>
          <w14:textFill>
            <w14:solidFill>
              <w14:schemeClr w14:val="tx1"/>
            </w14:solidFill>
          </w14:textFill>
        </w:rPr>
      </w:pPr>
      <w:r>
        <w:rPr>
          <w:rFonts w:ascii="Times New Roman" w:hAnsi="Times New Roman" w:cs="Times New Roman"/>
          <w:b/>
          <w:color w:val="000000" w:themeColor="text1"/>
          <w:szCs w:val="24"/>
          <w14:textFill>
            <w14:solidFill>
              <w14:schemeClr w14:val="tx1"/>
            </w14:solidFill>
          </w14:textFill>
        </w:rPr>
        <w:br w:type="page"/>
      </w:r>
    </w:p>
    <w:p>
      <w:pPr>
        <w:spacing w:line="360" w:lineRule="auto"/>
        <w:jc w:val="center"/>
        <w:rPr>
          <w:rFonts w:ascii="Times New Roman" w:hAnsi="Times New Roman" w:cs="Times New Roman"/>
          <w:b/>
          <w:color w:val="000000" w:themeColor="text1"/>
          <w:szCs w:val="24"/>
          <w14:textFill>
            <w14:solidFill>
              <w14:schemeClr w14:val="tx1"/>
            </w14:solidFill>
          </w14:textFill>
        </w:rPr>
      </w:pPr>
      <w:r>
        <w:rPr>
          <w:rFonts w:ascii="Times New Roman" w:hAnsi="Times New Roman" w:cs="Times New Roman"/>
          <w:b/>
          <w:color w:val="000000" w:themeColor="text1"/>
          <w:szCs w:val="24"/>
          <w14:textFill>
            <w14:solidFill>
              <w14:schemeClr w14:val="tx1"/>
            </w14:solidFill>
          </w14:textFill>
        </w:rPr>
        <w:t>表</w:t>
      </w:r>
      <w:r>
        <w:rPr>
          <w:rFonts w:hint="eastAsia" w:ascii="Times New Roman" w:hAnsi="Times New Roman" w:cs="Times New Roman"/>
          <w:b/>
          <w:color w:val="000000" w:themeColor="text1"/>
          <w:szCs w:val="24"/>
          <w14:textFill>
            <w14:solidFill>
              <w14:schemeClr w14:val="tx1"/>
            </w14:solidFill>
          </w14:textFill>
        </w:rPr>
        <w:t>4</w:t>
      </w:r>
      <w:r>
        <w:rPr>
          <w:rFonts w:ascii="Times New Roman" w:hAnsi="Times New Roman" w:cs="Times New Roman"/>
          <w:b/>
          <w:color w:val="000000" w:themeColor="text1"/>
          <w:szCs w:val="24"/>
          <w14:textFill>
            <w14:solidFill>
              <w14:schemeClr w14:val="tx1"/>
            </w14:solidFill>
          </w14:textFill>
        </w:rPr>
        <w:t>.</w:t>
      </w:r>
      <w:r>
        <w:rPr>
          <w:rFonts w:hint="eastAsia" w:ascii="Times New Roman" w:hAnsi="Times New Roman" w:cs="Times New Roman"/>
          <w:b/>
          <w:color w:val="000000" w:themeColor="text1"/>
          <w:szCs w:val="24"/>
          <w:lang w:val="en-US" w:eastAsia="zh-CN"/>
          <w14:textFill>
            <w14:solidFill>
              <w14:schemeClr w14:val="tx1"/>
            </w14:solidFill>
          </w14:textFill>
        </w:rPr>
        <w:t>1</w:t>
      </w:r>
      <w:r>
        <w:rPr>
          <w:rFonts w:ascii="Times New Roman" w:hAnsi="Times New Roman" w:cs="Times New Roman"/>
          <w:b/>
          <w:color w:val="000000" w:themeColor="text1"/>
          <w:szCs w:val="24"/>
          <w14:textFill>
            <w14:solidFill>
              <w14:schemeClr w14:val="tx1"/>
            </w14:solidFill>
          </w14:textFill>
        </w:rPr>
        <w:t xml:space="preserve">-1  </w:t>
      </w:r>
      <w:r>
        <w:rPr>
          <w:rFonts w:hint="eastAsia" w:ascii="Times New Roman" w:hAnsi="Times New Roman" w:cs="Times New Roman"/>
          <w:b/>
          <w:color w:val="000000" w:themeColor="text1"/>
          <w:szCs w:val="24"/>
          <w14:textFill>
            <w14:solidFill>
              <w14:schemeClr w14:val="tx1"/>
            </w14:solidFill>
          </w14:textFill>
        </w:rPr>
        <w:t>地表水</w:t>
      </w:r>
      <w:r>
        <w:rPr>
          <w:rFonts w:ascii="Times New Roman" w:hAnsi="Times New Roman" w:cs="Times New Roman"/>
          <w:b/>
          <w:color w:val="000000" w:themeColor="text1"/>
          <w:szCs w:val="24"/>
          <w14:textFill>
            <w14:solidFill>
              <w14:schemeClr w14:val="tx1"/>
            </w14:solidFill>
          </w14:textFill>
        </w:rPr>
        <w:t>水环境保护措施落实情况一览表</w:t>
      </w:r>
    </w:p>
    <w:tbl>
      <w:tblPr>
        <w:tblStyle w:val="28"/>
        <w:tblW w:w="8519"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1"/>
        <w:gridCol w:w="1240"/>
        <w:gridCol w:w="3264"/>
        <w:gridCol w:w="326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751" w:type="dxa"/>
            <w:shd w:val="clear" w:color="auto" w:fill="auto"/>
            <w:vAlign w:val="center"/>
          </w:tcPr>
          <w:p>
            <w:pPr>
              <w:spacing w:line="300" w:lineRule="exact"/>
              <w:jc w:val="center"/>
              <w:rPr>
                <w:b/>
                <w:snapToGrid w:val="0"/>
                <w:color w:val="000000" w:themeColor="text1"/>
                <w:kern w:val="0"/>
                <w:sz w:val="22"/>
                <w14:textFill>
                  <w14:solidFill>
                    <w14:schemeClr w14:val="tx1"/>
                  </w14:solidFill>
                </w14:textFill>
              </w:rPr>
            </w:pPr>
            <w:r>
              <w:rPr>
                <w:rFonts w:hint="eastAsia"/>
                <w:b/>
                <w:snapToGrid w:val="0"/>
                <w:color w:val="000000" w:themeColor="text1"/>
                <w:kern w:val="0"/>
                <w:sz w:val="22"/>
                <w14:textFill>
                  <w14:solidFill>
                    <w14:schemeClr w14:val="tx1"/>
                  </w14:solidFill>
                </w14:textFill>
              </w:rPr>
              <w:t>阶段</w:t>
            </w:r>
          </w:p>
        </w:tc>
        <w:tc>
          <w:tcPr>
            <w:tcW w:w="1240" w:type="dxa"/>
            <w:shd w:val="clear" w:color="auto" w:fill="auto"/>
            <w:vAlign w:val="center"/>
          </w:tcPr>
          <w:p>
            <w:pPr>
              <w:spacing w:line="300" w:lineRule="exact"/>
              <w:jc w:val="center"/>
              <w:rPr>
                <w:b/>
                <w:snapToGrid w:val="0"/>
                <w:color w:val="000000" w:themeColor="text1"/>
                <w:kern w:val="0"/>
                <w:sz w:val="22"/>
                <w14:textFill>
                  <w14:solidFill>
                    <w14:schemeClr w14:val="tx1"/>
                  </w14:solidFill>
                </w14:textFill>
              </w:rPr>
            </w:pPr>
            <w:r>
              <w:rPr>
                <w:rFonts w:hint="eastAsia"/>
                <w:b/>
                <w:snapToGrid w:val="0"/>
                <w:color w:val="000000" w:themeColor="text1"/>
                <w:kern w:val="0"/>
                <w:sz w:val="22"/>
                <w14:textFill>
                  <w14:solidFill>
                    <w14:schemeClr w14:val="tx1"/>
                  </w14:solidFill>
                </w14:textFill>
              </w:rPr>
              <w:t>分类</w:t>
            </w:r>
          </w:p>
        </w:tc>
        <w:tc>
          <w:tcPr>
            <w:tcW w:w="3264" w:type="dxa"/>
            <w:shd w:val="clear" w:color="auto" w:fill="auto"/>
            <w:vAlign w:val="center"/>
          </w:tcPr>
          <w:p>
            <w:pPr>
              <w:spacing w:line="300" w:lineRule="exact"/>
              <w:jc w:val="center"/>
              <w:rPr>
                <w:rFonts w:hint="eastAsia" w:eastAsiaTheme="minorEastAsia"/>
                <w:b/>
                <w:snapToGrid w:val="0"/>
                <w:color w:val="000000" w:themeColor="text1"/>
                <w:kern w:val="0"/>
                <w:sz w:val="22"/>
                <w:lang w:eastAsia="zh-CN"/>
                <w14:textFill>
                  <w14:solidFill>
                    <w14:schemeClr w14:val="tx1"/>
                  </w14:solidFill>
                </w14:textFill>
              </w:rPr>
            </w:pPr>
            <w:r>
              <w:rPr>
                <w:rFonts w:hint="eastAsia"/>
                <w:b/>
                <w:snapToGrid w:val="0"/>
                <w:color w:val="000000" w:themeColor="text1"/>
                <w:kern w:val="0"/>
                <w:sz w:val="22"/>
                <w:lang w:eastAsia="zh-CN"/>
                <w14:textFill>
                  <w14:solidFill>
                    <w14:schemeClr w14:val="tx1"/>
                  </w14:solidFill>
                </w14:textFill>
              </w:rPr>
              <w:t>环评及批复要求</w:t>
            </w:r>
          </w:p>
        </w:tc>
        <w:tc>
          <w:tcPr>
            <w:tcW w:w="3264" w:type="dxa"/>
            <w:shd w:val="clear" w:color="auto" w:fill="auto"/>
            <w:vAlign w:val="center"/>
          </w:tcPr>
          <w:p>
            <w:pPr>
              <w:spacing w:line="300" w:lineRule="exact"/>
              <w:jc w:val="center"/>
              <w:rPr>
                <w:b/>
                <w:snapToGrid w:val="0"/>
                <w:color w:val="000000" w:themeColor="text1"/>
                <w:kern w:val="0"/>
                <w:sz w:val="22"/>
                <w14:textFill>
                  <w14:solidFill>
                    <w14:schemeClr w14:val="tx1"/>
                  </w14:solidFill>
                </w14:textFill>
              </w:rPr>
            </w:pPr>
            <w:r>
              <w:rPr>
                <w:rFonts w:hint="eastAsia"/>
                <w:b/>
                <w:snapToGrid w:val="0"/>
                <w:color w:val="000000" w:themeColor="text1"/>
                <w:kern w:val="0"/>
                <w:sz w:val="22"/>
                <w:lang w:eastAsia="zh-CN"/>
                <w14:textFill>
                  <w14:solidFill>
                    <w14:schemeClr w14:val="tx1"/>
                  </w14:solidFill>
                </w14:textFill>
              </w:rPr>
              <w:t>实际</w:t>
            </w:r>
            <w:r>
              <w:rPr>
                <w:rFonts w:hint="eastAsia"/>
                <w:b/>
                <w:snapToGrid w:val="0"/>
                <w:color w:val="000000" w:themeColor="text1"/>
                <w:kern w:val="0"/>
                <w:sz w:val="22"/>
                <w14:textFill>
                  <w14:solidFill>
                    <w14:schemeClr w14:val="tx1"/>
                  </w14:solidFill>
                </w14:textFill>
              </w:rPr>
              <w:t>落实情况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98" w:hRule="atLeast"/>
        </w:trPr>
        <w:tc>
          <w:tcPr>
            <w:tcW w:w="751" w:type="dxa"/>
            <w:vMerge w:val="restart"/>
            <w:shd w:val="clear" w:color="auto" w:fill="auto"/>
            <w:vAlign w:val="center"/>
          </w:tcPr>
          <w:p>
            <w:pPr>
              <w:spacing w:line="300" w:lineRule="exact"/>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施工期</w:t>
            </w:r>
          </w:p>
        </w:tc>
        <w:tc>
          <w:tcPr>
            <w:tcW w:w="1240" w:type="dxa"/>
            <w:shd w:val="clear" w:color="auto" w:fill="auto"/>
            <w:vAlign w:val="center"/>
          </w:tcPr>
          <w:p>
            <w:pPr>
              <w:spacing w:line="300" w:lineRule="exact"/>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管理措施</w:t>
            </w:r>
          </w:p>
        </w:tc>
        <w:tc>
          <w:tcPr>
            <w:tcW w:w="3264" w:type="dxa"/>
            <w:shd w:val="clear" w:color="auto" w:fill="auto"/>
            <w:vAlign w:val="center"/>
          </w:tcPr>
          <w:p>
            <w:pPr>
              <w:adjustRightInd w:val="0"/>
              <w:spacing w:line="300" w:lineRule="exact"/>
              <w:jc w:val="center"/>
              <w:rPr>
                <w:rFonts w:ascii="Times New Roman" w:hAnsi="Times New Roman" w:cs="Times New Roman"/>
                <w:snapToGrid w:val="0"/>
                <w:color w:val="000000" w:themeColor="text1"/>
                <w:kern w:val="0"/>
                <w:szCs w:val="21"/>
                <w:lang w:val="zh-CN"/>
                <w14:textFill>
                  <w14:solidFill>
                    <w14:schemeClr w14:val="tx1"/>
                  </w14:solidFill>
                </w14:textFill>
              </w:rPr>
            </w:pPr>
            <w:r>
              <w:rPr>
                <w:rFonts w:ascii="Times New Roman" w:hAnsi="Times New Roman" w:cs="Times New Roman"/>
                <w:snapToGrid w:val="0"/>
                <w:color w:val="000000" w:themeColor="text1"/>
                <w:kern w:val="0"/>
                <w:szCs w:val="21"/>
                <w:lang w:val="zh-CN"/>
                <w14:textFill>
                  <w14:solidFill>
                    <w14:schemeClr w14:val="tx1"/>
                  </w14:solidFill>
                </w14:textFill>
              </w:rPr>
              <w:t>1.</w:t>
            </w:r>
            <w:r>
              <w:rPr>
                <w:rFonts w:hint="eastAsia" w:ascii="Times New Roman" w:hAnsi="Times New Roman" w:cs="Times New Roman"/>
                <w:snapToGrid w:val="0"/>
                <w:color w:val="000000" w:themeColor="text1"/>
                <w:kern w:val="0"/>
                <w:szCs w:val="21"/>
                <w:lang w:val="zh-CN"/>
                <w14:textFill>
                  <w14:solidFill>
                    <w14:schemeClr w14:val="tx1"/>
                  </w14:solidFill>
                </w14:textFill>
              </w:rPr>
              <w:t>开展施工场所的水环境保护教育，让施工人员理解水资源保护的重要性，要求施工人员文明施工，禁止将生产废水、生活污水和生活垃圾排入业隆沟和其他河沟</w:t>
            </w:r>
            <w:r>
              <w:rPr>
                <w:rFonts w:ascii="Times New Roman" w:hAnsi="Times New Roman" w:cs="Times New Roman"/>
                <w:snapToGrid w:val="0"/>
                <w:color w:val="000000" w:themeColor="text1"/>
                <w:kern w:val="0"/>
                <w:szCs w:val="21"/>
                <w:lang w:val="zh-CN"/>
                <w14:textFill>
                  <w14:solidFill>
                    <w14:schemeClr w14:val="tx1"/>
                  </w14:solidFill>
                </w14:textFill>
              </w:rPr>
              <w:t>；2.</w:t>
            </w:r>
            <w:r>
              <w:rPr>
                <w:rFonts w:hint="eastAsia" w:ascii="Times New Roman" w:hAnsi="Times New Roman" w:cs="Times New Roman"/>
                <w:snapToGrid w:val="0"/>
                <w:color w:val="000000" w:themeColor="text1"/>
                <w:kern w:val="0"/>
                <w:szCs w:val="21"/>
                <w:lang w:val="zh-CN"/>
                <w14:textFill>
                  <w14:solidFill>
                    <w14:schemeClr w14:val="tx1"/>
                  </w14:solidFill>
                </w14:textFill>
              </w:rPr>
              <w:t>开展施工场所的水环境保护教育，让施工人员理解水资源保护的重要性，要求施工人员文明施工，禁止将生产废水、生活污水和生活垃圾排入业隆沟和其他河沟</w:t>
            </w:r>
            <w:r>
              <w:rPr>
                <w:rFonts w:ascii="Times New Roman" w:hAnsi="Times New Roman" w:cs="Times New Roman"/>
                <w:snapToGrid w:val="0"/>
                <w:color w:val="000000" w:themeColor="text1"/>
                <w:kern w:val="0"/>
                <w:szCs w:val="21"/>
                <w:lang w:val="zh-CN"/>
                <w14:textFill>
                  <w14:solidFill>
                    <w14:schemeClr w14:val="tx1"/>
                  </w14:solidFill>
                </w14:textFill>
              </w:rPr>
              <w:t>。3.施工材料堆放远离地表水体，选择暴雨径流难以冲刷的地方，并配备临时遮挡的帆布。4.运输车辆也应加盖帆布，防止土石方和散体施工材料等落入水中，污染水质和堵塞河道。</w:t>
            </w:r>
          </w:p>
        </w:tc>
        <w:tc>
          <w:tcPr>
            <w:tcW w:w="3264" w:type="dxa"/>
            <w:shd w:val="clear" w:color="auto" w:fill="auto"/>
            <w:vAlign w:val="center"/>
          </w:tcPr>
          <w:p>
            <w:pPr>
              <w:adjustRightInd w:val="0"/>
              <w:spacing w:line="300" w:lineRule="exact"/>
              <w:jc w:val="center"/>
              <w:rPr>
                <w:snapToGrid w:val="0"/>
                <w:color w:val="000000" w:themeColor="text1"/>
                <w:kern w:val="0"/>
                <w:szCs w:val="21"/>
                <w:lang w:val="zh-CN"/>
                <w14:textFill>
                  <w14:solidFill>
                    <w14:schemeClr w14:val="tx1"/>
                  </w14:solidFill>
                </w14:textFill>
              </w:rPr>
            </w:pPr>
            <w:r>
              <w:rPr>
                <w:rFonts w:ascii="Times New Roman" w:hAnsi="Times New Roman" w:cs="Times New Roman"/>
                <w:snapToGrid w:val="0"/>
                <w:color w:val="000000" w:themeColor="text1"/>
                <w:kern w:val="0"/>
                <w:szCs w:val="21"/>
                <w:lang w:val="zh-CN"/>
                <w14:textFill>
                  <w14:solidFill>
                    <w14:schemeClr w14:val="tx1"/>
                  </w14:solidFill>
                </w14:textFill>
              </w:rPr>
              <w:t>1.</w:t>
            </w:r>
            <w:r>
              <w:rPr>
                <w:rFonts w:hint="eastAsia" w:ascii="Times New Roman" w:hAnsi="Times New Roman" w:cs="Times New Roman"/>
                <w:snapToGrid w:val="0"/>
                <w:color w:val="000000" w:themeColor="text1"/>
                <w:kern w:val="0"/>
                <w:szCs w:val="21"/>
                <w:lang w:val="zh-CN"/>
                <w14:textFill>
                  <w14:solidFill>
                    <w14:schemeClr w14:val="tx1"/>
                  </w14:solidFill>
                </w14:textFill>
              </w:rPr>
              <w:t>开展施工场所的水环境保护教育，让施工人员理解水资源保护的重要性，要求施工人员文明施工，禁止将生产废水、生活污水和生活垃圾排入业隆沟和其他河沟</w:t>
            </w:r>
            <w:r>
              <w:rPr>
                <w:rFonts w:ascii="Times New Roman" w:hAnsi="Times New Roman" w:cs="Times New Roman"/>
                <w:snapToGrid w:val="0"/>
                <w:color w:val="000000" w:themeColor="text1"/>
                <w:kern w:val="0"/>
                <w:szCs w:val="21"/>
                <w:lang w:val="zh-CN"/>
                <w14:textFill>
                  <w14:solidFill>
                    <w14:schemeClr w14:val="tx1"/>
                  </w14:solidFill>
                </w14:textFill>
              </w:rPr>
              <w:t>；2.</w:t>
            </w:r>
            <w:r>
              <w:rPr>
                <w:rFonts w:hint="eastAsia" w:ascii="Times New Roman" w:hAnsi="Times New Roman" w:cs="Times New Roman"/>
                <w:snapToGrid w:val="0"/>
                <w:color w:val="000000" w:themeColor="text1"/>
                <w:kern w:val="0"/>
                <w:szCs w:val="21"/>
                <w:lang w:val="zh-CN"/>
                <w14:textFill>
                  <w14:solidFill>
                    <w14:schemeClr w14:val="tx1"/>
                  </w14:solidFill>
                </w14:textFill>
              </w:rPr>
              <w:t>开展施工场所的水环境保护教育，让施工人员理解水资源保护的重要性，要求施工人员文明施工，禁止将生产废水、生活污水和生活垃圾排入业隆沟和其他河沟</w:t>
            </w:r>
            <w:r>
              <w:rPr>
                <w:rFonts w:ascii="Times New Roman" w:hAnsi="Times New Roman" w:cs="Times New Roman"/>
                <w:snapToGrid w:val="0"/>
                <w:color w:val="000000" w:themeColor="text1"/>
                <w:kern w:val="0"/>
                <w:szCs w:val="21"/>
                <w:lang w:val="zh-CN"/>
                <w14:textFill>
                  <w14:solidFill>
                    <w14:schemeClr w14:val="tx1"/>
                  </w14:solidFill>
                </w14:textFill>
              </w:rPr>
              <w:t>。3.施工材料堆放远离地表水体，选择暴雨径流难以冲刷的地方，并配备临时遮挡的帆布。4.运输车辆也应加盖帆布，防止土石方和散体施工材料等落入水中，污染水质和堵塞河道。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751" w:type="dxa"/>
            <w:vMerge w:val="continue"/>
            <w:shd w:val="clear" w:color="auto" w:fill="auto"/>
            <w:vAlign w:val="center"/>
          </w:tcPr>
          <w:p>
            <w:pPr>
              <w:adjustRightInd w:val="0"/>
              <w:spacing w:line="300" w:lineRule="exact"/>
              <w:rPr>
                <w:snapToGrid w:val="0"/>
                <w:color w:val="000000" w:themeColor="text1"/>
                <w:kern w:val="0"/>
                <w:szCs w:val="21"/>
                <w:lang w:val="zh-CN"/>
                <w14:textFill>
                  <w14:solidFill>
                    <w14:schemeClr w14:val="tx1"/>
                  </w14:solidFill>
                </w14:textFill>
              </w:rPr>
            </w:pPr>
          </w:p>
        </w:tc>
        <w:tc>
          <w:tcPr>
            <w:tcW w:w="1240" w:type="dxa"/>
            <w:shd w:val="clear" w:color="auto" w:fill="auto"/>
            <w:vAlign w:val="center"/>
          </w:tcPr>
          <w:p>
            <w:pPr>
              <w:adjustRightInd w:val="0"/>
              <w:spacing w:line="300" w:lineRule="exact"/>
              <w:jc w:val="center"/>
              <w:rPr>
                <w:snapToGrid w:val="0"/>
                <w:color w:val="000000" w:themeColor="text1"/>
                <w:kern w:val="0"/>
                <w:szCs w:val="21"/>
                <w:lang w:val="zh-CN"/>
                <w14:textFill>
                  <w14:solidFill>
                    <w14:schemeClr w14:val="tx1"/>
                  </w14:solidFill>
                </w14:textFill>
              </w:rPr>
            </w:pPr>
            <w:r>
              <w:rPr>
                <w:rFonts w:hint="eastAsia"/>
                <w:snapToGrid w:val="0"/>
                <w:color w:val="000000" w:themeColor="text1"/>
                <w:kern w:val="0"/>
                <w:szCs w:val="21"/>
                <w:lang w:val="zh-CN"/>
                <w14:textFill>
                  <w14:solidFill>
                    <w14:schemeClr w14:val="tx1"/>
                  </w14:solidFill>
                </w14:textFill>
              </w:rPr>
              <w:t>拌和废水、车辆冲洗废水</w:t>
            </w:r>
          </w:p>
        </w:tc>
        <w:tc>
          <w:tcPr>
            <w:tcW w:w="3264" w:type="dxa"/>
            <w:shd w:val="clear" w:color="auto" w:fill="auto"/>
            <w:vAlign w:val="center"/>
          </w:tcPr>
          <w:p>
            <w:pPr>
              <w:adjustRightInd w:val="0"/>
              <w:spacing w:line="300" w:lineRule="exact"/>
              <w:jc w:val="center"/>
              <w:rPr>
                <w:snapToGrid w:val="0"/>
                <w:color w:val="000000" w:themeColor="text1"/>
                <w:kern w:val="0"/>
                <w:szCs w:val="21"/>
                <w:lang w:val="zh-CN"/>
                <w14:textFill>
                  <w14:solidFill>
                    <w14:schemeClr w14:val="tx1"/>
                  </w14:solidFill>
                </w14:textFill>
              </w:rPr>
            </w:pPr>
            <w:r>
              <w:rPr>
                <w:rFonts w:hint="eastAsia"/>
                <w:snapToGrid w:val="0"/>
                <w:color w:val="000000" w:themeColor="text1"/>
                <w:kern w:val="0"/>
                <w:szCs w:val="21"/>
                <w:lang w:val="zh-CN"/>
                <w14:textFill>
                  <w14:solidFill>
                    <w14:schemeClr w14:val="tx1"/>
                  </w14:solidFill>
                </w14:textFill>
              </w:rPr>
              <w:t>拌和废水、车辆冲洗废水中泥沙含量较高，施工场地设置临时沉沙池，经沉沙池沉淀后全部循环利用，不外排。</w:t>
            </w:r>
          </w:p>
        </w:tc>
        <w:tc>
          <w:tcPr>
            <w:tcW w:w="3264" w:type="dxa"/>
            <w:shd w:val="clear" w:color="auto" w:fill="auto"/>
            <w:vAlign w:val="center"/>
          </w:tcPr>
          <w:p>
            <w:pPr>
              <w:adjustRightInd w:val="0"/>
              <w:spacing w:line="300" w:lineRule="exact"/>
              <w:jc w:val="center"/>
              <w:rPr>
                <w:snapToGrid w:val="0"/>
                <w:color w:val="000000" w:themeColor="text1"/>
                <w:kern w:val="0"/>
                <w:szCs w:val="21"/>
                <w:lang w:val="zh-CN"/>
                <w14:textFill>
                  <w14:solidFill>
                    <w14:schemeClr w14:val="tx1"/>
                  </w14:solidFill>
                </w14:textFill>
              </w:rPr>
            </w:pPr>
            <w:r>
              <w:rPr>
                <w:rFonts w:hint="eastAsia"/>
                <w:snapToGrid w:val="0"/>
                <w:color w:val="000000" w:themeColor="text1"/>
                <w:kern w:val="0"/>
                <w:szCs w:val="21"/>
                <w:lang w:val="zh-CN"/>
                <w14:textFill>
                  <w14:solidFill>
                    <w14:schemeClr w14:val="tx1"/>
                  </w14:solidFill>
                </w14:textFill>
              </w:rPr>
              <w:t>施工场地设置临时沉沙池，拌和废水、车辆冲洗废水经沉沙池沉淀后全部循环利用，无外排。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53" w:hRule="atLeast"/>
        </w:trPr>
        <w:tc>
          <w:tcPr>
            <w:tcW w:w="751" w:type="dxa"/>
            <w:vMerge w:val="continue"/>
            <w:shd w:val="clear" w:color="auto" w:fill="auto"/>
            <w:vAlign w:val="center"/>
          </w:tcPr>
          <w:p>
            <w:pPr>
              <w:spacing w:line="300" w:lineRule="exact"/>
              <w:ind w:left="480"/>
              <w:rPr>
                <w:snapToGrid w:val="0"/>
                <w:color w:val="000000" w:themeColor="text1"/>
                <w:kern w:val="0"/>
                <w:szCs w:val="21"/>
                <w14:textFill>
                  <w14:solidFill>
                    <w14:schemeClr w14:val="tx1"/>
                  </w14:solidFill>
                </w14:textFill>
              </w:rPr>
            </w:pPr>
          </w:p>
        </w:tc>
        <w:tc>
          <w:tcPr>
            <w:tcW w:w="1240" w:type="dxa"/>
            <w:shd w:val="clear" w:color="auto" w:fill="auto"/>
            <w:vAlign w:val="center"/>
          </w:tcPr>
          <w:p>
            <w:pPr>
              <w:spacing w:line="300" w:lineRule="exact"/>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含油</w:t>
            </w:r>
            <w:r>
              <w:rPr>
                <w:rFonts w:hint="eastAsia"/>
                <w:snapToGrid w:val="0"/>
                <w:color w:val="000000" w:themeColor="text1"/>
                <w:kern w:val="0"/>
                <w:szCs w:val="21"/>
                <w14:textFill>
                  <w14:solidFill>
                    <w14:schemeClr w14:val="tx1"/>
                  </w14:solidFill>
                </w14:textFill>
              </w:rPr>
              <w:t>污水</w:t>
            </w:r>
          </w:p>
        </w:tc>
        <w:tc>
          <w:tcPr>
            <w:tcW w:w="3264" w:type="dxa"/>
            <w:shd w:val="clear" w:color="auto" w:fill="auto"/>
            <w:vAlign w:val="center"/>
          </w:tcPr>
          <w:p>
            <w:pPr>
              <w:adjustRightInd w:val="0"/>
              <w:spacing w:line="300" w:lineRule="exact"/>
              <w:jc w:val="center"/>
              <w:rPr>
                <w:snapToGrid w:val="0"/>
                <w:color w:val="000000" w:themeColor="text1"/>
                <w:kern w:val="0"/>
                <w:szCs w:val="21"/>
                <w:lang w:val="zh-CN"/>
                <w14:textFill>
                  <w14:solidFill>
                    <w14:schemeClr w14:val="tx1"/>
                  </w14:solidFill>
                </w14:textFill>
              </w:rPr>
            </w:pPr>
            <w:r>
              <w:rPr>
                <w:rFonts w:hint="eastAsia"/>
                <w:snapToGrid w:val="0"/>
                <w:color w:val="000000" w:themeColor="text1"/>
                <w:kern w:val="0"/>
                <w:szCs w:val="21"/>
                <w:lang w:val="zh-CN"/>
                <w14:textFill>
                  <w14:solidFill>
                    <w14:schemeClr w14:val="tx1"/>
                  </w14:solidFill>
                </w14:textFill>
              </w:rPr>
              <w:t>含油污水主要是润滑油、柴油、汽油等石油类物质，施工机械维修作业区应作简单的防渗处理，产生的含油废水采用容器或砌坑专门收集，进行隔油沉淀处理后全部循环用于混凝土拌和等生产用水，不外排。选用先进的机械设备，以有效地减少跑、冒、滴、漏的数量及机械维修次数，从而减少含油污水的产生量。</w:t>
            </w:r>
          </w:p>
        </w:tc>
        <w:tc>
          <w:tcPr>
            <w:tcW w:w="3264" w:type="dxa"/>
            <w:shd w:val="clear" w:color="auto" w:fill="auto"/>
            <w:vAlign w:val="center"/>
          </w:tcPr>
          <w:p>
            <w:pPr>
              <w:adjustRightInd w:val="0"/>
              <w:spacing w:line="300" w:lineRule="exact"/>
              <w:jc w:val="center"/>
              <w:rPr>
                <w:snapToGrid w:val="0"/>
                <w:color w:val="000000" w:themeColor="text1"/>
                <w:kern w:val="0"/>
                <w:szCs w:val="21"/>
                <w:lang w:val="zh-CN"/>
                <w14:textFill>
                  <w14:solidFill>
                    <w14:schemeClr w14:val="tx1"/>
                  </w14:solidFill>
                </w14:textFill>
              </w:rPr>
            </w:pPr>
            <w:r>
              <w:rPr>
                <w:rFonts w:hint="eastAsia"/>
                <w:snapToGrid w:val="0"/>
                <w:color w:val="000000" w:themeColor="text1"/>
                <w:kern w:val="0"/>
                <w:szCs w:val="21"/>
                <w:lang w:val="zh-CN"/>
                <w14:textFill>
                  <w14:solidFill>
                    <w14:schemeClr w14:val="tx1"/>
                  </w14:solidFill>
                </w14:textFill>
              </w:rPr>
              <w:t>选用先进的机械设备，施工机械维修作业区作简单的防渗处理，产生的含油废水采用容器专门收集，进行隔油沉淀处理后全部循环用于混凝土拌和等生产用水，无外排。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74" w:hRule="atLeast"/>
        </w:trPr>
        <w:tc>
          <w:tcPr>
            <w:tcW w:w="751" w:type="dxa"/>
            <w:vMerge w:val="continue"/>
            <w:shd w:val="clear" w:color="auto" w:fill="auto"/>
            <w:vAlign w:val="center"/>
          </w:tcPr>
          <w:p>
            <w:pPr>
              <w:spacing w:line="300" w:lineRule="exact"/>
              <w:ind w:left="480"/>
              <w:rPr>
                <w:snapToGrid w:val="0"/>
                <w:color w:val="000000" w:themeColor="text1"/>
                <w:kern w:val="0"/>
                <w:szCs w:val="21"/>
                <w14:textFill>
                  <w14:solidFill>
                    <w14:schemeClr w14:val="tx1"/>
                  </w14:solidFill>
                </w14:textFill>
              </w:rPr>
            </w:pPr>
          </w:p>
        </w:tc>
        <w:tc>
          <w:tcPr>
            <w:tcW w:w="1240" w:type="dxa"/>
            <w:shd w:val="clear" w:color="auto" w:fill="auto"/>
            <w:vAlign w:val="center"/>
          </w:tcPr>
          <w:p>
            <w:pPr>
              <w:spacing w:line="300" w:lineRule="exact"/>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生活污水</w:t>
            </w:r>
          </w:p>
        </w:tc>
        <w:tc>
          <w:tcPr>
            <w:tcW w:w="3264" w:type="dxa"/>
            <w:shd w:val="clear" w:color="auto" w:fill="auto"/>
            <w:vAlign w:val="center"/>
          </w:tcPr>
          <w:p>
            <w:pPr>
              <w:adjustRightInd w:val="0"/>
              <w:spacing w:line="300" w:lineRule="exact"/>
              <w:jc w:val="center"/>
              <w:rPr>
                <w:snapToGrid w:val="0"/>
                <w:color w:val="000000" w:themeColor="text1"/>
                <w:kern w:val="0"/>
                <w:szCs w:val="21"/>
                <w:lang w:val="zh-CN"/>
                <w14:textFill>
                  <w14:solidFill>
                    <w14:schemeClr w14:val="tx1"/>
                  </w14:solidFill>
                </w14:textFill>
              </w:rPr>
            </w:pPr>
            <w:r>
              <w:rPr>
                <w:rFonts w:hint="eastAsia"/>
                <w:snapToGrid w:val="0"/>
                <w:color w:val="000000" w:themeColor="text1"/>
                <w:kern w:val="0"/>
                <w:szCs w:val="21"/>
                <w:lang w:val="zh-CN"/>
                <w14:textFill>
                  <w14:solidFill>
                    <w14:schemeClr w14:val="tx1"/>
                  </w14:solidFill>
                </w14:textFill>
              </w:rPr>
              <w:t>施工期修建临时旱厕，固体物适时清掏后用于附近林地施肥。</w:t>
            </w:r>
          </w:p>
        </w:tc>
        <w:tc>
          <w:tcPr>
            <w:tcW w:w="3264" w:type="dxa"/>
            <w:shd w:val="clear" w:color="auto" w:fill="auto"/>
            <w:vAlign w:val="center"/>
          </w:tcPr>
          <w:p>
            <w:pPr>
              <w:adjustRightInd w:val="0"/>
              <w:spacing w:line="300" w:lineRule="exact"/>
              <w:jc w:val="center"/>
              <w:rPr>
                <w:snapToGrid w:val="0"/>
                <w:color w:val="000000" w:themeColor="text1"/>
                <w:kern w:val="0"/>
                <w:szCs w:val="21"/>
                <w:lang w:val="zh-CN"/>
                <w14:textFill>
                  <w14:solidFill>
                    <w14:schemeClr w14:val="tx1"/>
                  </w14:solidFill>
                </w14:textFill>
              </w:rPr>
            </w:pPr>
            <w:r>
              <w:rPr>
                <w:rFonts w:hint="eastAsia"/>
                <w:snapToGrid w:val="0"/>
                <w:color w:val="000000" w:themeColor="text1"/>
                <w:kern w:val="0"/>
                <w:szCs w:val="21"/>
                <w:lang w:val="zh-CN"/>
                <w14:textFill>
                  <w14:solidFill>
                    <w14:schemeClr w14:val="tx1"/>
                  </w14:solidFill>
                </w14:textFill>
              </w:rPr>
              <w:t>施工现场修建旱厕，并定期进行清掏。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751" w:type="dxa"/>
            <w:vMerge w:val="restart"/>
            <w:shd w:val="clear" w:color="auto" w:fill="auto"/>
            <w:vAlign w:val="center"/>
          </w:tcPr>
          <w:p>
            <w:pPr>
              <w:spacing w:line="300" w:lineRule="exact"/>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调试期</w:t>
            </w:r>
          </w:p>
        </w:tc>
        <w:tc>
          <w:tcPr>
            <w:tcW w:w="1240" w:type="dxa"/>
            <w:shd w:val="clear" w:color="auto" w:fill="auto"/>
            <w:vAlign w:val="center"/>
          </w:tcPr>
          <w:p>
            <w:pPr>
              <w:spacing w:line="300" w:lineRule="exact"/>
              <w:jc w:val="center"/>
              <w:rPr>
                <w:rFonts w:hint="eastAsia" w:eastAsiaTheme="minorEastAsia"/>
                <w:snapToGrid w:val="0"/>
                <w:color w:val="000000" w:themeColor="text1"/>
                <w:kern w:val="0"/>
                <w:szCs w:val="21"/>
                <w:lang w:eastAsia="zh-CN"/>
                <w14:textFill>
                  <w14:solidFill>
                    <w14:schemeClr w14:val="tx1"/>
                  </w14:solidFill>
                </w14:textFill>
              </w:rPr>
            </w:pPr>
            <w:r>
              <w:rPr>
                <w:rFonts w:hint="eastAsia"/>
                <w:snapToGrid w:val="0"/>
                <w:color w:val="000000" w:themeColor="text1"/>
                <w:kern w:val="0"/>
                <w:szCs w:val="21"/>
                <w:lang w:eastAsia="zh-CN"/>
                <w14:textFill>
                  <w14:solidFill>
                    <w14:schemeClr w14:val="tx1"/>
                  </w14:solidFill>
                </w14:textFill>
              </w:rPr>
              <w:t>露天采区外排水、采区内涌水</w:t>
            </w:r>
          </w:p>
        </w:tc>
        <w:tc>
          <w:tcPr>
            <w:tcW w:w="3264" w:type="dxa"/>
            <w:shd w:val="clear" w:color="auto" w:fill="auto"/>
            <w:vAlign w:val="center"/>
          </w:tcPr>
          <w:p>
            <w:pPr>
              <w:adjustRightInd w:val="0"/>
              <w:spacing w:line="300" w:lineRule="exact"/>
              <w:jc w:val="center"/>
              <w:rPr>
                <w:snapToGrid w:val="0"/>
                <w:color w:val="000000" w:themeColor="text1"/>
                <w:kern w:val="0"/>
                <w:szCs w:val="21"/>
                <w:lang w:val="zh-CN"/>
                <w14:textFill>
                  <w14:solidFill>
                    <w14:schemeClr w14:val="tx1"/>
                  </w14:solidFill>
                </w14:textFill>
              </w:rPr>
            </w:pPr>
            <w:r>
              <w:rPr>
                <w:rFonts w:hint="eastAsia"/>
                <w:snapToGrid w:val="0"/>
                <w:color w:val="000000" w:themeColor="text1"/>
                <w:kern w:val="0"/>
                <w:szCs w:val="21"/>
                <w:lang w:val="zh-CN"/>
                <w14:textFill>
                  <w14:solidFill>
                    <w14:schemeClr w14:val="tx1"/>
                  </w14:solidFill>
                </w14:textFill>
              </w:rPr>
              <w:t>露天采区排水包括采区外排水和采区内涌水，本项目沿露天境界外10m-15m设截洪沟，用以拦截露天采区境界外的雨水。露天采区内涌水包括地下水涌水和降雨径流。露天开采自上而下分台阶开采，采用分台阶截流的排水方案，在每个开采平台与上一台阶坡面交界处设置排水沟，排水沟底部适当往一侧倾斜，保证0.1%的坡度，排水沟末端设置沉淀池100m</w:t>
            </w:r>
            <w:r>
              <w:rPr>
                <w:rFonts w:hint="eastAsia"/>
                <w:snapToGrid w:val="0"/>
                <w:color w:val="000000" w:themeColor="text1"/>
                <w:kern w:val="0"/>
                <w:szCs w:val="21"/>
                <w:vertAlign w:val="superscript"/>
                <w:lang w:val="zh-CN"/>
                <w14:textFill>
                  <w14:solidFill>
                    <w14:schemeClr w14:val="tx1"/>
                  </w14:solidFill>
                </w14:textFill>
              </w:rPr>
              <w:t>3</w:t>
            </w:r>
            <w:r>
              <w:rPr>
                <w:rFonts w:hint="eastAsia"/>
                <w:snapToGrid w:val="0"/>
                <w:color w:val="000000" w:themeColor="text1"/>
                <w:kern w:val="0"/>
                <w:szCs w:val="21"/>
                <w:lang w:val="zh-CN"/>
                <w14:textFill>
                  <w14:solidFill>
                    <w14:schemeClr w14:val="tx1"/>
                  </w14:solidFill>
                </w14:textFill>
              </w:rPr>
              <w:t>，收集的采区内涌水在沉淀池内沉淀后用于露天采区湿法作业、降尘等用水。</w:t>
            </w:r>
          </w:p>
        </w:tc>
        <w:tc>
          <w:tcPr>
            <w:tcW w:w="3264" w:type="dxa"/>
            <w:shd w:val="clear" w:color="auto" w:fill="auto"/>
            <w:vAlign w:val="center"/>
          </w:tcPr>
          <w:p>
            <w:pPr>
              <w:adjustRightInd w:val="0"/>
              <w:spacing w:line="300" w:lineRule="exact"/>
              <w:jc w:val="center"/>
              <w:rPr>
                <w:rFonts w:hint="default" w:eastAsia="宋体"/>
                <w:snapToGrid w:val="0"/>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eastAsia="zh-CN"/>
                <w14:textFill>
                  <w14:solidFill>
                    <w14:schemeClr w14:val="tx1"/>
                  </w14:solidFill>
                </w14:textFill>
              </w:rPr>
              <w:t>露天</w:t>
            </w:r>
            <w:r>
              <w:rPr>
                <w:rFonts w:hint="eastAsia" w:ascii="Times New Roman" w:hAnsi="Times New Roman" w:eastAsia="宋体" w:cs="Times New Roman"/>
                <w:color w:val="000000" w:themeColor="text1"/>
                <w:kern w:val="0"/>
                <w:sz w:val="21"/>
                <w:szCs w:val="21"/>
                <w14:textFill>
                  <w14:solidFill>
                    <w14:schemeClr w14:val="tx1"/>
                  </w14:solidFill>
                </w14:textFill>
              </w:rPr>
              <w:t>采区采用分台阶截流的排水方案</w:t>
            </w:r>
            <w:r>
              <w:rPr>
                <w:rFonts w:hint="eastAsia" w:ascii="Times New Roman" w:hAnsi="Times New Roman" w:eastAsia="宋体" w:cs="Times New Roman"/>
                <w:color w:val="000000" w:themeColor="text1"/>
                <w:kern w:val="0"/>
                <w:sz w:val="21"/>
                <w:szCs w:val="21"/>
                <w:highlight w:val="none"/>
                <w14:textFill>
                  <w14:solidFill>
                    <w14:schemeClr w14:val="tx1"/>
                  </w14:solidFill>
                </w14:textFill>
              </w:rPr>
              <w:t>，修建截水沟870m，排水沟1558m，排水沟末端</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临时</w:t>
            </w:r>
            <w:r>
              <w:rPr>
                <w:rFonts w:hint="eastAsia" w:ascii="Times New Roman" w:hAnsi="Times New Roman" w:eastAsia="宋体" w:cs="Times New Roman"/>
                <w:color w:val="000000" w:themeColor="text1"/>
                <w:kern w:val="0"/>
                <w:sz w:val="21"/>
                <w:szCs w:val="21"/>
                <w:highlight w:val="none"/>
                <w14:textFill>
                  <w14:solidFill>
                    <w14:schemeClr w14:val="tx1"/>
                  </w14:solidFill>
                </w14:textFill>
              </w:rPr>
              <w:t>设置</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10m</w:t>
            </w:r>
            <w:r>
              <w:rPr>
                <w:rFonts w:hint="eastAsia" w:ascii="Times New Roman" w:hAnsi="Times New Roman" w:eastAsia="宋体" w:cs="Times New Roman"/>
                <w:color w:val="000000" w:themeColor="text1"/>
                <w:kern w:val="0"/>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kern w:val="0"/>
                <w:sz w:val="21"/>
                <w:szCs w:val="21"/>
                <w:highlight w:val="none"/>
                <w14:textFill>
                  <w14:solidFill>
                    <w14:schemeClr w14:val="tx1"/>
                  </w14:solidFill>
                </w14:textFill>
              </w:rPr>
              <w:t>沉砂池1口</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足以满足目前区内用水收集处理需要，处理后的用水用于露天采区湿法作业、降尘等用水</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100m</w:t>
            </w:r>
            <w:r>
              <w:rPr>
                <w:rFonts w:hint="eastAsia" w:ascii="Times New Roman" w:hAnsi="Times New Roman" w:eastAsia="宋体" w:cs="Times New Roman"/>
                <w:color w:val="000000" w:themeColor="text1"/>
                <w:kern w:val="0"/>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沉砂池建设中。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46" w:hRule="atLeast"/>
        </w:trPr>
        <w:tc>
          <w:tcPr>
            <w:tcW w:w="751" w:type="dxa"/>
            <w:vMerge w:val="continue"/>
            <w:shd w:val="clear" w:color="auto" w:fill="auto"/>
            <w:vAlign w:val="center"/>
          </w:tcPr>
          <w:p>
            <w:pPr>
              <w:spacing w:line="300" w:lineRule="exact"/>
              <w:jc w:val="center"/>
              <w:rPr>
                <w:snapToGrid w:val="0"/>
                <w:color w:val="000000" w:themeColor="text1"/>
                <w:kern w:val="0"/>
                <w:szCs w:val="21"/>
                <w14:textFill>
                  <w14:solidFill>
                    <w14:schemeClr w14:val="tx1"/>
                  </w14:solidFill>
                </w14:textFill>
              </w:rPr>
            </w:pPr>
          </w:p>
        </w:tc>
        <w:tc>
          <w:tcPr>
            <w:tcW w:w="1240" w:type="dxa"/>
            <w:shd w:val="clear" w:color="auto" w:fill="auto"/>
            <w:vAlign w:val="center"/>
          </w:tcPr>
          <w:p>
            <w:pPr>
              <w:spacing w:line="300" w:lineRule="exact"/>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lang w:eastAsia="zh-CN"/>
                <w14:textFill>
                  <w14:solidFill>
                    <w14:schemeClr w14:val="tx1"/>
                  </w14:solidFill>
                </w14:textFill>
              </w:rPr>
              <w:t>废石场淋溶废水</w:t>
            </w:r>
          </w:p>
        </w:tc>
        <w:tc>
          <w:tcPr>
            <w:tcW w:w="3264" w:type="dxa"/>
            <w:shd w:val="clear" w:color="auto" w:fill="auto"/>
            <w:vAlign w:val="center"/>
          </w:tcPr>
          <w:p>
            <w:pPr>
              <w:adjustRightInd w:val="0"/>
              <w:spacing w:line="300" w:lineRule="exact"/>
              <w:jc w:val="center"/>
              <w:rPr>
                <w:snapToGrid w:val="0"/>
                <w:color w:val="000000" w:themeColor="text1"/>
                <w:kern w:val="0"/>
                <w:szCs w:val="21"/>
                <w:lang w:val="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在</w:t>
            </w:r>
            <w:r>
              <w:rPr>
                <w:rFonts w:hint="eastAsia" w:ascii="Times New Roman" w:hAnsi="Times New Roman" w:eastAsia="宋体" w:cs="Times New Roman"/>
                <w:color w:val="000000" w:themeColor="text1"/>
                <w:kern w:val="0"/>
                <w:sz w:val="21"/>
                <w:szCs w:val="21"/>
                <w:highlight w:val="none"/>
                <w14:textFill>
                  <w14:solidFill>
                    <w14:schemeClr w14:val="tx1"/>
                  </w14:solidFill>
                </w14:textFill>
              </w:rPr>
              <w:t>废石场周边设置截洪沟</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kern w:val="0"/>
                <w:sz w:val="21"/>
                <w:szCs w:val="21"/>
                <w:highlight w:val="none"/>
                <w14:textFill>
                  <w14:solidFill>
                    <w14:schemeClr w14:val="tx1"/>
                  </w14:solidFill>
                </w14:textFill>
              </w:rPr>
              <w:t>截洪沟截留的外围雨水直接排入下游的天然冲沟</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；在废石场底部设置排水盲沟收集废石场淋溶废水，排水盲沟与废石场下游的淋溶废水收集池相连，淋溶废水收集池，有效容积不小于400m</w:t>
            </w:r>
            <w:r>
              <w:rPr>
                <w:rFonts w:hint="eastAsia" w:ascii="Times New Roman" w:hAnsi="Times New Roman" w:eastAsia="宋体" w:cs="Times New Roman"/>
                <w:color w:val="000000" w:themeColor="text1"/>
                <w:kern w:val="0"/>
                <w:sz w:val="21"/>
                <w:szCs w:val="21"/>
                <w:highlight w:val="none"/>
                <w:vertAlign w:val="superscript"/>
                <w:lang w:eastAsia="zh-CN"/>
                <w14:textFill>
                  <w14:solidFill>
                    <w14:schemeClr w14:val="tx1"/>
                  </w14:solidFill>
                </w14:textFill>
              </w:rPr>
              <w:t>3</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，淋溶废水在池内沉淀后，用于废石场降尘，多余废水回用于选厂生产用水；在废石场下方设置拦渣坝，坝型设计为碾压式透水堆石坝。</w:t>
            </w:r>
          </w:p>
        </w:tc>
        <w:tc>
          <w:tcPr>
            <w:tcW w:w="3264" w:type="dxa"/>
            <w:shd w:val="clear" w:color="auto" w:fill="auto"/>
            <w:vAlign w:val="center"/>
          </w:tcPr>
          <w:p>
            <w:pPr>
              <w:adjustRightInd w:val="0"/>
              <w:spacing w:line="300" w:lineRule="exact"/>
              <w:jc w:val="center"/>
              <w:rPr>
                <w:snapToGrid w:val="0"/>
                <w:color w:val="000000" w:themeColor="text1"/>
                <w:kern w:val="0"/>
                <w:szCs w:val="21"/>
                <w:lang w:val="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14:textFill>
                  <w14:solidFill>
                    <w14:schemeClr w14:val="tx1"/>
                  </w14:solidFill>
                </w14:textFill>
              </w:rPr>
              <w:t>露采配套废石场修建截洪沟1750m，</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10m</w:t>
            </w:r>
            <w:r>
              <w:rPr>
                <w:rFonts w:hint="eastAsia" w:ascii="Times New Roman" w:hAnsi="Times New Roman" w:eastAsia="宋体" w:cs="Times New Roman"/>
                <w:color w:val="000000" w:themeColor="text1"/>
                <w:kern w:val="0"/>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kern w:val="0"/>
                <w:sz w:val="21"/>
                <w:szCs w:val="21"/>
                <w:highlight w:val="none"/>
                <w14:textFill>
                  <w14:solidFill>
                    <w14:schemeClr w14:val="tx1"/>
                  </w14:solidFill>
                </w14:textFill>
              </w:rPr>
              <w:t>沉砂池1座，</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拦渣坝</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319.2m，</w:t>
            </w:r>
            <w:r>
              <w:rPr>
                <w:rFonts w:hint="eastAsia" w:ascii="Times New Roman" w:hAnsi="Times New Roman" w:eastAsia="宋体" w:cs="Times New Roman"/>
                <w:color w:val="000000" w:themeColor="text1"/>
                <w:kern w:val="0"/>
                <w:sz w:val="21"/>
                <w:szCs w:val="21"/>
                <w:highlight w:val="none"/>
                <w14:textFill>
                  <w14:solidFill>
                    <w14:schemeClr w14:val="tx1"/>
                  </w14:solidFill>
                </w14:textFill>
              </w:rPr>
              <w:t>废水澄清后用于废石场降尘，多余废水用于选矿生产用水</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p>
        </w:tc>
      </w:tr>
    </w:tbl>
    <w:p>
      <w:pPr>
        <w:spacing w:line="360" w:lineRule="auto"/>
        <w:jc w:val="center"/>
        <w:rPr>
          <w:rFonts w:ascii="Times New Roman" w:hAnsi="Times New Roman" w:cs="Times New Roman"/>
          <w:b/>
          <w:color w:val="000000" w:themeColor="text1"/>
          <w:szCs w:val="24"/>
          <w14:textFill>
            <w14:solidFill>
              <w14:schemeClr w14:val="tx1"/>
            </w14:solidFill>
          </w14:textFill>
        </w:rPr>
      </w:pPr>
      <w:r>
        <w:rPr>
          <w:rFonts w:ascii="Times New Roman" w:hAnsi="Times New Roman" w:cs="Times New Roman"/>
          <w:b/>
          <w:color w:val="000000" w:themeColor="text1"/>
          <w:szCs w:val="24"/>
          <w14:textFill>
            <w14:solidFill>
              <w14:schemeClr w14:val="tx1"/>
            </w14:solidFill>
          </w14:textFill>
        </w:rPr>
        <w:t>表</w:t>
      </w:r>
      <w:r>
        <w:rPr>
          <w:rFonts w:hint="eastAsia" w:ascii="Times New Roman" w:hAnsi="Times New Roman" w:cs="Times New Roman"/>
          <w:b/>
          <w:color w:val="000000" w:themeColor="text1"/>
          <w:szCs w:val="24"/>
          <w14:textFill>
            <w14:solidFill>
              <w14:schemeClr w14:val="tx1"/>
            </w14:solidFill>
          </w14:textFill>
        </w:rPr>
        <w:t>4</w:t>
      </w:r>
      <w:r>
        <w:rPr>
          <w:rFonts w:ascii="Times New Roman" w:hAnsi="Times New Roman" w:cs="Times New Roman"/>
          <w:b/>
          <w:color w:val="000000" w:themeColor="text1"/>
          <w:szCs w:val="24"/>
          <w14:textFill>
            <w14:solidFill>
              <w14:schemeClr w14:val="tx1"/>
            </w14:solidFill>
          </w14:textFill>
        </w:rPr>
        <w:t>.</w:t>
      </w:r>
      <w:r>
        <w:rPr>
          <w:rFonts w:hint="eastAsia" w:ascii="Times New Roman" w:hAnsi="Times New Roman" w:cs="Times New Roman"/>
          <w:b/>
          <w:color w:val="000000" w:themeColor="text1"/>
          <w:szCs w:val="24"/>
          <w:lang w:val="en-US" w:eastAsia="zh-CN"/>
          <w14:textFill>
            <w14:solidFill>
              <w14:schemeClr w14:val="tx1"/>
            </w14:solidFill>
          </w14:textFill>
        </w:rPr>
        <w:t>1</w:t>
      </w:r>
      <w:r>
        <w:rPr>
          <w:rFonts w:ascii="Times New Roman" w:hAnsi="Times New Roman" w:cs="Times New Roman"/>
          <w:b/>
          <w:color w:val="000000" w:themeColor="text1"/>
          <w:szCs w:val="24"/>
          <w14:textFill>
            <w14:solidFill>
              <w14:schemeClr w14:val="tx1"/>
            </w14:solidFill>
          </w14:textFill>
        </w:rPr>
        <w:t xml:space="preserve">-2  </w:t>
      </w:r>
      <w:r>
        <w:rPr>
          <w:rFonts w:hint="eastAsia" w:ascii="Times New Roman" w:hAnsi="Times New Roman" w:cs="Times New Roman"/>
          <w:b/>
          <w:color w:val="000000" w:themeColor="text1"/>
          <w:szCs w:val="24"/>
          <w14:textFill>
            <w14:solidFill>
              <w14:schemeClr w14:val="tx1"/>
            </w14:solidFill>
          </w14:textFill>
        </w:rPr>
        <w:t>地下水</w:t>
      </w:r>
      <w:r>
        <w:rPr>
          <w:rFonts w:ascii="Times New Roman" w:hAnsi="Times New Roman" w:cs="Times New Roman"/>
          <w:b/>
          <w:color w:val="000000" w:themeColor="text1"/>
          <w:szCs w:val="24"/>
          <w14:textFill>
            <w14:solidFill>
              <w14:schemeClr w14:val="tx1"/>
            </w14:solidFill>
          </w14:textFill>
        </w:rPr>
        <w:t>水环境保护措施落实情况一览表</w:t>
      </w:r>
    </w:p>
    <w:tbl>
      <w:tblPr>
        <w:tblStyle w:val="28"/>
        <w:tblW w:w="855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5"/>
        <w:gridCol w:w="483"/>
        <w:gridCol w:w="765"/>
        <w:gridCol w:w="3283"/>
        <w:gridCol w:w="328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735" w:type="dxa"/>
            <w:vAlign w:val="center"/>
          </w:tcPr>
          <w:p>
            <w:pPr>
              <w:spacing w:line="300" w:lineRule="exact"/>
              <w:jc w:val="center"/>
              <w:rPr>
                <w:b/>
                <w:snapToGrid w:val="0"/>
                <w:color w:val="000000" w:themeColor="text1"/>
                <w:kern w:val="0"/>
                <w:sz w:val="22"/>
                <w14:textFill>
                  <w14:solidFill>
                    <w14:schemeClr w14:val="tx1"/>
                  </w14:solidFill>
                </w14:textFill>
              </w:rPr>
            </w:pPr>
            <w:r>
              <w:rPr>
                <w:rFonts w:hint="eastAsia"/>
                <w:b/>
                <w:snapToGrid w:val="0"/>
                <w:color w:val="000000" w:themeColor="text1"/>
                <w:kern w:val="0"/>
                <w:sz w:val="22"/>
                <w14:textFill>
                  <w14:solidFill>
                    <w14:schemeClr w14:val="tx1"/>
                  </w14:solidFill>
                </w14:textFill>
              </w:rPr>
              <w:t>阶段</w:t>
            </w:r>
          </w:p>
        </w:tc>
        <w:tc>
          <w:tcPr>
            <w:tcW w:w="1248" w:type="dxa"/>
            <w:gridSpan w:val="2"/>
            <w:vAlign w:val="center"/>
          </w:tcPr>
          <w:p>
            <w:pPr>
              <w:spacing w:line="300" w:lineRule="exact"/>
              <w:jc w:val="center"/>
              <w:rPr>
                <w:b/>
                <w:snapToGrid w:val="0"/>
                <w:color w:val="000000" w:themeColor="text1"/>
                <w:kern w:val="0"/>
                <w:sz w:val="22"/>
                <w14:textFill>
                  <w14:solidFill>
                    <w14:schemeClr w14:val="tx1"/>
                  </w14:solidFill>
                </w14:textFill>
              </w:rPr>
            </w:pPr>
            <w:r>
              <w:rPr>
                <w:rFonts w:hint="eastAsia"/>
                <w:b/>
                <w:snapToGrid w:val="0"/>
                <w:color w:val="000000" w:themeColor="text1"/>
                <w:kern w:val="0"/>
                <w:sz w:val="22"/>
                <w14:textFill>
                  <w14:solidFill>
                    <w14:schemeClr w14:val="tx1"/>
                  </w14:solidFill>
                </w14:textFill>
              </w:rPr>
              <w:t>分类</w:t>
            </w:r>
          </w:p>
        </w:tc>
        <w:tc>
          <w:tcPr>
            <w:tcW w:w="3283" w:type="dxa"/>
            <w:shd w:val="clear" w:color="auto" w:fill="auto"/>
            <w:vAlign w:val="center"/>
          </w:tcPr>
          <w:p>
            <w:pPr>
              <w:spacing w:line="300" w:lineRule="exact"/>
              <w:jc w:val="center"/>
              <w:rPr>
                <w:b/>
                <w:snapToGrid w:val="0"/>
                <w:color w:val="000000" w:themeColor="text1"/>
                <w:kern w:val="0"/>
                <w:sz w:val="22"/>
                <w14:textFill>
                  <w14:solidFill>
                    <w14:schemeClr w14:val="tx1"/>
                  </w14:solidFill>
                </w14:textFill>
              </w:rPr>
            </w:pPr>
            <w:r>
              <w:rPr>
                <w:rFonts w:hint="eastAsia"/>
                <w:b/>
                <w:snapToGrid w:val="0"/>
                <w:color w:val="000000" w:themeColor="text1"/>
                <w:kern w:val="0"/>
                <w:sz w:val="22"/>
                <w:lang w:eastAsia="zh-CN"/>
                <w14:textFill>
                  <w14:solidFill>
                    <w14:schemeClr w14:val="tx1"/>
                  </w14:solidFill>
                </w14:textFill>
              </w:rPr>
              <w:t>环评及批复要求</w:t>
            </w:r>
          </w:p>
        </w:tc>
        <w:tc>
          <w:tcPr>
            <w:tcW w:w="3284" w:type="dxa"/>
            <w:shd w:val="clear" w:color="auto" w:fill="auto"/>
            <w:vAlign w:val="center"/>
          </w:tcPr>
          <w:p>
            <w:pPr>
              <w:spacing w:line="300" w:lineRule="exact"/>
              <w:jc w:val="center"/>
              <w:rPr>
                <w:b/>
                <w:snapToGrid w:val="0"/>
                <w:color w:val="000000" w:themeColor="text1"/>
                <w:kern w:val="0"/>
                <w:sz w:val="22"/>
                <w14:textFill>
                  <w14:solidFill>
                    <w14:schemeClr w14:val="tx1"/>
                  </w14:solidFill>
                </w14:textFill>
              </w:rPr>
            </w:pPr>
            <w:r>
              <w:rPr>
                <w:rFonts w:hint="eastAsia"/>
                <w:b/>
                <w:snapToGrid w:val="0"/>
                <w:color w:val="000000" w:themeColor="text1"/>
                <w:kern w:val="0"/>
                <w:sz w:val="22"/>
                <w:lang w:eastAsia="zh-CN"/>
                <w14:textFill>
                  <w14:solidFill>
                    <w14:schemeClr w14:val="tx1"/>
                  </w14:solidFill>
                </w14:textFill>
              </w:rPr>
              <w:t>实际</w:t>
            </w:r>
            <w:r>
              <w:rPr>
                <w:rFonts w:hint="eastAsia"/>
                <w:b/>
                <w:snapToGrid w:val="0"/>
                <w:color w:val="000000" w:themeColor="text1"/>
                <w:kern w:val="0"/>
                <w:sz w:val="22"/>
                <w14:textFill>
                  <w14:solidFill>
                    <w14:schemeClr w14:val="tx1"/>
                  </w14:solidFill>
                </w14:textFill>
              </w:rPr>
              <w:t>落实情况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5" w:type="dxa"/>
            <w:vMerge w:val="restart"/>
            <w:vAlign w:val="center"/>
          </w:tcPr>
          <w:p>
            <w:pPr>
              <w:spacing w:line="300" w:lineRule="exact"/>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施工期</w:t>
            </w:r>
          </w:p>
        </w:tc>
        <w:tc>
          <w:tcPr>
            <w:tcW w:w="1248" w:type="dxa"/>
            <w:gridSpan w:val="2"/>
            <w:vAlign w:val="center"/>
          </w:tcPr>
          <w:p>
            <w:pPr>
              <w:spacing w:line="300" w:lineRule="exact"/>
              <w:jc w:val="center"/>
              <w:rPr>
                <w:color w:val="000000" w:themeColor="text1"/>
                <w:szCs w:val="21"/>
                <w:lang w:val="zh-CN"/>
                <w14:textFill>
                  <w14:solidFill>
                    <w14:schemeClr w14:val="tx1"/>
                  </w14:solidFill>
                </w14:textFill>
              </w:rPr>
            </w:pPr>
            <w:r>
              <w:rPr>
                <w:rFonts w:hint="eastAsia"/>
                <w:color w:val="000000" w:themeColor="text1"/>
                <w:szCs w:val="21"/>
                <w:lang w:val="zh-CN"/>
                <w14:textFill>
                  <w14:solidFill>
                    <w14:schemeClr w14:val="tx1"/>
                  </w14:solidFill>
                </w14:textFill>
              </w:rPr>
              <w:t>生活污水</w:t>
            </w:r>
          </w:p>
        </w:tc>
        <w:tc>
          <w:tcPr>
            <w:tcW w:w="3283" w:type="dxa"/>
            <w:shd w:val="clear" w:color="auto" w:fill="auto"/>
            <w:vAlign w:val="center"/>
          </w:tcPr>
          <w:p>
            <w:pPr>
              <w:spacing w:line="300" w:lineRule="exact"/>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施工区建临时旱厕，收集生活污水用于当地林地施肥。</w:t>
            </w:r>
          </w:p>
        </w:tc>
        <w:tc>
          <w:tcPr>
            <w:tcW w:w="3284" w:type="dxa"/>
            <w:shd w:val="clear" w:color="auto" w:fill="auto"/>
            <w:vAlign w:val="center"/>
          </w:tcPr>
          <w:p>
            <w:pPr>
              <w:spacing w:line="300" w:lineRule="exact"/>
              <w:jc w:val="center"/>
              <w:rPr>
                <w:rFonts w:hint="eastAsia"/>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施工区建临时旱厕，收集生活污水用于当地林地施肥。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5" w:type="dxa"/>
            <w:vMerge w:val="continue"/>
            <w:vAlign w:val="center"/>
          </w:tcPr>
          <w:p>
            <w:pPr>
              <w:spacing w:line="300" w:lineRule="exact"/>
              <w:jc w:val="center"/>
              <w:rPr>
                <w:snapToGrid w:val="0"/>
                <w:color w:val="000000" w:themeColor="text1"/>
                <w:kern w:val="0"/>
                <w:szCs w:val="21"/>
                <w14:textFill>
                  <w14:solidFill>
                    <w14:schemeClr w14:val="tx1"/>
                  </w14:solidFill>
                </w14:textFill>
              </w:rPr>
            </w:pPr>
          </w:p>
        </w:tc>
        <w:tc>
          <w:tcPr>
            <w:tcW w:w="1248" w:type="dxa"/>
            <w:gridSpan w:val="2"/>
            <w:vAlign w:val="center"/>
          </w:tcPr>
          <w:p>
            <w:pPr>
              <w:spacing w:line="300" w:lineRule="exact"/>
              <w:jc w:val="center"/>
              <w:rPr>
                <w:color w:val="000000" w:themeColor="text1"/>
                <w:szCs w:val="21"/>
                <w:lang w:val="zh-CN"/>
                <w14:textFill>
                  <w14:solidFill>
                    <w14:schemeClr w14:val="tx1"/>
                  </w14:solidFill>
                </w14:textFill>
              </w:rPr>
            </w:pPr>
            <w:r>
              <w:rPr>
                <w:rFonts w:hint="eastAsia"/>
                <w:color w:val="000000" w:themeColor="text1"/>
                <w:szCs w:val="21"/>
                <w:lang w:val="zh-CN"/>
                <w14:textFill>
                  <w14:solidFill>
                    <w14:schemeClr w14:val="tx1"/>
                  </w14:solidFill>
                </w14:textFill>
              </w:rPr>
              <w:t>混凝土拌和废水</w:t>
            </w:r>
          </w:p>
        </w:tc>
        <w:tc>
          <w:tcPr>
            <w:tcW w:w="3283" w:type="dxa"/>
            <w:vMerge w:val="restart"/>
            <w:shd w:val="clear" w:color="auto" w:fill="auto"/>
            <w:vAlign w:val="center"/>
          </w:tcPr>
          <w:p>
            <w:pPr>
              <w:spacing w:line="300" w:lineRule="exact"/>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在施工场地设置临时沉沙池，经隔油沉淀处理后全部循环利用，不外排。</w:t>
            </w:r>
          </w:p>
        </w:tc>
        <w:tc>
          <w:tcPr>
            <w:tcW w:w="3284" w:type="dxa"/>
            <w:vMerge w:val="restart"/>
            <w:shd w:val="clear" w:color="auto" w:fill="auto"/>
            <w:vAlign w:val="center"/>
          </w:tcPr>
          <w:p>
            <w:pPr>
              <w:spacing w:line="300" w:lineRule="exact"/>
              <w:jc w:val="center"/>
              <w:rPr>
                <w:rFonts w:hint="eastAsia"/>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在施工场地设置临时沉沙池，经隔油沉淀处理后全部循环利用，不外排。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735" w:type="dxa"/>
            <w:vMerge w:val="continue"/>
            <w:vAlign w:val="center"/>
          </w:tcPr>
          <w:p>
            <w:pPr>
              <w:spacing w:line="300" w:lineRule="exact"/>
              <w:jc w:val="center"/>
              <w:rPr>
                <w:snapToGrid w:val="0"/>
                <w:color w:val="000000" w:themeColor="text1"/>
                <w:kern w:val="0"/>
                <w:szCs w:val="21"/>
                <w14:textFill>
                  <w14:solidFill>
                    <w14:schemeClr w14:val="tx1"/>
                  </w14:solidFill>
                </w14:textFill>
              </w:rPr>
            </w:pPr>
          </w:p>
        </w:tc>
        <w:tc>
          <w:tcPr>
            <w:tcW w:w="1248" w:type="dxa"/>
            <w:gridSpan w:val="2"/>
            <w:vAlign w:val="center"/>
          </w:tcPr>
          <w:p>
            <w:pPr>
              <w:spacing w:line="300" w:lineRule="exact"/>
              <w:jc w:val="center"/>
              <w:rPr>
                <w:color w:val="000000" w:themeColor="text1"/>
                <w:szCs w:val="21"/>
                <w:lang w:val="zh-CN"/>
                <w14:textFill>
                  <w14:solidFill>
                    <w14:schemeClr w14:val="tx1"/>
                  </w14:solidFill>
                </w14:textFill>
              </w:rPr>
            </w:pPr>
            <w:r>
              <w:rPr>
                <w:rFonts w:hint="eastAsia"/>
                <w:color w:val="000000" w:themeColor="text1"/>
                <w:szCs w:val="21"/>
                <w:lang w:val="zh-CN"/>
                <w14:textFill>
                  <w14:solidFill>
                    <w14:schemeClr w14:val="tx1"/>
                  </w14:solidFill>
                </w14:textFill>
              </w:rPr>
              <w:t>车辆冲洗废水</w:t>
            </w:r>
          </w:p>
        </w:tc>
        <w:tc>
          <w:tcPr>
            <w:tcW w:w="3283" w:type="dxa"/>
            <w:vMerge w:val="continue"/>
            <w:shd w:val="clear" w:color="auto" w:fill="auto"/>
            <w:vAlign w:val="center"/>
          </w:tcPr>
          <w:p>
            <w:pPr>
              <w:spacing w:line="300" w:lineRule="exact"/>
              <w:jc w:val="center"/>
              <w:rPr>
                <w:snapToGrid w:val="0"/>
                <w:color w:val="000000" w:themeColor="text1"/>
                <w:kern w:val="0"/>
                <w:szCs w:val="21"/>
                <w14:textFill>
                  <w14:solidFill>
                    <w14:schemeClr w14:val="tx1"/>
                  </w14:solidFill>
                </w14:textFill>
              </w:rPr>
            </w:pPr>
          </w:p>
        </w:tc>
        <w:tc>
          <w:tcPr>
            <w:tcW w:w="3284" w:type="dxa"/>
            <w:vMerge w:val="continue"/>
            <w:shd w:val="clear" w:color="auto" w:fill="auto"/>
            <w:vAlign w:val="center"/>
          </w:tcPr>
          <w:p>
            <w:pPr>
              <w:spacing w:line="300" w:lineRule="exact"/>
              <w:jc w:val="center"/>
              <w:rPr>
                <w:snapToGrid w:val="0"/>
                <w:color w:val="000000" w:themeColor="text1"/>
                <w:kern w:val="0"/>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735" w:type="dxa"/>
            <w:vMerge w:val="continue"/>
            <w:vAlign w:val="center"/>
          </w:tcPr>
          <w:p>
            <w:pPr>
              <w:spacing w:line="300" w:lineRule="exact"/>
              <w:jc w:val="center"/>
              <w:rPr>
                <w:snapToGrid w:val="0"/>
                <w:color w:val="000000" w:themeColor="text1"/>
                <w:kern w:val="0"/>
                <w:szCs w:val="21"/>
                <w14:textFill>
                  <w14:solidFill>
                    <w14:schemeClr w14:val="tx1"/>
                  </w14:solidFill>
                </w14:textFill>
              </w:rPr>
            </w:pPr>
          </w:p>
        </w:tc>
        <w:tc>
          <w:tcPr>
            <w:tcW w:w="1248" w:type="dxa"/>
            <w:gridSpan w:val="2"/>
            <w:vAlign w:val="center"/>
          </w:tcPr>
          <w:p>
            <w:pPr>
              <w:spacing w:line="300" w:lineRule="exact"/>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水土流失</w:t>
            </w:r>
          </w:p>
        </w:tc>
        <w:tc>
          <w:tcPr>
            <w:tcW w:w="3283" w:type="dxa"/>
            <w:shd w:val="clear" w:color="auto" w:fill="auto"/>
            <w:vAlign w:val="center"/>
          </w:tcPr>
          <w:p>
            <w:pPr>
              <w:spacing w:line="300" w:lineRule="exact"/>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物料堆场采取覆盖措施，防止产生水土流失污染地下水</w:t>
            </w:r>
          </w:p>
        </w:tc>
        <w:tc>
          <w:tcPr>
            <w:tcW w:w="3284" w:type="dxa"/>
            <w:shd w:val="clear" w:color="auto" w:fill="auto"/>
            <w:vAlign w:val="center"/>
          </w:tcPr>
          <w:p>
            <w:pPr>
              <w:spacing w:line="300" w:lineRule="exact"/>
              <w:jc w:val="center"/>
              <w:rPr>
                <w:rFonts w:hint="eastAsia"/>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物料堆场采取覆盖措施，防止产生水土流失污染地下水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735" w:type="dxa"/>
            <w:vMerge w:val="restart"/>
            <w:vAlign w:val="center"/>
          </w:tcPr>
          <w:p>
            <w:pPr>
              <w:spacing w:line="300" w:lineRule="exact"/>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调试期</w:t>
            </w:r>
          </w:p>
        </w:tc>
        <w:tc>
          <w:tcPr>
            <w:tcW w:w="483" w:type="dxa"/>
            <w:vMerge w:val="restart"/>
            <w:vAlign w:val="center"/>
          </w:tcPr>
          <w:p>
            <w:pPr>
              <w:spacing w:line="300" w:lineRule="exact"/>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分区防渗</w:t>
            </w:r>
          </w:p>
        </w:tc>
        <w:tc>
          <w:tcPr>
            <w:tcW w:w="765" w:type="dxa"/>
            <w:shd w:val="clear" w:color="auto" w:fill="auto"/>
            <w:vAlign w:val="center"/>
          </w:tcPr>
          <w:p>
            <w:pPr>
              <w:spacing w:line="300" w:lineRule="exact"/>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重点防渗区</w:t>
            </w:r>
          </w:p>
        </w:tc>
        <w:tc>
          <w:tcPr>
            <w:tcW w:w="3283" w:type="dxa"/>
            <w:shd w:val="clear" w:color="auto" w:fill="auto"/>
            <w:vAlign w:val="center"/>
          </w:tcPr>
          <w:p>
            <w:pPr>
              <w:spacing w:line="300" w:lineRule="exact"/>
              <w:jc w:val="center"/>
              <w:rPr>
                <w:rFonts w:hint="eastAsia" w:eastAsiaTheme="minorEastAsia"/>
                <w:snapToGrid w:val="0"/>
                <w:color w:val="000000" w:themeColor="text1"/>
                <w:kern w:val="0"/>
                <w:szCs w:val="21"/>
                <w:lang w:eastAsia="zh-CN"/>
                <w14:textFill>
                  <w14:solidFill>
                    <w14:schemeClr w14:val="tx1"/>
                  </w14:solidFill>
                </w14:textFill>
              </w:rPr>
            </w:pPr>
            <w:r>
              <w:rPr>
                <w:rFonts w:hint="eastAsia"/>
                <w:snapToGrid w:val="0"/>
                <w:color w:val="000000" w:themeColor="text1"/>
                <w:kern w:val="0"/>
                <w:szCs w:val="21"/>
                <w:lang w:eastAsia="zh-CN"/>
                <w14:textFill>
                  <w14:solidFill>
                    <w14:schemeClr w14:val="tx1"/>
                  </w14:solidFill>
                </w14:textFill>
              </w:rPr>
              <w:t>废石场及淋溶废水收集池采用</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膨润土+HDPE膜+土工布防渗结构</w:t>
            </w:r>
          </w:p>
        </w:tc>
        <w:tc>
          <w:tcPr>
            <w:tcW w:w="3284" w:type="dxa"/>
            <w:shd w:val="clear" w:color="auto" w:fill="auto"/>
            <w:vAlign w:val="center"/>
          </w:tcPr>
          <w:p>
            <w:pPr>
              <w:spacing w:line="300" w:lineRule="exact"/>
              <w:jc w:val="center"/>
              <w:rPr>
                <w:rFonts w:hint="eastAsia" w:eastAsia="宋体"/>
                <w:snapToGrid w:val="0"/>
                <w:color w:val="000000" w:themeColor="text1"/>
                <w:kern w:val="0"/>
                <w:szCs w:val="21"/>
                <w:lang w:eastAsia="zh-CN"/>
                <w14:textFill>
                  <w14:solidFill>
                    <w14:schemeClr w14:val="tx1"/>
                  </w14:solidFill>
                </w14:textFill>
              </w:rPr>
            </w:pPr>
            <w:r>
              <w:rPr>
                <w:rFonts w:hint="eastAsia"/>
                <w:snapToGrid w:val="0"/>
                <w:color w:val="000000" w:themeColor="text1"/>
                <w:kern w:val="0"/>
                <w:szCs w:val="21"/>
                <w:lang w:eastAsia="zh-CN"/>
                <w14:textFill>
                  <w14:solidFill>
                    <w14:schemeClr w14:val="tx1"/>
                  </w14:solidFill>
                </w14:textFill>
              </w:rPr>
              <w:t>废石场及淋溶废水收集池采用</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膨润土+HDPE膜+土工布防渗结构</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735" w:type="dxa"/>
            <w:vMerge w:val="continue"/>
            <w:vAlign w:val="center"/>
          </w:tcPr>
          <w:p>
            <w:pPr>
              <w:spacing w:line="300" w:lineRule="exact"/>
              <w:jc w:val="center"/>
              <w:rPr>
                <w:snapToGrid w:val="0"/>
                <w:color w:val="000000" w:themeColor="text1"/>
                <w:kern w:val="0"/>
                <w:szCs w:val="21"/>
                <w14:textFill>
                  <w14:solidFill>
                    <w14:schemeClr w14:val="tx1"/>
                  </w14:solidFill>
                </w14:textFill>
              </w:rPr>
            </w:pPr>
          </w:p>
        </w:tc>
        <w:tc>
          <w:tcPr>
            <w:tcW w:w="483" w:type="dxa"/>
            <w:vMerge w:val="continue"/>
            <w:vAlign w:val="center"/>
          </w:tcPr>
          <w:p>
            <w:pPr>
              <w:spacing w:line="300" w:lineRule="exact"/>
              <w:jc w:val="center"/>
              <w:rPr>
                <w:snapToGrid w:val="0"/>
                <w:color w:val="000000" w:themeColor="text1"/>
                <w:kern w:val="0"/>
                <w:szCs w:val="21"/>
                <w14:textFill>
                  <w14:solidFill>
                    <w14:schemeClr w14:val="tx1"/>
                  </w14:solidFill>
                </w14:textFill>
              </w:rPr>
            </w:pPr>
          </w:p>
        </w:tc>
        <w:tc>
          <w:tcPr>
            <w:tcW w:w="765" w:type="dxa"/>
            <w:shd w:val="clear" w:color="auto" w:fill="auto"/>
            <w:vAlign w:val="center"/>
          </w:tcPr>
          <w:p>
            <w:pPr>
              <w:spacing w:line="300" w:lineRule="exact"/>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一般防渗区</w:t>
            </w:r>
          </w:p>
        </w:tc>
        <w:tc>
          <w:tcPr>
            <w:tcW w:w="3283" w:type="dxa"/>
            <w:shd w:val="clear" w:color="auto" w:fill="auto"/>
            <w:vAlign w:val="center"/>
          </w:tcPr>
          <w:p>
            <w:pPr>
              <w:spacing w:line="300" w:lineRule="exact"/>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旱厕</w:t>
            </w:r>
            <w:r>
              <w:rPr>
                <w:rFonts w:hint="eastAsia"/>
                <w:snapToGrid w:val="0"/>
                <w:color w:val="000000" w:themeColor="text1"/>
                <w:kern w:val="0"/>
                <w:szCs w:val="21"/>
                <w:lang w:eastAsia="zh-CN"/>
                <w14:textFill>
                  <w14:solidFill>
                    <w14:schemeClr w14:val="tx1"/>
                  </w14:solidFill>
                </w14:textFill>
              </w:rPr>
              <w:t>采用</w:t>
            </w:r>
            <w:r>
              <w:rPr>
                <w:rFonts w:hint="eastAsia"/>
                <w:snapToGrid w:val="0"/>
                <w:color w:val="000000" w:themeColor="text1"/>
                <w:kern w:val="0"/>
                <w:szCs w:val="21"/>
                <w14:textFill>
                  <w14:solidFill>
                    <w14:schemeClr w14:val="tx1"/>
                  </w14:solidFill>
                </w14:textFill>
              </w:rPr>
              <w:t>P6混凝土（厚度为30cm、渗透系数≤0.49×10</w:t>
            </w:r>
            <w:r>
              <w:rPr>
                <w:rFonts w:hint="eastAsia"/>
                <w:snapToGrid w:val="0"/>
                <w:color w:val="000000" w:themeColor="text1"/>
                <w:kern w:val="0"/>
                <w:szCs w:val="21"/>
                <w:vertAlign w:val="superscript"/>
                <w14:textFill>
                  <w14:solidFill>
                    <w14:schemeClr w14:val="tx1"/>
                  </w14:solidFill>
                </w14:textFill>
              </w:rPr>
              <w:t>-8</w:t>
            </w:r>
            <w:r>
              <w:rPr>
                <w:rFonts w:hint="eastAsia"/>
                <w:snapToGrid w:val="0"/>
                <w:color w:val="000000" w:themeColor="text1"/>
                <w:kern w:val="0"/>
                <w:szCs w:val="21"/>
                <w14:textFill>
                  <w14:solidFill>
                    <w14:schemeClr w14:val="tx1"/>
                  </w14:solidFill>
                </w14:textFill>
              </w:rPr>
              <w:t>cm/s），并采取相应防腐措施</w:t>
            </w:r>
          </w:p>
        </w:tc>
        <w:tc>
          <w:tcPr>
            <w:tcW w:w="3284" w:type="dxa"/>
            <w:shd w:val="clear" w:color="auto" w:fill="auto"/>
            <w:vAlign w:val="center"/>
          </w:tcPr>
          <w:p>
            <w:pPr>
              <w:spacing w:line="300" w:lineRule="exact"/>
              <w:jc w:val="center"/>
              <w:rPr>
                <w:rFonts w:hint="eastAsia"/>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旱厕</w:t>
            </w:r>
            <w:r>
              <w:rPr>
                <w:rFonts w:hint="eastAsia"/>
                <w:snapToGrid w:val="0"/>
                <w:color w:val="000000" w:themeColor="text1"/>
                <w:kern w:val="0"/>
                <w:szCs w:val="21"/>
                <w:lang w:eastAsia="zh-CN"/>
                <w14:textFill>
                  <w14:solidFill>
                    <w14:schemeClr w14:val="tx1"/>
                  </w14:solidFill>
                </w14:textFill>
              </w:rPr>
              <w:t>采用</w:t>
            </w:r>
            <w:r>
              <w:rPr>
                <w:rFonts w:hint="eastAsia"/>
                <w:snapToGrid w:val="0"/>
                <w:color w:val="000000" w:themeColor="text1"/>
                <w:kern w:val="0"/>
                <w:szCs w:val="21"/>
                <w14:textFill>
                  <w14:solidFill>
                    <w14:schemeClr w14:val="tx1"/>
                  </w14:solidFill>
                </w14:textFill>
              </w:rPr>
              <w:t>P6混凝土（厚度为30cm、渗透系数≤0.49×10</w:t>
            </w:r>
            <w:r>
              <w:rPr>
                <w:rFonts w:hint="eastAsia"/>
                <w:snapToGrid w:val="0"/>
                <w:color w:val="000000" w:themeColor="text1"/>
                <w:kern w:val="0"/>
                <w:szCs w:val="21"/>
                <w:vertAlign w:val="superscript"/>
                <w14:textFill>
                  <w14:solidFill>
                    <w14:schemeClr w14:val="tx1"/>
                  </w14:solidFill>
                </w14:textFill>
              </w:rPr>
              <w:t>-8</w:t>
            </w:r>
            <w:r>
              <w:rPr>
                <w:rFonts w:hint="eastAsia"/>
                <w:snapToGrid w:val="0"/>
                <w:color w:val="000000" w:themeColor="text1"/>
                <w:kern w:val="0"/>
                <w:szCs w:val="21"/>
                <w14:textFill>
                  <w14:solidFill>
                    <w14:schemeClr w14:val="tx1"/>
                  </w14:solidFill>
                </w14:textFill>
              </w:rPr>
              <w:t>cm/s），并采取相应防腐措施</w:t>
            </w:r>
          </w:p>
        </w:tc>
      </w:tr>
    </w:tbl>
    <w:p>
      <w:pPr>
        <w:spacing w:line="360" w:lineRule="auto"/>
        <w:rPr>
          <w:rFonts w:ascii="Times New Roman" w:hAnsi="Times New Roman" w:cs="Times New Roman"/>
          <w:b/>
          <w:color w:val="000000" w:themeColor="text1"/>
          <w:sz w:val="24"/>
          <w:szCs w:val="24"/>
          <w14:textFill>
            <w14:solidFill>
              <w14:schemeClr w14:val="tx1"/>
            </w14:solidFill>
          </w14:textFill>
        </w:rPr>
      </w:pPr>
      <w:r>
        <w:rPr>
          <w:rFonts w:hint="eastAsia" w:ascii="Times New Roman" w:hAnsi="Times New Roman" w:cs="Times New Roman"/>
          <w:b/>
          <w:color w:val="000000" w:themeColor="text1"/>
          <w:sz w:val="24"/>
          <w:szCs w:val="24"/>
          <w14:textFill>
            <w14:solidFill>
              <w14:schemeClr w14:val="tx1"/>
            </w14:solidFill>
          </w14:textFill>
        </w:rPr>
        <w:t>4</w:t>
      </w:r>
      <w:r>
        <w:rPr>
          <w:rFonts w:ascii="Times New Roman" w:hAnsi="Times New Roman" w:cs="Times New Roman"/>
          <w:b/>
          <w:color w:val="000000" w:themeColor="text1"/>
          <w:sz w:val="24"/>
          <w:szCs w:val="24"/>
          <w14:textFill>
            <w14:solidFill>
              <w14:schemeClr w14:val="tx1"/>
            </w14:solidFill>
          </w14:textFill>
        </w:rPr>
        <w:t>.1.1.2 大气环境保护措施落实情况</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1、施工期</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大气污染物包括：施工粉尘，交通运输扬尘等。为保护好施工区及大气环境建设期间落实了洒水措施；运输过程中的粉尘采用密闭式运输，原料和产成品运输实行口对口密闭传递。</w:t>
      </w:r>
    </w:p>
    <w:p>
      <w:pPr>
        <w:spacing w:line="360" w:lineRule="auto"/>
        <w:jc w:val="center"/>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drawing>
          <wp:inline distT="0" distB="0" distL="114300" distR="114300">
            <wp:extent cx="2376170" cy="1804670"/>
            <wp:effectExtent l="0" t="0" r="5080" b="5080"/>
            <wp:docPr id="3" name="图片 3" descr="ae2f266137087ff2c3e0ffcd854bd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e2f266137087ff2c3e0ffcd854bdae"/>
                    <pic:cNvPicPr>
                      <a:picLocks noChangeAspect="1"/>
                    </pic:cNvPicPr>
                  </pic:nvPicPr>
                  <pic:blipFill>
                    <a:blip r:embed="rId17"/>
                    <a:srcRect t="10527" b="32484"/>
                    <a:stretch>
                      <a:fillRect/>
                    </a:stretch>
                  </pic:blipFill>
                  <pic:spPr>
                    <a:xfrm>
                      <a:off x="0" y="0"/>
                      <a:ext cx="2376170" cy="1804670"/>
                    </a:xfrm>
                    <a:prstGeom prst="rect">
                      <a:avLst/>
                    </a:prstGeom>
                  </pic:spPr>
                </pic:pic>
              </a:graphicData>
            </a:graphic>
          </wp:inline>
        </w:drawing>
      </w:r>
    </w:p>
    <w:p>
      <w:pPr>
        <w:spacing w:line="360" w:lineRule="auto"/>
        <w:jc w:val="center"/>
        <w:rPr>
          <w:rFonts w:ascii="Times New Roman" w:hAnsi="Times New Roman" w:cs="Times New Roman"/>
          <w:b/>
          <w:color w:val="000000" w:themeColor="text1"/>
          <w:szCs w:val="24"/>
          <w14:textFill>
            <w14:solidFill>
              <w14:schemeClr w14:val="tx1"/>
            </w14:solidFill>
          </w14:textFill>
        </w:rPr>
      </w:pPr>
      <w:r>
        <w:rPr>
          <w:rFonts w:hint="eastAsia" w:ascii="Times New Roman" w:hAnsi="Times New Roman" w:cs="Times New Roman"/>
          <w:b/>
          <w:color w:val="000000" w:themeColor="text1"/>
          <w:szCs w:val="24"/>
          <w14:textFill>
            <w14:solidFill>
              <w14:schemeClr w14:val="tx1"/>
            </w14:solidFill>
          </w14:textFill>
        </w:rPr>
        <w:t>图4</w:t>
      </w:r>
      <w:r>
        <w:rPr>
          <w:rFonts w:ascii="Times New Roman" w:hAnsi="Times New Roman" w:cs="Times New Roman"/>
          <w:b/>
          <w:color w:val="000000" w:themeColor="text1"/>
          <w:szCs w:val="24"/>
          <w14:textFill>
            <w14:solidFill>
              <w14:schemeClr w14:val="tx1"/>
            </w14:solidFill>
          </w14:textFill>
        </w:rPr>
        <w:t>.1-</w:t>
      </w:r>
      <w:r>
        <w:rPr>
          <w:rFonts w:hint="eastAsia" w:ascii="Times New Roman" w:hAnsi="Times New Roman" w:cs="Times New Roman"/>
          <w:b/>
          <w:color w:val="000000" w:themeColor="text1"/>
          <w:szCs w:val="24"/>
          <w:lang w:val="en-US" w:eastAsia="zh-CN"/>
          <w14:textFill>
            <w14:solidFill>
              <w14:schemeClr w14:val="tx1"/>
            </w14:solidFill>
          </w14:textFill>
        </w:rPr>
        <w:t>6</w:t>
      </w:r>
      <w:r>
        <w:rPr>
          <w:rFonts w:ascii="Times New Roman" w:hAnsi="Times New Roman" w:cs="Times New Roman"/>
          <w:b/>
          <w:color w:val="000000" w:themeColor="text1"/>
          <w:szCs w:val="24"/>
          <w14:textFill>
            <w14:solidFill>
              <w14:schemeClr w14:val="tx1"/>
            </w14:solidFill>
          </w14:textFill>
        </w:rPr>
        <w:t xml:space="preserve">  </w:t>
      </w:r>
      <w:r>
        <w:rPr>
          <w:rFonts w:hint="eastAsia" w:ascii="Times New Roman" w:hAnsi="Times New Roman" w:cs="Times New Roman"/>
          <w:b/>
          <w:color w:val="000000" w:themeColor="text1"/>
          <w:szCs w:val="24"/>
          <w14:textFill>
            <w14:solidFill>
              <w14:schemeClr w14:val="tx1"/>
            </w14:solidFill>
          </w14:textFill>
        </w:rPr>
        <w:t>对挖方进行覆盖</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w:t>
      </w:r>
      <w:r>
        <w:rPr>
          <w:rFonts w:hint="eastAsia" w:ascii="Times New Roman" w:hAnsi="Times New Roman" w:cs="Times New Roman"/>
          <w:color w:val="000000" w:themeColor="text1"/>
          <w:sz w:val="24"/>
          <w:szCs w:val="24"/>
          <w14:textFill>
            <w14:solidFill>
              <w14:schemeClr w14:val="tx1"/>
            </w14:solidFill>
          </w14:textFill>
        </w:rPr>
        <w:t>、调试期</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项目调试期大气污染物主要是露天采区粉尘、爆破废气、废石场粉尘、运输车辆产生的扬尘和车辆尾气、食堂油烟等。通过优化爆破参数，对中深孔爆破采用多排孔微差爆破，降低二次破碎频率，减少爆破废气产生量。通过在废石场边堆边复垦，减少裸露废石的面积，干旱天气洒水降尘等措施可以减少70%起尘量。在灶头上方安装油烟捕集罩，油烟捕集罩将食堂油烟抽入油烟净化器净化，净化后的油烟经专用烟道引至屋顶排放。项目对运输道路适时开展洒水降尘工作。采场施工区域建设有车辆维修车间，对车辆进行维修和保养。</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环境空气保护措施落实情况见下表</w:t>
      </w:r>
      <w:r>
        <w:rPr>
          <w:rFonts w:hint="eastAsia" w:ascii="Times New Roman" w:hAnsi="Times New Roman" w:cs="Times New Roman"/>
          <w:color w:val="000000" w:themeColor="text1"/>
          <w:sz w:val="24"/>
          <w:szCs w:val="24"/>
          <w14:textFill>
            <w14:solidFill>
              <w14:schemeClr w14:val="tx1"/>
            </w14:solidFill>
          </w14:textFill>
        </w:rPr>
        <w:t>。</w:t>
      </w:r>
    </w:p>
    <w:p>
      <w:pPr>
        <w:spacing w:line="360" w:lineRule="auto"/>
        <w:jc w:val="center"/>
        <w:rPr>
          <w:rFonts w:ascii="Times New Roman" w:hAnsi="Times New Roman" w:cs="Times New Roman"/>
          <w:b/>
          <w:color w:val="000000" w:themeColor="text1"/>
          <w:szCs w:val="24"/>
          <w14:textFill>
            <w14:solidFill>
              <w14:schemeClr w14:val="tx1"/>
            </w14:solidFill>
          </w14:textFill>
        </w:rPr>
      </w:pPr>
      <w:r>
        <w:rPr>
          <w:rFonts w:ascii="Times New Roman" w:hAnsi="Times New Roman" w:cs="Times New Roman"/>
          <w:b/>
          <w:color w:val="000000" w:themeColor="text1"/>
          <w:szCs w:val="24"/>
          <w14:textFill>
            <w14:solidFill>
              <w14:schemeClr w14:val="tx1"/>
            </w14:solidFill>
          </w14:textFill>
        </w:rPr>
        <w:t>表</w:t>
      </w:r>
      <w:r>
        <w:rPr>
          <w:rFonts w:hint="eastAsia" w:ascii="Times New Roman" w:hAnsi="Times New Roman" w:cs="Times New Roman"/>
          <w:b/>
          <w:color w:val="000000" w:themeColor="text1"/>
          <w:szCs w:val="24"/>
          <w14:textFill>
            <w14:solidFill>
              <w14:schemeClr w14:val="tx1"/>
            </w14:solidFill>
          </w14:textFill>
        </w:rPr>
        <w:t>4</w:t>
      </w:r>
      <w:r>
        <w:rPr>
          <w:rFonts w:ascii="Times New Roman" w:hAnsi="Times New Roman" w:cs="Times New Roman"/>
          <w:b/>
          <w:color w:val="000000" w:themeColor="text1"/>
          <w:szCs w:val="24"/>
          <w14:textFill>
            <w14:solidFill>
              <w14:schemeClr w14:val="tx1"/>
            </w14:solidFill>
          </w14:textFill>
        </w:rPr>
        <w:t>.1-3  环境空气保护措施落实情况一览表</w:t>
      </w:r>
    </w:p>
    <w:tbl>
      <w:tblPr>
        <w:tblStyle w:val="28"/>
        <w:tblW w:w="830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154"/>
        <w:gridCol w:w="3221"/>
        <w:gridCol w:w="322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709" w:type="dxa"/>
            <w:vAlign w:val="center"/>
          </w:tcPr>
          <w:p>
            <w:pPr>
              <w:spacing w:line="300" w:lineRule="exact"/>
              <w:jc w:val="center"/>
              <w:rPr>
                <w:b/>
                <w:snapToGrid w:val="0"/>
                <w:color w:val="000000" w:themeColor="text1"/>
                <w:kern w:val="0"/>
                <w:sz w:val="22"/>
                <w14:textFill>
                  <w14:solidFill>
                    <w14:schemeClr w14:val="tx1"/>
                  </w14:solidFill>
                </w14:textFill>
              </w:rPr>
            </w:pPr>
            <w:r>
              <w:rPr>
                <w:rFonts w:hint="eastAsia"/>
                <w:b/>
                <w:snapToGrid w:val="0"/>
                <w:color w:val="000000" w:themeColor="text1"/>
                <w:kern w:val="0"/>
                <w:sz w:val="22"/>
                <w14:textFill>
                  <w14:solidFill>
                    <w14:schemeClr w14:val="tx1"/>
                  </w14:solidFill>
                </w14:textFill>
              </w:rPr>
              <w:t>阶段</w:t>
            </w:r>
          </w:p>
        </w:tc>
        <w:tc>
          <w:tcPr>
            <w:tcW w:w="1154" w:type="dxa"/>
            <w:shd w:val="clear" w:color="auto" w:fill="auto"/>
            <w:vAlign w:val="center"/>
          </w:tcPr>
          <w:p>
            <w:pPr>
              <w:spacing w:line="300" w:lineRule="exact"/>
              <w:jc w:val="center"/>
              <w:rPr>
                <w:b/>
                <w:snapToGrid w:val="0"/>
                <w:color w:val="000000" w:themeColor="text1"/>
                <w:kern w:val="0"/>
                <w:sz w:val="22"/>
                <w14:textFill>
                  <w14:solidFill>
                    <w14:schemeClr w14:val="tx1"/>
                  </w14:solidFill>
                </w14:textFill>
              </w:rPr>
            </w:pPr>
            <w:r>
              <w:rPr>
                <w:rFonts w:hint="eastAsia"/>
                <w:b/>
                <w:snapToGrid w:val="0"/>
                <w:color w:val="000000" w:themeColor="text1"/>
                <w:kern w:val="0"/>
                <w:sz w:val="22"/>
                <w14:textFill>
                  <w14:solidFill>
                    <w14:schemeClr w14:val="tx1"/>
                  </w14:solidFill>
                </w14:textFill>
              </w:rPr>
              <w:t>分类</w:t>
            </w:r>
          </w:p>
        </w:tc>
        <w:tc>
          <w:tcPr>
            <w:tcW w:w="3221" w:type="dxa"/>
            <w:shd w:val="clear" w:color="auto" w:fill="auto"/>
            <w:vAlign w:val="center"/>
          </w:tcPr>
          <w:p>
            <w:pPr>
              <w:spacing w:line="300" w:lineRule="exact"/>
              <w:jc w:val="center"/>
              <w:rPr>
                <w:b/>
                <w:snapToGrid w:val="0"/>
                <w:color w:val="000000" w:themeColor="text1"/>
                <w:kern w:val="0"/>
                <w:sz w:val="22"/>
                <w14:textFill>
                  <w14:solidFill>
                    <w14:schemeClr w14:val="tx1"/>
                  </w14:solidFill>
                </w14:textFill>
              </w:rPr>
            </w:pPr>
            <w:r>
              <w:rPr>
                <w:rFonts w:hint="eastAsia"/>
                <w:b/>
                <w:snapToGrid w:val="0"/>
                <w:color w:val="000000" w:themeColor="text1"/>
                <w:kern w:val="0"/>
                <w:sz w:val="22"/>
                <w:lang w:eastAsia="zh-CN"/>
                <w14:textFill>
                  <w14:solidFill>
                    <w14:schemeClr w14:val="tx1"/>
                  </w14:solidFill>
                </w14:textFill>
              </w:rPr>
              <w:t>环评及批复要求</w:t>
            </w:r>
          </w:p>
        </w:tc>
        <w:tc>
          <w:tcPr>
            <w:tcW w:w="3222" w:type="dxa"/>
            <w:shd w:val="clear" w:color="auto" w:fill="auto"/>
            <w:vAlign w:val="center"/>
          </w:tcPr>
          <w:p>
            <w:pPr>
              <w:spacing w:line="300" w:lineRule="exact"/>
              <w:jc w:val="center"/>
              <w:rPr>
                <w:b/>
                <w:snapToGrid w:val="0"/>
                <w:color w:val="000000" w:themeColor="text1"/>
                <w:kern w:val="0"/>
                <w:sz w:val="22"/>
                <w14:textFill>
                  <w14:solidFill>
                    <w14:schemeClr w14:val="tx1"/>
                  </w14:solidFill>
                </w14:textFill>
              </w:rPr>
            </w:pPr>
            <w:r>
              <w:rPr>
                <w:rFonts w:hint="eastAsia"/>
                <w:b/>
                <w:snapToGrid w:val="0"/>
                <w:color w:val="000000" w:themeColor="text1"/>
                <w:kern w:val="0"/>
                <w:sz w:val="22"/>
                <w:lang w:eastAsia="zh-CN"/>
                <w14:textFill>
                  <w14:solidFill>
                    <w14:schemeClr w14:val="tx1"/>
                  </w14:solidFill>
                </w14:textFill>
              </w:rPr>
              <w:t>实际</w:t>
            </w:r>
            <w:r>
              <w:rPr>
                <w:rFonts w:hint="eastAsia"/>
                <w:b/>
                <w:snapToGrid w:val="0"/>
                <w:color w:val="000000" w:themeColor="text1"/>
                <w:kern w:val="0"/>
                <w:sz w:val="22"/>
                <w14:textFill>
                  <w14:solidFill>
                    <w14:schemeClr w14:val="tx1"/>
                  </w14:solidFill>
                </w14:textFill>
              </w:rPr>
              <w:t>落实情况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9" w:type="dxa"/>
            <w:vMerge w:val="restart"/>
            <w:vAlign w:val="center"/>
          </w:tcPr>
          <w:p>
            <w:pPr>
              <w:spacing w:line="300" w:lineRule="exact"/>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施工期</w:t>
            </w:r>
          </w:p>
        </w:tc>
        <w:tc>
          <w:tcPr>
            <w:tcW w:w="1154" w:type="dxa"/>
            <w:shd w:val="clear" w:color="auto" w:fill="auto"/>
            <w:vAlign w:val="center"/>
          </w:tcPr>
          <w:p>
            <w:pPr>
              <w:spacing w:line="300" w:lineRule="exact"/>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施工扬尘</w:t>
            </w:r>
          </w:p>
        </w:tc>
        <w:tc>
          <w:tcPr>
            <w:tcW w:w="3221" w:type="dxa"/>
            <w:shd w:val="clear" w:color="auto" w:fill="auto"/>
            <w:vAlign w:val="center"/>
          </w:tcPr>
          <w:p>
            <w:pPr>
              <w:spacing w:line="300" w:lineRule="exact"/>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配备洒水车辆，对场地平整、挖填方、弃渣临时堆放场等产尘点，采取洒水降尘措施</w:t>
            </w:r>
            <w:r>
              <w:rPr>
                <w:rFonts w:ascii="Times New Roman" w:hAnsi="Times New Roman" w:cs="Times New Roman"/>
                <w:snapToGrid w:val="0"/>
                <w:color w:val="000000" w:themeColor="text1"/>
                <w:kern w:val="0"/>
                <w:szCs w:val="21"/>
                <w14:textFill>
                  <w14:solidFill>
                    <w14:schemeClr w14:val="tx1"/>
                  </w14:solidFill>
                </w14:textFill>
              </w:rPr>
              <w:t>；加强机械和车辆的保养与维护，使之处于良好的运行工况，并且使用符合国家相关标准的油料；为施工人员发放防灰尘口罩，减少粉尘对施工人员身体健康的损害；对材料堆放场加盖篷布</w:t>
            </w:r>
            <w:r>
              <w:rPr>
                <w:rFonts w:hint="eastAsia" w:ascii="Times New Roman" w:hAnsi="Times New Roman" w:cs="Times New Roman"/>
                <w:snapToGrid w:val="0"/>
                <w:color w:val="000000" w:themeColor="text1"/>
                <w:kern w:val="0"/>
                <w:szCs w:val="21"/>
                <w14:textFill>
                  <w14:solidFill>
                    <w14:schemeClr w14:val="tx1"/>
                  </w14:solidFill>
                </w14:textFill>
              </w:rPr>
              <w:t>，</w:t>
            </w:r>
            <w:r>
              <w:rPr>
                <w:rFonts w:ascii="Times New Roman" w:hAnsi="Times New Roman" w:cs="Times New Roman"/>
                <w:snapToGrid w:val="0"/>
                <w:color w:val="000000" w:themeColor="text1"/>
                <w:kern w:val="0"/>
                <w:szCs w:val="21"/>
                <w14:textFill>
                  <w14:solidFill>
                    <w14:schemeClr w14:val="tx1"/>
                  </w14:solidFill>
                </w14:textFill>
              </w:rPr>
              <w:t>及时清运施工废弃物，暂</w:t>
            </w:r>
            <w:r>
              <w:rPr>
                <w:rFonts w:hint="eastAsia"/>
                <w:snapToGrid w:val="0"/>
                <w:color w:val="000000" w:themeColor="text1"/>
                <w:kern w:val="0"/>
                <w:szCs w:val="21"/>
                <w14:textFill>
                  <w14:solidFill>
                    <w14:schemeClr w14:val="tx1"/>
                  </w14:solidFill>
                </w14:textFill>
              </w:rPr>
              <w:t>时不能清运的应采取覆盖等措施。</w:t>
            </w:r>
          </w:p>
        </w:tc>
        <w:tc>
          <w:tcPr>
            <w:tcW w:w="3222" w:type="dxa"/>
            <w:shd w:val="clear" w:color="auto" w:fill="auto"/>
            <w:vAlign w:val="center"/>
          </w:tcPr>
          <w:p>
            <w:pPr>
              <w:spacing w:line="300" w:lineRule="exact"/>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配备洒水车</w:t>
            </w:r>
            <w:r>
              <w:rPr>
                <w:rFonts w:hint="eastAsia"/>
                <w:snapToGrid w:val="0"/>
                <w:color w:val="000000" w:themeColor="text1"/>
                <w:kern w:val="0"/>
                <w:szCs w:val="21"/>
                <w:lang w:val="en-US" w:eastAsia="zh-CN"/>
                <w14:textFill>
                  <w14:solidFill>
                    <w14:schemeClr w14:val="tx1"/>
                  </w14:solidFill>
                </w14:textFill>
              </w:rPr>
              <w:t>1</w:t>
            </w:r>
            <w:r>
              <w:rPr>
                <w:rFonts w:hint="eastAsia"/>
                <w:snapToGrid w:val="0"/>
                <w:color w:val="000000" w:themeColor="text1"/>
                <w:kern w:val="0"/>
                <w:szCs w:val="21"/>
                <w14:textFill>
                  <w14:solidFill>
                    <w14:schemeClr w14:val="tx1"/>
                  </w14:solidFill>
                </w14:textFill>
              </w:rPr>
              <w:t>辆，对</w:t>
            </w:r>
            <w:r>
              <w:rPr>
                <w:rFonts w:hint="eastAsia"/>
                <w:snapToGrid w:val="0"/>
                <w:color w:val="000000" w:themeColor="text1"/>
                <w:kern w:val="0"/>
                <w:szCs w:val="21"/>
                <w:lang w:eastAsia="zh-CN"/>
                <w14:textFill>
                  <w14:solidFill>
                    <w14:schemeClr w14:val="tx1"/>
                  </w14:solidFill>
                </w14:textFill>
              </w:rPr>
              <w:t>露天采区、露采配套废石场</w:t>
            </w:r>
            <w:r>
              <w:rPr>
                <w:rFonts w:hint="eastAsia"/>
                <w:snapToGrid w:val="0"/>
                <w:color w:val="000000" w:themeColor="text1"/>
                <w:kern w:val="0"/>
                <w:szCs w:val="21"/>
                <w14:textFill>
                  <w14:solidFill>
                    <w14:schemeClr w14:val="tx1"/>
                  </w14:solidFill>
                </w14:textFill>
              </w:rPr>
              <w:t>等产尘点，采取洒水降尘措施</w:t>
            </w:r>
            <w:r>
              <w:rPr>
                <w:rFonts w:ascii="Times New Roman" w:hAnsi="Times New Roman" w:cs="Times New Roman"/>
                <w:snapToGrid w:val="0"/>
                <w:color w:val="000000" w:themeColor="text1"/>
                <w:kern w:val="0"/>
                <w:szCs w:val="21"/>
                <w14:textFill>
                  <w14:solidFill>
                    <w14:schemeClr w14:val="tx1"/>
                  </w14:solidFill>
                </w14:textFill>
              </w:rPr>
              <w:t>；加强机械和车辆的保养与维护，使之处于良好的运行工况，并且使用符合国家相关标准的油料；为施工人员发放防灰尘口罩，减少粉尘对施工人员身体健康的损害；对材料堆放场加盖篷布</w:t>
            </w:r>
            <w:r>
              <w:rPr>
                <w:rFonts w:hint="eastAsia" w:ascii="Times New Roman" w:hAnsi="Times New Roman" w:cs="Times New Roman"/>
                <w:snapToGrid w:val="0"/>
                <w:color w:val="000000" w:themeColor="text1"/>
                <w:kern w:val="0"/>
                <w:szCs w:val="21"/>
                <w14:textFill>
                  <w14:solidFill>
                    <w14:schemeClr w14:val="tx1"/>
                  </w14:solidFill>
                </w14:textFill>
              </w:rPr>
              <w:t>，</w:t>
            </w:r>
            <w:r>
              <w:rPr>
                <w:rFonts w:ascii="Times New Roman" w:hAnsi="Times New Roman" w:cs="Times New Roman"/>
                <w:snapToGrid w:val="0"/>
                <w:color w:val="000000" w:themeColor="text1"/>
                <w:kern w:val="0"/>
                <w:szCs w:val="21"/>
                <w14:textFill>
                  <w14:solidFill>
                    <w14:schemeClr w14:val="tx1"/>
                  </w14:solidFill>
                </w14:textFill>
              </w:rPr>
              <w:t>及时清运施工废弃物，暂</w:t>
            </w:r>
            <w:r>
              <w:rPr>
                <w:rFonts w:hint="eastAsia"/>
                <w:snapToGrid w:val="0"/>
                <w:color w:val="000000" w:themeColor="text1"/>
                <w:kern w:val="0"/>
                <w:szCs w:val="21"/>
                <w14:textFill>
                  <w14:solidFill>
                    <w14:schemeClr w14:val="tx1"/>
                  </w14:solidFill>
                </w14:textFill>
              </w:rPr>
              <w:t>时不能清运的应采取覆盖等措施。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9" w:type="dxa"/>
            <w:vMerge w:val="continue"/>
            <w:vAlign w:val="center"/>
          </w:tcPr>
          <w:p>
            <w:pPr>
              <w:spacing w:line="300" w:lineRule="exact"/>
              <w:jc w:val="center"/>
              <w:rPr>
                <w:snapToGrid w:val="0"/>
                <w:color w:val="000000" w:themeColor="text1"/>
                <w:kern w:val="0"/>
                <w:szCs w:val="21"/>
                <w14:textFill>
                  <w14:solidFill>
                    <w14:schemeClr w14:val="tx1"/>
                  </w14:solidFill>
                </w14:textFill>
              </w:rPr>
            </w:pPr>
          </w:p>
        </w:tc>
        <w:tc>
          <w:tcPr>
            <w:tcW w:w="1154" w:type="dxa"/>
            <w:shd w:val="clear" w:color="auto" w:fill="auto"/>
            <w:vAlign w:val="center"/>
          </w:tcPr>
          <w:p>
            <w:pPr>
              <w:spacing w:line="300" w:lineRule="exact"/>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交通运输扬尘</w:t>
            </w:r>
          </w:p>
        </w:tc>
        <w:tc>
          <w:tcPr>
            <w:tcW w:w="3221" w:type="dxa"/>
            <w:shd w:val="clear" w:color="auto" w:fill="auto"/>
            <w:vAlign w:val="center"/>
          </w:tcPr>
          <w:p>
            <w:pPr>
              <w:spacing w:line="300" w:lineRule="exact"/>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土、砂、石料运输禁止超载，装高不得超过车厢板，并盖篷布，严禁沿途撒落。运输沙、石、水泥、土方等易产尘物质的车辆必须封盖严密，严禁洒漏。</w:t>
            </w:r>
          </w:p>
        </w:tc>
        <w:tc>
          <w:tcPr>
            <w:tcW w:w="3222" w:type="dxa"/>
            <w:shd w:val="clear" w:color="auto" w:fill="auto"/>
            <w:vAlign w:val="center"/>
          </w:tcPr>
          <w:p>
            <w:pPr>
              <w:spacing w:line="300" w:lineRule="exact"/>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土、砂、石料运输禁止超载，装高不得超过车厢板，并盖篷布，严禁沿途撒落。运输沙、石、水泥、土方等易产尘物质的车辆必须封盖严密，严禁洒漏。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9" w:type="dxa"/>
            <w:vMerge w:val="restart"/>
            <w:vAlign w:val="center"/>
          </w:tcPr>
          <w:p>
            <w:pPr>
              <w:spacing w:line="300" w:lineRule="exact"/>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调试期</w:t>
            </w:r>
          </w:p>
        </w:tc>
        <w:tc>
          <w:tcPr>
            <w:tcW w:w="1154" w:type="dxa"/>
            <w:shd w:val="clear" w:color="auto" w:fill="auto"/>
            <w:vAlign w:val="center"/>
          </w:tcPr>
          <w:p>
            <w:pPr>
              <w:spacing w:line="300" w:lineRule="exact"/>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露天采区粉尘、爆破废气</w:t>
            </w:r>
          </w:p>
        </w:tc>
        <w:tc>
          <w:tcPr>
            <w:tcW w:w="3221" w:type="dxa"/>
            <w:shd w:val="clear" w:color="auto" w:fill="auto"/>
            <w:vAlign w:val="center"/>
          </w:tcPr>
          <w:p>
            <w:pPr>
              <w:spacing w:line="300" w:lineRule="exact"/>
              <w:jc w:val="center"/>
              <w:rPr>
                <w:rFonts w:hint="eastAsia" w:ascii="Times New Roman" w:hAnsi="Times New Roman" w:cs="Times New Roman" w:eastAsiaTheme="minorEastAsia"/>
                <w:snapToGrid w:val="0"/>
                <w:color w:val="000000" w:themeColor="text1"/>
                <w:kern w:val="0"/>
                <w:szCs w:val="21"/>
                <w:lang w:eastAsia="zh-CN"/>
                <w14:textFill>
                  <w14:solidFill>
                    <w14:schemeClr w14:val="tx1"/>
                  </w14:solidFill>
                </w14:textFill>
              </w:rPr>
            </w:pPr>
            <w:r>
              <w:rPr>
                <w:rFonts w:hint="eastAsia" w:ascii="Times New Roman" w:hAnsi="Times New Roman" w:cs="Times New Roman"/>
                <w:snapToGrid w:val="0"/>
                <w:color w:val="000000" w:themeColor="text1"/>
                <w:kern w:val="0"/>
                <w:szCs w:val="21"/>
                <w14:textFill>
                  <w14:solidFill>
                    <w14:schemeClr w14:val="tx1"/>
                  </w14:solidFill>
                </w14:textFill>
              </w:rPr>
              <w:t>穿孔设备配备除尘装置，降低穿孔作业的产尘量</w:t>
            </w:r>
            <w:r>
              <w:rPr>
                <w:rFonts w:hint="eastAsia" w:ascii="Times New Roman" w:hAnsi="Times New Roman" w:cs="Times New Roman"/>
                <w:snapToGrid w:val="0"/>
                <w:color w:val="000000" w:themeColor="text1"/>
                <w:kern w:val="0"/>
                <w:szCs w:val="21"/>
                <w:lang w:eastAsia="zh-CN"/>
                <w14:textFill>
                  <w14:solidFill>
                    <w14:schemeClr w14:val="tx1"/>
                  </w14:solidFill>
                </w14:textFill>
              </w:rPr>
              <w:t>；</w:t>
            </w:r>
            <w:r>
              <w:rPr>
                <w:rFonts w:hint="eastAsia" w:ascii="Times New Roman" w:hAnsi="Times New Roman" w:cs="Times New Roman"/>
                <w:snapToGrid w:val="0"/>
                <w:color w:val="000000" w:themeColor="text1"/>
                <w:kern w:val="0"/>
                <w:szCs w:val="21"/>
                <w14:textFill>
                  <w14:solidFill>
                    <w14:schemeClr w14:val="tx1"/>
                  </w14:solidFill>
                </w14:textFill>
              </w:rPr>
              <w:t>优化爆破参数，对中深孔爆破采用多排孔微差爆破，降低二次破碎频率，减少爆破废气产生量</w:t>
            </w:r>
            <w:r>
              <w:rPr>
                <w:rFonts w:hint="eastAsia" w:ascii="Times New Roman" w:hAnsi="Times New Roman" w:cs="Times New Roman"/>
                <w:snapToGrid w:val="0"/>
                <w:color w:val="000000" w:themeColor="text1"/>
                <w:kern w:val="0"/>
                <w:szCs w:val="21"/>
                <w:lang w:eastAsia="zh-CN"/>
                <w14:textFill>
                  <w14:solidFill>
                    <w14:schemeClr w14:val="tx1"/>
                  </w14:solidFill>
                </w14:textFill>
              </w:rPr>
              <w:t>；场内运矿及运岩道路用洒水车进行洒水，降低矿岩运输时产生的二次扬尘。</w:t>
            </w:r>
          </w:p>
        </w:tc>
        <w:tc>
          <w:tcPr>
            <w:tcW w:w="3222" w:type="dxa"/>
            <w:shd w:val="clear" w:color="auto" w:fill="auto"/>
            <w:vAlign w:val="center"/>
          </w:tcPr>
          <w:p>
            <w:pPr>
              <w:spacing w:line="300" w:lineRule="exact"/>
              <w:jc w:val="center"/>
              <w:rPr>
                <w:snapToGrid w:val="0"/>
                <w:color w:val="000000" w:themeColor="text1"/>
                <w:kern w:val="0"/>
                <w:szCs w:val="21"/>
                <w14:textFill>
                  <w14:solidFill>
                    <w14:schemeClr w14:val="tx1"/>
                  </w14:solidFill>
                </w14:textFill>
              </w:rPr>
            </w:pPr>
            <w:r>
              <w:rPr>
                <w:rFonts w:hint="eastAsia" w:ascii="Times New Roman" w:hAnsi="Times New Roman" w:cs="Times New Roman"/>
                <w:snapToGrid w:val="0"/>
                <w:color w:val="000000" w:themeColor="text1"/>
                <w:kern w:val="0"/>
                <w:szCs w:val="21"/>
                <w14:textFill>
                  <w14:solidFill>
                    <w14:schemeClr w14:val="tx1"/>
                  </w14:solidFill>
                </w14:textFill>
              </w:rPr>
              <w:t>穿孔设备配备除尘装置，降低穿孔作业的产尘量</w:t>
            </w:r>
            <w:r>
              <w:rPr>
                <w:rFonts w:hint="eastAsia" w:ascii="Times New Roman" w:hAnsi="Times New Roman" w:cs="Times New Roman"/>
                <w:snapToGrid w:val="0"/>
                <w:color w:val="000000" w:themeColor="text1"/>
                <w:kern w:val="0"/>
                <w:szCs w:val="21"/>
                <w:lang w:eastAsia="zh-CN"/>
                <w14:textFill>
                  <w14:solidFill>
                    <w14:schemeClr w14:val="tx1"/>
                  </w14:solidFill>
                </w14:textFill>
              </w:rPr>
              <w:t>；</w:t>
            </w:r>
            <w:r>
              <w:rPr>
                <w:rFonts w:hint="eastAsia" w:ascii="Times New Roman" w:hAnsi="Times New Roman" w:cs="Times New Roman"/>
                <w:snapToGrid w:val="0"/>
                <w:color w:val="000000" w:themeColor="text1"/>
                <w:kern w:val="0"/>
                <w:szCs w:val="21"/>
                <w14:textFill>
                  <w14:solidFill>
                    <w14:schemeClr w14:val="tx1"/>
                  </w14:solidFill>
                </w14:textFill>
              </w:rPr>
              <w:t>优化爆破参数，对中深孔爆破采用多排孔微差爆破，降低二次破碎频率，减少爆破废气产生量</w:t>
            </w:r>
            <w:r>
              <w:rPr>
                <w:rFonts w:hint="eastAsia" w:ascii="Times New Roman" w:hAnsi="Times New Roman" w:cs="Times New Roman"/>
                <w:snapToGrid w:val="0"/>
                <w:color w:val="000000" w:themeColor="text1"/>
                <w:kern w:val="0"/>
                <w:szCs w:val="21"/>
                <w:lang w:eastAsia="zh-CN"/>
                <w14:textFill>
                  <w14:solidFill>
                    <w14:schemeClr w14:val="tx1"/>
                  </w14:solidFill>
                </w14:textFill>
              </w:rPr>
              <w:t>；场内运矿及运岩道路用洒水车进行洒水，降低矿岩运输时产生的二次扬尘。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9" w:type="dxa"/>
            <w:vMerge w:val="continue"/>
            <w:vAlign w:val="center"/>
          </w:tcPr>
          <w:p>
            <w:pPr>
              <w:spacing w:line="300" w:lineRule="exact"/>
              <w:jc w:val="center"/>
              <w:rPr>
                <w:snapToGrid w:val="0"/>
                <w:color w:val="000000" w:themeColor="text1"/>
                <w:kern w:val="0"/>
                <w:szCs w:val="21"/>
                <w14:textFill>
                  <w14:solidFill>
                    <w14:schemeClr w14:val="tx1"/>
                  </w14:solidFill>
                </w14:textFill>
              </w:rPr>
            </w:pPr>
          </w:p>
        </w:tc>
        <w:tc>
          <w:tcPr>
            <w:tcW w:w="1154" w:type="dxa"/>
            <w:shd w:val="clear" w:color="auto" w:fill="auto"/>
            <w:vAlign w:val="center"/>
          </w:tcPr>
          <w:p>
            <w:pPr>
              <w:spacing w:line="300" w:lineRule="exact"/>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废石场粉尘</w:t>
            </w:r>
          </w:p>
        </w:tc>
        <w:tc>
          <w:tcPr>
            <w:tcW w:w="3221" w:type="dxa"/>
            <w:shd w:val="clear" w:color="auto" w:fill="auto"/>
            <w:vAlign w:val="center"/>
          </w:tcPr>
          <w:p>
            <w:pPr>
              <w:spacing w:line="300" w:lineRule="exact"/>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在废石场</w:t>
            </w:r>
            <w:r>
              <w:rPr>
                <w:rFonts w:hint="eastAsia"/>
                <w:snapToGrid w:val="0"/>
                <w:color w:val="000000" w:themeColor="text1"/>
                <w:kern w:val="0"/>
                <w:szCs w:val="21"/>
                <w:lang w:eastAsia="zh-CN"/>
                <w14:textFill>
                  <w14:solidFill>
                    <w14:schemeClr w14:val="tx1"/>
                  </w14:solidFill>
                </w14:textFill>
              </w:rPr>
              <w:t>采取</w:t>
            </w:r>
            <w:r>
              <w:rPr>
                <w:rFonts w:hint="eastAsia"/>
                <w:snapToGrid w:val="0"/>
                <w:color w:val="000000" w:themeColor="text1"/>
                <w:kern w:val="0"/>
                <w:szCs w:val="21"/>
                <w14:textFill>
                  <w14:solidFill>
                    <w14:schemeClr w14:val="tx1"/>
                  </w14:solidFill>
                </w14:textFill>
              </w:rPr>
              <w:t>洒水降尘</w:t>
            </w:r>
            <w:r>
              <w:rPr>
                <w:rFonts w:hint="eastAsia"/>
                <w:snapToGrid w:val="0"/>
                <w:color w:val="000000" w:themeColor="text1"/>
                <w:kern w:val="0"/>
                <w:szCs w:val="21"/>
                <w:lang w:eastAsia="zh-CN"/>
                <w14:textFill>
                  <w14:solidFill>
                    <w14:schemeClr w14:val="tx1"/>
                  </w14:solidFill>
                </w14:textFill>
              </w:rPr>
              <w:t>措施</w:t>
            </w:r>
            <w:r>
              <w:rPr>
                <w:rFonts w:hint="eastAsia"/>
                <w:snapToGrid w:val="0"/>
                <w:color w:val="000000" w:themeColor="text1"/>
                <w:kern w:val="0"/>
                <w:szCs w:val="21"/>
                <w14:textFill>
                  <w14:solidFill>
                    <w14:schemeClr w14:val="tx1"/>
                  </w14:solidFill>
                </w14:textFill>
              </w:rPr>
              <w:t>。</w:t>
            </w:r>
          </w:p>
        </w:tc>
        <w:tc>
          <w:tcPr>
            <w:tcW w:w="3222" w:type="dxa"/>
            <w:shd w:val="clear" w:color="auto" w:fill="auto"/>
            <w:vAlign w:val="center"/>
          </w:tcPr>
          <w:p>
            <w:pPr>
              <w:spacing w:line="300" w:lineRule="exact"/>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在废石场</w:t>
            </w:r>
            <w:r>
              <w:rPr>
                <w:rFonts w:hint="eastAsia"/>
                <w:snapToGrid w:val="0"/>
                <w:color w:val="000000" w:themeColor="text1"/>
                <w:kern w:val="0"/>
                <w:szCs w:val="21"/>
                <w:lang w:eastAsia="zh-CN"/>
                <w14:textFill>
                  <w14:solidFill>
                    <w14:schemeClr w14:val="tx1"/>
                  </w14:solidFill>
                </w14:textFill>
              </w:rPr>
              <w:t>采取</w:t>
            </w:r>
            <w:r>
              <w:rPr>
                <w:rFonts w:hint="eastAsia"/>
                <w:snapToGrid w:val="0"/>
                <w:color w:val="000000" w:themeColor="text1"/>
                <w:kern w:val="0"/>
                <w:szCs w:val="21"/>
                <w14:textFill>
                  <w14:solidFill>
                    <w14:schemeClr w14:val="tx1"/>
                  </w14:solidFill>
                </w14:textFill>
              </w:rPr>
              <w:t>洒水降尘</w:t>
            </w:r>
            <w:r>
              <w:rPr>
                <w:rFonts w:hint="eastAsia"/>
                <w:snapToGrid w:val="0"/>
                <w:color w:val="000000" w:themeColor="text1"/>
                <w:kern w:val="0"/>
                <w:szCs w:val="21"/>
                <w:lang w:eastAsia="zh-CN"/>
                <w14:textFill>
                  <w14:solidFill>
                    <w14:schemeClr w14:val="tx1"/>
                  </w14:solidFill>
                </w14:textFill>
              </w:rPr>
              <w:t>措施</w:t>
            </w:r>
            <w:r>
              <w:rPr>
                <w:rFonts w:hint="eastAsia"/>
                <w:snapToGrid w:val="0"/>
                <w:color w:val="000000" w:themeColor="text1"/>
                <w:kern w:val="0"/>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9" w:type="dxa"/>
            <w:vMerge w:val="continue"/>
            <w:vAlign w:val="center"/>
          </w:tcPr>
          <w:p>
            <w:pPr>
              <w:spacing w:line="300" w:lineRule="exact"/>
              <w:jc w:val="center"/>
              <w:rPr>
                <w:snapToGrid w:val="0"/>
                <w:color w:val="000000" w:themeColor="text1"/>
                <w:kern w:val="0"/>
                <w:szCs w:val="21"/>
                <w14:textFill>
                  <w14:solidFill>
                    <w14:schemeClr w14:val="tx1"/>
                  </w14:solidFill>
                </w14:textFill>
              </w:rPr>
            </w:pPr>
          </w:p>
        </w:tc>
        <w:tc>
          <w:tcPr>
            <w:tcW w:w="1154" w:type="dxa"/>
            <w:shd w:val="clear" w:color="auto" w:fill="auto"/>
            <w:vAlign w:val="center"/>
          </w:tcPr>
          <w:p>
            <w:pPr>
              <w:spacing w:line="300" w:lineRule="exact"/>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汽车运输扬尘与汽车尾气</w:t>
            </w:r>
          </w:p>
        </w:tc>
        <w:tc>
          <w:tcPr>
            <w:tcW w:w="3221" w:type="dxa"/>
            <w:shd w:val="clear" w:color="auto" w:fill="auto"/>
            <w:vAlign w:val="center"/>
          </w:tcPr>
          <w:p>
            <w:pPr>
              <w:spacing w:line="300" w:lineRule="exact"/>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运输车辆加盖篷布，对沿线洒落物料及时清扫。</w:t>
            </w:r>
            <w:r>
              <w:rPr>
                <w:rFonts w:hint="eastAsia" w:ascii="Times New Roman" w:hAnsi="Times New Roman" w:cs="Times New Roman"/>
                <w:color w:val="000000" w:themeColor="text1"/>
                <w:szCs w:val="21"/>
                <w14:textFill>
                  <w14:solidFill>
                    <w14:schemeClr w14:val="tx1"/>
                  </w14:solidFill>
                </w14:textFill>
              </w:rPr>
              <w:t>加强车辆维修和保养，使之处于良好的运行工况，减少汽车尾气的排放。</w:t>
            </w:r>
          </w:p>
        </w:tc>
        <w:tc>
          <w:tcPr>
            <w:tcW w:w="3222" w:type="dxa"/>
            <w:shd w:val="clear" w:color="auto" w:fill="auto"/>
            <w:vAlign w:val="center"/>
          </w:tcPr>
          <w:p>
            <w:pPr>
              <w:spacing w:line="300" w:lineRule="exact"/>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运输车辆加盖篷布，对沿线洒落物料及时清扫。</w:t>
            </w:r>
            <w:r>
              <w:rPr>
                <w:rFonts w:hint="eastAsia" w:ascii="Times New Roman" w:hAnsi="Times New Roman" w:cs="Times New Roman"/>
                <w:color w:val="000000" w:themeColor="text1"/>
                <w:szCs w:val="21"/>
                <w14:textFill>
                  <w14:solidFill>
                    <w14:schemeClr w14:val="tx1"/>
                  </w14:solidFill>
                </w14:textFill>
              </w:rPr>
              <w:t>加强车辆维修和保养，使之处于良好的运行工况，减少汽车尾气的排放。</w:t>
            </w:r>
          </w:p>
        </w:tc>
      </w:tr>
    </w:tbl>
    <w:p>
      <w:pPr>
        <w:spacing w:line="360" w:lineRule="auto"/>
        <w:rPr>
          <w:rFonts w:ascii="Times New Roman" w:hAnsi="Times New Roman" w:cs="Times New Roman"/>
          <w:b/>
          <w:color w:val="000000" w:themeColor="text1"/>
          <w:sz w:val="24"/>
          <w:szCs w:val="24"/>
          <w14:textFill>
            <w14:solidFill>
              <w14:schemeClr w14:val="tx1"/>
            </w14:solidFill>
          </w14:textFill>
        </w:rPr>
      </w:pPr>
      <w:r>
        <w:rPr>
          <w:rFonts w:hint="eastAsia" w:ascii="Times New Roman" w:hAnsi="Times New Roman" w:cs="Times New Roman"/>
          <w:b/>
          <w:color w:val="000000" w:themeColor="text1"/>
          <w:sz w:val="24"/>
          <w:szCs w:val="24"/>
          <w14:textFill>
            <w14:solidFill>
              <w14:schemeClr w14:val="tx1"/>
            </w14:solidFill>
          </w14:textFill>
        </w:rPr>
        <w:t>4</w:t>
      </w:r>
      <w:r>
        <w:rPr>
          <w:rFonts w:ascii="Times New Roman" w:hAnsi="Times New Roman" w:cs="Times New Roman"/>
          <w:b/>
          <w:color w:val="000000" w:themeColor="text1"/>
          <w:sz w:val="24"/>
          <w:szCs w:val="24"/>
          <w14:textFill>
            <w14:solidFill>
              <w14:schemeClr w14:val="tx1"/>
            </w14:solidFill>
          </w14:textFill>
        </w:rPr>
        <w:t>.1.1.3 声环境保护措施落实情况</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1、施工期</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施工布置时，利用山体对噪声进行阻隔，降低了噪声对外传播；施工作业区与施工生活办公区之间有一定距离，降低了噪声的影响；施工单位选用了符合国家有关标准的施工机械、施工工艺和运输工具；对高强度的固定噪声源，大部分采取了封闭作业以控制噪声的传播途径，减少噪声的影响；按要求缩短了高噪声施工作业、机械设备的使用时间，配备、使用了隔音装置，减低了噪声源的声级强度。</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2、调试期</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项目调试期噪声主要是采矿设备运行时产生的噪声，设备在安装过程中进行了隔声和减振处理。爆破噪声属瞬间噪声，瞬时源强在110dB（A）左右，露天采区平均每个星期一次。</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声环境保护措施落实情况见下表</w:t>
      </w:r>
      <w:r>
        <w:rPr>
          <w:rFonts w:hint="eastAsia" w:ascii="Times New Roman" w:hAnsi="Times New Roman" w:cs="Times New Roman"/>
          <w:color w:val="000000" w:themeColor="text1"/>
          <w:sz w:val="24"/>
          <w:szCs w:val="24"/>
          <w14:textFill>
            <w14:solidFill>
              <w14:schemeClr w14:val="tx1"/>
            </w14:solidFill>
          </w14:textFill>
        </w:rPr>
        <w:t>。</w:t>
      </w:r>
    </w:p>
    <w:p>
      <w:pPr>
        <w:spacing w:line="360" w:lineRule="auto"/>
        <w:jc w:val="center"/>
        <w:rPr>
          <w:rFonts w:ascii="Times New Roman" w:hAnsi="Times New Roman" w:cs="Times New Roman"/>
          <w:b/>
          <w:color w:val="000000" w:themeColor="text1"/>
          <w:szCs w:val="24"/>
          <w14:textFill>
            <w14:solidFill>
              <w14:schemeClr w14:val="tx1"/>
            </w14:solidFill>
          </w14:textFill>
        </w:rPr>
      </w:pPr>
      <w:r>
        <w:rPr>
          <w:rFonts w:ascii="Times New Roman" w:hAnsi="Times New Roman" w:cs="Times New Roman"/>
          <w:b/>
          <w:color w:val="000000" w:themeColor="text1"/>
          <w:szCs w:val="24"/>
          <w14:textFill>
            <w14:solidFill>
              <w14:schemeClr w14:val="tx1"/>
            </w14:solidFill>
          </w14:textFill>
        </w:rPr>
        <w:t>表</w:t>
      </w:r>
      <w:r>
        <w:rPr>
          <w:rFonts w:hint="eastAsia" w:ascii="Times New Roman" w:hAnsi="Times New Roman" w:cs="Times New Roman"/>
          <w:b/>
          <w:color w:val="000000" w:themeColor="text1"/>
          <w:szCs w:val="24"/>
          <w14:textFill>
            <w14:solidFill>
              <w14:schemeClr w14:val="tx1"/>
            </w14:solidFill>
          </w14:textFill>
        </w:rPr>
        <w:t>4</w:t>
      </w:r>
      <w:r>
        <w:rPr>
          <w:rFonts w:ascii="Times New Roman" w:hAnsi="Times New Roman" w:cs="Times New Roman"/>
          <w:b/>
          <w:color w:val="000000" w:themeColor="text1"/>
          <w:szCs w:val="24"/>
          <w14:textFill>
            <w14:solidFill>
              <w14:schemeClr w14:val="tx1"/>
            </w14:solidFill>
          </w14:textFill>
        </w:rPr>
        <w:t>.1-4  声环境保护措施落实情况一览表</w:t>
      </w:r>
    </w:p>
    <w:tbl>
      <w:tblPr>
        <w:tblStyle w:val="28"/>
        <w:tblW w:w="827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05"/>
        <w:gridCol w:w="3685"/>
        <w:gridCol w:w="368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905" w:type="dxa"/>
            <w:vAlign w:val="center"/>
          </w:tcPr>
          <w:p>
            <w:pPr>
              <w:spacing w:line="300" w:lineRule="exact"/>
              <w:jc w:val="center"/>
              <w:rPr>
                <w:rFonts w:ascii="Times New Roman" w:hAnsi="Times New Roman" w:cs="Times New Roman"/>
                <w:b/>
                <w:snapToGrid w:val="0"/>
                <w:color w:val="000000" w:themeColor="text1"/>
                <w:kern w:val="0"/>
                <w:sz w:val="22"/>
                <w14:textFill>
                  <w14:solidFill>
                    <w14:schemeClr w14:val="tx1"/>
                  </w14:solidFill>
                </w14:textFill>
              </w:rPr>
            </w:pPr>
            <w:r>
              <w:rPr>
                <w:rFonts w:ascii="Times New Roman" w:hAnsi="Times New Roman" w:cs="Times New Roman"/>
                <w:b/>
                <w:snapToGrid w:val="0"/>
                <w:color w:val="000000" w:themeColor="text1"/>
                <w:kern w:val="0"/>
                <w:sz w:val="22"/>
                <w14:textFill>
                  <w14:solidFill>
                    <w14:schemeClr w14:val="tx1"/>
                  </w14:solidFill>
                </w14:textFill>
              </w:rPr>
              <w:t>阶段</w:t>
            </w:r>
          </w:p>
        </w:tc>
        <w:tc>
          <w:tcPr>
            <w:tcW w:w="3685" w:type="dxa"/>
            <w:shd w:val="clear" w:color="auto" w:fill="auto"/>
            <w:vAlign w:val="center"/>
          </w:tcPr>
          <w:p>
            <w:pPr>
              <w:spacing w:line="300" w:lineRule="exact"/>
              <w:jc w:val="center"/>
              <w:rPr>
                <w:rFonts w:ascii="Times New Roman" w:hAnsi="Times New Roman" w:cs="Times New Roman"/>
                <w:b/>
                <w:snapToGrid w:val="0"/>
                <w:color w:val="000000" w:themeColor="text1"/>
                <w:kern w:val="0"/>
                <w:sz w:val="22"/>
                <w14:textFill>
                  <w14:solidFill>
                    <w14:schemeClr w14:val="tx1"/>
                  </w14:solidFill>
                </w14:textFill>
              </w:rPr>
            </w:pPr>
            <w:r>
              <w:rPr>
                <w:rFonts w:hint="eastAsia"/>
                <w:b/>
                <w:snapToGrid w:val="0"/>
                <w:color w:val="000000" w:themeColor="text1"/>
                <w:kern w:val="0"/>
                <w:sz w:val="22"/>
                <w:lang w:eastAsia="zh-CN"/>
                <w14:textFill>
                  <w14:solidFill>
                    <w14:schemeClr w14:val="tx1"/>
                  </w14:solidFill>
                </w14:textFill>
              </w:rPr>
              <w:t>环评及批复要求</w:t>
            </w:r>
          </w:p>
        </w:tc>
        <w:tc>
          <w:tcPr>
            <w:tcW w:w="3686" w:type="dxa"/>
            <w:shd w:val="clear" w:color="auto" w:fill="auto"/>
            <w:vAlign w:val="center"/>
          </w:tcPr>
          <w:p>
            <w:pPr>
              <w:spacing w:line="300" w:lineRule="exact"/>
              <w:jc w:val="center"/>
              <w:rPr>
                <w:rFonts w:ascii="Times New Roman" w:hAnsi="Times New Roman" w:cs="Times New Roman"/>
                <w:b/>
                <w:snapToGrid w:val="0"/>
                <w:color w:val="000000" w:themeColor="text1"/>
                <w:kern w:val="0"/>
                <w:sz w:val="22"/>
                <w14:textFill>
                  <w14:solidFill>
                    <w14:schemeClr w14:val="tx1"/>
                  </w14:solidFill>
                </w14:textFill>
              </w:rPr>
            </w:pPr>
            <w:r>
              <w:rPr>
                <w:rFonts w:hint="eastAsia"/>
                <w:b/>
                <w:snapToGrid w:val="0"/>
                <w:color w:val="000000" w:themeColor="text1"/>
                <w:kern w:val="0"/>
                <w:sz w:val="22"/>
                <w:lang w:eastAsia="zh-CN"/>
                <w14:textFill>
                  <w14:solidFill>
                    <w14:schemeClr w14:val="tx1"/>
                  </w14:solidFill>
                </w14:textFill>
              </w:rPr>
              <w:t>实际</w:t>
            </w:r>
            <w:r>
              <w:rPr>
                <w:rFonts w:hint="eastAsia"/>
                <w:b/>
                <w:snapToGrid w:val="0"/>
                <w:color w:val="000000" w:themeColor="text1"/>
                <w:kern w:val="0"/>
                <w:sz w:val="22"/>
                <w14:textFill>
                  <w14:solidFill>
                    <w14:schemeClr w14:val="tx1"/>
                  </w14:solidFill>
                </w14:textFill>
              </w:rPr>
              <w:t>落实情况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5" w:type="dxa"/>
            <w:vMerge w:val="restart"/>
            <w:vAlign w:val="center"/>
          </w:tcPr>
          <w:p>
            <w:pPr>
              <w:spacing w:line="300" w:lineRule="exact"/>
              <w:jc w:val="center"/>
              <w:rPr>
                <w:rFonts w:ascii="Times New Roman" w:hAnsi="Times New Roman" w:cs="Times New Roman"/>
                <w:snapToGrid w:val="0"/>
                <w:color w:val="000000" w:themeColor="text1"/>
                <w:kern w:val="0"/>
                <w:szCs w:val="21"/>
                <w14:textFill>
                  <w14:solidFill>
                    <w14:schemeClr w14:val="tx1"/>
                  </w14:solidFill>
                </w14:textFill>
              </w:rPr>
            </w:pPr>
            <w:r>
              <w:rPr>
                <w:rFonts w:ascii="Times New Roman" w:hAnsi="Times New Roman" w:cs="Times New Roman"/>
                <w:snapToGrid w:val="0"/>
                <w:color w:val="000000" w:themeColor="text1"/>
                <w:kern w:val="0"/>
                <w:szCs w:val="21"/>
                <w14:textFill>
                  <w14:solidFill>
                    <w14:schemeClr w14:val="tx1"/>
                  </w14:solidFill>
                </w14:textFill>
              </w:rPr>
              <w:t>施工期</w:t>
            </w:r>
          </w:p>
        </w:tc>
        <w:tc>
          <w:tcPr>
            <w:tcW w:w="3685" w:type="dxa"/>
            <w:shd w:val="clear" w:color="auto" w:fill="auto"/>
            <w:vAlign w:val="center"/>
          </w:tcPr>
          <w:p>
            <w:pPr>
              <w:spacing w:line="300" w:lineRule="exact"/>
              <w:jc w:val="center"/>
              <w:rPr>
                <w:rFonts w:ascii="Times New Roman" w:hAnsi="Times New Roman" w:cs="Times New Roman"/>
                <w:snapToGrid w:val="0"/>
                <w:color w:val="000000" w:themeColor="text1"/>
                <w:kern w:val="0"/>
                <w:szCs w:val="21"/>
                <w14:textFill>
                  <w14:solidFill>
                    <w14:schemeClr w14:val="tx1"/>
                  </w14:solidFill>
                </w14:textFill>
              </w:rPr>
            </w:pPr>
            <w:r>
              <w:rPr>
                <w:rFonts w:ascii="Times New Roman" w:hAnsi="Times New Roman" w:cs="Times New Roman"/>
                <w:snapToGrid w:val="0"/>
                <w:color w:val="000000" w:themeColor="text1"/>
                <w:kern w:val="0"/>
                <w:szCs w:val="21"/>
                <w14:textFill>
                  <w14:solidFill>
                    <w14:schemeClr w14:val="tx1"/>
                  </w14:solidFill>
                </w14:textFill>
              </w:rPr>
              <w:t>尽量采用低噪声机械，工程施工所用的施工机械设备应事先对其进行常规工作状态下的噪声测量，超过国家标准的机械应禁止其入场施工。</w:t>
            </w:r>
          </w:p>
        </w:tc>
        <w:tc>
          <w:tcPr>
            <w:tcW w:w="3686" w:type="dxa"/>
            <w:shd w:val="clear" w:color="auto" w:fill="auto"/>
            <w:vAlign w:val="center"/>
          </w:tcPr>
          <w:p>
            <w:pPr>
              <w:spacing w:line="300" w:lineRule="exact"/>
              <w:jc w:val="center"/>
              <w:rPr>
                <w:rFonts w:ascii="Times New Roman" w:hAnsi="Times New Roman" w:cs="Times New Roman"/>
                <w:snapToGrid w:val="0"/>
                <w:color w:val="000000" w:themeColor="text1"/>
                <w:kern w:val="0"/>
                <w:szCs w:val="21"/>
                <w14:textFill>
                  <w14:solidFill>
                    <w14:schemeClr w14:val="tx1"/>
                  </w14:solidFill>
                </w14:textFill>
              </w:rPr>
            </w:pPr>
            <w:r>
              <w:rPr>
                <w:rFonts w:ascii="Times New Roman" w:hAnsi="Times New Roman" w:cs="Times New Roman"/>
                <w:snapToGrid w:val="0"/>
                <w:color w:val="000000" w:themeColor="text1"/>
                <w:kern w:val="0"/>
                <w:szCs w:val="21"/>
                <w14:textFill>
                  <w14:solidFill>
                    <w14:schemeClr w14:val="tx1"/>
                  </w14:solidFill>
                </w14:textFill>
              </w:rPr>
              <w:t>采用低噪声机械，</w:t>
            </w:r>
            <w:r>
              <w:rPr>
                <w:rFonts w:hint="eastAsia" w:ascii="Times New Roman" w:hAnsi="Times New Roman" w:cs="Times New Roman"/>
                <w:snapToGrid w:val="0"/>
                <w:color w:val="000000" w:themeColor="text1"/>
                <w:kern w:val="0"/>
                <w:szCs w:val="21"/>
                <w:lang w:eastAsia="zh-CN"/>
                <w14:textFill>
                  <w14:solidFill>
                    <w14:schemeClr w14:val="tx1"/>
                  </w14:solidFill>
                </w14:textFill>
              </w:rPr>
              <w:t>事先对</w:t>
            </w:r>
            <w:r>
              <w:rPr>
                <w:rFonts w:ascii="Times New Roman" w:hAnsi="Times New Roman" w:cs="Times New Roman"/>
                <w:snapToGrid w:val="0"/>
                <w:color w:val="000000" w:themeColor="text1"/>
                <w:kern w:val="0"/>
                <w:szCs w:val="21"/>
                <w14:textFill>
                  <w14:solidFill>
                    <w14:schemeClr w14:val="tx1"/>
                  </w14:solidFill>
                </w14:textFill>
              </w:rPr>
              <w:t>工程施工所用的施工机械设备进行常规工作状态下的噪声测量，禁止超过国家标准的机械入场施工。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5" w:type="dxa"/>
            <w:vMerge w:val="continue"/>
            <w:vAlign w:val="center"/>
          </w:tcPr>
          <w:p>
            <w:pPr>
              <w:spacing w:line="300" w:lineRule="exact"/>
              <w:jc w:val="center"/>
              <w:rPr>
                <w:rFonts w:ascii="Times New Roman" w:hAnsi="Times New Roman" w:cs="Times New Roman"/>
                <w:snapToGrid w:val="0"/>
                <w:color w:val="000000" w:themeColor="text1"/>
                <w:kern w:val="0"/>
                <w:szCs w:val="21"/>
                <w14:textFill>
                  <w14:solidFill>
                    <w14:schemeClr w14:val="tx1"/>
                  </w14:solidFill>
                </w14:textFill>
              </w:rPr>
            </w:pPr>
          </w:p>
        </w:tc>
        <w:tc>
          <w:tcPr>
            <w:tcW w:w="3685" w:type="dxa"/>
            <w:shd w:val="clear" w:color="auto" w:fill="auto"/>
            <w:vAlign w:val="center"/>
          </w:tcPr>
          <w:p>
            <w:pPr>
              <w:spacing w:line="300" w:lineRule="exact"/>
              <w:jc w:val="center"/>
              <w:rPr>
                <w:rFonts w:ascii="Times New Roman" w:hAnsi="Times New Roman" w:cs="Times New Roman"/>
                <w:snapToGrid w:val="0"/>
                <w:color w:val="000000" w:themeColor="text1"/>
                <w:kern w:val="0"/>
                <w:szCs w:val="21"/>
                <w14:textFill>
                  <w14:solidFill>
                    <w14:schemeClr w14:val="tx1"/>
                  </w14:solidFill>
                </w14:textFill>
              </w:rPr>
            </w:pPr>
            <w:r>
              <w:rPr>
                <w:rFonts w:ascii="Times New Roman" w:hAnsi="Times New Roman" w:cs="Times New Roman"/>
                <w:snapToGrid w:val="0"/>
                <w:color w:val="000000" w:themeColor="text1"/>
                <w:kern w:val="0"/>
                <w:szCs w:val="21"/>
                <w14:textFill>
                  <w14:solidFill>
                    <w14:schemeClr w14:val="tx1"/>
                  </w14:solidFill>
                </w14:textFill>
              </w:rPr>
              <w:t>施工过程中还应经常对设备进行维修保养，避免由于设备性能差而使噪声增强现象的发生。</w:t>
            </w:r>
          </w:p>
        </w:tc>
        <w:tc>
          <w:tcPr>
            <w:tcW w:w="3686" w:type="dxa"/>
            <w:shd w:val="clear" w:color="auto" w:fill="auto"/>
            <w:vAlign w:val="center"/>
          </w:tcPr>
          <w:p>
            <w:pPr>
              <w:spacing w:line="300" w:lineRule="exact"/>
              <w:jc w:val="center"/>
              <w:rPr>
                <w:rFonts w:ascii="Times New Roman" w:hAnsi="Times New Roman" w:cs="Times New Roman"/>
                <w:snapToGrid w:val="0"/>
                <w:color w:val="000000" w:themeColor="text1"/>
                <w:kern w:val="0"/>
                <w:szCs w:val="21"/>
                <w14:textFill>
                  <w14:solidFill>
                    <w14:schemeClr w14:val="tx1"/>
                  </w14:solidFill>
                </w14:textFill>
              </w:rPr>
            </w:pPr>
            <w:r>
              <w:rPr>
                <w:rFonts w:ascii="Times New Roman" w:hAnsi="Times New Roman" w:cs="Times New Roman"/>
                <w:snapToGrid w:val="0"/>
                <w:color w:val="000000" w:themeColor="text1"/>
                <w:kern w:val="0"/>
                <w:szCs w:val="21"/>
                <w14:textFill>
                  <w14:solidFill>
                    <w14:schemeClr w14:val="tx1"/>
                  </w14:solidFill>
                </w14:textFill>
              </w:rPr>
              <w:t>施工过程中</w:t>
            </w:r>
            <w:r>
              <w:rPr>
                <w:rFonts w:hint="eastAsia" w:ascii="Times New Roman" w:hAnsi="Times New Roman" w:cs="Times New Roman"/>
                <w:snapToGrid w:val="0"/>
                <w:color w:val="000000" w:themeColor="text1"/>
                <w:kern w:val="0"/>
                <w:szCs w:val="21"/>
                <w:lang w:eastAsia="zh-CN"/>
                <w14:textFill>
                  <w14:solidFill>
                    <w14:schemeClr w14:val="tx1"/>
                  </w14:solidFill>
                </w14:textFill>
              </w:rPr>
              <w:t>定期</w:t>
            </w:r>
            <w:r>
              <w:rPr>
                <w:rFonts w:ascii="Times New Roman" w:hAnsi="Times New Roman" w:cs="Times New Roman"/>
                <w:snapToGrid w:val="0"/>
                <w:color w:val="000000" w:themeColor="text1"/>
                <w:kern w:val="0"/>
                <w:szCs w:val="21"/>
                <w14:textFill>
                  <w14:solidFill>
                    <w14:schemeClr w14:val="tx1"/>
                  </w14:solidFill>
                </w14:textFill>
              </w:rPr>
              <w:t>对设备进行维修保养。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905" w:type="dxa"/>
            <w:vMerge w:val="continue"/>
            <w:vAlign w:val="center"/>
          </w:tcPr>
          <w:p>
            <w:pPr>
              <w:spacing w:line="300" w:lineRule="exact"/>
              <w:jc w:val="center"/>
              <w:rPr>
                <w:rFonts w:ascii="Times New Roman" w:hAnsi="Times New Roman" w:cs="Times New Roman"/>
                <w:snapToGrid w:val="0"/>
                <w:color w:val="000000" w:themeColor="text1"/>
                <w:kern w:val="0"/>
                <w:szCs w:val="21"/>
                <w14:textFill>
                  <w14:solidFill>
                    <w14:schemeClr w14:val="tx1"/>
                  </w14:solidFill>
                </w14:textFill>
              </w:rPr>
            </w:pPr>
          </w:p>
        </w:tc>
        <w:tc>
          <w:tcPr>
            <w:tcW w:w="3685" w:type="dxa"/>
            <w:shd w:val="clear" w:color="auto" w:fill="auto"/>
            <w:vAlign w:val="center"/>
          </w:tcPr>
          <w:p>
            <w:pPr>
              <w:spacing w:line="300" w:lineRule="exact"/>
              <w:jc w:val="center"/>
              <w:rPr>
                <w:rFonts w:ascii="Times New Roman" w:hAnsi="Times New Roman" w:cs="Times New Roman"/>
                <w:snapToGrid w:val="0"/>
                <w:color w:val="000000" w:themeColor="text1"/>
                <w:kern w:val="0"/>
                <w:szCs w:val="21"/>
                <w14:textFill>
                  <w14:solidFill>
                    <w14:schemeClr w14:val="tx1"/>
                  </w14:solidFill>
                </w14:textFill>
              </w:rPr>
            </w:pPr>
            <w:r>
              <w:rPr>
                <w:rFonts w:ascii="Times New Roman" w:hAnsi="Times New Roman" w:cs="Times New Roman"/>
                <w:snapToGrid w:val="0"/>
                <w:color w:val="000000" w:themeColor="text1"/>
                <w:kern w:val="0"/>
                <w:szCs w:val="21"/>
                <w14:textFill>
                  <w14:solidFill>
                    <w14:schemeClr w14:val="tx1"/>
                  </w14:solidFill>
                </w14:textFill>
              </w:rPr>
              <w:t>充分重视操作人员的劳动保护，为其发放耳塞、耳罩，避免操作人员长期处于高噪声环境中。</w:t>
            </w:r>
          </w:p>
        </w:tc>
        <w:tc>
          <w:tcPr>
            <w:tcW w:w="3686" w:type="dxa"/>
            <w:shd w:val="clear" w:color="auto" w:fill="auto"/>
            <w:vAlign w:val="center"/>
          </w:tcPr>
          <w:p>
            <w:pPr>
              <w:spacing w:line="300" w:lineRule="exact"/>
              <w:jc w:val="center"/>
              <w:rPr>
                <w:rFonts w:ascii="Times New Roman" w:hAnsi="Times New Roman" w:cs="Times New Roman"/>
                <w:snapToGrid w:val="0"/>
                <w:color w:val="000000" w:themeColor="text1"/>
                <w:kern w:val="0"/>
                <w:szCs w:val="21"/>
                <w14:textFill>
                  <w14:solidFill>
                    <w14:schemeClr w14:val="tx1"/>
                  </w14:solidFill>
                </w14:textFill>
              </w:rPr>
            </w:pPr>
            <w:r>
              <w:rPr>
                <w:rFonts w:ascii="Times New Roman" w:hAnsi="Times New Roman" w:cs="Times New Roman"/>
                <w:snapToGrid w:val="0"/>
                <w:color w:val="000000" w:themeColor="text1"/>
                <w:kern w:val="0"/>
                <w:szCs w:val="21"/>
                <w14:textFill>
                  <w14:solidFill>
                    <w14:schemeClr w14:val="tx1"/>
                  </w14:solidFill>
                </w14:textFill>
              </w:rPr>
              <w:t>为操作人员发放耳塞、耳罩，避免操作人员长期处于高噪声环境中。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905" w:type="dxa"/>
            <w:vMerge w:val="restart"/>
            <w:vAlign w:val="center"/>
          </w:tcPr>
          <w:p>
            <w:pPr>
              <w:spacing w:line="300" w:lineRule="exact"/>
              <w:jc w:val="center"/>
              <w:rPr>
                <w:rFonts w:ascii="Times New Roman" w:hAnsi="Times New Roman" w:cs="Times New Roman"/>
                <w:snapToGrid w:val="0"/>
                <w:color w:val="000000" w:themeColor="text1"/>
                <w:kern w:val="0"/>
                <w:szCs w:val="21"/>
                <w14:textFill>
                  <w14:solidFill>
                    <w14:schemeClr w14:val="tx1"/>
                  </w14:solidFill>
                </w14:textFill>
              </w:rPr>
            </w:pPr>
            <w:r>
              <w:rPr>
                <w:rFonts w:hint="eastAsia" w:ascii="Times New Roman" w:hAnsi="Times New Roman" w:cs="Times New Roman"/>
                <w:snapToGrid w:val="0"/>
                <w:color w:val="000000" w:themeColor="text1"/>
                <w:kern w:val="0"/>
                <w:szCs w:val="21"/>
                <w14:textFill>
                  <w14:solidFill>
                    <w14:schemeClr w14:val="tx1"/>
                  </w14:solidFill>
                </w14:textFill>
              </w:rPr>
              <w:t>调试</w:t>
            </w:r>
            <w:r>
              <w:rPr>
                <w:rFonts w:ascii="Times New Roman" w:hAnsi="Times New Roman" w:cs="Times New Roman"/>
                <w:snapToGrid w:val="0"/>
                <w:color w:val="000000" w:themeColor="text1"/>
                <w:kern w:val="0"/>
                <w:szCs w:val="21"/>
                <w14:textFill>
                  <w14:solidFill>
                    <w14:schemeClr w14:val="tx1"/>
                  </w14:solidFill>
                </w14:textFill>
              </w:rPr>
              <w:t>期</w:t>
            </w:r>
          </w:p>
        </w:tc>
        <w:tc>
          <w:tcPr>
            <w:tcW w:w="3685" w:type="dxa"/>
            <w:shd w:val="clear" w:color="auto" w:fill="auto"/>
            <w:vAlign w:val="center"/>
          </w:tcPr>
          <w:p>
            <w:pPr>
              <w:spacing w:line="300" w:lineRule="exact"/>
              <w:jc w:val="center"/>
              <w:rPr>
                <w:rFonts w:ascii="Times New Roman" w:hAnsi="Times New Roman" w:cs="Times New Roman"/>
                <w:snapToGrid w:val="0"/>
                <w:color w:val="000000" w:themeColor="text1"/>
                <w:kern w:val="0"/>
                <w:szCs w:val="21"/>
                <w14:textFill>
                  <w14:solidFill>
                    <w14:schemeClr w14:val="tx1"/>
                  </w14:solidFill>
                </w14:textFill>
              </w:rPr>
            </w:pPr>
            <w:r>
              <w:rPr>
                <w:rFonts w:hint="eastAsia" w:ascii="Times New Roman" w:hAnsi="Times New Roman" w:cs="Times New Roman"/>
                <w:snapToGrid w:val="0"/>
                <w:color w:val="000000" w:themeColor="text1"/>
                <w:kern w:val="0"/>
                <w:szCs w:val="21"/>
                <w14:textFill>
                  <w14:solidFill>
                    <w14:schemeClr w14:val="tx1"/>
                  </w14:solidFill>
                </w14:textFill>
              </w:rPr>
              <w:t>选用高效低噪的矿山机械设备，做好机械设备的日常维护保养；高噪声设备全部布置在室内并进行减震处理。</w:t>
            </w:r>
          </w:p>
        </w:tc>
        <w:tc>
          <w:tcPr>
            <w:tcW w:w="3686" w:type="dxa"/>
            <w:shd w:val="clear" w:color="auto" w:fill="auto"/>
            <w:vAlign w:val="center"/>
          </w:tcPr>
          <w:p>
            <w:pPr>
              <w:spacing w:line="300" w:lineRule="exact"/>
              <w:jc w:val="center"/>
              <w:rPr>
                <w:rFonts w:ascii="Times New Roman" w:hAnsi="Times New Roman" w:cs="Times New Roman"/>
                <w:snapToGrid w:val="0"/>
                <w:color w:val="000000" w:themeColor="text1"/>
                <w:kern w:val="0"/>
                <w:szCs w:val="21"/>
                <w14:textFill>
                  <w14:solidFill>
                    <w14:schemeClr w14:val="tx1"/>
                  </w14:solidFill>
                </w14:textFill>
              </w:rPr>
            </w:pPr>
            <w:r>
              <w:rPr>
                <w:rFonts w:hint="eastAsia" w:ascii="Times New Roman" w:hAnsi="Times New Roman" w:cs="Times New Roman"/>
                <w:snapToGrid w:val="0"/>
                <w:color w:val="000000" w:themeColor="text1"/>
                <w:kern w:val="0"/>
                <w:szCs w:val="21"/>
                <w14:textFill>
                  <w14:solidFill>
                    <w14:schemeClr w14:val="tx1"/>
                  </w14:solidFill>
                </w14:textFill>
              </w:rPr>
              <w:t>选用高效低噪的矿山机械设备，</w:t>
            </w:r>
            <w:r>
              <w:rPr>
                <w:rFonts w:hint="eastAsia" w:ascii="Times New Roman" w:hAnsi="Times New Roman" w:cs="Times New Roman"/>
                <w:snapToGrid w:val="0"/>
                <w:color w:val="000000" w:themeColor="text1"/>
                <w:kern w:val="0"/>
                <w:szCs w:val="21"/>
                <w:lang w:eastAsia="zh-CN"/>
                <w14:textFill>
                  <w14:solidFill>
                    <w14:schemeClr w14:val="tx1"/>
                  </w14:solidFill>
                </w14:textFill>
              </w:rPr>
              <w:t>并</w:t>
            </w:r>
            <w:r>
              <w:rPr>
                <w:rFonts w:hint="eastAsia" w:ascii="Times New Roman" w:hAnsi="Times New Roman" w:cs="Times New Roman"/>
                <w:snapToGrid w:val="0"/>
                <w:color w:val="000000" w:themeColor="text1"/>
                <w:kern w:val="0"/>
                <w:szCs w:val="21"/>
                <w14:textFill>
                  <w14:solidFill>
                    <w14:schemeClr w14:val="tx1"/>
                  </w14:solidFill>
                </w14:textFill>
              </w:rPr>
              <w:t>做好机械设备的日常维护保养；高噪声设备全部布置在室内并进行减震处理。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905" w:type="dxa"/>
            <w:vMerge w:val="continue"/>
            <w:vAlign w:val="center"/>
          </w:tcPr>
          <w:p>
            <w:pPr>
              <w:spacing w:line="300" w:lineRule="exact"/>
              <w:jc w:val="center"/>
              <w:rPr>
                <w:rFonts w:ascii="Times New Roman" w:hAnsi="Times New Roman" w:cs="Times New Roman"/>
                <w:snapToGrid w:val="0"/>
                <w:color w:val="000000" w:themeColor="text1"/>
                <w:kern w:val="0"/>
                <w:szCs w:val="21"/>
                <w14:textFill>
                  <w14:solidFill>
                    <w14:schemeClr w14:val="tx1"/>
                  </w14:solidFill>
                </w14:textFill>
              </w:rPr>
            </w:pPr>
          </w:p>
        </w:tc>
        <w:tc>
          <w:tcPr>
            <w:tcW w:w="3685" w:type="dxa"/>
            <w:shd w:val="clear" w:color="auto" w:fill="auto"/>
            <w:vAlign w:val="center"/>
          </w:tcPr>
          <w:p>
            <w:pPr>
              <w:spacing w:line="300" w:lineRule="exact"/>
              <w:jc w:val="center"/>
              <w:rPr>
                <w:rFonts w:ascii="Times New Roman" w:hAnsi="Times New Roman" w:cs="Times New Roman"/>
                <w:snapToGrid w:val="0"/>
                <w:color w:val="000000" w:themeColor="text1"/>
                <w:kern w:val="0"/>
                <w:szCs w:val="21"/>
                <w14:textFill>
                  <w14:solidFill>
                    <w14:schemeClr w14:val="tx1"/>
                  </w14:solidFill>
                </w14:textFill>
              </w:rPr>
            </w:pPr>
            <w:r>
              <w:rPr>
                <w:rFonts w:hint="eastAsia" w:ascii="Times New Roman" w:hAnsi="Times New Roman" w:cs="Times New Roman"/>
                <w:snapToGrid w:val="0"/>
                <w:color w:val="000000" w:themeColor="text1"/>
                <w:kern w:val="0"/>
                <w:szCs w:val="21"/>
                <w14:textFill>
                  <w14:solidFill>
                    <w14:schemeClr w14:val="tx1"/>
                  </w14:solidFill>
                </w14:textFill>
              </w:rPr>
              <w:t>优化爆破工艺，采用微差爆破；严格控制爆破时间，不在夜间进行爆破。</w:t>
            </w:r>
          </w:p>
        </w:tc>
        <w:tc>
          <w:tcPr>
            <w:tcW w:w="3686" w:type="dxa"/>
            <w:shd w:val="clear" w:color="auto" w:fill="auto"/>
            <w:vAlign w:val="center"/>
          </w:tcPr>
          <w:p>
            <w:pPr>
              <w:spacing w:line="300" w:lineRule="exact"/>
              <w:jc w:val="center"/>
              <w:rPr>
                <w:rFonts w:ascii="Times New Roman" w:hAnsi="Times New Roman" w:cs="Times New Roman"/>
                <w:snapToGrid w:val="0"/>
                <w:color w:val="000000" w:themeColor="text1"/>
                <w:kern w:val="0"/>
                <w:szCs w:val="21"/>
                <w14:textFill>
                  <w14:solidFill>
                    <w14:schemeClr w14:val="tx1"/>
                  </w14:solidFill>
                </w14:textFill>
              </w:rPr>
            </w:pPr>
            <w:r>
              <w:rPr>
                <w:rFonts w:hint="eastAsia" w:ascii="Times New Roman" w:hAnsi="Times New Roman" w:cs="Times New Roman"/>
                <w:snapToGrid w:val="0"/>
                <w:color w:val="000000" w:themeColor="text1"/>
                <w:kern w:val="0"/>
                <w:szCs w:val="21"/>
                <w14:textFill>
                  <w14:solidFill>
                    <w14:schemeClr w14:val="tx1"/>
                  </w14:solidFill>
                </w14:textFill>
              </w:rPr>
              <w:t>优化爆破工艺，采用微差爆破；严格控制爆破时间，不在夜间进行爆破。</w:t>
            </w:r>
          </w:p>
        </w:tc>
      </w:tr>
    </w:tbl>
    <w:p>
      <w:pPr>
        <w:spacing w:before="100" w:beforeAutospacing="1" w:line="360" w:lineRule="auto"/>
        <w:rPr>
          <w:rFonts w:ascii="Times New Roman" w:hAnsi="Times New Roman" w:cs="Times New Roman"/>
          <w:b/>
          <w:color w:val="000000" w:themeColor="text1"/>
          <w:sz w:val="24"/>
          <w:szCs w:val="24"/>
          <w14:textFill>
            <w14:solidFill>
              <w14:schemeClr w14:val="tx1"/>
            </w14:solidFill>
          </w14:textFill>
        </w:rPr>
      </w:pPr>
      <w:r>
        <w:rPr>
          <w:rFonts w:hint="eastAsia" w:ascii="Times New Roman" w:hAnsi="Times New Roman" w:cs="Times New Roman"/>
          <w:b/>
          <w:color w:val="000000" w:themeColor="text1"/>
          <w:sz w:val="24"/>
          <w:szCs w:val="24"/>
          <w14:textFill>
            <w14:solidFill>
              <w14:schemeClr w14:val="tx1"/>
            </w14:solidFill>
          </w14:textFill>
        </w:rPr>
        <w:t>4</w:t>
      </w:r>
      <w:r>
        <w:rPr>
          <w:rFonts w:ascii="Times New Roman" w:hAnsi="Times New Roman" w:cs="Times New Roman"/>
          <w:b/>
          <w:color w:val="000000" w:themeColor="text1"/>
          <w:sz w:val="24"/>
          <w:szCs w:val="24"/>
          <w14:textFill>
            <w14:solidFill>
              <w14:schemeClr w14:val="tx1"/>
            </w14:solidFill>
          </w14:textFill>
        </w:rPr>
        <w:t>.1.1.4 固体废物处置措施落实情况</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露天采区基建废石运往露天矿基建废石场堆存，生产废石运往露天矿生产废石场堆存。施工期在各个工区均设置了垃圾池、垃圾桶，定期清运生产、生活垃圾，垃圾经收集后统一运至金川县生活垃圾处理场进行处置；各施工场地划定了指定的区域堆放废铁、废钢筋、废木碎块等；建筑材料和垃圾运输车辆采取了遮盖，避免了砂石、土料以及生活垃圾等的沿途洒落；施工期、调试期产生的机械维修废油均已落实有资质的单位废油进行统一收购和处理。</w:t>
      </w:r>
    </w:p>
    <w:p>
      <w:pPr>
        <w:spacing w:line="360" w:lineRule="auto"/>
        <w:ind w:firstLine="480" w:firstLineChars="200"/>
        <w:rPr>
          <w:rFonts w:ascii="Times New Roman" w:hAnsi="Times New Roman" w:cs="Times New Roman"/>
          <w:b/>
          <w:color w:val="000000" w:themeColor="text1"/>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固体废弃物处置措施落实情况见下表：</w:t>
      </w:r>
    </w:p>
    <w:p>
      <w:pPr>
        <w:spacing w:line="360" w:lineRule="auto"/>
        <w:jc w:val="center"/>
        <w:rPr>
          <w:rFonts w:ascii="Times New Roman" w:hAnsi="Times New Roman" w:cs="Times New Roman"/>
          <w:b/>
          <w:color w:val="000000" w:themeColor="text1"/>
          <w:szCs w:val="24"/>
          <w14:textFill>
            <w14:solidFill>
              <w14:schemeClr w14:val="tx1"/>
            </w14:solidFill>
          </w14:textFill>
        </w:rPr>
      </w:pPr>
      <w:r>
        <w:rPr>
          <w:rFonts w:ascii="Times New Roman" w:hAnsi="Times New Roman" w:cs="Times New Roman"/>
          <w:b/>
          <w:color w:val="000000" w:themeColor="text1"/>
          <w:szCs w:val="24"/>
          <w14:textFill>
            <w14:solidFill>
              <w14:schemeClr w14:val="tx1"/>
            </w14:solidFill>
          </w14:textFill>
        </w:rPr>
        <w:t>表4.1</w:t>
      </w:r>
      <w:r>
        <w:rPr>
          <w:rFonts w:hint="eastAsia" w:ascii="Times New Roman" w:hAnsi="Times New Roman" w:cs="Times New Roman"/>
          <w:b/>
          <w:color w:val="000000" w:themeColor="text1"/>
          <w:szCs w:val="24"/>
          <w14:textFill>
            <w14:solidFill>
              <w14:schemeClr w14:val="tx1"/>
            </w14:solidFill>
          </w14:textFill>
        </w:rPr>
        <w:t>-</w:t>
      </w:r>
      <w:r>
        <w:rPr>
          <w:rFonts w:ascii="Times New Roman" w:hAnsi="Times New Roman" w:cs="Times New Roman"/>
          <w:b/>
          <w:color w:val="000000" w:themeColor="text1"/>
          <w:szCs w:val="24"/>
          <w14:textFill>
            <w14:solidFill>
              <w14:schemeClr w14:val="tx1"/>
            </w14:solidFill>
          </w14:textFill>
        </w:rPr>
        <w:t>5  固体废弃物处置措施落实情况一览表</w:t>
      </w:r>
    </w:p>
    <w:tbl>
      <w:tblPr>
        <w:tblStyle w:val="28"/>
        <w:tblW w:w="830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00"/>
        <w:gridCol w:w="1533"/>
        <w:gridCol w:w="2936"/>
        <w:gridCol w:w="29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900" w:type="dxa"/>
            <w:vAlign w:val="center"/>
          </w:tcPr>
          <w:p>
            <w:pPr>
              <w:spacing w:line="300" w:lineRule="exact"/>
              <w:jc w:val="center"/>
              <w:rPr>
                <w:b/>
                <w:snapToGrid w:val="0"/>
                <w:color w:val="000000" w:themeColor="text1"/>
                <w:kern w:val="0"/>
                <w:sz w:val="22"/>
                <w14:textFill>
                  <w14:solidFill>
                    <w14:schemeClr w14:val="tx1"/>
                  </w14:solidFill>
                </w14:textFill>
              </w:rPr>
            </w:pPr>
            <w:r>
              <w:rPr>
                <w:rFonts w:hint="eastAsia"/>
                <w:b/>
                <w:snapToGrid w:val="0"/>
                <w:color w:val="000000" w:themeColor="text1"/>
                <w:kern w:val="0"/>
                <w:sz w:val="22"/>
                <w14:textFill>
                  <w14:solidFill>
                    <w14:schemeClr w14:val="tx1"/>
                  </w14:solidFill>
                </w14:textFill>
              </w:rPr>
              <w:t>阶段</w:t>
            </w:r>
          </w:p>
        </w:tc>
        <w:tc>
          <w:tcPr>
            <w:tcW w:w="1533" w:type="dxa"/>
            <w:shd w:val="clear" w:color="auto" w:fill="auto"/>
            <w:vAlign w:val="center"/>
          </w:tcPr>
          <w:p>
            <w:pPr>
              <w:spacing w:line="300" w:lineRule="exact"/>
              <w:jc w:val="center"/>
              <w:rPr>
                <w:b/>
                <w:snapToGrid w:val="0"/>
                <w:color w:val="000000" w:themeColor="text1"/>
                <w:kern w:val="0"/>
                <w:sz w:val="22"/>
                <w14:textFill>
                  <w14:solidFill>
                    <w14:schemeClr w14:val="tx1"/>
                  </w14:solidFill>
                </w14:textFill>
              </w:rPr>
            </w:pPr>
            <w:r>
              <w:rPr>
                <w:rFonts w:hint="eastAsia"/>
                <w:b/>
                <w:snapToGrid w:val="0"/>
                <w:color w:val="000000" w:themeColor="text1"/>
                <w:kern w:val="0"/>
                <w:sz w:val="22"/>
                <w14:textFill>
                  <w14:solidFill>
                    <w14:schemeClr w14:val="tx1"/>
                  </w14:solidFill>
                </w14:textFill>
              </w:rPr>
              <w:t>分类</w:t>
            </w:r>
          </w:p>
        </w:tc>
        <w:tc>
          <w:tcPr>
            <w:tcW w:w="2936" w:type="dxa"/>
            <w:shd w:val="clear" w:color="auto" w:fill="auto"/>
            <w:vAlign w:val="center"/>
          </w:tcPr>
          <w:p>
            <w:pPr>
              <w:spacing w:line="300" w:lineRule="exact"/>
              <w:jc w:val="center"/>
              <w:rPr>
                <w:b/>
                <w:snapToGrid w:val="0"/>
                <w:color w:val="000000" w:themeColor="text1"/>
                <w:kern w:val="0"/>
                <w:sz w:val="22"/>
                <w14:textFill>
                  <w14:solidFill>
                    <w14:schemeClr w14:val="tx1"/>
                  </w14:solidFill>
                </w14:textFill>
              </w:rPr>
            </w:pPr>
            <w:r>
              <w:rPr>
                <w:rFonts w:hint="eastAsia"/>
                <w:b/>
                <w:snapToGrid w:val="0"/>
                <w:color w:val="000000" w:themeColor="text1"/>
                <w:kern w:val="0"/>
                <w:sz w:val="22"/>
                <w:lang w:eastAsia="zh-CN"/>
                <w14:textFill>
                  <w14:solidFill>
                    <w14:schemeClr w14:val="tx1"/>
                  </w14:solidFill>
                </w14:textFill>
              </w:rPr>
              <w:t>环评及批复要求</w:t>
            </w:r>
          </w:p>
        </w:tc>
        <w:tc>
          <w:tcPr>
            <w:tcW w:w="2937" w:type="dxa"/>
            <w:shd w:val="clear" w:color="auto" w:fill="auto"/>
            <w:vAlign w:val="center"/>
          </w:tcPr>
          <w:p>
            <w:pPr>
              <w:spacing w:line="300" w:lineRule="exact"/>
              <w:jc w:val="center"/>
              <w:rPr>
                <w:b/>
                <w:snapToGrid w:val="0"/>
                <w:color w:val="000000" w:themeColor="text1"/>
                <w:kern w:val="0"/>
                <w:sz w:val="22"/>
                <w14:textFill>
                  <w14:solidFill>
                    <w14:schemeClr w14:val="tx1"/>
                  </w14:solidFill>
                </w14:textFill>
              </w:rPr>
            </w:pPr>
            <w:r>
              <w:rPr>
                <w:rFonts w:hint="eastAsia"/>
                <w:b/>
                <w:snapToGrid w:val="0"/>
                <w:color w:val="000000" w:themeColor="text1"/>
                <w:kern w:val="0"/>
                <w:sz w:val="22"/>
                <w:lang w:eastAsia="zh-CN"/>
                <w14:textFill>
                  <w14:solidFill>
                    <w14:schemeClr w14:val="tx1"/>
                  </w14:solidFill>
                </w14:textFill>
              </w:rPr>
              <w:t>实际</w:t>
            </w:r>
            <w:r>
              <w:rPr>
                <w:rFonts w:hint="eastAsia"/>
                <w:b/>
                <w:snapToGrid w:val="0"/>
                <w:color w:val="000000" w:themeColor="text1"/>
                <w:kern w:val="0"/>
                <w:sz w:val="22"/>
                <w14:textFill>
                  <w14:solidFill>
                    <w14:schemeClr w14:val="tx1"/>
                  </w14:solidFill>
                </w14:textFill>
              </w:rPr>
              <w:t>落实情况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Merge w:val="restart"/>
            <w:vAlign w:val="center"/>
          </w:tcPr>
          <w:p>
            <w:pPr>
              <w:spacing w:line="300" w:lineRule="exact"/>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施工期</w:t>
            </w:r>
          </w:p>
        </w:tc>
        <w:tc>
          <w:tcPr>
            <w:tcW w:w="1533" w:type="dxa"/>
            <w:shd w:val="clear" w:color="auto" w:fill="auto"/>
            <w:vAlign w:val="center"/>
          </w:tcPr>
          <w:p>
            <w:pPr>
              <w:spacing w:line="300" w:lineRule="exact"/>
              <w:jc w:val="center"/>
              <w:rPr>
                <w:color w:val="000000" w:themeColor="text1"/>
                <w:szCs w:val="21"/>
                <w:lang w:val="zh-CN"/>
                <w14:textFill>
                  <w14:solidFill>
                    <w14:schemeClr w14:val="tx1"/>
                  </w14:solidFill>
                </w14:textFill>
              </w:rPr>
            </w:pPr>
            <w:r>
              <w:rPr>
                <w:rFonts w:hint="eastAsia"/>
                <w:snapToGrid w:val="0"/>
                <w:color w:val="000000" w:themeColor="text1"/>
                <w:kern w:val="0"/>
                <w:szCs w:val="21"/>
                <w14:textFill>
                  <w14:solidFill>
                    <w14:schemeClr w14:val="tx1"/>
                  </w14:solidFill>
                </w14:textFill>
              </w:rPr>
              <w:t>建设期废石</w:t>
            </w:r>
          </w:p>
        </w:tc>
        <w:tc>
          <w:tcPr>
            <w:tcW w:w="2936" w:type="dxa"/>
            <w:shd w:val="clear" w:color="auto" w:fill="auto"/>
            <w:vAlign w:val="center"/>
          </w:tcPr>
          <w:p>
            <w:pPr>
              <w:spacing w:line="300" w:lineRule="exact"/>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优先用于矿区道路铺筑。</w:t>
            </w:r>
          </w:p>
        </w:tc>
        <w:tc>
          <w:tcPr>
            <w:tcW w:w="2937" w:type="dxa"/>
            <w:shd w:val="clear" w:color="auto" w:fill="auto"/>
            <w:vAlign w:val="center"/>
          </w:tcPr>
          <w:p>
            <w:pPr>
              <w:spacing w:line="300" w:lineRule="exact"/>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lang w:eastAsia="zh-CN"/>
                <w14:textFill>
                  <w14:solidFill>
                    <w14:schemeClr w14:val="tx1"/>
                  </w14:solidFill>
                </w14:textFill>
              </w:rPr>
              <w:t>建设期废石</w:t>
            </w:r>
            <w:r>
              <w:rPr>
                <w:rFonts w:hint="eastAsia"/>
                <w:snapToGrid w:val="0"/>
                <w:color w:val="000000" w:themeColor="text1"/>
                <w:kern w:val="0"/>
                <w:szCs w:val="21"/>
                <w14:textFill>
                  <w14:solidFill>
                    <w14:schemeClr w14:val="tx1"/>
                  </w14:solidFill>
                </w14:textFill>
              </w:rPr>
              <w:t>优先用于矿区道路铺筑。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Merge w:val="continue"/>
            <w:vAlign w:val="center"/>
          </w:tcPr>
          <w:p>
            <w:pPr>
              <w:spacing w:line="300" w:lineRule="exact"/>
              <w:jc w:val="center"/>
              <w:rPr>
                <w:snapToGrid w:val="0"/>
                <w:color w:val="000000" w:themeColor="text1"/>
                <w:kern w:val="0"/>
                <w:szCs w:val="21"/>
                <w14:textFill>
                  <w14:solidFill>
                    <w14:schemeClr w14:val="tx1"/>
                  </w14:solidFill>
                </w14:textFill>
              </w:rPr>
            </w:pPr>
          </w:p>
        </w:tc>
        <w:tc>
          <w:tcPr>
            <w:tcW w:w="1533" w:type="dxa"/>
            <w:shd w:val="clear" w:color="auto" w:fill="auto"/>
            <w:vAlign w:val="center"/>
          </w:tcPr>
          <w:p>
            <w:pPr>
              <w:spacing w:line="300" w:lineRule="exact"/>
              <w:jc w:val="center"/>
              <w:rPr>
                <w:color w:val="000000" w:themeColor="text1"/>
                <w:szCs w:val="21"/>
                <w:lang w:val="zh-CN"/>
                <w14:textFill>
                  <w14:solidFill>
                    <w14:schemeClr w14:val="tx1"/>
                  </w14:solidFill>
                </w14:textFill>
              </w:rPr>
            </w:pPr>
            <w:r>
              <w:rPr>
                <w:rFonts w:hint="eastAsia"/>
                <w:snapToGrid w:val="0"/>
                <w:color w:val="000000" w:themeColor="text1"/>
                <w:kern w:val="0"/>
                <w:szCs w:val="21"/>
                <w14:textFill>
                  <w14:solidFill>
                    <w14:schemeClr w14:val="tx1"/>
                  </w14:solidFill>
                </w14:textFill>
              </w:rPr>
              <w:t>生产期剥离的表土</w:t>
            </w:r>
          </w:p>
        </w:tc>
        <w:tc>
          <w:tcPr>
            <w:tcW w:w="2936" w:type="dxa"/>
            <w:shd w:val="clear" w:color="auto" w:fill="auto"/>
            <w:vAlign w:val="center"/>
          </w:tcPr>
          <w:p>
            <w:pPr>
              <w:spacing w:line="300" w:lineRule="exact"/>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堆存至露天矿基建废石场尾部，后期分别用于矿区、废石场和尾矿库生态恢复等。</w:t>
            </w:r>
          </w:p>
        </w:tc>
        <w:tc>
          <w:tcPr>
            <w:tcW w:w="2937" w:type="dxa"/>
            <w:shd w:val="clear" w:color="auto" w:fill="auto"/>
            <w:vAlign w:val="center"/>
          </w:tcPr>
          <w:p>
            <w:pPr>
              <w:spacing w:line="300" w:lineRule="exact"/>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建设期，前期剥离的表土临时堆存量较少，大部分直接用于绿化覆土，因此未设置集中表土堆放区，表土堆放区仅实施了防雨布遮盖措施。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900" w:type="dxa"/>
            <w:vMerge w:val="continue"/>
            <w:vAlign w:val="center"/>
          </w:tcPr>
          <w:p>
            <w:pPr>
              <w:spacing w:line="300" w:lineRule="exact"/>
              <w:jc w:val="center"/>
              <w:rPr>
                <w:snapToGrid w:val="0"/>
                <w:color w:val="000000" w:themeColor="text1"/>
                <w:kern w:val="0"/>
                <w:szCs w:val="21"/>
                <w14:textFill>
                  <w14:solidFill>
                    <w14:schemeClr w14:val="tx1"/>
                  </w14:solidFill>
                </w14:textFill>
              </w:rPr>
            </w:pPr>
          </w:p>
        </w:tc>
        <w:tc>
          <w:tcPr>
            <w:tcW w:w="1533" w:type="dxa"/>
            <w:shd w:val="clear" w:color="auto" w:fill="auto"/>
            <w:vAlign w:val="center"/>
          </w:tcPr>
          <w:p>
            <w:pPr>
              <w:spacing w:line="300" w:lineRule="exact"/>
              <w:jc w:val="center"/>
              <w:rPr>
                <w:color w:val="000000" w:themeColor="text1"/>
                <w:szCs w:val="21"/>
                <w:lang w:val="zh-CN"/>
                <w14:textFill>
                  <w14:solidFill>
                    <w14:schemeClr w14:val="tx1"/>
                  </w14:solidFill>
                </w14:textFill>
              </w:rPr>
            </w:pPr>
            <w:r>
              <w:rPr>
                <w:rFonts w:hint="eastAsia"/>
                <w:snapToGrid w:val="0"/>
                <w:color w:val="000000" w:themeColor="text1"/>
                <w:kern w:val="0"/>
                <w:szCs w:val="21"/>
                <w14:textFill>
                  <w14:solidFill>
                    <w14:schemeClr w14:val="tx1"/>
                  </w14:solidFill>
                </w14:textFill>
              </w:rPr>
              <w:t>其他场地建设弃方</w:t>
            </w:r>
          </w:p>
        </w:tc>
        <w:tc>
          <w:tcPr>
            <w:tcW w:w="2936" w:type="dxa"/>
            <w:shd w:val="clear" w:color="auto" w:fill="auto"/>
            <w:vAlign w:val="center"/>
          </w:tcPr>
          <w:p>
            <w:pPr>
              <w:spacing w:line="300" w:lineRule="exact"/>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运往坑采基建废石场堆存。</w:t>
            </w:r>
          </w:p>
        </w:tc>
        <w:tc>
          <w:tcPr>
            <w:tcW w:w="2937" w:type="dxa"/>
            <w:shd w:val="clear" w:color="auto" w:fill="auto"/>
            <w:vAlign w:val="center"/>
          </w:tcPr>
          <w:p>
            <w:pPr>
              <w:spacing w:line="300" w:lineRule="exact"/>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运往坑采基建废石场堆存。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900" w:type="dxa"/>
            <w:vMerge w:val="continue"/>
            <w:vAlign w:val="center"/>
          </w:tcPr>
          <w:p>
            <w:pPr>
              <w:spacing w:line="300" w:lineRule="exact"/>
              <w:jc w:val="center"/>
              <w:rPr>
                <w:snapToGrid w:val="0"/>
                <w:color w:val="000000" w:themeColor="text1"/>
                <w:kern w:val="0"/>
                <w:szCs w:val="21"/>
                <w14:textFill>
                  <w14:solidFill>
                    <w14:schemeClr w14:val="tx1"/>
                  </w14:solidFill>
                </w14:textFill>
              </w:rPr>
            </w:pPr>
          </w:p>
        </w:tc>
        <w:tc>
          <w:tcPr>
            <w:tcW w:w="1533" w:type="dxa"/>
            <w:shd w:val="clear" w:color="auto" w:fill="auto"/>
            <w:vAlign w:val="center"/>
          </w:tcPr>
          <w:p>
            <w:pPr>
              <w:spacing w:line="300" w:lineRule="exact"/>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生活垃圾</w:t>
            </w:r>
          </w:p>
        </w:tc>
        <w:tc>
          <w:tcPr>
            <w:tcW w:w="2936" w:type="dxa"/>
            <w:shd w:val="clear" w:color="auto" w:fill="auto"/>
            <w:vAlign w:val="center"/>
          </w:tcPr>
          <w:p>
            <w:pPr>
              <w:spacing w:line="300" w:lineRule="exact"/>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定点收集后，定期清运至金川县城市生活垃圾卫生填埋场统一处置。</w:t>
            </w:r>
          </w:p>
        </w:tc>
        <w:tc>
          <w:tcPr>
            <w:tcW w:w="2937" w:type="dxa"/>
            <w:shd w:val="clear" w:color="auto" w:fill="auto"/>
            <w:vAlign w:val="center"/>
          </w:tcPr>
          <w:p>
            <w:pPr>
              <w:spacing w:line="300" w:lineRule="exact"/>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定点收集后，定期清运至金川县城市生活垃圾卫生填埋场统一处置。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900" w:type="dxa"/>
            <w:vMerge w:val="restart"/>
            <w:vAlign w:val="center"/>
          </w:tcPr>
          <w:p>
            <w:pPr>
              <w:spacing w:line="300" w:lineRule="exact"/>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调试期</w:t>
            </w:r>
          </w:p>
        </w:tc>
        <w:tc>
          <w:tcPr>
            <w:tcW w:w="1533" w:type="dxa"/>
            <w:shd w:val="clear" w:color="auto" w:fill="auto"/>
            <w:vAlign w:val="center"/>
          </w:tcPr>
          <w:p>
            <w:pPr>
              <w:spacing w:line="300" w:lineRule="exact"/>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基建废石、生产废石</w:t>
            </w:r>
          </w:p>
        </w:tc>
        <w:tc>
          <w:tcPr>
            <w:tcW w:w="2936" w:type="dxa"/>
            <w:shd w:val="clear" w:color="auto" w:fill="auto"/>
            <w:vAlign w:val="center"/>
          </w:tcPr>
          <w:p>
            <w:pPr>
              <w:spacing w:line="300" w:lineRule="exact"/>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露天采区基建废石运往露天矿基建废石场堆存，生产废石运往露天矿生产废石场堆存。</w:t>
            </w:r>
          </w:p>
        </w:tc>
        <w:tc>
          <w:tcPr>
            <w:tcW w:w="2937" w:type="dxa"/>
            <w:shd w:val="clear" w:color="auto" w:fill="auto"/>
            <w:vAlign w:val="center"/>
          </w:tcPr>
          <w:p>
            <w:pPr>
              <w:spacing w:line="300" w:lineRule="exact"/>
              <w:jc w:val="center"/>
              <w:rPr>
                <w:rFonts w:hint="eastAsia" w:eastAsiaTheme="minorEastAsia"/>
                <w:snapToGrid w:val="0"/>
                <w:color w:val="000000" w:themeColor="text1"/>
                <w:kern w:val="0"/>
                <w:szCs w:val="21"/>
                <w:lang w:eastAsia="zh-CN"/>
                <w14:textFill>
                  <w14:solidFill>
                    <w14:schemeClr w14:val="tx1"/>
                  </w14:solidFill>
                </w14:textFill>
              </w:rPr>
            </w:pPr>
            <w:r>
              <w:rPr>
                <w:rFonts w:hint="eastAsia"/>
                <w:snapToGrid w:val="0"/>
                <w:color w:val="000000" w:themeColor="text1"/>
                <w:kern w:val="0"/>
                <w:szCs w:val="21"/>
                <w:lang w:eastAsia="zh-CN"/>
                <w14:textFill>
                  <w14:solidFill>
                    <w14:schemeClr w14:val="tx1"/>
                  </w14:solidFill>
                </w14:textFill>
              </w:rPr>
              <w:t>均运至露采配套废石场堆存。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900" w:type="dxa"/>
            <w:vMerge w:val="continue"/>
            <w:vAlign w:val="center"/>
          </w:tcPr>
          <w:p>
            <w:pPr>
              <w:spacing w:line="300" w:lineRule="exact"/>
              <w:jc w:val="center"/>
              <w:rPr>
                <w:snapToGrid w:val="0"/>
                <w:color w:val="000000" w:themeColor="text1"/>
                <w:kern w:val="0"/>
                <w:szCs w:val="21"/>
                <w14:textFill>
                  <w14:solidFill>
                    <w14:schemeClr w14:val="tx1"/>
                  </w14:solidFill>
                </w14:textFill>
              </w:rPr>
            </w:pPr>
          </w:p>
        </w:tc>
        <w:tc>
          <w:tcPr>
            <w:tcW w:w="1533" w:type="dxa"/>
            <w:shd w:val="clear" w:color="auto" w:fill="auto"/>
            <w:vAlign w:val="center"/>
          </w:tcPr>
          <w:p>
            <w:pPr>
              <w:spacing w:line="300" w:lineRule="exact"/>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废油、含油棉纱、含油废手套、废油桶等</w:t>
            </w:r>
          </w:p>
        </w:tc>
        <w:tc>
          <w:tcPr>
            <w:tcW w:w="2936" w:type="dxa"/>
            <w:shd w:val="clear" w:color="auto" w:fill="auto"/>
            <w:vAlign w:val="center"/>
          </w:tcPr>
          <w:p>
            <w:pPr>
              <w:spacing w:line="300" w:lineRule="exact"/>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属于危险废物“</w:t>
            </w:r>
            <w:r>
              <w:rPr>
                <w:rFonts w:ascii="Times New Roman" w:hAnsi="Times New Roman" w:cs="Times New Roman"/>
                <w:snapToGrid w:val="0"/>
                <w:color w:val="000000" w:themeColor="text1"/>
                <w:kern w:val="0"/>
                <w:szCs w:val="21"/>
                <w14:textFill>
                  <w14:solidFill>
                    <w14:schemeClr w14:val="tx1"/>
                  </w14:solidFill>
                </w14:textFill>
              </w:rPr>
              <w:t>HW08 废矿</w:t>
            </w:r>
            <w:r>
              <w:rPr>
                <w:rFonts w:hint="eastAsia"/>
                <w:snapToGrid w:val="0"/>
                <w:color w:val="000000" w:themeColor="text1"/>
                <w:kern w:val="0"/>
                <w:szCs w:val="21"/>
                <w14:textFill>
                  <w14:solidFill>
                    <w14:schemeClr w14:val="tx1"/>
                  </w14:solidFill>
                </w14:textFill>
              </w:rPr>
              <w:t>物油与含矿物油废物”，应设置专门的危废存放室，规范管理，定期由具有相应类别的危险废物处理资质的单位回收处理；</w:t>
            </w:r>
          </w:p>
        </w:tc>
        <w:tc>
          <w:tcPr>
            <w:tcW w:w="2937" w:type="dxa"/>
            <w:shd w:val="clear" w:color="auto" w:fill="auto"/>
            <w:vAlign w:val="center"/>
          </w:tcPr>
          <w:p>
            <w:pPr>
              <w:spacing w:line="300" w:lineRule="exact"/>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已完成危废处置协议的签订。</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900" w:type="dxa"/>
            <w:vMerge w:val="continue"/>
            <w:vAlign w:val="center"/>
          </w:tcPr>
          <w:p>
            <w:pPr>
              <w:spacing w:line="300" w:lineRule="exact"/>
              <w:jc w:val="center"/>
              <w:rPr>
                <w:snapToGrid w:val="0"/>
                <w:color w:val="000000" w:themeColor="text1"/>
                <w:kern w:val="0"/>
                <w:szCs w:val="21"/>
                <w14:textFill>
                  <w14:solidFill>
                    <w14:schemeClr w14:val="tx1"/>
                  </w14:solidFill>
                </w14:textFill>
              </w:rPr>
            </w:pPr>
          </w:p>
        </w:tc>
        <w:tc>
          <w:tcPr>
            <w:tcW w:w="1533" w:type="dxa"/>
            <w:shd w:val="clear" w:color="auto" w:fill="auto"/>
            <w:vAlign w:val="center"/>
          </w:tcPr>
          <w:p>
            <w:pPr>
              <w:spacing w:line="300" w:lineRule="exact"/>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生活垃圾</w:t>
            </w:r>
          </w:p>
        </w:tc>
        <w:tc>
          <w:tcPr>
            <w:tcW w:w="2936" w:type="dxa"/>
            <w:shd w:val="clear" w:color="auto" w:fill="auto"/>
            <w:vAlign w:val="center"/>
          </w:tcPr>
          <w:p>
            <w:pPr>
              <w:spacing w:line="300" w:lineRule="exact"/>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生活区内合理布设垃圾桶，员工生活垃圾定点投放，定期清运至金川县城市生活垃圾卫生填埋场统一处置。</w:t>
            </w:r>
          </w:p>
        </w:tc>
        <w:tc>
          <w:tcPr>
            <w:tcW w:w="2937" w:type="dxa"/>
            <w:shd w:val="clear" w:color="auto" w:fill="auto"/>
            <w:vAlign w:val="center"/>
          </w:tcPr>
          <w:p>
            <w:pPr>
              <w:spacing w:line="300" w:lineRule="exact"/>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已完成生活垃圾处置协议的签订。</w:t>
            </w:r>
          </w:p>
        </w:tc>
      </w:tr>
    </w:tbl>
    <w:p>
      <w:pPr>
        <w:spacing w:line="360" w:lineRule="auto"/>
        <w:jc w:val="center"/>
        <w:rPr>
          <w:rFonts w:ascii="Times New Roman" w:hAnsi="Times New Roman" w:cs="Times New Roman"/>
          <w:b/>
          <w:color w:val="000000" w:themeColor="text1"/>
          <w:szCs w:val="24"/>
          <w14:textFill>
            <w14:solidFill>
              <w14:schemeClr w14:val="tx1"/>
            </w14:solidFill>
          </w14:textFill>
        </w:rPr>
      </w:pP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.1.2 生态环境保护措施落实情况</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生态环境保护措施落实情况见下表</w:t>
      </w:r>
      <w:r>
        <w:rPr>
          <w:rFonts w:hint="eastAsia" w:ascii="Times New Roman" w:hAnsi="Times New Roman" w:cs="Times New Roman"/>
          <w:color w:val="000000" w:themeColor="text1"/>
          <w:sz w:val="24"/>
          <w:szCs w:val="24"/>
          <w14:textFill>
            <w14:solidFill>
              <w14:schemeClr w14:val="tx1"/>
            </w14:solidFill>
          </w14:textFill>
        </w:rPr>
        <w:t>。</w:t>
      </w:r>
    </w:p>
    <w:p>
      <w:pPr>
        <w:adjustRightInd w:val="0"/>
        <w:snapToGrid w:val="0"/>
        <w:spacing w:before="120" w:line="300" w:lineRule="auto"/>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表</w:t>
      </w:r>
      <w:r>
        <w:rPr>
          <w:rFonts w:hint="eastAsia" w:ascii="Times New Roman" w:hAnsi="Times New Roman" w:cs="Times New Roman"/>
          <w:b/>
          <w:color w:val="000000" w:themeColor="text1"/>
          <w:szCs w:val="21"/>
          <w14:textFill>
            <w14:solidFill>
              <w14:schemeClr w14:val="tx1"/>
            </w14:solidFill>
          </w14:textFill>
        </w:rPr>
        <w:t>4</w:t>
      </w:r>
      <w:r>
        <w:rPr>
          <w:rFonts w:ascii="Times New Roman" w:hAnsi="Times New Roman" w:cs="Times New Roman"/>
          <w:b/>
          <w:color w:val="000000" w:themeColor="text1"/>
          <w:szCs w:val="21"/>
          <w14:textFill>
            <w14:solidFill>
              <w14:schemeClr w14:val="tx1"/>
            </w14:solidFill>
          </w14:textFill>
        </w:rPr>
        <w:t>.1-6  生态环境保护措施落实情况一览表</w:t>
      </w:r>
    </w:p>
    <w:tbl>
      <w:tblPr>
        <w:tblStyle w:val="28"/>
        <w:tblW w:w="830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4"/>
        <w:gridCol w:w="1131"/>
        <w:gridCol w:w="3210"/>
        <w:gridCol w:w="321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885" w:type="dxa"/>
            <w:gridSpan w:val="2"/>
            <w:shd w:val="clear" w:color="auto" w:fill="auto"/>
            <w:vAlign w:val="center"/>
          </w:tcPr>
          <w:p>
            <w:pPr>
              <w:spacing w:line="300" w:lineRule="exact"/>
              <w:jc w:val="center"/>
              <w:rPr>
                <w:rFonts w:ascii="宋体" w:hAnsi="宋体"/>
                <w:b/>
                <w:snapToGrid w:val="0"/>
                <w:color w:val="000000" w:themeColor="text1"/>
                <w:kern w:val="0"/>
                <w:sz w:val="22"/>
                <w14:textFill>
                  <w14:solidFill>
                    <w14:schemeClr w14:val="tx1"/>
                  </w14:solidFill>
                </w14:textFill>
              </w:rPr>
            </w:pPr>
            <w:r>
              <w:rPr>
                <w:rFonts w:ascii="Times New Roman" w:hAnsi="Times New Roman" w:cs="Times New Roman"/>
                <w:b/>
                <w:snapToGrid w:val="0"/>
                <w:color w:val="000000" w:themeColor="text1"/>
                <w:kern w:val="0"/>
                <w:sz w:val="22"/>
                <w14:textFill>
                  <w14:solidFill>
                    <w14:schemeClr w14:val="tx1"/>
                  </w14:solidFill>
                </w14:textFill>
              </w:rPr>
              <w:t>阶段</w:t>
            </w:r>
          </w:p>
        </w:tc>
        <w:tc>
          <w:tcPr>
            <w:tcW w:w="3210" w:type="dxa"/>
            <w:shd w:val="clear" w:color="auto" w:fill="auto"/>
            <w:vAlign w:val="center"/>
          </w:tcPr>
          <w:p>
            <w:pPr>
              <w:spacing w:line="300" w:lineRule="exact"/>
              <w:jc w:val="center"/>
              <w:rPr>
                <w:rFonts w:ascii="宋体" w:hAnsi="宋体"/>
                <w:b/>
                <w:snapToGrid w:val="0"/>
                <w:color w:val="000000" w:themeColor="text1"/>
                <w:kern w:val="0"/>
                <w:sz w:val="22"/>
                <w14:textFill>
                  <w14:solidFill>
                    <w14:schemeClr w14:val="tx1"/>
                  </w14:solidFill>
                </w14:textFill>
              </w:rPr>
            </w:pPr>
            <w:r>
              <w:rPr>
                <w:rFonts w:hint="eastAsia"/>
                <w:b/>
                <w:snapToGrid w:val="0"/>
                <w:color w:val="000000" w:themeColor="text1"/>
                <w:kern w:val="0"/>
                <w:sz w:val="22"/>
                <w:lang w:eastAsia="zh-CN"/>
                <w14:textFill>
                  <w14:solidFill>
                    <w14:schemeClr w14:val="tx1"/>
                  </w14:solidFill>
                </w14:textFill>
              </w:rPr>
              <w:t>环评及批复要求</w:t>
            </w:r>
          </w:p>
        </w:tc>
        <w:tc>
          <w:tcPr>
            <w:tcW w:w="3211" w:type="dxa"/>
            <w:shd w:val="clear" w:color="auto" w:fill="auto"/>
            <w:vAlign w:val="center"/>
          </w:tcPr>
          <w:p>
            <w:pPr>
              <w:spacing w:line="300" w:lineRule="exact"/>
              <w:jc w:val="center"/>
              <w:rPr>
                <w:rFonts w:ascii="宋体" w:hAnsi="宋体"/>
                <w:b/>
                <w:snapToGrid w:val="0"/>
                <w:color w:val="000000" w:themeColor="text1"/>
                <w:kern w:val="0"/>
                <w:sz w:val="22"/>
                <w14:textFill>
                  <w14:solidFill>
                    <w14:schemeClr w14:val="tx1"/>
                  </w14:solidFill>
                </w14:textFill>
              </w:rPr>
            </w:pPr>
            <w:r>
              <w:rPr>
                <w:rFonts w:hint="eastAsia"/>
                <w:b/>
                <w:snapToGrid w:val="0"/>
                <w:color w:val="000000" w:themeColor="text1"/>
                <w:kern w:val="0"/>
                <w:sz w:val="22"/>
                <w:lang w:eastAsia="zh-CN"/>
                <w14:textFill>
                  <w14:solidFill>
                    <w14:schemeClr w14:val="tx1"/>
                  </w14:solidFill>
                </w14:textFill>
              </w:rPr>
              <w:t>实际</w:t>
            </w:r>
            <w:r>
              <w:rPr>
                <w:rFonts w:hint="eastAsia"/>
                <w:b/>
                <w:snapToGrid w:val="0"/>
                <w:color w:val="000000" w:themeColor="text1"/>
                <w:kern w:val="0"/>
                <w:sz w:val="22"/>
                <w14:textFill>
                  <w14:solidFill>
                    <w14:schemeClr w14:val="tx1"/>
                  </w14:solidFill>
                </w14:textFill>
              </w:rPr>
              <w:t>落实情况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4" w:type="dxa"/>
            <w:vMerge w:val="restart"/>
            <w:shd w:val="clear" w:color="auto" w:fill="auto"/>
            <w:vAlign w:val="center"/>
          </w:tcPr>
          <w:p>
            <w:pPr>
              <w:spacing w:line="300" w:lineRule="exact"/>
              <w:jc w:val="center"/>
              <w:rPr>
                <w:rFonts w:ascii="宋体" w:hAnsi="宋体"/>
                <w:snapToGrid w:val="0"/>
                <w:color w:val="000000" w:themeColor="text1"/>
                <w:kern w:val="0"/>
                <w:szCs w:val="21"/>
                <w14:textFill>
                  <w14:solidFill>
                    <w14:schemeClr w14:val="tx1"/>
                  </w14:solidFill>
                </w14:textFill>
              </w:rPr>
            </w:pPr>
            <w:r>
              <w:rPr>
                <w:rFonts w:ascii="宋体" w:hAnsi="宋体"/>
                <w:snapToGrid w:val="0"/>
                <w:color w:val="000000" w:themeColor="text1"/>
                <w:kern w:val="0"/>
                <w:szCs w:val="21"/>
                <w14:textFill>
                  <w14:solidFill>
                    <w14:schemeClr w14:val="tx1"/>
                  </w14:solidFill>
                </w14:textFill>
              </w:rPr>
              <w:t>生态预防保护</w:t>
            </w:r>
          </w:p>
        </w:tc>
        <w:tc>
          <w:tcPr>
            <w:tcW w:w="1131" w:type="dxa"/>
            <w:shd w:val="clear" w:color="auto" w:fill="auto"/>
            <w:vAlign w:val="center"/>
          </w:tcPr>
          <w:p>
            <w:pPr>
              <w:spacing w:line="300" w:lineRule="exact"/>
              <w:jc w:val="center"/>
              <w:rPr>
                <w:rFonts w:ascii="宋体" w:hAnsi="宋体"/>
                <w:snapToGrid w:val="0"/>
                <w:color w:val="000000" w:themeColor="text1"/>
                <w:kern w:val="0"/>
                <w:szCs w:val="21"/>
                <w14:textFill>
                  <w14:solidFill>
                    <w14:schemeClr w14:val="tx1"/>
                  </w14:solidFill>
                </w14:textFill>
              </w:rPr>
            </w:pPr>
            <w:r>
              <w:rPr>
                <w:rFonts w:hint="eastAsia" w:ascii="宋体" w:hAnsi="宋体"/>
                <w:color w:val="000000" w:themeColor="text1"/>
                <w:szCs w:val="21"/>
                <w:lang w:bidi="en-US"/>
                <w14:textFill>
                  <w14:solidFill>
                    <w14:schemeClr w14:val="tx1"/>
                  </w14:solidFill>
                </w14:textFill>
              </w:rPr>
              <w:t>土地节约</w:t>
            </w:r>
          </w:p>
        </w:tc>
        <w:tc>
          <w:tcPr>
            <w:tcW w:w="3210" w:type="dxa"/>
            <w:shd w:val="clear" w:color="auto" w:fill="auto"/>
            <w:vAlign w:val="center"/>
          </w:tcPr>
          <w:p>
            <w:pPr>
              <w:spacing w:line="300" w:lineRule="exact"/>
              <w:jc w:val="center"/>
              <w:rPr>
                <w:rFonts w:ascii="宋体" w:hAnsi="宋体"/>
                <w:color w:val="000000" w:themeColor="text1"/>
                <w:szCs w:val="21"/>
                <w:lang w:bidi="en-US"/>
                <w14:textFill>
                  <w14:solidFill>
                    <w14:schemeClr w14:val="tx1"/>
                  </w14:solidFill>
                </w14:textFill>
              </w:rPr>
            </w:pPr>
            <w:r>
              <w:rPr>
                <w:rFonts w:hint="eastAsia" w:ascii="宋体" w:hAnsi="宋体"/>
                <w:snapToGrid w:val="0"/>
                <w:color w:val="000000" w:themeColor="text1"/>
                <w:kern w:val="0"/>
                <w:szCs w:val="21"/>
                <w14:textFill>
                  <w14:solidFill>
                    <w14:schemeClr w14:val="tx1"/>
                  </w14:solidFill>
                </w14:textFill>
              </w:rPr>
              <w:t>优化施工布置，合理安排施工顺序</w:t>
            </w:r>
            <w:r>
              <w:rPr>
                <w:rFonts w:ascii="宋体" w:hAnsi="宋体"/>
                <w:snapToGrid w:val="0"/>
                <w:color w:val="000000" w:themeColor="text1"/>
                <w:kern w:val="0"/>
                <w:szCs w:val="21"/>
                <w14:textFill>
                  <w14:solidFill>
                    <w14:schemeClr w14:val="tx1"/>
                  </w14:solidFill>
                </w14:textFill>
              </w:rPr>
              <w:t>。</w:t>
            </w:r>
            <w:r>
              <w:rPr>
                <w:rFonts w:hint="eastAsia" w:ascii="宋体" w:hAnsi="宋体"/>
                <w:snapToGrid w:val="0"/>
                <w:color w:val="000000" w:themeColor="text1"/>
                <w:kern w:val="0"/>
                <w:szCs w:val="21"/>
                <w14:textFill>
                  <w14:solidFill>
                    <w14:schemeClr w14:val="tx1"/>
                  </w14:solidFill>
                </w14:textFill>
              </w:rPr>
              <w:t>按照施工占地红线进行定界定桩、林木清查和处理。</w:t>
            </w:r>
          </w:p>
        </w:tc>
        <w:tc>
          <w:tcPr>
            <w:tcW w:w="3211" w:type="dxa"/>
            <w:shd w:val="clear" w:color="auto" w:fill="auto"/>
            <w:vAlign w:val="center"/>
          </w:tcPr>
          <w:p>
            <w:pPr>
              <w:spacing w:line="300" w:lineRule="exact"/>
              <w:jc w:val="center"/>
              <w:rPr>
                <w:rFonts w:ascii="宋体" w:hAnsi="宋体"/>
                <w:color w:val="000000" w:themeColor="text1"/>
                <w:szCs w:val="21"/>
                <w:lang w:bidi="en-US"/>
                <w14:textFill>
                  <w14:solidFill>
                    <w14:schemeClr w14:val="tx1"/>
                  </w14:solidFill>
                </w14:textFill>
              </w:rPr>
            </w:pPr>
            <w:r>
              <w:rPr>
                <w:rFonts w:hint="eastAsia" w:ascii="宋体" w:hAnsi="宋体"/>
                <w:snapToGrid w:val="0"/>
                <w:color w:val="000000" w:themeColor="text1"/>
                <w:kern w:val="0"/>
                <w:szCs w:val="21"/>
                <w14:textFill>
                  <w14:solidFill>
                    <w14:schemeClr w14:val="tx1"/>
                  </w14:solidFill>
                </w14:textFill>
              </w:rPr>
              <w:t>优化施工布置，合理安排施工顺序</w:t>
            </w:r>
            <w:r>
              <w:rPr>
                <w:rFonts w:ascii="宋体" w:hAnsi="宋体"/>
                <w:snapToGrid w:val="0"/>
                <w:color w:val="000000" w:themeColor="text1"/>
                <w:kern w:val="0"/>
                <w:szCs w:val="21"/>
                <w14:textFill>
                  <w14:solidFill>
                    <w14:schemeClr w14:val="tx1"/>
                  </w14:solidFill>
                </w14:textFill>
              </w:rPr>
              <w:t>。</w:t>
            </w:r>
            <w:r>
              <w:rPr>
                <w:rFonts w:hint="eastAsia" w:ascii="宋体" w:hAnsi="宋体"/>
                <w:snapToGrid w:val="0"/>
                <w:color w:val="000000" w:themeColor="text1"/>
                <w:kern w:val="0"/>
                <w:szCs w:val="21"/>
                <w14:textFill>
                  <w14:solidFill>
                    <w14:schemeClr w14:val="tx1"/>
                  </w14:solidFill>
                </w14:textFill>
              </w:rPr>
              <w:t>按照施工占地红线进行定界定桩、林木清查和处理。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4" w:type="dxa"/>
            <w:vMerge w:val="continue"/>
            <w:shd w:val="clear" w:color="auto" w:fill="auto"/>
            <w:vAlign w:val="center"/>
          </w:tcPr>
          <w:p>
            <w:pPr>
              <w:spacing w:line="300" w:lineRule="exact"/>
              <w:jc w:val="center"/>
              <w:rPr>
                <w:rFonts w:ascii="宋体" w:hAnsi="宋体"/>
                <w:snapToGrid w:val="0"/>
                <w:color w:val="000000" w:themeColor="text1"/>
                <w:kern w:val="0"/>
                <w:szCs w:val="21"/>
                <w14:textFill>
                  <w14:solidFill>
                    <w14:schemeClr w14:val="tx1"/>
                  </w14:solidFill>
                </w14:textFill>
              </w:rPr>
            </w:pPr>
          </w:p>
        </w:tc>
        <w:tc>
          <w:tcPr>
            <w:tcW w:w="1131" w:type="dxa"/>
            <w:shd w:val="clear" w:color="auto" w:fill="auto"/>
            <w:vAlign w:val="center"/>
          </w:tcPr>
          <w:p>
            <w:pPr>
              <w:spacing w:line="300" w:lineRule="exact"/>
              <w:jc w:val="center"/>
              <w:rPr>
                <w:rFonts w:ascii="宋体" w:hAnsi="宋体"/>
                <w:snapToGrid w:val="0"/>
                <w:color w:val="000000" w:themeColor="text1"/>
                <w:kern w:val="0"/>
                <w:szCs w:val="21"/>
                <w14:textFill>
                  <w14:solidFill>
                    <w14:schemeClr w14:val="tx1"/>
                  </w14:solidFill>
                </w14:textFill>
              </w:rPr>
            </w:pPr>
            <w:r>
              <w:rPr>
                <w:rFonts w:hint="eastAsia" w:ascii="宋体" w:hAnsi="宋体"/>
                <w:color w:val="000000" w:themeColor="text1"/>
                <w:szCs w:val="21"/>
                <w:lang w:bidi="en-US"/>
                <w14:textFill>
                  <w14:solidFill>
                    <w14:schemeClr w14:val="tx1"/>
                  </w14:solidFill>
                </w14:textFill>
              </w:rPr>
              <w:t>植被</w:t>
            </w:r>
            <w:r>
              <w:rPr>
                <w:rFonts w:ascii="宋体" w:hAnsi="宋体"/>
                <w:color w:val="000000" w:themeColor="text1"/>
                <w:szCs w:val="21"/>
                <w:lang w:bidi="en-US"/>
                <w14:textFill>
                  <w14:solidFill>
                    <w14:schemeClr w14:val="tx1"/>
                  </w14:solidFill>
                </w14:textFill>
              </w:rPr>
              <w:t>保护</w:t>
            </w:r>
          </w:p>
        </w:tc>
        <w:tc>
          <w:tcPr>
            <w:tcW w:w="3210" w:type="dxa"/>
            <w:shd w:val="clear" w:color="auto" w:fill="auto"/>
            <w:vAlign w:val="center"/>
          </w:tcPr>
          <w:p>
            <w:pPr>
              <w:spacing w:line="300" w:lineRule="exact"/>
              <w:jc w:val="center"/>
              <w:rPr>
                <w:rFonts w:ascii="宋体" w:hAnsi="宋体"/>
                <w:color w:val="000000" w:themeColor="text1"/>
                <w:szCs w:val="21"/>
                <w:lang w:bidi="en-US"/>
                <w14:textFill>
                  <w14:solidFill>
                    <w14:schemeClr w14:val="tx1"/>
                  </w14:solidFill>
                </w14:textFill>
              </w:rPr>
            </w:pPr>
            <w:r>
              <w:rPr>
                <w:rFonts w:hint="eastAsia" w:ascii="宋体" w:hAnsi="宋体"/>
                <w:snapToGrid w:val="0"/>
                <w:color w:val="000000" w:themeColor="text1"/>
                <w:kern w:val="0"/>
                <w:szCs w:val="21"/>
                <w14:textFill>
                  <w14:solidFill>
                    <w14:schemeClr w14:val="tx1"/>
                  </w14:solidFill>
                </w14:textFill>
              </w:rPr>
              <w:t>划定工作区域与施工范围，严格按照征地范围进行施工，禁止超范围、超数量采伐林地和占用草地。</w:t>
            </w:r>
          </w:p>
        </w:tc>
        <w:tc>
          <w:tcPr>
            <w:tcW w:w="3211" w:type="dxa"/>
            <w:shd w:val="clear" w:color="auto" w:fill="auto"/>
            <w:vAlign w:val="center"/>
          </w:tcPr>
          <w:p>
            <w:pPr>
              <w:spacing w:line="300" w:lineRule="exact"/>
              <w:jc w:val="center"/>
              <w:rPr>
                <w:rFonts w:ascii="宋体" w:hAnsi="宋体"/>
                <w:color w:val="000000" w:themeColor="text1"/>
                <w:szCs w:val="21"/>
                <w:lang w:bidi="en-US"/>
                <w14:textFill>
                  <w14:solidFill>
                    <w14:schemeClr w14:val="tx1"/>
                  </w14:solidFill>
                </w14:textFill>
              </w:rPr>
            </w:pPr>
            <w:r>
              <w:rPr>
                <w:rFonts w:hint="eastAsia" w:ascii="宋体" w:hAnsi="宋体"/>
                <w:snapToGrid w:val="0"/>
                <w:color w:val="000000" w:themeColor="text1"/>
                <w:kern w:val="0"/>
                <w:szCs w:val="21"/>
                <w14:textFill>
                  <w14:solidFill>
                    <w14:schemeClr w14:val="tx1"/>
                  </w14:solidFill>
                </w14:textFill>
              </w:rPr>
              <w:t>划定工作区域与施工范围，严格按照征地范围进行施工，禁止超范围、超数量采伐林地和占用草地。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4" w:type="dxa"/>
            <w:vMerge w:val="continue"/>
            <w:shd w:val="clear" w:color="auto" w:fill="auto"/>
            <w:vAlign w:val="center"/>
          </w:tcPr>
          <w:p>
            <w:pPr>
              <w:spacing w:line="300" w:lineRule="exact"/>
              <w:jc w:val="center"/>
              <w:rPr>
                <w:rFonts w:ascii="宋体" w:hAnsi="宋体"/>
                <w:color w:val="000000" w:themeColor="text1"/>
                <w:szCs w:val="21"/>
                <w:lang w:bidi="en-US"/>
                <w14:textFill>
                  <w14:solidFill>
                    <w14:schemeClr w14:val="tx1"/>
                  </w14:solidFill>
                </w14:textFill>
              </w:rPr>
            </w:pPr>
          </w:p>
        </w:tc>
        <w:tc>
          <w:tcPr>
            <w:tcW w:w="1131" w:type="dxa"/>
            <w:shd w:val="clear" w:color="auto" w:fill="auto"/>
            <w:vAlign w:val="center"/>
          </w:tcPr>
          <w:p>
            <w:pPr>
              <w:spacing w:line="300" w:lineRule="exact"/>
              <w:jc w:val="center"/>
              <w:rPr>
                <w:rFonts w:ascii="宋体" w:hAnsi="宋体"/>
                <w:color w:val="000000" w:themeColor="text1"/>
                <w:szCs w:val="21"/>
                <w:lang w:bidi="en-US"/>
                <w14:textFill>
                  <w14:solidFill>
                    <w14:schemeClr w14:val="tx1"/>
                  </w14:solidFill>
                </w14:textFill>
              </w:rPr>
            </w:pPr>
            <w:r>
              <w:rPr>
                <w:rFonts w:hint="eastAsia" w:ascii="宋体" w:hAnsi="宋体"/>
                <w:color w:val="000000" w:themeColor="text1"/>
                <w:szCs w:val="21"/>
                <w:lang w:bidi="en-US"/>
                <w14:textFill>
                  <w14:solidFill>
                    <w14:schemeClr w14:val="tx1"/>
                  </w14:solidFill>
                </w14:textFill>
              </w:rPr>
              <w:t>占地分类管理</w:t>
            </w:r>
          </w:p>
        </w:tc>
        <w:tc>
          <w:tcPr>
            <w:tcW w:w="3210" w:type="dxa"/>
            <w:shd w:val="clear" w:color="auto" w:fill="auto"/>
            <w:vAlign w:val="center"/>
          </w:tcPr>
          <w:p>
            <w:pPr>
              <w:spacing w:line="300" w:lineRule="exact"/>
              <w:jc w:val="center"/>
              <w:rPr>
                <w:rFonts w:ascii="宋体" w:hAnsi="宋体"/>
                <w:color w:val="000000" w:themeColor="text1"/>
                <w:szCs w:val="21"/>
                <w:lang w:bidi="en-US"/>
                <w14:textFill>
                  <w14:solidFill>
                    <w14:schemeClr w14:val="tx1"/>
                  </w14:solidFill>
                </w14:textFill>
              </w:rPr>
            </w:pPr>
            <w:r>
              <w:rPr>
                <w:rFonts w:hint="eastAsia" w:ascii="宋体" w:hAnsi="宋体"/>
                <w:snapToGrid w:val="0"/>
                <w:color w:val="000000" w:themeColor="text1"/>
                <w:kern w:val="0"/>
                <w:szCs w:val="21"/>
                <w14:textFill>
                  <w14:solidFill>
                    <w14:schemeClr w14:val="tx1"/>
                  </w14:solidFill>
                </w14:textFill>
              </w:rPr>
              <w:t>短期施工期对不再作为工程利用的裸露区和施工迹地等短期占地的区域，要及时组织进行植被恢复，包括开挖的坡面、道路边坡、临时道路等区域。尾矿库的护岸边坡、渣场等做好工程防护措施，做好背坡排水和顶面平整。</w:t>
            </w:r>
          </w:p>
        </w:tc>
        <w:tc>
          <w:tcPr>
            <w:tcW w:w="3211" w:type="dxa"/>
            <w:shd w:val="clear" w:color="auto" w:fill="auto"/>
            <w:vAlign w:val="center"/>
          </w:tcPr>
          <w:p>
            <w:pPr>
              <w:spacing w:line="300" w:lineRule="exact"/>
              <w:jc w:val="center"/>
              <w:rPr>
                <w:rFonts w:ascii="宋体" w:hAnsi="宋体"/>
                <w:color w:val="000000" w:themeColor="text1"/>
                <w:szCs w:val="21"/>
                <w:lang w:bidi="en-US"/>
                <w14:textFill>
                  <w14:solidFill>
                    <w14:schemeClr w14:val="tx1"/>
                  </w14:solidFill>
                </w14:textFill>
              </w:rPr>
            </w:pPr>
            <w:r>
              <w:rPr>
                <w:rFonts w:hint="eastAsia" w:ascii="宋体" w:hAnsi="宋体"/>
                <w:snapToGrid w:val="0"/>
                <w:color w:val="000000" w:themeColor="text1"/>
                <w:kern w:val="0"/>
                <w:szCs w:val="21"/>
                <w14:textFill>
                  <w14:solidFill>
                    <w14:schemeClr w14:val="tx1"/>
                  </w14:solidFill>
                </w14:textFill>
              </w:rPr>
              <w:t>短期施工期对不再作为工程利用的裸露区和施工迹地等短期占地的区域，要及时组织进行植被恢复，包括开挖的坡面、道路边坡、临时道路等区域。尾矿库的护岸边坡、渣场等做好工程防护措施，做好背坡排水和顶面平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4" w:type="dxa"/>
            <w:vMerge w:val="continue"/>
            <w:shd w:val="clear" w:color="auto" w:fill="auto"/>
            <w:vAlign w:val="center"/>
          </w:tcPr>
          <w:p>
            <w:pPr>
              <w:spacing w:line="300" w:lineRule="exact"/>
              <w:jc w:val="center"/>
              <w:rPr>
                <w:rFonts w:ascii="宋体" w:hAnsi="宋体"/>
                <w:snapToGrid w:val="0"/>
                <w:color w:val="000000" w:themeColor="text1"/>
                <w:kern w:val="0"/>
                <w:szCs w:val="21"/>
                <w14:textFill>
                  <w14:solidFill>
                    <w14:schemeClr w14:val="tx1"/>
                  </w14:solidFill>
                </w14:textFill>
              </w:rPr>
            </w:pPr>
          </w:p>
        </w:tc>
        <w:tc>
          <w:tcPr>
            <w:tcW w:w="1131" w:type="dxa"/>
            <w:shd w:val="clear" w:color="auto" w:fill="auto"/>
            <w:vAlign w:val="center"/>
          </w:tcPr>
          <w:p>
            <w:pPr>
              <w:spacing w:line="300" w:lineRule="exact"/>
              <w:jc w:val="center"/>
              <w:rPr>
                <w:rFonts w:ascii="宋体" w:hAnsi="宋体"/>
                <w:color w:val="000000" w:themeColor="text1"/>
                <w:szCs w:val="21"/>
                <w:lang w:bidi="en-US"/>
                <w14:textFill>
                  <w14:solidFill>
                    <w14:schemeClr w14:val="tx1"/>
                  </w14:solidFill>
                </w14:textFill>
              </w:rPr>
            </w:pPr>
            <w:r>
              <w:rPr>
                <w:rFonts w:hint="eastAsia" w:ascii="宋体" w:hAnsi="宋体"/>
                <w:color w:val="000000" w:themeColor="text1"/>
                <w:szCs w:val="21"/>
                <w:lang w:bidi="en-US"/>
                <w14:textFill>
                  <w14:solidFill>
                    <w14:schemeClr w14:val="tx1"/>
                  </w14:solidFill>
                </w14:textFill>
              </w:rPr>
              <w:t>一矿区</w:t>
            </w:r>
          </w:p>
        </w:tc>
        <w:tc>
          <w:tcPr>
            <w:tcW w:w="3210" w:type="dxa"/>
            <w:shd w:val="clear" w:color="auto" w:fill="auto"/>
            <w:vAlign w:val="center"/>
          </w:tcPr>
          <w:p>
            <w:pPr>
              <w:pStyle w:val="76"/>
              <w:snapToGrid/>
              <w:spacing w:line="300" w:lineRule="exact"/>
              <w:ind w:firstLine="0"/>
              <w:jc w:val="center"/>
              <w:rPr>
                <w:rFonts w:ascii="宋体" w:hAnsi="宋体"/>
                <w:snapToGrid w:val="0"/>
                <w:color w:val="000000" w:themeColor="text1"/>
                <w:kern w:val="0"/>
                <w:sz w:val="21"/>
                <w:szCs w:val="21"/>
                <w14:textFill>
                  <w14:solidFill>
                    <w14:schemeClr w14:val="tx1"/>
                  </w14:solidFill>
                </w14:textFill>
              </w:rPr>
            </w:pPr>
            <w:r>
              <w:rPr>
                <w:rFonts w:hint="eastAsia" w:ascii="宋体" w:hAnsi="宋体"/>
                <w:snapToGrid w:val="0"/>
                <w:color w:val="000000" w:themeColor="text1"/>
                <w:kern w:val="0"/>
                <w:sz w:val="21"/>
                <w:szCs w:val="21"/>
                <w14:textFill>
                  <w14:solidFill>
                    <w14:schemeClr w14:val="tx1"/>
                  </w14:solidFill>
                </w14:textFill>
              </w:rPr>
              <w:t>对施工范围内地表剥离表层植粘层和土壤分层剥离、分层堆放，根据施工布置进行统一协调进行堆放和保存。</w:t>
            </w:r>
          </w:p>
        </w:tc>
        <w:tc>
          <w:tcPr>
            <w:tcW w:w="3211" w:type="dxa"/>
            <w:shd w:val="clear" w:color="auto" w:fill="auto"/>
            <w:vAlign w:val="center"/>
          </w:tcPr>
          <w:p>
            <w:pPr>
              <w:pStyle w:val="76"/>
              <w:snapToGrid/>
              <w:spacing w:line="300" w:lineRule="exact"/>
              <w:ind w:firstLine="0" w:firstLineChars="0"/>
              <w:jc w:val="center"/>
              <w:rPr>
                <w:rFonts w:ascii="宋体" w:hAnsi="宋体"/>
                <w:snapToGrid w:val="0"/>
                <w:color w:val="000000" w:themeColor="text1"/>
                <w:kern w:val="0"/>
                <w:sz w:val="21"/>
                <w:szCs w:val="21"/>
                <w14:textFill>
                  <w14:solidFill>
                    <w14:schemeClr w14:val="tx1"/>
                  </w14:solidFill>
                </w14:textFill>
              </w:rPr>
            </w:pPr>
            <w:r>
              <w:rPr>
                <w:rFonts w:hint="eastAsia"/>
                <w:snapToGrid w:val="0"/>
                <w:color w:val="000000" w:themeColor="text1"/>
                <w:kern w:val="0"/>
                <w:sz w:val="21"/>
                <w:szCs w:val="18"/>
                <w14:textFill>
                  <w14:solidFill>
                    <w14:schemeClr w14:val="tx1"/>
                  </w14:solidFill>
                </w14:textFill>
              </w:rPr>
              <w:t>前期剥离的表土临时堆存量较少，大部分直接用于绿化覆土，因此未设置集中表土堆放区，表土堆放区仅实施了防雨布遮盖措施。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4" w:type="dxa"/>
            <w:vMerge w:val="continue"/>
            <w:shd w:val="clear" w:color="auto" w:fill="auto"/>
            <w:vAlign w:val="center"/>
          </w:tcPr>
          <w:p>
            <w:pPr>
              <w:spacing w:line="300" w:lineRule="exact"/>
              <w:jc w:val="center"/>
              <w:rPr>
                <w:rFonts w:ascii="宋体" w:hAnsi="宋体"/>
                <w:color w:val="000000" w:themeColor="text1"/>
                <w:szCs w:val="21"/>
                <w:lang w:bidi="en-US"/>
                <w14:textFill>
                  <w14:solidFill>
                    <w14:schemeClr w14:val="tx1"/>
                  </w14:solidFill>
                </w14:textFill>
              </w:rPr>
            </w:pPr>
          </w:p>
        </w:tc>
        <w:tc>
          <w:tcPr>
            <w:tcW w:w="1131" w:type="dxa"/>
            <w:shd w:val="clear" w:color="auto" w:fill="auto"/>
            <w:vAlign w:val="center"/>
          </w:tcPr>
          <w:p>
            <w:pPr>
              <w:spacing w:line="300" w:lineRule="exact"/>
              <w:jc w:val="center"/>
              <w:rPr>
                <w:rFonts w:ascii="宋体" w:hAnsi="宋体"/>
                <w:color w:val="000000" w:themeColor="text1"/>
                <w:szCs w:val="21"/>
                <w:lang w:bidi="en-US"/>
                <w14:textFill>
                  <w14:solidFill>
                    <w14:schemeClr w14:val="tx1"/>
                  </w14:solidFill>
                </w14:textFill>
              </w:rPr>
            </w:pPr>
            <w:r>
              <w:rPr>
                <w:rFonts w:hint="eastAsia" w:ascii="宋体" w:hAnsi="宋体"/>
                <w:color w:val="000000" w:themeColor="text1"/>
                <w:szCs w:val="21"/>
                <w:lang w:bidi="en-US"/>
                <w14:textFill>
                  <w14:solidFill>
                    <w14:schemeClr w14:val="tx1"/>
                  </w14:solidFill>
                </w14:textFill>
              </w:rPr>
              <w:t>制定生态恢复方案和植物物种选择标准</w:t>
            </w:r>
          </w:p>
        </w:tc>
        <w:tc>
          <w:tcPr>
            <w:tcW w:w="3210" w:type="dxa"/>
            <w:shd w:val="clear" w:color="auto" w:fill="auto"/>
            <w:vAlign w:val="center"/>
          </w:tcPr>
          <w:p>
            <w:pPr>
              <w:pStyle w:val="76"/>
              <w:snapToGrid/>
              <w:spacing w:line="300" w:lineRule="exact"/>
              <w:ind w:firstLine="0"/>
              <w:jc w:val="center"/>
              <w:rPr>
                <w:rFonts w:ascii="宋体" w:hAnsi="宋体"/>
                <w:color w:val="000000" w:themeColor="text1"/>
                <w:szCs w:val="21"/>
                <w:lang w:bidi="en-US"/>
                <w14:textFill>
                  <w14:solidFill>
                    <w14:schemeClr w14:val="tx1"/>
                  </w14:solidFill>
                </w14:textFill>
              </w:rPr>
            </w:pPr>
            <w:r>
              <w:rPr>
                <w:rFonts w:hint="eastAsia" w:ascii="宋体" w:hAnsi="宋体"/>
                <w:snapToGrid w:val="0"/>
                <w:color w:val="000000" w:themeColor="text1"/>
                <w:kern w:val="0"/>
                <w:sz w:val="21"/>
                <w:szCs w:val="21"/>
                <w14:textFill>
                  <w14:solidFill>
                    <w14:schemeClr w14:val="tx1"/>
                  </w14:solidFill>
                </w14:textFill>
              </w:rPr>
              <w:t>根据具体植物生长及区域植物类型制定生态恢复及物种选择标准。根据工程用地期限和时间选择植物种植时间和时段，重视植被栽植后的后期管护，及时进行补植。</w:t>
            </w:r>
          </w:p>
        </w:tc>
        <w:tc>
          <w:tcPr>
            <w:tcW w:w="3211" w:type="dxa"/>
            <w:shd w:val="clear" w:color="auto" w:fill="auto"/>
            <w:vAlign w:val="center"/>
          </w:tcPr>
          <w:p>
            <w:pPr>
              <w:pStyle w:val="76"/>
              <w:snapToGrid/>
              <w:spacing w:line="300" w:lineRule="exact"/>
              <w:ind w:firstLine="0" w:firstLineChars="0"/>
              <w:jc w:val="center"/>
              <w:rPr>
                <w:rFonts w:ascii="宋体" w:hAnsi="宋体"/>
                <w:color w:val="000000" w:themeColor="text1"/>
                <w:szCs w:val="21"/>
                <w:lang w:bidi="en-US"/>
                <w14:textFill>
                  <w14:solidFill>
                    <w14:schemeClr w14:val="tx1"/>
                  </w14:solidFill>
                </w14:textFill>
              </w:rPr>
            </w:pPr>
            <w:r>
              <w:rPr>
                <w:rFonts w:hint="eastAsia" w:ascii="宋体" w:hAnsi="宋体"/>
                <w:snapToGrid w:val="0"/>
                <w:color w:val="000000" w:themeColor="text1"/>
                <w:kern w:val="0"/>
                <w:sz w:val="21"/>
                <w:szCs w:val="21"/>
                <w14:textFill>
                  <w14:solidFill>
                    <w14:schemeClr w14:val="tx1"/>
                  </w14:solidFill>
                </w14:textFill>
              </w:rPr>
              <w:t>根据具体植物生长及区域植物类型制定生态恢复及物种选择标准。根据工程用地期限和时间选择植物种植时间和时段，重视植被栽植后的后期管护，及时进行补植。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4" w:type="dxa"/>
            <w:vMerge w:val="continue"/>
            <w:shd w:val="clear" w:color="auto" w:fill="auto"/>
            <w:vAlign w:val="center"/>
          </w:tcPr>
          <w:p>
            <w:pPr>
              <w:pStyle w:val="76"/>
              <w:snapToGrid/>
              <w:spacing w:line="300" w:lineRule="exact"/>
              <w:ind w:left="480" w:firstLine="0"/>
              <w:jc w:val="center"/>
              <w:rPr>
                <w:rFonts w:ascii="宋体" w:hAnsi="宋体"/>
                <w:snapToGrid w:val="0"/>
                <w:color w:val="000000" w:themeColor="text1"/>
                <w:kern w:val="0"/>
                <w:sz w:val="21"/>
                <w:szCs w:val="21"/>
                <w14:textFill>
                  <w14:solidFill>
                    <w14:schemeClr w14:val="tx1"/>
                  </w14:solidFill>
                </w14:textFill>
              </w:rPr>
            </w:pPr>
          </w:p>
        </w:tc>
        <w:tc>
          <w:tcPr>
            <w:tcW w:w="1131" w:type="dxa"/>
            <w:shd w:val="clear" w:color="auto" w:fill="auto"/>
            <w:vAlign w:val="center"/>
          </w:tcPr>
          <w:p>
            <w:pPr>
              <w:spacing w:line="300" w:lineRule="exact"/>
              <w:jc w:val="center"/>
              <w:rPr>
                <w:rFonts w:ascii="宋体" w:hAnsi="宋体"/>
                <w:color w:val="000000" w:themeColor="text1"/>
                <w:szCs w:val="21"/>
                <w:lang w:bidi="en-US"/>
                <w14:textFill>
                  <w14:solidFill>
                    <w14:schemeClr w14:val="tx1"/>
                  </w14:solidFill>
                </w14:textFill>
              </w:rPr>
            </w:pPr>
            <w:r>
              <w:rPr>
                <w:rFonts w:hint="eastAsia" w:ascii="宋体" w:hAnsi="宋体"/>
                <w:color w:val="000000" w:themeColor="text1"/>
                <w:szCs w:val="21"/>
                <w:lang w:bidi="en-US"/>
                <w14:textFill>
                  <w14:solidFill>
                    <w14:schemeClr w14:val="tx1"/>
                  </w14:solidFill>
                </w14:textFill>
              </w:rPr>
              <w:t>矿区的分区保护与治理</w:t>
            </w:r>
          </w:p>
        </w:tc>
        <w:tc>
          <w:tcPr>
            <w:tcW w:w="3210" w:type="dxa"/>
            <w:shd w:val="clear" w:color="auto" w:fill="auto"/>
            <w:vAlign w:val="center"/>
          </w:tcPr>
          <w:p>
            <w:pPr>
              <w:pStyle w:val="76"/>
              <w:snapToGrid/>
              <w:spacing w:line="300" w:lineRule="exact"/>
              <w:ind w:firstLine="0"/>
              <w:jc w:val="center"/>
              <w:rPr>
                <w:rFonts w:ascii="宋体" w:hAnsi="宋体"/>
                <w:snapToGrid w:val="0"/>
                <w:color w:val="000000" w:themeColor="text1"/>
                <w:kern w:val="0"/>
                <w:sz w:val="21"/>
                <w:szCs w:val="21"/>
                <w14:textFill>
                  <w14:solidFill>
                    <w14:schemeClr w14:val="tx1"/>
                  </w14:solidFill>
                </w14:textFill>
              </w:rPr>
            </w:pPr>
            <w:r>
              <w:rPr>
                <w:rFonts w:hint="eastAsia" w:ascii="宋体" w:hAnsi="宋体"/>
                <w:snapToGrid w:val="0"/>
                <w:color w:val="000000" w:themeColor="text1"/>
                <w:kern w:val="0"/>
                <w:sz w:val="21"/>
                <w:szCs w:val="21"/>
                <w14:textFill>
                  <w14:solidFill>
                    <w14:schemeClr w14:val="tx1"/>
                  </w14:solidFill>
                </w14:textFill>
              </w:rPr>
              <w:t>重点保护治理区（露天的工业场地和废石场）：在征地红线范围内施工，尽量通过优化施工布置和生产组织，减少对天然植被的扰动。次重要区域：容易产生坍塌和水土流失的区域进行治理，加强应用乡土适生物种进行景观塑造和园区绿化。</w:t>
            </w:r>
          </w:p>
        </w:tc>
        <w:tc>
          <w:tcPr>
            <w:tcW w:w="3211" w:type="dxa"/>
            <w:shd w:val="clear" w:color="auto" w:fill="auto"/>
            <w:vAlign w:val="center"/>
          </w:tcPr>
          <w:p>
            <w:pPr>
              <w:pStyle w:val="76"/>
              <w:snapToGrid/>
              <w:spacing w:line="300" w:lineRule="exact"/>
              <w:ind w:firstLine="0" w:firstLineChars="0"/>
              <w:jc w:val="center"/>
              <w:rPr>
                <w:rFonts w:ascii="宋体" w:hAnsi="宋体"/>
                <w:snapToGrid w:val="0"/>
                <w:color w:val="000000" w:themeColor="text1"/>
                <w:kern w:val="0"/>
                <w:sz w:val="21"/>
                <w:szCs w:val="21"/>
                <w14:textFill>
                  <w14:solidFill>
                    <w14:schemeClr w14:val="tx1"/>
                  </w14:solidFill>
                </w14:textFill>
              </w:rPr>
            </w:pPr>
            <w:r>
              <w:rPr>
                <w:rFonts w:hint="eastAsia" w:ascii="宋体" w:hAnsi="宋体"/>
                <w:snapToGrid w:val="0"/>
                <w:color w:val="000000" w:themeColor="text1"/>
                <w:kern w:val="0"/>
                <w:sz w:val="21"/>
                <w:szCs w:val="21"/>
                <w14:textFill>
                  <w14:solidFill>
                    <w14:schemeClr w14:val="tx1"/>
                  </w14:solidFill>
                </w14:textFill>
              </w:rPr>
              <w:t>重点保护治理区（露天的工业场地和废石场）：在征地红线范围内施工，尽量通过优化施工布置和生产组织，减少对天然植被的扰动。次重要区域：容易产生坍塌和水土流失的区域进行治理，加强应用乡土适生物种进行景观塑造和园区绿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54" w:type="dxa"/>
            <w:vMerge w:val="restart"/>
            <w:shd w:val="clear" w:color="auto" w:fill="auto"/>
            <w:vAlign w:val="center"/>
          </w:tcPr>
          <w:p>
            <w:pPr>
              <w:spacing w:line="300" w:lineRule="exact"/>
              <w:jc w:val="center"/>
              <w:rPr>
                <w:rFonts w:ascii="宋体" w:hAnsi="宋体"/>
                <w:snapToGrid w:val="0"/>
                <w:color w:val="000000" w:themeColor="text1"/>
                <w:kern w:val="0"/>
                <w:szCs w:val="21"/>
                <w14:textFill>
                  <w14:solidFill>
                    <w14:schemeClr w14:val="tx1"/>
                  </w14:solidFill>
                </w14:textFill>
              </w:rPr>
            </w:pPr>
            <w:r>
              <w:rPr>
                <w:rFonts w:ascii="宋体" w:hAnsi="宋体"/>
                <w:snapToGrid w:val="0"/>
                <w:color w:val="000000" w:themeColor="text1"/>
                <w:kern w:val="0"/>
                <w:szCs w:val="21"/>
                <w14:textFill>
                  <w14:solidFill>
                    <w14:schemeClr w14:val="tx1"/>
                  </w14:solidFill>
                </w14:textFill>
              </w:rPr>
              <w:t>生态影响恢复与补偿</w:t>
            </w:r>
          </w:p>
        </w:tc>
        <w:tc>
          <w:tcPr>
            <w:tcW w:w="1131" w:type="dxa"/>
            <w:shd w:val="clear" w:color="auto" w:fill="auto"/>
            <w:vAlign w:val="center"/>
          </w:tcPr>
          <w:p>
            <w:pPr>
              <w:spacing w:line="300" w:lineRule="exact"/>
              <w:jc w:val="center"/>
              <w:rPr>
                <w:rFonts w:ascii="宋体" w:hAnsi="宋体"/>
                <w:snapToGrid w:val="0"/>
                <w:color w:val="000000" w:themeColor="text1"/>
                <w:kern w:val="0"/>
                <w:szCs w:val="21"/>
                <w14:textFill>
                  <w14:solidFill>
                    <w14:schemeClr w14:val="tx1"/>
                  </w14:solidFill>
                </w14:textFill>
              </w:rPr>
            </w:pPr>
            <w:r>
              <w:rPr>
                <w:rFonts w:hint="eastAsia" w:ascii="宋体" w:hAnsi="宋体"/>
                <w:snapToGrid w:val="0"/>
                <w:color w:val="000000" w:themeColor="text1"/>
                <w:kern w:val="0"/>
                <w:szCs w:val="21"/>
                <w14:textFill>
                  <w14:solidFill>
                    <w14:schemeClr w14:val="tx1"/>
                  </w14:solidFill>
                </w14:textFill>
              </w:rPr>
              <w:t>露天采区生态修复</w:t>
            </w:r>
          </w:p>
        </w:tc>
        <w:tc>
          <w:tcPr>
            <w:tcW w:w="3210" w:type="dxa"/>
            <w:shd w:val="clear" w:color="auto" w:fill="auto"/>
            <w:vAlign w:val="center"/>
          </w:tcPr>
          <w:p>
            <w:pPr>
              <w:spacing w:line="300" w:lineRule="exact"/>
              <w:jc w:val="center"/>
              <w:rPr>
                <w:rFonts w:ascii="宋体" w:hAnsi="宋体"/>
                <w:color w:val="000000" w:themeColor="text1"/>
                <w:szCs w:val="21"/>
                <w:lang w:bidi="en-US"/>
                <w14:textFill>
                  <w14:solidFill>
                    <w14:schemeClr w14:val="tx1"/>
                  </w14:solidFill>
                </w14:textFill>
              </w:rPr>
            </w:pPr>
            <w:r>
              <w:rPr>
                <w:rFonts w:hint="eastAsia" w:ascii="宋体" w:hAnsi="宋体"/>
                <w:color w:val="000000" w:themeColor="text1"/>
                <w:szCs w:val="21"/>
                <w:lang w:bidi="en-US"/>
                <w14:textFill>
                  <w14:solidFill>
                    <w14:schemeClr w14:val="tx1"/>
                  </w14:solidFill>
                </w14:textFill>
              </w:rPr>
              <w:t>台阶生态修复：针对台阶等平地和缓坡可采用底板耕松、挖高垫低等方法进行场地整治和覆土，在每一级阶梯平台上覆土，在每个平台外侧砌筑挡土墙，根据需要撒播种草以恢复植被。</w:t>
            </w:r>
          </w:p>
          <w:p>
            <w:pPr>
              <w:spacing w:line="300" w:lineRule="exact"/>
              <w:jc w:val="center"/>
              <w:rPr>
                <w:rFonts w:ascii="宋体" w:hAnsi="宋体"/>
                <w:color w:val="000000" w:themeColor="text1"/>
                <w:szCs w:val="21"/>
                <w:lang w:bidi="en-US"/>
                <w14:textFill>
                  <w14:solidFill>
                    <w14:schemeClr w14:val="tx1"/>
                  </w14:solidFill>
                </w14:textFill>
              </w:rPr>
            </w:pPr>
            <w:r>
              <w:rPr>
                <w:rFonts w:hint="eastAsia" w:ascii="宋体" w:hAnsi="宋体"/>
                <w:color w:val="000000" w:themeColor="text1"/>
                <w:szCs w:val="21"/>
                <w:lang w:bidi="en-US"/>
                <w14:textFill>
                  <w14:solidFill>
                    <w14:schemeClr w14:val="tx1"/>
                  </w14:solidFill>
                </w14:textFill>
              </w:rPr>
              <w:t>边坡生态修复：以护坡、边坡覆土绿化为主。护坡措施主要包括修建挡墙、削坡开级、坡面固定和滑坡防治；边坡覆土可采用挖穴填土或阶梯整形等方法，绿化采用植生袋技术和液压喷播技术。</w:t>
            </w:r>
          </w:p>
        </w:tc>
        <w:tc>
          <w:tcPr>
            <w:tcW w:w="3211" w:type="dxa"/>
            <w:shd w:val="clear" w:color="auto" w:fill="auto"/>
            <w:vAlign w:val="center"/>
          </w:tcPr>
          <w:p>
            <w:pPr>
              <w:spacing w:line="300" w:lineRule="exact"/>
              <w:jc w:val="center"/>
              <w:rPr>
                <w:rFonts w:hint="eastAsia" w:ascii="宋体" w:hAnsi="宋体" w:eastAsiaTheme="minorEastAsia"/>
                <w:color w:val="000000" w:themeColor="text1"/>
                <w:szCs w:val="21"/>
                <w:lang w:eastAsia="zh-CN" w:bidi="en-US"/>
                <w14:textFill>
                  <w14:solidFill>
                    <w14:schemeClr w14:val="tx1"/>
                  </w14:solidFill>
                </w14:textFill>
              </w:rPr>
            </w:pPr>
            <w:r>
              <w:rPr>
                <w:rFonts w:hint="eastAsia" w:ascii="宋体" w:hAnsi="宋体"/>
                <w:color w:val="000000" w:themeColor="text1"/>
                <w:szCs w:val="21"/>
                <w:lang w:eastAsia="zh-CN" w:bidi="en-US"/>
                <w14:textFill>
                  <w14:solidFill>
                    <w14:schemeClr w14:val="tx1"/>
                  </w14:solidFill>
                </w14:textFill>
              </w:rPr>
              <w:t>目前仅完成首采平台建设。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4" w:type="dxa"/>
            <w:vMerge w:val="continue"/>
            <w:shd w:val="clear" w:color="auto" w:fill="auto"/>
            <w:vAlign w:val="center"/>
          </w:tcPr>
          <w:p>
            <w:pPr>
              <w:spacing w:line="300" w:lineRule="exact"/>
              <w:jc w:val="center"/>
              <w:rPr>
                <w:rFonts w:ascii="宋体" w:hAnsi="宋体"/>
                <w:color w:val="000000" w:themeColor="text1"/>
                <w:szCs w:val="21"/>
                <w:lang w:bidi="en-US"/>
                <w14:textFill>
                  <w14:solidFill>
                    <w14:schemeClr w14:val="tx1"/>
                  </w14:solidFill>
                </w14:textFill>
              </w:rPr>
            </w:pPr>
          </w:p>
        </w:tc>
        <w:tc>
          <w:tcPr>
            <w:tcW w:w="1131" w:type="dxa"/>
            <w:shd w:val="clear" w:color="auto" w:fill="auto"/>
            <w:vAlign w:val="center"/>
          </w:tcPr>
          <w:p>
            <w:pPr>
              <w:spacing w:line="300" w:lineRule="exact"/>
              <w:jc w:val="center"/>
              <w:rPr>
                <w:rFonts w:ascii="宋体" w:hAnsi="宋体"/>
                <w:color w:val="000000" w:themeColor="text1"/>
                <w:szCs w:val="21"/>
                <w:lang w:bidi="en-US"/>
                <w14:textFill>
                  <w14:solidFill>
                    <w14:schemeClr w14:val="tx1"/>
                  </w14:solidFill>
                </w14:textFill>
              </w:rPr>
            </w:pPr>
            <w:r>
              <w:rPr>
                <w:rFonts w:hint="eastAsia" w:ascii="宋体" w:hAnsi="宋体"/>
                <w:color w:val="000000" w:themeColor="text1"/>
                <w:szCs w:val="21"/>
                <w:lang w:bidi="en-US"/>
                <w14:textFill>
                  <w14:solidFill>
                    <w14:schemeClr w14:val="tx1"/>
                  </w14:solidFill>
                </w14:textFill>
              </w:rPr>
              <w:t>野生动植物保护</w:t>
            </w:r>
          </w:p>
        </w:tc>
        <w:tc>
          <w:tcPr>
            <w:tcW w:w="3210" w:type="dxa"/>
            <w:shd w:val="clear" w:color="auto" w:fill="auto"/>
            <w:vAlign w:val="center"/>
          </w:tcPr>
          <w:p>
            <w:pPr>
              <w:pStyle w:val="76"/>
              <w:snapToGrid/>
              <w:spacing w:line="300" w:lineRule="exact"/>
              <w:ind w:firstLine="0"/>
              <w:jc w:val="center"/>
              <w:rPr>
                <w:rFonts w:ascii="宋体" w:hAnsi="宋体"/>
                <w:snapToGrid w:val="0"/>
                <w:color w:val="000000" w:themeColor="text1"/>
                <w:kern w:val="0"/>
                <w:sz w:val="21"/>
                <w:szCs w:val="21"/>
                <w14:textFill>
                  <w14:solidFill>
                    <w14:schemeClr w14:val="tx1"/>
                  </w14:solidFill>
                </w14:textFill>
              </w:rPr>
            </w:pPr>
            <w:r>
              <w:rPr>
                <w:rFonts w:hint="eastAsia" w:ascii="宋体" w:hAnsi="宋体"/>
                <w:snapToGrid w:val="0"/>
                <w:color w:val="000000" w:themeColor="text1"/>
                <w:kern w:val="0"/>
                <w:sz w:val="21"/>
                <w:szCs w:val="21"/>
                <w14:textFill>
                  <w14:solidFill>
                    <w14:schemeClr w14:val="tx1"/>
                  </w14:solidFill>
                </w14:textFill>
              </w:rPr>
              <w:t>采取一定的避让措施，尽量选择草地和次生灌丛，少占用林地，不会对林地植被分布、森林植物群落结构变化；通过宣传教育、乡土植物或者当地常见的栽培物种；禁止在施工区域内猎捕野生动物。严禁非法猎捕珍稀、濒危动物及对人类有益的野生动物。</w:t>
            </w:r>
          </w:p>
        </w:tc>
        <w:tc>
          <w:tcPr>
            <w:tcW w:w="3211" w:type="dxa"/>
            <w:shd w:val="clear" w:color="auto" w:fill="auto"/>
            <w:vAlign w:val="center"/>
          </w:tcPr>
          <w:p>
            <w:pPr>
              <w:pStyle w:val="76"/>
              <w:snapToGrid/>
              <w:spacing w:line="300" w:lineRule="exact"/>
              <w:ind w:firstLine="0" w:firstLineChars="0"/>
              <w:jc w:val="center"/>
              <w:rPr>
                <w:rFonts w:ascii="宋体" w:hAnsi="宋体"/>
                <w:snapToGrid w:val="0"/>
                <w:color w:val="000000" w:themeColor="text1"/>
                <w:kern w:val="0"/>
                <w:sz w:val="21"/>
                <w:szCs w:val="21"/>
                <w14:textFill>
                  <w14:solidFill>
                    <w14:schemeClr w14:val="tx1"/>
                  </w14:solidFill>
                </w14:textFill>
              </w:rPr>
            </w:pPr>
            <w:r>
              <w:rPr>
                <w:rFonts w:hint="eastAsia" w:ascii="宋体" w:hAnsi="宋体"/>
                <w:snapToGrid w:val="0"/>
                <w:color w:val="000000" w:themeColor="text1"/>
                <w:kern w:val="0"/>
                <w:sz w:val="21"/>
                <w:szCs w:val="21"/>
                <w14:textFill>
                  <w14:solidFill>
                    <w14:schemeClr w14:val="tx1"/>
                  </w14:solidFill>
                </w14:textFill>
              </w:rPr>
              <w:t>采取一定的避让措施，尽量选择草地和次生灌丛，少占用林地，不会对林地植被分布、森林植物群落结构变化；通过宣传教育、乡土植物或者当地常见的栽培物种；禁止在施工区域内猎捕野生动物。严禁非法猎捕珍稀、濒危动物及对人类有益的野生动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4" w:type="dxa"/>
            <w:vMerge w:val="continue"/>
            <w:shd w:val="clear" w:color="auto" w:fill="auto"/>
            <w:vAlign w:val="center"/>
          </w:tcPr>
          <w:p>
            <w:pPr>
              <w:pStyle w:val="76"/>
              <w:snapToGrid/>
              <w:spacing w:line="300" w:lineRule="exact"/>
              <w:ind w:left="480" w:firstLine="0"/>
              <w:rPr>
                <w:rFonts w:ascii="宋体" w:hAnsi="宋体"/>
                <w:snapToGrid w:val="0"/>
                <w:color w:val="000000" w:themeColor="text1"/>
                <w:kern w:val="0"/>
                <w:sz w:val="21"/>
                <w:szCs w:val="21"/>
                <w14:textFill>
                  <w14:solidFill>
                    <w14:schemeClr w14:val="tx1"/>
                  </w14:solidFill>
                </w14:textFill>
              </w:rPr>
            </w:pPr>
          </w:p>
        </w:tc>
        <w:tc>
          <w:tcPr>
            <w:tcW w:w="1131" w:type="dxa"/>
            <w:shd w:val="clear" w:color="auto" w:fill="auto"/>
            <w:vAlign w:val="center"/>
          </w:tcPr>
          <w:p>
            <w:pPr>
              <w:spacing w:line="300" w:lineRule="exact"/>
              <w:jc w:val="center"/>
              <w:rPr>
                <w:rFonts w:ascii="宋体" w:hAnsi="宋体"/>
                <w:color w:val="000000" w:themeColor="text1"/>
                <w:szCs w:val="21"/>
                <w:lang w:bidi="en-US"/>
                <w14:textFill>
                  <w14:solidFill>
                    <w14:schemeClr w14:val="tx1"/>
                  </w14:solidFill>
                </w14:textFill>
              </w:rPr>
            </w:pPr>
            <w:r>
              <w:rPr>
                <w:rFonts w:hint="eastAsia" w:ascii="宋体" w:hAnsi="宋体"/>
                <w:color w:val="000000" w:themeColor="text1"/>
                <w:szCs w:val="21"/>
                <w:lang w:bidi="en-US"/>
                <w14:textFill>
                  <w14:solidFill>
                    <w14:schemeClr w14:val="tx1"/>
                  </w14:solidFill>
                </w14:textFill>
              </w:rPr>
              <w:t>生物多样性监测</w:t>
            </w:r>
          </w:p>
        </w:tc>
        <w:tc>
          <w:tcPr>
            <w:tcW w:w="3210" w:type="dxa"/>
            <w:shd w:val="clear" w:color="auto" w:fill="auto"/>
            <w:vAlign w:val="center"/>
          </w:tcPr>
          <w:p>
            <w:pPr>
              <w:pStyle w:val="76"/>
              <w:snapToGrid/>
              <w:spacing w:line="300" w:lineRule="exact"/>
              <w:ind w:firstLine="0"/>
              <w:jc w:val="center"/>
              <w:rPr>
                <w:rFonts w:ascii="宋体" w:hAnsi="宋体"/>
                <w:snapToGrid w:val="0"/>
                <w:color w:val="000000" w:themeColor="text1"/>
                <w:kern w:val="0"/>
                <w:sz w:val="21"/>
                <w:szCs w:val="21"/>
                <w14:textFill>
                  <w14:solidFill>
                    <w14:schemeClr w14:val="tx1"/>
                  </w14:solidFill>
                </w14:textFill>
              </w:rPr>
            </w:pPr>
            <w:r>
              <w:rPr>
                <w:rFonts w:hint="eastAsia" w:ascii="宋体" w:hAnsi="宋体"/>
                <w:snapToGrid w:val="0"/>
                <w:color w:val="000000" w:themeColor="text1"/>
                <w:kern w:val="0"/>
                <w:sz w:val="21"/>
                <w:szCs w:val="21"/>
                <w14:textFill>
                  <w14:solidFill>
                    <w14:schemeClr w14:val="tx1"/>
                  </w14:solidFill>
                </w14:textFill>
              </w:rPr>
              <w:t>分别在采矿区、选场区域、尾矿库、公路沿线、闭矿尾矿库周边设置5个样地。根据监测变化状况制定和适时调整生态保护措施。重点对陆生生态修复效果、生物多样性变化等进行监测，并就此提出改进和补救措施。</w:t>
            </w:r>
          </w:p>
        </w:tc>
        <w:tc>
          <w:tcPr>
            <w:tcW w:w="3211" w:type="dxa"/>
            <w:shd w:val="clear" w:color="auto" w:fill="auto"/>
            <w:vAlign w:val="center"/>
          </w:tcPr>
          <w:p>
            <w:pPr>
              <w:pStyle w:val="76"/>
              <w:snapToGrid/>
              <w:spacing w:line="300" w:lineRule="exact"/>
              <w:ind w:firstLine="0" w:firstLineChars="0"/>
              <w:jc w:val="center"/>
              <w:rPr>
                <w:rFonts w:ascii="宋体" w:hAnsi="宋体"/>
                <w:snapToGrid w:val="0"/>
                <w:color w:val="000000" w:themeColor="text1"/>
                <w:kern w:val="0"/>
                <w:sz w:val="21"/>
                <w:szCs w:val="21"/>
                <w14:textFill>
                  <w14:solidFill>
                    <w14:schemeClr w14:val="tx1"/>
                  </w14:solidFill>
                </w14:textFill>
              </w:rPr>
            </w:pPr>
            <w:r>
              <w:rPr>
                <w:rFonts w:hint="eastAsia" w:ascii="宋体" w:hAnsi="宋体"/>
                <w:snapToGrid w:val="0"/>
                <w:color w:val="000000" w:themeColor="text1"/>
                <w:kern w:val="0"/>
                <w:sz w:val="21"/>
                <w:szCs w:val="21"/>
                <w14:textFill>
                  <w14:solidFill>
                    <w14:schemeClr w14:val="tx1"/>
                  </w14:solidFill>
                </w14:textFill>
              </w:rPr>
              <w:t>在采矿区周边设置</w:t>
            </w:r>
            <w:r>
              <w:rPr>
                <w:rFonts w:hint="eastAsia" w:ascii="宋体" w:hAnsi="宋体"/>
                <w:snapToGrid w:val="0"/>
                <w:color w:val="000000" w:themeColor="text1"/>
                <w:kern w:val="0"/>
                <w:sz w:val="21"/>
                <w:szCs w:val="21"/>
                <w:lang w:val="en-US" w:eastAsia="zh-CN"/>
                <w14:textFill>
                  <w14:solidFill>
                    <w14:schemeClr w14:val="tx1"/>
                  </w14:solidFill>
                </w14:textFill>
              </w:rPr>
              <w:t>1</w:t>
            </w:r>
            <w:r>
              <w:rPr>
                <w:rFonts w:hint="eastAsia" w:ascii="宋体" w:hAnsi="宋体"/>
                <w:snapToGrid w:val="0"/>
                <w:color w:val="000000" w:themeColor="text1"/>
                <w:kern w:val="0"/>
                <w:sz w:val="21"/>
                <w:szCs w:val="21"/>
                <w14:textFill>
                  <w14:solidFill>
                    <w14:schemeClr w14:val="tx1"/>
                  </w14:solidFill>
                </w14:textFill>
              </w:rPr>
              <w:t>个样地。根据监测变化状况制定和适时调整生态保护措施。重点对陆生生态修复效果、生物多样性变化等进行监测，并就此提出改进和补救措施。</w:t>
            </w:r>
          </w:p>
        </w:tc>
      </w:tr>
    </w:tbl>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.3</w:t>
      </w:r>
      <w:r>
        <w:rPr>
          <w:color w:val="000000" w:themeColor="text1"/>
          <w14:textFill>
            <w14:solidFill>
              <w14:schemeClr w14:val="tx1"/>
            </w14:solidFill>
          </w14:textFill>
        </w:rPr>
        <w:t>环境风险防控措施</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项目编制了《金川奥伊诺矿业有限公司业隆沟锂辉石矿采选尾工程突发环境事件应急预案》并</w:t>
      </w:r>
      <w:r>
        <w:rPr>
          <w:rFonts w:ascii="Times New Roman" w:hAnsi="Times New Roman" w:cs="Times New Roman"/>
          <w:color w:val="000000" w:themeColor="text1"/>
          <w:sz w:val="24"/>
          <w:szCs w:val="24"/>
          <w14:textFill>
            <w14:solidFill>
              <w14:schemeClr w14:val="tx1"/>
            </w14:solidFill>
          </w14:textFill>
        </w:rPr>
        <w:t>完成备案工作</w:t>
      </w:r>
      <w:r>
        <w:rPr>
          <w:rFonts w:hint="eastAsia" w:ascii="Times New Roman" w:hAnsi="Times New Roman" w:cs="Times New Roman"/>
          <w:color w:val="000000" w:themeColor="text1"/>
          <w:sz w:val="24"/>
          <w:szCs w:val="24"/>
          <w14:textFill>
            <w14:solidFill>
              <w14:schemeClr w14:val="tx1"/>
            </w14:solidFill>
          </w14:textFill>
        </w:rPr>
        <w:t>。根据本次验收过程中收集的相关资料，本项目在建设过程中，落实了对环境风险防范的措施，在施工过程中严格控制环境风险因素，在调查过程中，未搜集到因项目的建设造成的环境风险事故的档案记录。环境风险防范措施实施情况见下表：</w:t>
      </w:r>
    </w:p>
    <w:p>
      <w:pPr>
        <w:adjustRightInd w:val="0"/>
        <w:snapToGrid w:val="0"/>
        <w:spacing w:before="120" w:line="300" w:lineRule="auto"/>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表4.1-7  环境风险防范措施实施情况一览表</w:t>
      </w:r>
    </w:p>
    <w:tbl>
      <w:tblPr>
        <w:tblStyle w:val="28"/>
        <w:tblW w:w="8172"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993"/>
        <w:gridCol w:w="717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59" w:hRule="atLeast"/>
          <w:jc w:val="center"/>
        </w:trPr>
        <w:tc>
          <w:tcPr>
            <w:tcW w:w="993" w:type="dxa"/>
            <w:vAlign w:val="center"/>
          </w:tcPr>
          <w:p>
            <w:pPr>
              <w:spacing w:line="300" w:lineRule="exact"/>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项目</w:t>
            </w:r>
          </w:p>
        </w:tc>
        <w:tc>
          <w:tcPr>
            <w:tcW w:w="7179" w:type="dxa"/>
            <w:vAlign w:val="center"/>
          </w:tcPr>
          <w:p>
            <w:pPr>
              <w:spacing w:line="300" w:lineRule="exact"/>
              <w:jc w:val="center"/>
              <w:rPr>
                <w:rFonts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实施措施</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62" w:hRule="atLeast"/>
          <w:jc w:val="center"/>
        </w:trPr>
        <w:tc>
          <w:tcPr>
            <w:tcW w:w="993" w:type="dxa"/>
            <w:vMerge w:val="restart"/>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施工期</w:t>
            </w:r>
          </w:p>
        </w:tc>
        <w:tc>
          <w:tcPr>
            <w:tcW w:w="7179" w:type="dxa"/>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施工期运送油料的运输车辆采用密闭性能优越的储油罐；与居民点和生活区保持足够的安全距离。</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0" w:hRule="atLeast"/>
          <w:jc w:val="center"/>
        </w:trPr>
        <w:tc>
          <w:tcPr>
            <w:tcW w:w="993" w:type="dxa"/>
            <w:vMerge w:val="continue"/>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p>
        </w:tc>
        <w:tc>
          <w:tcPr>
            <w:tcW w:w="7179" w:type="dxa"/>
            <w:vAlign w:val="center"/>
          </w:tcPr>
          <w:p>
            <w:pPr>
              <w:spacing w:line="30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施工期在施工区内建立防火及火灾警报系统，除此之外，还</w:t>
            </w:r>
            <w:r>
              <w:rPr>
                <w:rFonts w:hint="eastAsia" w:ascii="Times New Roman" w:hAnsi="Times New Roman" w:cs="Times New Roman"/>
                <w:color w:val="000000" w:themeColor="text1"/>
                <w14:textFill>
                  <w14:solidFill>
                    <w14:schemeClr w14:val="tx1"/>
                  </w14:solidFill>
                </w14:textFill>
              </w:rPr>
              <w:t>要求施工单对</w:t>
            </w:r>
            <w:r>
              <w:rPr>
                <w:rFonts w:ascii="Times New Roman" w:hAnsi="Times New Roman" w:cs="Times New Roman"/>
                <w:color w:val="000000" w:themeColor="text1"/>
                <w14:textFill>
                  <w14:solidFill>
                    <w14:schemeClr w14:val="tx1"/>
                  </w14:solidFill>
                </w14:textFill>
              </w:rPr>
              <w:t>吸烟和生活用火等火源进行严格管理，对施工人员进行防火宣传教育，并严格规范和限制施工人员的野外活动，确保了区域森林资源安全。河流水质污染风险：加强危险路段及交叉路口的交通管制，增设交通标志牌。</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16" w:hRule="atLeast"/>
          <w:jc w:val="center"/>
        </w:trPr>
        <w:tc>
          <w:tcPr>
            <w:tcW w:w="993" w:type="dxa"/>
            <w:vMerge w:val="restart"/>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调试</w:t>
            </w:r>
            <w:r>
              <w:rPr>
                <w:rFonts w:ascii="Times New Roman" w:hAnsi="Times New Roman" w:cs="Times New Roman"/>
                <w:color w:val="000000" w:themeColor="text1"/>
                <w:szCs w:val="21"/>
                <w14:textFill>
                  <w14:solidFill>
                    <w14:schemeClr w14:val="tx1"/>
                  </w14:solidFill>
                </w14:textFill>
              </w:rPr>
              <w:t>期</w:t>
            </w:r>
          </w:p>
        </w:tc>
        <w:tc>
          <w:tcPr>
            <w:tcW w:w="7179" w:type="dxa"/>
            <w:vAlign w:val="center"/>
          </w:tcPr>
          <w:p>
            <w:pPr>
              <w:spacing w:line="300" w:lineRule="exac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本工程在植被采取相应恢复措施时，均选择本区域原有并适生树种及草种，</w:t>
            </w:r>
            <w:r>
              <w:rPr>
                <w:rFonts w:hint="eastAsia" w:ascii="Times New Roman" w:hAnsi="Times New Roman" w:cs="Times New Roman"/>
                <w:color w:val="000000" w:themeColor="text1"/>
                <w14:textFill>
                  <w14:solidFill>
                    <w14:schemeClr w14:val="tx1"/>
                  </w14:solidFill>
                </w14:textFill>
              </w:rPr>
              <w:t>未造成</w:t>
            </w:r>
            <w:r>
              <w:rPr>
                <w:rFonts w:ascii="Times New Roman" w:hAnsi="Times New Roman" w:cs="Times New Roman"/>
                <w:color w:val="000000" w:themeColor="text1"/>
                <w14:textFill>
                  <w14:solidFill>
                    <w14:schemeClr w14:val="tx1"/>
                  </w14:solidFill>
                </w14:textFill>
              </w:rPr>
              <w:t>当地物种演变及外来生物入侵。</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0" w:hRule="atLeast"/>
          <w:jc w:val="center"/>
        </w:trPr>
        <w:tc>
          <w:tcPr>
            <w:tcW w:w="993" w:type="dxa"/>
            <w:vMerge w:val="continue"/>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p>
        </w:tc>
        <w:tc>
          <w:tcPr>
            <w:tcW w:w="7179" w:type="dxa"/>
            <w:vAlign w:val="center"/>
          </w:tcPr>
          <w:p>
            <w:pPr>
              <w:spacing w:line="300" w:lineRule="exact"/>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项目编制完成了应急预案。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0" w:hRule="atLeast"/>
          <w:jc w:val="center"/>
        </w:trPr>
        <w:tc>
          <w:tcPr>
            <w:tcW w:w="993" w:type="dxa"/>
            <w:vMerge w:val="continue"/>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p>
        </w:tc>
        <w:tc>
          <w:tcPr>
            <w:tcW w:w="7179" w:type="dxa"/>
            <w:vAlign w:val="center"/>
          </w:tcPr>
          <w:p>
            <w:pPr>
              <w:numPr>
                <w:ilvl w:val="0"/>
                <w:numId w:val="2"/>
              </w:numPr>
              <w:spacing w:line="300" w:lineRule="exact"/>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废石场区域范围内，加强管理，禁止乱垦滥伐，保护植被，对自然山体采取稳坡措施。在废石场排弃时，应周密规划设计，避免因废土石排弃而发生塌坝、滑坡等现象，确保自然山坡和排土边坡的稳定。</w:t>
            </w:r>
          </w:p>
          <w:p>
            <w:pPr>
              <w:numPr>
                <w:ilvl w:val="0"/>
                <w:numId w:val="2"/>
              </w:numPr>
              <w:spacing w:line="300" w:lineRule="exact"/>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对于已形成的废石场坡面上及时采取相应的生物措施，一般采用种植乔、灌、草等植物，使流域形成一种多结构的地面保护层，充分发挥其阻滞降水，保持水土，调节径流等功能，从而达到预防和防止泥石流发生或减少泥石流规模，减轻其危害程度的目的。</w:t>
            </w:r>
          </w:p>
          <w:p>
            <w:pPr>
              <w:numPr>
                <w:ilvl w:val="0"/>
                <w:numId w:val="2"/>
              </w:numPr>
              <w:spacing w:line="300" w:lineRule="exact"/>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当坡面的生物措施又不能达到稳定堆体的作用时，必须采取相应的工程措施，如防、拦、排等类型的工程设计。</w:t>
            </w:r>
          </w:p>
        </w:tc>
      </w:tr>
    </w:tbl>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4</w:t>
      </w:r>
      <w:r>
        <w:rPr>
          <w:color w:val="000000" w:themeColor="text1"/>
          <w14:textFill>
            <w14:solidFill>
              <w14:schemeClr w14:val="tx1"/>
            </w14:solidFill>
          </w14:textFill>
        </w:rPr>
        <w:t xml:space="preserve"> 环境保护措施落实</w:t>
      </w:r>
      <w:r>
        <w:rPr>
          <w:rFonts w:hint="eastAsia"/>
          <w:color w:val="000000" w:themeColor="text1"/>
          <w14:textFill>
            <w14:solidFill>
              <w14:schemeClr w14:val="tx1"/>
            </w14:solidFill>
          </w14:textFill>
        </w:rPr>
        <w:t>结论</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根据调查结果，本项目在施工期和调试期间基本落实了环评报告书提出的各项环境保护措施，有效缓解或降低了工程建设产生的环境影响。</w:t>
      </w:r>
    </w:p>
    <w:p>
      <w:pPr>
        <w:pStyle w:val="3"/>
        <w:rPr>
          <w:color w:val="000000" w:themeColor="text1"/>
          <w14:textFill>
            <w14:solidFill>
              <w14:schemeClr w14:val="tx1"/>
            </w14:solidFill>
          </w14:textFill>
        </w:rPr>
      </w:pPr>
      <w:bookmarkStart w:id="21" w:name="_Toc62202385"/>
      <w:r>
        <w:rPr>
          <w:rFonts w:hint="eastAsia"/>
          <w:color w:val="000000" w:themeColor="text1"/>
          <w14:textFill>
            <w14:solidFill>
              <w14:schemeClr w14:val="tx1"/>
            </w14:solidFill>
          </w14:textFill>
        </w:rPr>
        <w:t>4</w:t>
      </w:r>
      <w:r>
        <w:rPr>
          <w:color w:val="000000" w:themeColor="text1"/>
          <w14:textFill>
            <w14:solidFill>
              <w14:schemeClr w14:val="tx1"/>
            </w14:solidFill>
          </w14:textFill>
        </w:rPr>
        <w:t>.2 环境影响评价批复要求落实情况</w:t>
      </w:r>
      <w:bookmarkEnd w:id="21"/>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本项目环境影响评价报告批复文件</w:t>
      </w:r>
      <w:r>
        <w:rPr>
          <w:rFonts w:ascii="Times New Roman" w:hAnsi="Times New Roman" w:cs="Times New Roman"/>
          <w:color w:val="000000" w:themeColor="text1"/>
          <w:sz w:val="24"/>
          <w:szCs w:val="24"/>
          <w14:textFill>
            <w14:solidFill>
              <w14:schemeClr w14:val="tx1"/>
            </w14:solidFill>
          </w14:textFill>
        </w:rPr>
        <w:t>中</w:t>
      </w:r>
      <w:r>
        <w:rPr>
          <w:rFonts w:hint="eastAsia" w:ascii="Times New Roman" w:hAnsi="Times New Roman" w:cs="Times New Roman"/>
          <w:color w:val="000000" w:themeColor="text1"/>
          <w:sz w:val="24"/>
          <w:szCs w:val="24"/>
          <w14:textFill>
            <w14:solidFill>
              <w14:schemeClr w14:val="tx1"/>
            </w14:solidFill>
          </w14:textFill>
        </w:rPr>
        <w:t>提出的设计、施工、运营阶段针对生态影响和污染影响的环境保护措施落实情况见下表。</w:t>
      </w:r>
    </w:p>
    <w:p>
      <w:pPr>
        <w:spacing w:line="300" w:lineRule="auto"/>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表4.2-1  环评批复要求落实情况一览表</w:t>
      </w:r>
    </w:p>
    <w:tbl>
      <w:tblPr>
        <w:tblStyle w:val="28"/>
        <w:tblW w:w="830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666"/>
        <w:gridCol w:w="1836"/>
        <w:gridCol w:w="80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666" w:type="dxa"/>
            <w:shd w:val="clear" w:color="auto" w:fill="auto"/>
            <w:tcMar>
              <w:left w:w="28" w:type="dxa"/>
              <w:right w:w="28" w:type="dxa"/>
            </w:tcMar>
            <w:vAlign w:val="center"/>
          </w:tcPr>
          <w:p>
            <w:pPr>
              <w:autoSpaceDE w:val="0"/>
              <w:autoSpaceDN w:val="0"/>
              <w:adjustRightInd w:val="0"/>
              <w:jc w:val="center"/>
              <w:textAlignment w:val="baseline"/>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环评批复要求</w:t>
            </w:r>
          </w:p>
        </w:tc>
        <w:tc>
          <w:tcPr>
            <w:tcW w:w="1836" w:type="dxa"/>
            <w:shd w:val="clear" w:color="auto" w:fill="auto"/>
            <w:tcMar>
              <w:left w:w="28" w:type="dxa"/>
              <w:right w:w="28" w:type="dxa"/>
            </w:tcMar>
            <w:vAlign w:val="center"/>
          </w:tcPr>
          <w:p>
            <w:pPr>
              <w:autoSpaceDE w:val="0"/>
              <w:autoSpaceDN w:val="0"/>
              <w:adjustRightInd w:val="0"/>
              <w:jc w:val="center"/>
              <w:textAlignment w:val="baseline"/>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实际落实情况</w:t>
            </w:r>
          </w:p>
        </w:tc>
        <w:tc>
          <w:tcPr>
            <w:tcW w:w="804" w:type="dxa"/>
            <w:shd w:val="clear" w:color="auto" w:fill="auto"/>
            <w:tcMar>
              <w:left w:w="28" w:type="dxa"/>
              <w:right w:w="28" w:type="dxa"/>
            </w:tcMar>
            <w:vAlign w:val="center"/>
          </w:tcPr>
          <w:p>
            <w:pPr>
              <w:autoSpaceDE w:val="0"/>
              <w:autoSpaceDN w:val="0"/>
              <w:adjustRightInd w:val="0"/>
              <w:jc w:val="center"/>
              <w:textAlignment w:val="baseline"/>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差异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666" w:type="dxa"/>
            <w:shd w:val="clear" w:color="auto" w:fill="auto"/>
            <w:tcMar>
              <w:left w:w="28" w:type="dxa"/>
              <w:right w:w="28" w:type="dxa"/>
            </w:tcMar>
            <w:vAlign w:val="center"/>
          </w:tcPr>
          <w:p>
            <w:pPr>
              <w:autoSpaceDE w:val="0"/>
              <w:autoSpaceDN w:val="0"/>
              <w:adjustRightInd w:val="0"/>
              <w:textAlignment w:val="baseline"/>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一）严格按照《矿山生态环境保护与污染防治技术政策》（环发〔2005〕109号）要求，加强建设期和生产期环境保护工作，优化开采工艺设计及设备选型，落实环保投资及各项污染防治设施建设，明确单位内部环境管理机构、人员；认真履行环境保护“三同时”制度，结合区域高海拔的气候特点，加强各类设施的保温措施、运行维护管理，确保各项设施稳定运行及污染物稳定达标排放；强化环境管理，杜绝事故污染，确保环境安全。</w:t>
            </w:r>
          </w:p>
        </w:tc>
        <w:tc>
          <w:tcPr>
            <w:tcW w:w="1836" w:type="dxa"/>
            <w:shd w:val="clear" w:color="auto" w:fill="auto"/>
            <w:tcMar>
              <w:left w:w="28" w:type="dxa"/>
              <w:right w:w="28" w:type="dxa"/>
            </w:tcMar>
            <w:vAlign w:val="center"/>
          </w:tcPr>
          <w:p>
            <w:pPr>
              <w:autoSpaceDE w:val="0"/>
              <w:autoSpaceDN w:val="0"/>
              <w:adjustRightInd w:val="0"/>
              <w:jc w:val="center"/>
              <w:textAlignment w:val="baseline"/>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本阶段验收区域环保措施已经全部建设完成，现场调查期间，各项环保措施运行正常。</w:t>
            </w:r>
          </w:p>
        </w:tc>
        <w:tc>
          <w:tcPr>
            <w:tcW w:w="804" w:type="dxa"/>
            <w:shd w:val="clear" w:color="auto" w:fill="auto"/>
            <w:tcMar>
              <w:left w:w="28" w:type="dxa"/>
              <w:right w:w="28" w:type="dxa"/>
            </w:tcMar>
            <w:vAlign w:val="center"/>
          </w:tcPr>
          <w:p>
            <w:pPr>
              <w:autoSpaceDE w:val="0"/>
              <w:autoSpaceDN w:val="0"/>
              <w:adjustRightInd w:val="0"/>
              <w:jc w:val="center"/>
              <w:textAlignment w:val="baseline"/>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无差异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666" w:type="dxa"/>
            <w:shd w:val="clear" w:color="auto" w:fill="auto"/>
            <w:tcMar>
              <w:left w:w="28" w:type="dxa"/>
              <w:right w:w="28" w:type="dxa"/>
            </w:tcMar>
            <w:vAlign w:val="center"/>
          </w:tcPr>
          <w:p>
            <w:pPr>
              <w:autoSpaceDE w:val="0"/>
              <w:autoSpaceDN w:val="0"/>
              <w:adjustRightInd w:val="0"/>
              <w:textAlignment w:val="baseline"/>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（二）落实建设期污染防治措施和生态保护措施，合理布置施工场地，施工活动应控制在征地范围内，严格控制施工临时占地，做好施工弃渣、废石的处置和综合利用，落实水土保持措施，减少新增水土流失。</w:t>
            </w:r>
          </w:p>
        </w:tc>
        <w:tc>
          <w:tcPr>
            <w:tcW w:w="1836" w:type="dxa"/>
            <w:shd w:val="clear" w:color="auto" w:fill="auto"/>
            <w:tcMar>
              <w:left w:w="28" w:type="dxa"/>
              <w:right w:w="28" w:type="dxa"/>
            </w:tcMar>
            <w:vAlign w:val="center"/>
          </w:tcPr>
          <w:p>
            <w:pPr>
              <w:autoSpaceDE w:val="0"/>
              <w:autoSpaceDN w:val="0"/>
              <w:adjustRightInd w:val="0"/>
              <w:jc w:val="center"/>
              <w:textAlignment w:val="baseline"/>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本阶段验收区域施工均在用地红线范围内。</w:t>
            </w:r>
          </w:p>
        </w:tc>
        <w:tc>
          <w:tcPr>
            <w:tcW w:w="804" w:type="dxa"/>
            <w:shd w:val="clear" w:color="auto" w:fill="auto"/>
            <w:tcMar>
              <w:left w:w="28" w:type="dxa"/>
              <w:right w:w="28" w:type="dxa"/>
            </w:tcMar>
            <w:vAlign w:val="center"/>
          </w:tcPr>
          <w:p>
            <w:pPr>
              <w:autoSpaceDE w:val="0"/>
              <w:autoSpaceDN w:val="0"/>
              <w:adjustRightInd w:val="0"/>
              <w:jc w:val="center"/>
              <w:textAlignment w:val="baseline"/>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无差异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666" w:type="dxa"/>
            <w:shd w:val="clear" w:color="auto" w:fill="auto"/>
            <w:tcMar>
              <w:left w:w="28" w:type="dxa"/>
              <w:right w:w="28" w:type="dxa"/>
            </w:tcMar>
          </w:tcPr>
          <w:p>
            <w:pP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三）落实并优化报告书提出的大气污染防治措施，生产过程中要加强管理，规范操作，确保废气达标排放。采场采用湿法作业，采掘、转运及装卸点均设置喷雾降尘装置；通过封闭运输、洒水降尘等措施，控制和减少运输、装卸及堆存过程中扬尘对周围环境的影响。</w:t>
            </w:r>
          </w:p>
          <w:p>
            <w:pP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按报告书要求在露天采区、露天矿基建废石场、露天矿生产废石场、坑采基建废石场、3920m坑口工业场地临时堆矿场地、选厂原矿堆场（含卸矿平台）、选厂粗碎室、中/细碎室、筛分车间、尾矿库边界外分别设置50m卫生防护距离，控制和减小无组织排放粉尘对周围环境的不利影响，该范围内现无人居分布，今后在卫生防护距离范围内不得建设学校、医院、居住区等敏感建筑。</w:t>
            </w:r>
          </w:p>
        </w:tc>
        <w:tc>
          <w:tcPr>
            <w:tcW w:w="1836" w:type="dxa"/>
            <w:shd w:val="clear" w:color="auto" w:fill="auto"/>
            <w:tcMar>
              <w:left w:w="28" w:type="dxa"/>
              <w:right w:w="28" w:type="dxa"/>
            </w:tcMar>
            <w:vAlign w:val="center"/>
          </w:tcPr>
          <w:p>
            <w:pP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在露天采区、露天矿基建废石场、露天矿生产废石场边界外分别设置50m卫生防护距离，该范围内未建设学校、医院、居住区等敏感建筑。</w:t>
            </w:r>
          </w:p>
          <w:p>
            <w:pPr>
              <w:autoSpaceDE w:val="0"/>
              <w:autoSpaceDN w:val="0"/>
              <w:adjustRightInd w:val="0"/>
              <w:jc w:val="center"/>
              <w:textAlignment w:val="baseline"/>
              <w:rPr>
                <w:rFonts w:ascii="Times New Roman" w:hAnsi="Times New Roman" w:cs="Times New Roman"/>
                <w:color w:val="000000" w:themeColor="text1"/>
                <w:szCs w:val="21"/>
                <w14:textFill>
                  <w14:solidFill>
                    <w14:schemeClr w14:val="tx1"/>
                  </w14:solidFill>
                </w14:textFill>
              </w:rPr>
            </w:pPr>
          </w:p>
        </w:tc>
        <w:tc>
          <w:tcPr>
            <w:tcW w:w="804" w:type="dxa"/>
            <w:shd w:val="clear" w:color="auto" w:fill="auto"/>
            <w:tcMar>
              <w:left w:w="28" w:type="dxa"/>
              <w:right w:w="28" w:type="dxa"/>
            </w:tcMar>
            <w:vAlign w:val="center"/>
          </w:tcPr>
          <w:p>
            <w:pPr>
              <w:autoSpaceDE w:val="0"/>
              <w:autoSpaceDN w:val="0"/>
              <w:adjustRightInd w:val="0"/>
              <w:jc w:val="center"/>
              <w:textAlignment w:val="baseline"/>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无差异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666" w:type="dxa"/>
            <w:shd w:val="clear" w:color="auto" w:fill="auto"/>
            <w:tcMar>
              <w:left w:w="28" w:type="dxa"/>
              <w:right w:w="28" w:type="dxa"/>
            </w:tcMar>
          </w:tcPr>
          <w:p>
            <w:pP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四）落实并优化各类废污水处理措施。完善采场“清污分流”,落实矿坑水收集、处理和回用措施，确保有效回用，不外排。露天采场（一采区）涌水、地下采场矿井涌水、充填渗水、废石场淋溶废水等经沉淀处理后回用于湿法作业及洒水降尘、选矿生产等；机修废水经隔油池处理后回用于选矿生产；</w:t>
            </w:r>
          </w:p>
          <w:p>
            <w:pPr>
              <w:rPr>
                <w:rFonts w:ascii="Times New Roman" w:hAnsi="Times New Roman" w:cs="Times New Roman"/>
                <w:color w:val="000000" w:themeColor="text1"/>
                <w:szCs w:val="21"/>
                <w14:textFill>
                  <w14:solidFill>
                    <w14:schemeClr w14:val="tx1"/>
                  </w14:solidFill>
                </w14:textFill>
              </w:rPr>
            </w:pPr>
          </w:p>
        </w:tc>
        <w:tc>
          <w:tcPr>
            <w:tcW w:w="1836" w:type="dxa"/>
            <w:shd w:val="clear" w:color="auto" w:fill="auto"/>
            <w:tcMar>
              <w:left w:w="28" w:type="dxa"/>
              <w:right w:w="28" w:type="dxa"/>
            </w:tcMar>
            <w:vAlign w:val="center"/>
          </w:tcPr>
          <w:p>
            <w:pPr>
              <w:autoSpaceDE w:val="0"/>
              <w:autoSpaceDN w:val="0"/>
              <w:adjustRightInd w:val="0"/>
              <w:jc w:val="center"/>
              <w:textAlignment w:val="baseline"/>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露天采场（一采区）涌水、废石场淋溶废水等经沉淀处理后回用于湿法作业及洒水降尘、选矿生产等；项目建设有生活污水处理设施。</w:t>
            </w:r>
          </w:p>
        </w:tc>
        <w:tc>
          <w:tcPr>
            <w:tcW w:w="804" w:type="dxa"/>
            <w:shd w:val="clear" w:color="auto" w:fill="auto"/>
            <w:tcMar>
              <w:left w:w="28" w:type="dxa"/>
              <w:right w:w="28" w:type="dxa"/>
            </w:tcMar>
            <w:vAlign w:val="center"/>
          </w:tcPr>
          <w:p>
            <w:pPr>
              <w:autoSpaceDE w:val="0"/>
              <w:autoSpaceDN w:val="0"/>
              <w:adjustRightInd w:val="0"/>
              <w:jc w:val="center"/>
              <w:textAlignment w:val="baseline"/>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无差异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666" w:type="dxa"/>
            <w:shd w:val="clear" w:color="auto" w:fill="auto"/>
            <w:tcMar>
              <w:left w:w="28" w:type="dxa"/>
              <w:right w:w="28" w:type="dxa"/>
            </w:tcMar>
          </w:tcPr>
          <w:p>
            <w:pP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五）落实地下水污染防治措施。按照相关要求，对尾矿库、磨矿车间、浮选车间等区域落实分区防渗措施，防止地下水环境污染。并在地下采场、尾矿库、废石场、选矿厂、油品存放点等区域设置监测井，对工程运行后地下水环境进行跟踪监测。</w:t>
            </w:r>
          </w:p>
        </w:tc>
        <w:tc>
          <w:tcPr>
            <w:tcW w:w="1836" w:type="dxa"/>
            <w:shd w:val="clear" w:color="auto" w:fill="auto"/>
            <w:tcMar>
              <w:left w:w="28" w:type="dxa"/>
              <w:right w:w="28" w:type="dxa"/>
            </w:tcMar>
            <w:vAlign w:val="center"/>
          </w:tcPr>
          <w:p>
            <w:pPr>
              <w:autoSpaceDE w:val="0"/>
              <w:autoSpaceDN w:val="0"/>
              <w:adjustRightInd w:val="0"/>
              <w:jc w:val="center"/>
              <w:textAlignment w:val="baseline"/>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在露采配套废石场设置</w:t>
            </w:r>
            <w:r>
              <w:rPr>
                <w:rFonts w:hint="eastAsia" w:ascii="Times New Roman" w:hAnsi="Times New Roman" w:cs="Times New Roman"/>
                <w:color w:val="000000" w:themeColor="text1"/>
                <w:szCs w:val="21"/>
                <w:lang w:val="en-US" w:eastAsia="zh-CN"/>
                <w14:textFill>
                  <w14:solidFill>
                    <w14:schemeClr w14:val="tx1"/>
                  </w14:solidFill>
                </w14:textFill>
              </w:rPr>
              <w:t>2处监测井开展地下水环境跟踪监测。</w:t>
            </w:r>
          </w:p>
        </w:tc>
        <w:tc>
          <w:tcPr>
            <w:tcW w:w="804" w:type="dxa"/>
            <w:shd w:val="clear" w:color="auto" w:fill="auto"/>
            <w:tcMar>
              <w:left w:w="28" w:type="dxa"/>
              <w:right w:w="28" w:type="dxa"/>
            </w:tcMar>
            <w:vAlign w:val="center"/>
          </w:tcPr>
          <w:p>
            <w:pPr>
              <w:autoSpaceDE w:val="0"/>
              <w:autoSpaceDN w:val="0"/>
              <w:adjustRightInd w:val="0"/>
              <w:jc w:val="center"/>
              <w:textAlignment w:val="baseline"/>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无差异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666" w:type="dxa"/>
            <w:shd w:val="clear" w:color="auto" w:fill="auto"/>
            <w:tcMar>
              <w:left w:w="28" w:type="dxa"/>
              <w:right w:w="28" w:type="dxa"/>
            </w:tcMar>
          </w:tcPr>
          <w:p>
            <w:pP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六）落实噪声污染防治措施。项目噪声主要为采选机械设备噪声及爆破、运输噪声等，通过选用低噪声设备，采取减振、隔声、消声等措施，确保厂界噪声达标排放。结合生态环境特点（尤其是野生动物分布及生活习性等情况），优化爆破作业方式、时间，合理安排厂区高噪声源位置，控制和减少对生态的影响。</w:t>
            </w:r>
          </w:p>
        </w:tc>
        <w:tc>
          <w:tcPr>
            <w:tcW w:w="1836" w:type="dxa"/>
            <w:shd w:val="clear" w:color="auto" w:fill="auto"/>
            <w:tcMar>
              <w:left w:w="28" w:type="dxa"/>
              <w:right w:w="28" w:type="dxa"/>
            </w:tcMar>
            <w:vAlign w:val="center"/>
          </w:tcPr>
          <w:p>
            <w:pPr>
              <w:autoSpaceDE w:val="0"/>
              <w:autoSpaceDN w:val="0"/>
              <w:adjustRightInd w:val="0"/>
              <w:jc w:val="center"/>
              <w:textAlignment w:val="baseline"/>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选用高效低噪的矿山机械设备，并做好机械设备的维护保养工作。高噪声设备全部布置在室内，对设备进行减震处理。</w:t>
            </w:r>
          </w:p>
          <w:p>
            <w:pPr>
              <w:autoSpaceDE w:val="0"/>
              <w:autoSpaceDN w:val="0"/>
              <w:adjustRightInd w:val="0"/>
              <w:jc w:val="center"/>
              <w:textAlignment w:val="baseline"/>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严格爆破作业时间，不在夜间爆破。</w:t>
            </w:r>
            <w:r>
              <w:rPr>
                <w:rFonts w:hint="eastAsia" w:ascii="Times New Roman" w:hAnsi="Times New Roman" w:cs="Times New Roman"/>
                <w:color w:val="000000" w:themeColor="text1"/>
                <w:szCs w:val="21"/>
                <w:lang w:eastAsia="zh-CN"/>
                <w14:textFill>
                  <w14:solidFill>
                    <w14:schemeClr w14:val="tx1"/>
                  </w14:solidFill>
                </w14:textFill>
              </w:rPr>
              <w:t>优化爆破工艺，</w:t>
            </w:r>
            <w:r>
              <w:rPr>
                <w:rFonts w:hint="eastAsia" w:ascii="Times New Roman" w:hAnsi="Times New Roman" w:cs="Times New Roman"/>
                <w:color w:val="000000" w:themeColor="text1"/>
                <w:szCs w:val="21"/>
                <w14:textFill>
                  <w14:solidFill>
                    <w14:schemeClr w14:val="tx1"/>
                  </w14:solidFill>
                </w14:textFill>
              </w:rPr>
              <w:t>采用微差爆破。</w:t>
            </w:r>
          </w:p>
        </w:tc>
        <w:tc>
          <w:tcPr>
            <w:tcW w:w="804" w:type="dxa"/>
            <w:shd w:val="clear" w:color="auto" w:fill="auto"/>
            <w:tcMar>
              <w:left w:w="28" w:type="dxa"/>
              <w:right w:w="28" w:type="dxa"/>
            </w:tcMar>
            <w:vAlign w:val="center"/>
          </w:tcPr>
          <w:p>
            <w:pPr>
              <w:autoSpaceDE w:val="0"/>
              <w:autoSpaceDN w:val="0"/>
              <w:adjustRightInd w:val="0"/>
              <w:jc w:val="center"/>
              <w:textAlignment w:val="baseline"/>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无差异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666" w:type="dxa"/>
            <w:shd w:val="clear" w:color="auto" w:fill="auto"/>
            <w:tcMar>
              <w:left w:w="28" w:type="dxa"/>
              <w:right w:w="28" w:type="dxa"/>
            </w:tcMar>
          </w:tcPr>
          <w:p>
            <w:pP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七）落实并优化报告书提出的固体废物处置措施。项目废石、尾矿、选厂磁选废物属于Ⅰ类一般工业固体废物。基建、采矿过程中产生的废石送相应废石场堆存；尾矿输送至尾矿压滤车间经压滤后，部分与水泥混合后用于二采区采坑充填，剩余部分输送至尾矿库堆存；选厂磁选废物送尾矿库堆存；废油、废油桶等属危险废物，送有资质的单位处置；选矿厂袋式除尘器收尘返回选矿作为原料，充填制备站水泥仓袋式除尘器收尘作为填充原料；生活垃圾清运至金川县城市生活垃圾填埋场处置。加强对各种固体废弃物的收集、暂存、转运、处置及综合利用过程的管理，采取有效、可靠的防范措施，防止产生二次污染。</w:t>
            </w:r>
          </w:p>
        </w:tc>
        <w:tc>
          <w:tcPr>
            <w:tcW w:w="1836" w:type="dxa"/>
            <w:shd w:val="clear" w:color="auto" w:fill="auto"/>
            <w:tcMar>
              <w:left w:w="28" w:type="dxa"/>
              <w:right w:w="28" w:type="dxa"/>
            </w:tcMar>
            <w:vAlign w:val="center"/>
          </w:tcPr>
          <w:p>
            <w:pPr>
              <w:autoSpaceDE w:val="0"/>
              <w:autoSpaceDN w:val="0"/>
              <w:adjustRightInd w:val="0"/>
              <w:jc w:val="center"/>
              <w:textAlignment w:val="baseline"/>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一采区基建、采矿过程中产生的废石送相应废石场堆存；</w:t>
            </w:r>
          </w:p>
          <w:p>
            <w:pPr>
              <w:autoSpaceDE w:val="0"/>
              <w:autoSpaceDN w:val="0"/>
              <w:adjustRightInd w:val="0"/>
              <w:jc w:val="center"/>
              <w:textAlignment w:val="baseline"/>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已签订危废处置协议和生活垃圾处理协议。</w:t>
            </w:r>
          </w:p>
        </w:tc>
        <w:tc>
          <w:tcPr>
            <w:tcW w:w="804" w:type="dxa"/>
            <w:shd w:val="clear" w:color="auto" w:fill="auto"/>
            <w:tcMar>
              <w:left w:w="28" w:type="dxa"/>
              <w:right w:w="28" w:type="dxa"/>
            </w:tcMar>
            <w:vAlign w:val="center"/>
          </w:tcPr>
          <w:p>
            <w:pPr>
              <w:autoSpaceDE w:val="0"/>
              <w:autoSpaceDN w:val="0"/>
              <w:adjustRightInd w:val="0"/>
              <w:jc w:val="center"/>
              <w:textAlignment w:val="baseline"/>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无差异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666" w:type="dxa"/>
            <w:shd w:val="clear" w:color="auto" w:fill="auto"/>
            <w:tcMar>
              <w:left w:w="28" w:type="dxa"/>
              <w:right w:w="28" w:type="dxa"/>
            </w:tcMar>
          </w:tcPr>
          <w:p>
            <w:pP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（八）强化企业清洁生产管理，在工艺设备、资源能源利用指标、废物回收利用指标及环境管理等方面认真落实清洁生产要求，确保各项指标达到国内行业先进水平。</w:t>
            </w:r>
          </w:p>
        </w:tc>
        <w:tc>
          <w:tcPr>
            <w:tcW w:w="1836" w:type="dxa"/>
            <w:shd w:val="clear" w:color="auto" w:fill="auto"/>
            <w:tcMar>
              <w:left w:w="28" w:type="dxa"/>
              <w:right w:w="28" w:type="dxa"/>
            </w:tcMar>
            <w:vAlign w:val="center"/>
          </w:tcPr>
          <w:p>
            <w:pPr>
              <w:autoSpaceDE w:val="0"/>
              <w:autoSpaceDN w:val="0"/>
              <w:adjustRightInd w:val="0"/>
              <w:jc w:val="center"/>
              <w:textAlignment w:val="baseline"/>
              <w:rPr>
                <w:rFonts w:hint="eastAsia" w:ascii="Times New Roman" w:hAnsi="Times New Roman" w:cs="Times New Roman" w:eastAsiaTheme="minorEastAsia"/>
                <w:color w:val="000000" w:themeColor="text1"/>
                <w:szCs w:val="21"/>
                <w:lang w:eastAsia="zh-CN"/>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开展清洁生产管理，在露天矿开采工艺、开采设备、废物回收利用和环境管理等方面认真落实清洁生产要求。</w:t>
            </w:r>
          </w:p>
        </w:tc>
        <w:tc>
          <w:tcPr>
            <w:tcW w:w="804" w:type="dxa"/>
            <w:shd w:val="clear" w:color="auto" w:fill="auto"/>
            <w:tcMar>
              <w:left w:w="28" w:type="dxa"/>
              <w:right w:w="28" w:type="dxa"/>
            </w:tcMar>
            <w:vAlign w:val="center"/>
          </w:tcPr>
          <w:p>
            <w:pPr>
              <w:autoSpaceDE w:val="0"/>
              <w:autoSpaceDN w:val="0"/>
              <w:adjustRightInd w:val="0"/>
              <w:jc w:val="center"/>
              <w:textAlignment w:val="baseline"/>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无差异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666" w:type="dxa"/>
            <w:shd w:val="clear" w:color="auto" w:fill="auto"/>
            <w:tcMar>
              <w:left w:w="28" w:type="dxa"/>
              <w:right w:w="28" w:type="dxa"/>
            </w:tcMar>
          </w:tcPr>
          <w:p>
            <w:pP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九）项目区域属于高海拔生态脆弱区，应按照《矿山生态环境保护与恢复治理技术规范（试行）》（HJ651-2013）相关要求，严格落实生态保护及补偿措施。各类弃渣、废石严格按规定处置，禁止随意堆放，及时对施工临时占地进行生态恢复，控制和减少新增水土流失。加强地表沉降监测，如采矿引起地表沉陷应采取有效防治措施，避免对生态环境造成不利影响。</w:t>
            </w:r>
          </w:p>
          <w:p>
            <w:pP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按报告书要求根据不同时段（建设期、生产期、矿山服务期满后）分别落实生态恢复措施，对破坏的草地、林地及时采取生态修复措施，植被恢复系数须达到国家和地方规定的指标要求。矿山服务期满后，应结合区域环境特点，对工业场地、采场、排土场、尾矿库等全面进行生态恢复，植被恢复应尽量利用当地乡土物种，就地开展原生草皮移栽，促进植被尽快恢复。</w:t>
            </w:r>
          </w:p>
        </w:tc>
        <w:tc>
          <w:tcPr>
            <w:tcW w:w="1836" w:type="dxa"/>
            <w:shd w:val="clear" w:color="auto" w:fill="auto"/>
            <w:tcMar>
              <w:left w:w="28" w:type="dxa"/>
              <w:right w:w="28" w:type="dxa"/>
            </w:tcMar>
            <w:vAlign w:val="center"/>
          </w:tcPr>
          <w:p>
            <w:pPr>
              <w:autoSpaceDE w:val="0"/>
              <w:autoSpaceDN w:val="0"/>
              <w:adjustRightInd w:val="0"/>
              <w:jc w:val="center"/>
              <w:textAlignment w:val="baseline"/>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一采区各类弃渣、废石均严格按规定运至废石场堆存。</w:t>
            </w:r>
          </w:p>
        </w:tc>
        <w:tc>
          <w:tcPr>
            <w:tcW w:w="804" w:type="dxa"/>
            <w:shd w:val="clear" w:color="auto" w:fill="auto"/>
            <w:tcMar>
              <w:left w:w="28" w:type="dxa"/>
              <w:right w:w="28" w:type="dxa"/>
            </w:tcMar>
            <w:vAlign w:val="center"/>
          </w:tcPr>
          <w:p>
            <w:pPr>
              <w:autoSpaceDE w:val="0"/>
              <w:autoSpaceDN w:val="0"/>
              <w:adjustRightInd w:val="0"/>
              <w:jc w:val="center"/>
              <w:textAlignment w:val="baseline"/>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无差异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666" w:type="dxa"/>
            <w:shd w:val="clear" w:color="auto" w:fill="auto"/>
            <w:tcMar>
              <w:left w:w="28" w:type="dxa"/>
              <w:right w:w="28" w:type="dxa"/>
            </w:tcMar>
          </w:tcPr>
          <w:p>
            <w:pP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十）落实并优化报告书提出的各项风险防范措施。加强排土场、尾矿库技术管理，防止事故风险。严格按《选矿厂尾矿设施设计规范》要求进行尾矿库各种建构筑物设计，按《尾矿库环境应急预案编制指南》相关要求编制尾矿库环境应急预案，严格落实尾矿库环境风险防范措施及应急预案，防止因尾矿库事故引发的突发性环境事件，建立应急响应机制，确保环境安全。</w:t>
            </w:r>
          </w:p>
        </w:tc>
        <w:tc>
          <w:tcPr>
            <w:tcW w:w="1836" w:type="dxa"/>
            <w:shd w:val="clear" w:color="auto" w:fill="auto"/>
            <w:tcMar>
              <w:left w:w="28" w:type="dxa"/>
              <w:right w:w="28" w:type="dxa"/>
            </w:tcMar>
            <w:vAlign w:val="center"/>
          </w:tcPr>
          <w:p>
            <w:pPr>
              <w:autoSpaceDE w:val="0"/>
              <w:autoSpaceDN w:val="0"/>
              <w:adjustRightInd w:val="0"/>
              <w:jc w:val="center"/>
              <w:textAlignment w:val="baseline"/>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已完成应急预案的编制与备案。</w:t>
            </w:r>
          </w:p>
        </w:tc>
        <w:tc>
          <w:tcPr>
            <w:tcW w:w="804" w:type="dxa"/>
            <w:shd w:val="clear" w:color="auto" w:fill="auto"/>
            <w:tcMar>
              <w:left w:w="28" w:type="dxa"/>
              <w:right w:w="28" w:type="dxa"/>
            </w:tcMar>
            <w:vAlign w:val="center"/>
          </w:tcPr>
          <w:p>
            <w:pPr>
              <w:autoSpaceDE w:val="0"/>
              <w:autoSpaceDN w:val="0"/>
              <w:adjustRightInd w:val="0"/>
              <w:jc w:val="center"/>
              <w:textAlignment w:val="baseline"/>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无差异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666" w:type="dxa"/>
            <w:shd w:val="clear" w:color="auto" w:fill="auto"/>
            <w:tcMar>
              <w:left w:w="28" w:type="dxa"/>
              <w:right w:w="28" w:type="dxa"/>
            </w:tcMar>
          </w:tcPr>
          <w:p>
            <w:pP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（十一）初步设计阶段应进一步细化环境保护设施，在环保篇章中落实防治生态破坏和环境污染的各项措施及投资。</w:t>
            </w:r>
          </w:p>
        </w:tc>
        <w:tc>
          <w:tcPr>
            <w:tcW w:w="1836" w:type="dxa"/>
            <w:shd w:val="clear" w:color="auto" w:fill="auto"/>
            <w:tcMar>
              <w:left w:w="28" w:type="dxa"/>
              <w:right w:w="28" w:type="dxa"/>
            </w:tcMar>
            <w:vAlign w:val="center"/>
          </w:tcPr>
          <w:p>
            <w:pPr>
              <w:autoSpaceDE w:val="0"/>
              <w:autoSpaceDN w:val="0"/>
              <w:adjustRightInd w:val="0"/>
              <w:jc w:val="center"/>
              <w:textAlignment w:val="baseline"/>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已落实</w:t>
            </w:r>
          </w:p>
        </w:tc>
        <w:tc>
          <w:tcPr>
            <w:tcW w:w="804" w:type="dxa"/>
            <w:shd w:val="clear" w:color="auto" w:fill="auto"/>
            <w:tcMar>
              <w:left w:w="28" w:type="dxa"/>
              <w:right w:w="28" w:type="dxa"/>
            </w:tcMar>
            <w:vAlign w:val="center"/>
          </w:tcPr>
          <w:p>
            <w:pPr>
              <w:autoSpaceDE w:val="0"/>
              <w:autoSpaceDN w:val="0"/>
              <w:adjustRightInd w:val="0"/>
              <w:jc w:val="center"/>
              <w:textAlignment w:val="baseline"/>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无差异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666" w:type="dxa"/>
            <w:shd w:val="clear" w:color="auto" w:fill="auto"/>
            <w:tcMar>
              <w:left w:w="28" w:type="dxa"/>
              <w:right w:w="28" w:type="dxa"/>
            </w:tcMar>
          </w:tcPr>
          <w:p>
            <w:pP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（十二）加强事中事后环境监管，结合项目和区域环境特点，建立现代化监控体系，并认真开展工程环境监理，确保各项环境保护措施的有效落实。</w:t>
            </w:r>
          </w:p>
        </w:tc>
        <w:tc>
          <w:tcPr>
            <w:tcW w:w="1836" w:type="dxa"/>
            <w:shd w:val="clear" w:color="auto" w:fill="auto"/>
            <w:tcMar>
              <w:left w:w="28" w:type="dxa"/>
              <w:right w:w="28" w:type="dxa"/>
            </w:tcMar>
            <w:vAlign w:val="center"/>
          </w:tcPr>
          <w:p>
            <w:pPr>
              <w:autoSpaceDE w:val="0"/>
              <w:autoSpaceDN w:val="0"/>
              <w:adjustRightInd w:val="0"/>
              <w:jc w:val="center"/>
              <w:textAlignment w:val="baseline"/>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建设期间委托四川爱欧特环保科技有限公司开展环境监理工作。</w:t>
            </w:r>
          </w:p>
        </w:tc>
        <w:tc>
          <w:tcPr>
            <w:tcW w:w="804" w:type="dxa"/>
            <w:shd w:val="clear" w:color="auto" w:fill="auto"/>
            <w:tcMar>
              <w:left w:w="28" w:type="dxa"/>
              <w:right w:w="28" w:type="dxa"/>
            </w:tcMar>
            <w:vAlign w:val="center"/>
          </w:tcPr>
          <w:p>
            <w:pPr>
              <w:autoSpaceDE w:val="0"/>
              <w:autoSpaceDN w:val="0"/>
              <w:adjustRightInd w:val="0"/>
              <w:jc w:val="center"/>
              <w:textAlignment w:val="baseline"/>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无差异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666" w:type="dxa"/>
            <w:shd w:val="clear" w:color="auto" w:fill="auto"/>
            <w:tcMar>
              <w:left w:w="28" w:type="dxa"/>
              <w:right w:w="28" w:type="dxa"/>
            </w:tcMar>
          </w:tcPr>
          <w:p>
            <w:pP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（十三）项目建成投产后，建设单位应按照《建设项目环境影响后评价管理办法（试行）》要求，开展建设项目后评价工作。</w:t>
            </w:r>
          </w:p>
        </w:tc>
        <w:tc>
          <w:tcPr>
            <w:tcW w:w="1836" w:type="dxa"/>
            <w:shd w:val="clear" w:color="auto" w:fill="auto"/>
            <w:tcMar>
              <w:left w:w="28" w:type="dxa"/>
              <w:right w:w="28" w:type="dxa"/>
            </w:tcMar>
            <w:vAlign w:val="center"/>
          </w:tcPr>
          <w:p>
            <w:pPr>
              <w:autoSpaceDE w:val="0"/>
              <w:autoSpaceDN w:val="0"/>
              <w:adjustRightInd w:val="0"/>
              <w:jc w:val="center"/>
              <w:textAlignment w:val="baseline"/>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本次验收为阶段性验收，工程尚未全部投产。</w:t>
            </w:r>
          </w:p>
        </w:tc>
        <w:tc>
          <w:tcPr>
            <w:tcW w:w="804" w:type="dxa"/>
            <w:shd w:val="clear" w:color="auto" w:fill="auto"/>
            <w:tcMar>
              <w:left w:w="28" w:type="dxa"/>
              <w:right w:w="28" w:type="dxa"/>
            </w:tcMar>
            <w:vAlign w:val="center"/>
          </w:tcPr>
          <w:p>
            <w:pPr>
              <w:autoSpaceDE w:val="0"/>
              <w:autoSpaceDN w:val="0"/>
              <w:adjustRightInd w:val="0"/>
              <w:jc w:val="center"/>
              <w:textAlignment w:val="baseline"/>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洞采的采区仍在建设中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666" w:type="dxa"/>
            <w:shd w:val="clear" w:color="auto" w:fill="auto"/>
            <w:tcMar>
              <w:left w:w="28" w:type="dxa"/>
              <w:right w:w="28" w:type="dxa"/>
            </w:tcMar>
          </w:tcPr>
          <w:p>
            <w:pP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（十四）项目开工建设前，应依法完备其他行政许可手续。</w:t>
            </w:r>
          </w:p>
        </w:tc>
        <w:tc>
          <w:tcPr>
            <w:tcW w:w="1836" w:type="dxa"/>
            <w:shd w:val="clear" w:color="auto" w:fill="auto"/>
            <w:tcMar>
              <w:left w:w="28" w:type="dxa"/>
              <w:right w:w="28" w:type="dxa"/>
            </w:tcMar>
            <w:vAlign w:val="center"/>
          </w:tcPr>
          <w:p>
            <w:pPr>
              <w:autoSpaceDE w:val="0"/>
              <w:autoSpaceDN w:val="0"/>
              <w:adjustRightInd w:val="0"/>
              <w:jc w:val="center"/>
              <w:textAlignment w:val="baseline"/>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已落实</w:t>
            </w:r>
          </w:p>
        </w:tc>
        <w:tc>
          <w:tcPr>
            <w:tcW w:w="804" w:type="dxa"/>
            <w:shd w:val="clear" w:color="auto" w:fill="auto"/>
            <w:tcMar>
              <w:left w:w="28" w:type="dxa"/>
              <w:right w:w="28" w:type="dxa"/>
            </w:tcMar>
            <w:vAlign w:val="center"/>
          </w:tcPr>
          <w:p>
            <w:pPr>
              <w:autoSpaceDE w:val="0"/>
              <w:autoSpaceDN w:val="0"/>
              <w:adjustRightInd w:val="0"/>
              <w:jc w:val="center"/>
              <w:textAlignment w:val="baseline"/>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无差异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666" w:type="dxa"/>
            <w:shd w:val="clear" w:color="auto" w:fill="auto"/>
            <w:tcMar>
              <w:left w:w="28" w:type="dxa"/>
              <w:right w:w="28" w:type="dxa"/>
            </w:tcMar>
          </w:tcPr>
          <w:p>
            <w:pP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十五）建设项目必须严格执行配套建设的环境保护设施与主体工程同时设计、同时施工、同时投产使用的环境保护“三同时”制度。建设项目竣工后，你公司应按规定标准和程序，对配套建设的环境保护设施进行验收。</w:t>
            </w:r>
          </w:p>
        </w:tc>
        <w:tc>
          <w:tcPr>
            <w:tcW w:w="1836" w:type="dxa"/>
            <w:shd w:val="clear" w:color="auto" w:fill="auto"/>
            <w:tcMar>
              <w:left w:w="28" w:type="dxa"/>
              <w:right w:w="28" w:type="dxa"/>
            </w:tcMar>
            <w:vAlign w:val="center"/>
          </w:tcPr>
          <w:p>
            <w:pPr>
              <w:autoSpaceDE w:val="0"/>
              <w:autoSpaceDN w:val="0"/>
              <w:adjustRightInd w:val="0"/>
              <w:jc w:val="center"/>
              <w:textAlignment w:val="baseline"/>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已落实</w:t>
            </w:r>
          </w:p>
        </w:tc>
        <w:tc>
          <w:tcPr>
            <w:tcW w:w="804" w:type="dxa"/>
            <w:shd w:val="clear" w:color="auto" w:fill="auto"/>
            <w:tcMar>
              <w:left w:w="28" w:type="dxa"/>
              <w:right w:w="28" w:type="dxa"/>
            </w:tcMar>
            <w:vAlign w:val="center"/>
          </w:tcPr>
          <w:p>
            <w:pPr>
              <w:autoSpaceDE w:val="0"/>
              <w:autoSpaceDN w:val="0"/>
              <w:adjustRightInd w:val="0"/>
              <w:jc w:val="center"/>
              <w:textAlignment w:val="baseline"/>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无差异</w:t>
            </w:r>
          </w:p>
        </w:tc>
      </w:tr>
    </w:tbl>
    <w:p>
      <w:pPr>
        <w:spacing w:line="360" w:lineRule="auto"/>
        <w:rPr>
          <w:rFonts w:ascii="Times New Roman" w:hAnsi="Times New Roman" w:cs="Times New Roman"/>
          <w:color w:val="000000" w:themeColor="text1"/>
          <w:sz w:val="24"/>
          <w:szCs w:val="24"/>
          <w14:textFill>
            <w14:solidFill>
              <w14:schemeClr w14:val="tx1"/>
            </w14:solidFill>
          </w14:textFill>
        </w:rPr>
      </w:pP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sectPr>
          <w:pgSz w:w="11906" w:h="16838"/>
          <w:pgMar w:top="1440" w:right="1800" w:bottom="1440" w:left="1800" w:header="851" w:footer="992" w:gutter="0"/>
          <w:cols w:space="425" w:num="1"/>
          <w:docGrid w:type="lines" w:linePitch="312" w:charSpace="0"/>
        </w:sectPr>
      </w:pPr>
    </w:p>
    <w:p>
      <w:pPr>
        <w:pStyle w:val="2"/>
        <w:rPr>
          <w:color w:val="000000" w:themeColor="text1"/>
          <w14:textFill>
            <w14:solidFill>
              <w14:schemeClr w14:val="tx1"/>
            </w14:solidFill>
          </w14:textFill>
        </w:rPr>
      </w:pPr>
      <w:bookmarkStart w:id="22" w:name="_Toc62202386"/>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 环境影响调查</w:t>
      </w:r>
      <w:bookmarkEnd w:id="22"/>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根据金川奥伊诺矿业有限公司和四川爱欧特环保科技有限公司提供的有关资料以及现场踏勘情况，对项目环境影响情况进行分析。</w:t>
      </w:r>
    </w:p>
    <w:p>
      <w:pPr>
        <w:pStyle w:val="3"/>
        <w:rPr>
          <w:color w:val="000000" w:themeColor="text1"/>
          <w14:textFill>
            <w14:solidFill>
              <w14:schemeClr w14:val="tx1"/>
            </w14:solidFill>
          </w14:textFill>
        </w:rPr>
      </w:pPr>
      <w:bookmarkStart w:id="23" w:name="_Toc62202387"/>
      <w:r>
        <w:rPr>
          <w:rFonts w:hint="eastAsia"/>
          <w:color w:val="000000" w:themeColor="text1"/>
          <w14:textFill>
            <w14:solidFill>
              <w14:schemeClr w14:val="tx1"/>
            </w14:solidFill>
          </w14:textFill>
        </w:rPr>
        <w:t>5</w:t>
      </w:r>
      <w:r>
        <w:rPr>
          <w:color w:val="000000" w:themeColor="text1"/>
          <w14:textFill>
            <w14:solidFill>
              <w14:schemeClr w14:val="tx1"/>
            </w14:solidFill>
          </w14:textFill>
        </w:rPr>
        <w:t>.1 生态影响调查</w:t>
      </w:r>
      <w:bookmarkEnd w:id="23"/>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根据《金川奥伊诺矿业公司业隆沟锂辉石矿采选尾工程环境影响报告书》，针对陆生生态环境等区域开展相关资料收集。本次验收，对生态扰动较大的区域为露天采区（一采区）、露天矿基建废石场和露天矿生产废石场。</w: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.1.1 生态保护目标调查</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根据环评报告书阶段生态调查结果及本次竣工验收现场调查结果，本项目不涉及生态敏感与脆弱区以及社会关注区等生态敏感目标，生态环境敏感目标主要为植被景观和工程永久和临时占用的草地、林地可能分布的保护类动植物。</w: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.1.2 陆生生态调查</w:t>
      </w:r>
    </w:p>
    <w:p>
      <w:pPr>
        <w:spacing w:line="360" w:lineRule="auto"/>
        <w:rPr>
          <w:rFonts w:ascii="Times New Roman" w:hAnsi="Times New Roman" w:cs="Times New Roman"/>
          <w:b/>
          <w:color w:val="000000" w:themeColor="text1"/>
          <w:sz w:val="24"/>
          <w:szCs w:val="24"/>
          <w14:textFill>
            <w14:solidFill>
              <w14:schemeClr w14:val="tx1"/>
            </w14:solidFill>
          </w14:textFill>
        </w:rPr>
      </w:pPr>
      <w:r>
        <w:rPr>
          <w:rFonts w:hint="eastAsia" w:ascii="Times New Roman" w:hAnsi="Times New Roman" w:cs="Times New Roman"/>
          <w:b/>
          <w:color w:val="000000" w:themeColor="text1"/>
          <w:sz w:val="24"/>
          <w:szCs w:val="24"/>
          <w14:textFill>
            <w14:solidFill>
              <w14:schemeClr w14:val="tx1"/>
            </w14:solidFill>
          </w14:textFill>
        </w:rPr>
        <w:t>5</w:t>
      </w:r>
      <w:r>
        <w:rPr>
          <w:rFonts w:ascii="Times New Roman" w:hAnsi="Times New Roman" w:cs="Times New Roman"/>
          <w:b/>
          <w:color w:val="000000" w:themeColor="text1"/>
          <w:sz w:val="24"/>
          <w:szCs w:val="24"/>
          <w14:textFill>
            <w14:solidFill>
              <w14:schemeClr w14:val="tx1"/>
            </w14:solidFill>
          </w14:textFill>
        </w:rPr>
        <w:t>.1.2.1 对植物资源的影响</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1、区域植被情况</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根据调查与资料分析，区域共有维管束植物有75科181属276种：其中蕨类植物共有9科，占总科数的12.00%，有15属，占总属数的8.29%，种数共20种，占总种树的7.25%；裸子植物3科13属17种，占评价区域总科数的4.00%，总种数的6.16%，总属数的7.18%；被子植物物种数最多，共有63科153属239种，占评价区域总科数的84.00%，总种数的6.86.59%，总属数的84.53%。调查区种子植物分属于13种分布区类型。种子属的分布类型总体上以温带成分居多，约106个属。在温带成分中，尤以北温带成分最为普遍，有79个属为北温带区系类型，占调查区种子植物属分布类别的43.65%；旧世界温带分布有14个属，占7.73%。区域范围内无古树名木分部。</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区域内零星分布有一定的野生资源植物，较重要的是有药用植物、用材树种、观赏植物、食用类类植物及饲用植物等。主要资源植物种类如下：</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主要的药用植物有：川贝母（</w:t>
      </w:r>
      <w:r>
        <w:rPr>
          <w:rFonts w:hint="eastAsia" w:ascii="Times New Roman" w:hAnsi="Times New Roman" w:cs="Times New Roman"/>
          <w:i/>
          <w:color w:val="000000" w:themeColor="text1"/>
          <w:sz w:val="24"/>
          <w:szCs w:val="24"/>
          <w14:textFill>
            <w14:solidFill>
              <w14:schemeClr w14:val="tx1"/>
            </w14:solidFill>
          </w14:textFill>
        </w:rPr>
        <w:t>Fritillaria praewalskii maxim ex Batal</w:t>
      </w:r>
      <w:r>
        <w:rPr>
          <w:rFonts w:hint="eastAsia" w:ascii="Times New Roman" w:hAnsi="Times New Roman" w:cs="Times New Roman"/>
          <w:color w:val="000000" w:themeColor="text1"/>
          <w:sz w:val="24"/>
          <w:szCs w:val="24"/>
          <w14:textFill>
            <w14:solidFill>
              <w14:schemeClr w14:val="tx1"/>
            </w14:solidFill>
          </w14:textFill>
        </w:rPr>
        <w:t>）、川木香（</w:t>
      </w:r>
      <w:r>
        <w:rPr>
          <w:rFonts w:hint="eastAsia" w:ascii="Times New Roman" w:hAnsi="Times New Roman" w:cs="Times New Roman"/>
          <w:i/>
          <w:color w:val="000000" w:themeColor="text1"/>
          <w:sz w:val="24"/>
          <w:szCs w:val="24"/>
          <w14:textFill>
            <w14:solidFill>
              <w14:schemeClr w14:val="tx1"/>
            </w14:solidFill>
          </w14:textFill>
        </w:rPr>
        <w:t>Dolomiaea souliei</w:t>
      </w:r>
      <w:r>
        <w:rPr>
          <w:rFonts w:hint="eastAsia" w:ascii="Times New Roman" w:hAnsi="Times New Roman" w:cs="Times New Roman"/>
          <w:color w:val="000000" w:themeColor="text1"/>
          <w:sz w:val="24"/>
          <w:szCs w:val="24"/>
          <w14:textFill>
            <w14:solidFill>
              <w14:schemeClr w14:val="tx1"/>
            </w14:solidFill>
          </w14:textFill>
        </w:rPr>
        <w:t>）、康定糙苏（</w:t>
      </w:r>
      <w:r>
        <w:rPr>
          <w:rFonts w:hint="eastAsia" w:ascii="Times New Roman" w:hAnsi="Times New Roman" w:cs="Times New Roman"/>
          <w:i/>
          <w:color w:val="000000" w:themeColor="text1"/>
          <w:sz w:val="24"/>
          <w:szCs w:val="24"/>
          <w14:textFill>
            <w14:solidFill>
              <w14:schemeClr w14:val="tx1"/>
            </w14:solidFill>
          </w14:textFill>
        </w:rPr>
        <w:t>Phlomis tatsienensis</w:t>
      </w:r>
      <w:r>
        <w:rPr>
          <w:rFonts w:hint="eastAsia" w:ascii="Times New Roman" w:hAnsi="Times New Roman" w:cs="Times New Roman"/>
          <w:color w:val="000000" w:themeColor="text1"/>
          <w:sz w:val="24"/>
          <w:szCs w:val="24"/>
          <w14:textFill>
            <w14:solidFill>
              <w14:schemeClr w14:val="tx1"/>
            </w14:solidFill>
          </w14:textFill>
        </w:rPr>
        <w:t>）、黄花鼠尾草（</w:t>
      </w:r>
      <w:r>
        <w:rPr>
          <w:rFonts w:hint="eastAsia" w:ascii="Times New Roman" w:hAnsi="Times New Roman" w:cs="Times New Roman"/>
          <w:i/>
          <w:color w:val="000000" w:themeColor="text1"/>
          <w:sz w:val="24"/>
          <w:szCs w:val="24"/>
          <w14:textFill>
            <w14:solidFill>
              <w14:schemeClr w14:val="tx1"/>
            </w14:solidFill>
          </w14:textFill>
        </w:rPr>
        <w:t>Salvia flava</w:t>
      </w:r>
      <w:r>
        <w:rPr>
          <w:rFonts w:hint="eastAsia" w:ascii="Times New Roman" w:hAnsi="Times New Roman" w:cs="Times New Roman"/>
          <w:color w:val="000000" w:themeColor="text1"/>
          <w:sz w:val="24"/>
          <w:szCs w:val="24"/>
          <w14:textFill>
            <w14:solidFill>
              <w14:schemeClr w14:val="tx1"/>
            </w14:solidFill>
          </w14:textFill>
        </w:rPr>
        <w:t>）、甘西鼠尾草（</w:t>
      </w:r>
      <w:r>
        <w:rPr>
          <w:rFonts w:hint="eastAsia" w:ascii="Times New Roman" w:hAnsi="Times New Roman" w:cs="Times New Roman"/>
          <w:i/>
          <w:color w:val="000000" w:themeColor="text1"/>
          <w:sz w:val="24"/>
          <w:szCs w:val="24"/>
          <w14:textFill>
            <w14:solidFill>
              <w14:schemeClr w14:val="tx1"/>
            </w14:solidFill>
          </w14:textFill>
        </w:rPr>
        <w:t>Salvia przewalskii</w:t>
      </w:r>
      <w:r>
        <w:rPr>
          <w:rFonts w:hint="eastAsia" w:ascii="Times New Roman" w:hAnsi="Times New Roman" w:cs="Times New Roman"/>
          <w:color w:val="000000" w:themeColor="text1"/>
          <w:sz w:val="24"/>
          <w:szCs w:val="24"/>
          <w14:textFill>
            <w14:solidFill>
              <w14:schemeClr w14:val="tx1"/>
            </w14:solidFill>
          </w14:textFill>
        </w:rPr>
        <w:t>）、连翘叶黄芩（</w:t>
      </w:r>
      <w:r>
        <w:rPr>
          <w:rFonts w:hint="eastAsia" w:ascii="Times New Roman" w:hAnsi="Times New Roman" w:cs="Times New Roman"/>
          <w:i/>
          <w:color w:val="000000" w:themeColor="text1"/>
          <w:sz w:val="24"/>
          <w:szCs w:val="24"/>
          <w14:textFill>
            <w14:solidFill>
              <w14:schemeClr w14:val="tx1"/>
            </w14:solidFill>
          </w14:textFill>
        </w:rPr>
        <w:t>Scutellaria hypericifolia</w:t>
      </w:r>
      <w:r>
        <w:rPr>
          <w:rFonts w:hint="eastAsia" w:ascii="Times New Roman" w:hAnsi="Times New Roman" w:cs="Times New Roman"/>
          <w:color w:val="000000" w:themeColor="text1"/>
          <w:sz w:val="24"/>
          <w:szCs w:val="24"/>
          <w14:textFill>
            <w14:solidFill>
              <w14:schemeClr w14:val="tx1"/>
            </w14:solidFill>
          </w14:textFill>
        </w:rPr>
        <w:t>）、黄花木（</w:t>
      </w:r>
      <w:r>
        <w:rPr>
          <w:rFonts w:hint="eastAsia" w:ascii="Times New Roman" w:hAnsi="Times New Roman" w:cs="Times New Roman"/>
          <w:i/>
          <w:color w:val="000000" w:themeColor="text1"/>
          <w:sz w:val="24"/>
          <w:szCs w:val="24"/>
          <w14:textFill>
            <w14:solidFill>
              <w14:schemeClr w14:val="tx1"/>
            </w14:solidFill>
          </w14:textFill>
        </w:rPr>
        <w:t>Piptanthus nepalensis</w:t>
      </w:r>
      <w:r>
        <w:rPr>
          <w:rFonts w:hint="eastAsia" w:ascii="Times New Roman" w:hAnsi="Times New Roman" w:cs="Times New Roman"/>
          <w:color w:val="000000" w:themeColor="text1"/>
          <w:sz w:val="24"/>
          <w:szCs w:val="24"/>
          <w14:textFill>
            <w14:solidFill>
              <w14:schemeClr w14:val="tx1"/>
            </w14:solidFill>
          </w14:textFill>
        </w:rPr>
        <w:t>）、岩须（</w:t>
      </w:r>
      <w:r>
        <w:rPr>
          <w:rFonts w:hint="eastAsia" w:ascii="Times New Roman" w:hAnsi="Times New Roman" w:cs="Times New Roman"/>
          <w:i/>
          <w:color w:val="000000" w:themeColor="text1"/>
          <w:sz w:val="24"/>
          <w:szCs w:val="24"/>
          <w14:textFill>
            <w14:solidFill>
              <w14:schemeClr w14:val="tx1"/>
            </w14:solidFill>
          </w14:textFill>
        </w:rPr>
        <w:t>Cassiope selaginoides</w:t>
      </w:r>
      <w:r>
        <w:rPr>
          <w:rFonts w:hint="eastAsia" w:ascii="Times New Roman" w:hAnsi="Times New Roman" w:cs="Times New Roman"/>
          <w:color w:val="000000" w:themeColor="text1"/>
          <w:sz w:val="24"/>
          <w:szCs w:val="24"/>
          <w14:textFill>
            <w14:solidFill>
              <w14:schemeClr w14:val="tx1"/>
            </w14:solidFill>
          </w14:textFill>
        </w:rPr>
        <w:t>）、双花堇菜（</w:t>
      </w:r>
      <w:r>
        <w:rPr>
          <w:rFonts w:hint="eastAsia" w:ascii="Times New Roman" w:hAnsi="Times New Roman" w:cs="Times New Roman"/>
          <w:i/>
          <w:color w:val="000000" w:themeColor="text1"/>
          <w:sz w:val="24"/>
          <w:szCs w:val="24"/>
          <w14:textFill>
            <w14:solidFill>
              <w14:schemeClr w14:val="tx1"/>
            </w14:solidFill>
          </w14:textFill>
        </w:rPr>
        <w:t>Viola biflora</w:t>
      </w:r>
      <w:r>
        <w:rPr>
          <w:rFonts w:hint="eastAsia" w:ascii="Times New Roman" w:hAnsi="Times New Roman" w:cs="Times New Roman"/>
          <w:color w:val="000000" w:themeColor="text1"/>
          <w:sz w:val="24"/>
          <w:szCs w:val="24"/>
          <w14:textFill>
            <w14:solidFill>
              <w14:schemeClr w14:val="tx1"/>
            </w14:solidFill>
          </w14:textFill>
        </w:rPr>
        <w:t>）、大黄（</w:t>
      </w:r>
      <w:r>
        <w:rPr>
          <w:rFonts w:hint="eastAsia" w:ascii="Times New Roman" w:hAnsi="Times New Roman" w:cs="Times New Roman"/>
          <w:i/>
          <w:color w:val="000000" w:themeColor="text1"/>
          <w:sz w:val="24"/>
          <w:szCs w:val="24"/>
          <w14:textFill>
            <w14:solidFill>
              <w14:schemeClr w14:val="tx1"/>
            </w14:solidFill>
          </w14:textFill>
        </w:rPr>
        <w:t>Rheum palmatum</w:t>
      </w:r>
      <w:r>
        <w:rPr>
          <w:rFonts w:hint="eastAsia" w:ascii="Times New Roman" w:hAnsi="Times New Roman" w:cs="Times New Roman"/>
          <w:color w:val="000000" w:themeColor="text1"/>
          <w:sz w:val="24"/>
          <w:szCs w:val="24"/>
          <w14:textFill>
            <w14:solidFill>
              <w14:schemeClr w14:val="tx1"/>
            </w14:solidFill>
          </w14:textFill>
        </w:rPr>
        <w:t>）。</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用材树种较重要的有：白桦（</w:t>
      </w:r>
      <w:r>
        <w:rPr>
          <w:rFonts w:hint="eastAsia" w:ascii="Times New Roman" w:hAnsi="Times New Roman" w:cs="Times New Roman"/>
          <w:i/>
          <w:color w:val="000000" w:themeColor="text1"/>
          <w:sz w:val="24"/>
          <w:szCs w:val="24"/>
          <w14:textFill>
            <w14:solidFill>
              <w14:schemeClr w14:val="tx1"/>
            </w14:solidFill>
          </w14:textFill>
        </w:rPr>
        <w:t>B. platyphylla</w:t>
      </w:r>
      <w:r>
        <w:rPr>
          <w:rFonts w:hint="eastAsia" w:ascii="Times New Roman" w:hAnsi="Times New Roman" w:cs="Times New Roman"/>
          <w:color w:val="000000" w:themeColor="text1"/>
          <w:sz w:val="24"/>
          <w:szCs w:val="24"/>
          <w14:textFill>
            <w14:solidFill>
              <w14:schemeClr w14:val="tx1"/>
            </w14:solidFill>
          </w14:textFill>
        </w:rPr>
        <w:t>）、川西云杉（</w:t>
      </w:r>
      <w:r>
        <w:rPr>
          <w:rFonts w:hint="eastAsia" w:ascii="Times New Roman" w:hAnsi="Times New Roman" w:cs="Times New Roman"/>
          <w:i/>
          <w:color w:val="000000" w:themeColor="text1"/>
          <w:sz w:val="24"/>
          <w:szCs w:val="24"/>
          <w14:textFill>
            <w14:solidFill>
              <w14:schemeClr w14:val="tx1"/>
            </w14:solidFill>
          </w14:textFill>
        </w:rPr>
        <w:t>Picea balfouriana</w:t>
      </w:r>
      <w:r>
        <w:rPr>
          <w:rFonts w:hint="eastAsia" w:ascii="Times New Roman" w:hAnsi="Times New Roman" w:cs="Times New Roman"/>
          <w:color w:val="000000" w:themeColor="text1"/>
          <w:sz w:val="24"/>
          <w:szCs w:val="24"/>
          <w14:textFill>
            <w14:solidFill>
              <w14:schemeClr w14:val="tx1"/>
            </w14:solidFill>
          </w14:textFill>
        </w:rPr>
        <w:t>）、岷江冷杉（</w:t>
      </w:r>
      <w:r>
        <w:rPr>
          <w:rFonts w:hint="eastAsia" w:ascii="Times New Roman" w:hAnsi="Times New Roman" w:cs="Times New Roman"/>
          <w:i/>
          <w:color w:val="000000" w:themeColor="text1"/>
          <w:sz w:val="24"/>
          <w:szCs w:val="24"/>
          <w14:textFill>
            <w14:solidFill>
              <w14:schemeClr w14:val="tx1"/>
            </w14:solidFill>
          </w14:textFill>
        </w:rPr>
        <w:t>Abies faxoniana</w:t>
      </w:r>
      <w:r>
        <w:rPr>
          <w:rFonts w:hint="eastAsia" w:ascii="Times New Roman" w:hAnsi="Times New Roman" w:cs="Times New Roman"/>
          <w:color w:val="000000" w:themeColor="text1"/>
          <w:sz w:val="24"/>
          <w:szCs w:val="24"/>
          <w14:textFill>
            <w14:solidFill>
              <w14:schemeClr w14:val="tx1"/>
            </w14:solidFill>
          </w14:textFill>
        </w:rPr>
        <w:t>）、落叶松（</w:t>
      </w:r>
      <w:r>
        <w:rPr>
          <w:rFonts w:hint="eastAsia" w:ascii="Times New Roman" w:hAnsi="Times New Roman" w:cs="Times New Roman"/>
          <w:i/>
          <w:color w:val="000000" w:themeColor="text1"/>
          <w:sz w:val="24"/>
          <w:szCs w:val="24"/>
          <w14:textFill>
            <w14:solidFill>
              <w14:schemeClr w14:val="tx1"/>
            </w14:solidFill>
          </w14:textFill>
        </w:rPr>
        <w:t>Larix potaninii</w:t>
      </w:r>
      <w:r>
        <w:rPr>
          <w:rFonts w:hint="eastAsia" w:ascii="Times New Roman" w:hAnsi="Times New Roman" w:cs="Times New Roman"/>
          <w:color w:val="000000" w:themeColor="text1"/>
          <w:sz w:val="24"/>
          <w:szCs w:val="24"/>
          <w14:textFill>
            <w14:solidFill>
              <w14:schemeClr w14:val="tx1"/>
            </w14:solidFill>
          </w14:textFill>
        </w:rPr>
        <w:t>）、鳞皮冷杉（</w:t>
      </w:r>
      <w:r>
        <w:rPr>
          <w:rFonts w:hint="eastAsia" w:ascii="Times New Roman" w:hAnsi="Times New Roman" w:cs="Times New Roman"/>
          <w:i/>
          <w:color w:val="000000" w:themeColor="text1"/>
          <w:sz w:val="24"/>
          <w:szCs w:val="24"/>
          <w14:textFill>
            <w14:solidFill>
              <w14:schemeClr w14:val="tx1"/>
            </w14:solidFill>
          </w14:textFill>
        </w:rPr>
        <w:t>Abies squamata</w:t>
      </w:r>
      <w:r>
        <w:rPr>
          <w:rFonts w:hint="eastAsia" w:ascii="Times New Roman" w:hAnsi="Times New Roman" w:cs="Times New Roman"/>
          <w:color w:val="000000" w:themeColor="text1"/>
          <w:sz w:val="24"/>
          <w:szCs w:val="24"/>
          <w14:textFill>
            <w14:solidFill>
              <w14:schemeClr w14:val="tx1"/>
            </w14:solidFill>
          </w14:textFill>
        </w:rPr>
        <w:t>）等。</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主要观赏的植物有：杜鹃花属（</w:t>
      </w:r>
      <w:r>
        <w:rPr>
          <w:rFonts w:hint="eastAsia" w:ascii="Times New Roman" w:hAnsi="Times New Roman" w:cs="Times New Roman"/>
          <w:i/>
          <w:color w:val="000000" w:themeColor="text1"/>
          <w:sz w:val="24"/>
          <w:szCs w:val="24"/>
          <w14:textFill>
            <w14:solidFill>
              <w14:schemeClr w14:val="tx1"/>
            </w14:solidFill>
          </w14:textFill>
        </w:rPr>
        <w:t>Rhododendron</w:t>
      </w:r>
      <w:r>
        <w:rPr>
          <w:rFonts w:hint="eastAsia" w:ascii="Times New Roman" w:hAnsi="Times New Roman" w:cs="Times New Roman"/>
          <w:color w:val="000000" w:themeColor="text1"/>
          <w:sz w:val="24"/>
          <w:szCs w:val="24"/>
          <w14:textFill>
            <w14:solidFill>
              <w14:schemeClr w14:val="tx1"/>
            </w14:solidFill>
          </w14:textFill>
        </w:rPr>
        <w:t>）、报春花属（</w:t>
      </w:r>
      <w:r>
        <w:rPr>
          <w:rFonts w:hint="eastAsia" w:ascii="Times New Roman" w:hAnsi="Times New Roman" w:cs="Times New Roman"/>
          <w:i/>
          <w:color w:val="000000" w:themeColor="text1"/>
          <w:sz w:val="24"/>
          <w:szCs w:val="24"/>
          <w14:textFill>
            <w14:solidFill>
              <w14:schemeClr w14:val="tx1"/>
            </w14:solidFill>
          </w14:textFill>
        </w:rPr>
        <w:t>Primula</w:t>
      </w:r>
      <w:r>
        <w:rPr>
          <w:rFonts w:hint="eastAsia" w:ascii="Times New Roman" w:hAnsi="Times New Roman" w:cs="Times New Roman"/>
          <w:color w:val="000000" w:themeColor="text1"/>
          <w:sz w:val="24"/>
          <w:szCs w:val="24"/>
          <w14:textFill>
            <w14:solidFill>
              <w14:schemeClr w14:val="tx1"/>
            </w14:solidFill>
          </w14:textFill>
        </w:rPr>
        <w:t>）、百合属（</w:t>
      </w:r>
      <w:r>
        <w:rPr>
          <w:rFonts w:hint="eastAsia" w:ascii="Times New Roman" w:hAnsi="Times New Roman" w:cs="Times New Roman"/>
          <w:i/>
          <w:color w:val="000000" w:themeColor="text1"/>
          <w:sz w:val="24"/>
          <w:szCs w:val="24"/>
          <w14:textFill>
            <w14:solidFill>
              <w14:schemeClr w14:val="tx1"/>
            </w14:solidFill>
          </w14:textFill>
        </w:rPr>
        <w:t>Lilium</w:t>
      </w:r>
      <w:r>
        <w:rPr>
          <w:rFonts w:hint="eastAsia" w:ascii="Times New Roman" w:hAnsi="Times New Roman" w:cs="Times New Roman"/>
          <w:color w:val="000000" w:themeColor="text1"/>
          <w:sz w:val="24"/>
          <w:szCs w:val="24"/>
          <w14:textFill>
            <w14:solidFill>
              <w14:schemeClr w14:val="tx1"/>
            </w14:solidFill>
          </w14:textFill>
        </w:rPr>
        <w:t>）、翠雀属（</w:t>
      </w:r>
      <w:r>
        <w:rPr>
          <w:rFonts w:hint="eastAsia" w:ascii="Times New Roman" w:hAnsi="Times New Roman" w:cs="Times New Roman"/>
          <w:i/>
          <w:color w:val="000000" w:themeColor="text1"/>
          <w:sz w:val="24"/>
          <w:szCs w:val="24"/>
          <w14:textFill>
            <w14:solidFill>
              <w14:schemeClr w14:val="tx1"/>
            </w14:solidFill>
          </w14:textFill>
        </w:rPr>
        <w:t>Delphinium</w:t>
      </w:r>
      <w:r>
        <w:rPr>
          <w:rFonts w:hint="eastAsia" w:ascii="Times New Roman" w:hAnsi="Times New Roman" w:cs="Times New Roman"/>
          <w:color w:val="000000" w:themeColor="text1"/>
          <w:sz w:val="24"/>
          <w:szCs w:val="24"/>
          <w14:textFill>
            <w14:solidFill>
              <w14:schemeClr w14:val="tx1"/>
            </w14:solidFill>
          </w14:textFill>
        </w:rPr>
        <w:t>）、蔷薇属（</w:t>
      </w:r>
      <w:r>
        <w:rPr>
          <w:rFonts w:hint="eastAsia" w:ascii="Times New Roman" w:hAnsi="Times New Roman" w:cs="Times New Roman"/>
          <w:i/>
          <w:color w:val="000000" w:themeColor="text1"/>
          <w:sz w:val="24"/>
          <w:szCs w:val="24"/>
          <w14:textFill>
            <w14:solidFill>
              <w14:schemeClr w14:val="tx1"/>
            </w14:solidFill>
          </w14:textFill>
        </w:rPr>
        <w:t>Risa</w:t>
      </w:r>
      <w:r>
        <w:rPr>
          <w:rFonts w:hint="eastAsia" w:ascii="Times New Roman" w:hAnsi="Times New Roman" w:cs="Times New Roman"/>
          <w:color w:val="000000" w:themeColor="text1"/>
          <w:sz w:val="24"/>
          <w:szCs w:val="24"/>
          <w14:textFill>
            <w14:solidFill>
              <w14:schemeClr w14:val="tx1"/>
            </w14:solidFill>
          </w14:textFill>
        </w:rPr>
        <w:t>）、鸢尾属（</w:t>
      </w:r>
      <w:r>
        <w:rPr>
          <w:rFonts w:hint="eastAsia" w:ascii="Times New Roman" w:hAnsi="Times New Roman" w:cs="Times New Roman"/>
          <w:i/>
          <w:color w:val="000000" w:themeColor="text1"/>
          <w:sz w:val="24"/>
          <w:szCs w:val="24"/>
          <w14:textFill>
            <w14:solidFill>
              <w14:schemeClr w14:val="tx1"/>
            </w14:solidFill>
          </w14:textFill>
        </w:rPr>
        <w:t>Iris</w:t>
      </w:r>
      <w:r>
        <w:rPr>
          <w:rFonts w:hint="eastAsia" w:ascii="Times New Roman" w:hAnsi="Times New Roman" w:cs="Times New Roman"/>
          <w:color w:val="000000" w:themeColor="text1"/>
          <w:sz w:val="24"/>
          <w:szCs w:val="24"/>
          <w14:textFill>
            <w14:solidFill>
              <w14:schemeClr w14:val="tx1"/>
            </w14:solidFill>
          </w14:textFill>
        </w:rPr>
        <w:t>）、凤仙花（</w:t>
      </w:r>
      <w:r>
        <w:rPr>
          <w:rFonts w:hint="eastAsia" w:ascii="Times New Roman" w:hAnsi="Times New Roman" w:cs="Times New Roman"/>
          <w:i/>
          <w:color w:val="000000" w:themeColor="text1"/>
          <w:sz w:val="24"/>
          <w:szCs w:val="24"/>
          <w14:textFill>
            <w14:solidFill>
              <w14:schemeClr w14:val="tx1"/>
            </w14:solidFill>
          </w14:textFill>
        </w:rPr>
        <w:t>Imperata</w:t>
      </w:r>
      <w:r>
        <w:rPr>
          <w:rFonts w:hint="eastAsia" w:ascii="Times New Roman" w:hAnsi="Times New Roman" w:cs="Times New Roman"/>
          <w:color w:val="000000" w:themeColor="text1"/>
          <w:sz w:val="24"/>
          <w:szCs w:val="24"/>
          <w14:textFill>
            <w14:solidFill>
              <w14:schemeClr w14:val="tx1"/>
            </w14:solidFill>
          </w14:textFill>
        </w:rPr>
        <w:t>）等属及数种兰科（</w:t>
      </w:r>
      <w:r>
        <w:rPr>
          <w:rFonts w:hint="eastAsia" w:ascii="Times New Roman" w:hAnsi="Times New Roman" w:cs="Times New Roman"/>
          <w:i/>
          <w:color w:val="000000" w:themeColor="text1"/>
          <w:sz w:val="24"/>
          <w:szCs w:val="24"/>
          <w14:textFill>
            <w14:solidFill>
              <w14:schemeClr w14:val="tx1"/>
            </w14:solidFill>
          </w14:textFill>
        </w:rPr>
        <w:t>Orchidaceae</w:t>
      </w:r>
      <w:r>
        <w:rPr>
          <w:rFonts w:hint="eastAsia" w:ascii="Times New Roman" w:hAnsi="Times New Roman" w:cs="Times New Roman"/>
          <w:color w:val="000000" w:themeColor="text1"/>
          <w:sz w:val="24"/>
          <w:szCs w:val="24"/>
          <w14:textFill>
            <w14:solidFill>
              <w14:schemeClr w14:val="tx1"/>
            </w14:solidFill>
          </w14:textFill>
        </w:rPr>
        <w:t>）植物，主要是集中在春夏季开花。</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主要食用植物有：中国沙棘（</w:t>
      </w:r>
      <w:r>
        <w:rPr>
          <w:rFonts w:hint="eastAsia" w:ascii="Times New Roman" w:hAnsi="Times New Roman" w:cs="Times New Roman"/>
          <w:i/>
          <w:color w:val="000000" w:themeColor="text1"/>
          <w:sz w:val="24"/>
          <w:szCs w:val="24"/>
          <w14:textFill>
            <w14:solidFill>
              <w14:schemeClr w14:val="tx1"/>
            </w14:solidFill>
          </w14:textFill>
        </w:rPr>
        <w:t>Hippophae rhamnoides</w:t>
      </w:r>
      <w:r>
        <w:rPr>
          <w:rFonts w:hint="eastAsia" w:ascii="Times New Roman" w:hAnsi="Times New Roman" w:cs="Times New Roman"/>
          <w:color w:val="000000" w:themeColor="text1"/>
          <w:sz w:val="24"/>
          <w:szCs w:val="24"/>
          <w14:textFill>
            <w14:solidFill>
              <w14:schemeClr w14:val="tx1"/>
            </w14:solidFill>
          </w14:textFill>
        </w:rPr>
        <w:t>）、青稞（</w:t>
      </w:r>
      <w:r>
        <w:rPr>
          <w:rFonts w:hint="eastAsia" w:ascii="Times New Roman" w:hAnsi="Times New Roman" w:cs="Times New Roman"/>
          <w:i/>
          <w:color w:val="000000" w:themeColor="text1"/>
          <w:sz w:val="24"/>
          <w:szCs w:val="24"/>
          <w14:textFill>
            <w14:solidFill>
              <w14:schemeClr w14:val="tx1"/>
            </w14:solidFill>
          </w14:textFill>
        </w:rPr>
        <w:t>Hordeumvulgare</w:t>
      </w:r>
      <w:r>
        <w:rPr>
          <w:rFonts w:hint="eastAsia" w:ascii="Times New Roman" w:hAnsi="Times New Roman" w:cs="Times New Roman"/>
          <w:color w:val="000000" w:themeColor="text1"/>
          <w:sz w:val="24"/>
          <w:szCs w:val="24"/>
          <w14:textFill>
            <w14:solidFill>
              <w14:schemeClr w14:val="tx1"/>
            </w14:solidFill>
          </w14:textFill>
        </w:rPr>
        <w:t>）、羊茅（</w:t>
      </w:r>
      <w:r>
        <w:rPr>
          <w:rFonts w:hint="eastAsia" w:ascii="Times New Roman" w:hAnsi="Times New Roman" w:cs="Times New Roman"/>
          <w:i/>
          <w:color w:val="000000" w:themeColor="text1"/>
          <w:sz w:val="24"/>
          <w:szCs w:val="24"/>
          <w14:textFill>
            <w14:solidFill>
              <w14:schemeClr w14:val="tx1"/>
            </w14:solidFill>
          </w14:textFill>
        </w:rPr>
        <w:t>Festuca ovina</w:t>
      </w:r>
      <w:r>
        <w:rPr>
          <w:rFonts w:hint="eastAsia" w:ascii="Times New Roman" w:hAnsi="Times New Roman" w:cs="Times New Roman"/>
          <w:color w:val="000000" w:themeColor="text1"/>
          <w:sz w:val="24"/>
          <w:szCs w:val="24"/>
          <w14:textFill>
            <w14:solidFill>
              <w14:schemeClr w14:val="tx1"/>
            </w14:solidFill>
          </w14:textFill>
        </w:rPr>
        <w:t>）、歪头菜（</w:t>
      </w:r>
      <w:r>
        <w:rPr>
          <w:rFonts w:hint="eastAsia" w:ascii="Times New Roman" w:hAnsi="Times New Roman" w:cs="Times New Roman"/>
          <w:i/>
          <w:color w:val="000000" w:themeColor="text1"/>
          <w:sz w:val="24"/>
          <w:szCs w:val="24"/>
          <w14:textFill>
            <w14:solidFill>
              <w14:schemeClr w14:val="tx1"/>
            </w14:solidFill>
          </w14:textFill>
        </w:rPr>
        <w:t>Vicia unijuga</w:t>
      </w:r>
      <w:r>
        <w:rPr>
          <w:rFonts w:hint="eastAsia" w:ascii="Times New Roman" w:hAnsi="Times New Roman" w:cs="Times New Roman"/>
          <w:color w:val="000000" w:themeColor="text1"/>
          <w:sz w:val="24"/>
          <w:szCs w:val="24"/>
          <w14:textFill>
            <w14:solidFill>
              <w14:schemeClr w14:val="tx1"/>
            </w14:solidFill>
          </w14:textFill>
        </w:rPr>
        <w:t>）、苦荞麦（</w:t>
      </w:r>
      <w:r>
        <w:rPr>
          <w:rFonts w:hint="eastAsia" w:ascii="Times New Roman" w:hAnsi="Times New Roman" w:cs="Times New Roman"/>
          <w:i/>
          <w:color w:val="000000" w:themeColor="text1"/>
          <w:sz w:val="24"/>
          <w:szCs w:val="24"/>
          <w14:textFill>
            <w14:solidFill>
              <w14:schemeClr w14:val="tx1"/>
            </w14:solidFill>
          </w14:textFill>
        </w:rPr>
        <w:t>Fagopyrumtataricum</w:t>
      </w:r>
      <w:r>
        <w:rPr>
          <w:rFonts w:hint="eastAsia" w:ascii="Times New Roman" w:hAnsi="Times New Roman" w:cs="Times New Roman"/>
          <w:color w:val="000000" w:themeColor="text1"/>
          <w:sz w:val="24"/>
          <w:szCs w:val="24"/>
          <w14:textFill>
            <w14:solidFill>
              <w14:schemeClr w14:val="tx1"/>
            </w14:solidFill>
          </w14:textFill>
        </w:rPr>
        <w:t>）等。</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区域内的优良牧草植物较多，禾本科、豆科、蓼科等科的种类多优良牧草，为牲口野外饲草或圈羊牲畜的饲料资源，如毛颖早熟禾（</w:t>
      </w:r>
      <w:r>
        <w:rPr>
          <w:rFonts w:hint="eastAsia" w:ascii="Times New Roman" w:hAnsi="Times New Roman" w:cs="Times New Roman"/>
          <w:i/>
          <w:color w:val="000000" w:themeColor="text1"/>
          <w:sz w:val="24"/>
          <w:szCs w:val="24"/>
          <w14:textFill>
            <w14:solidFill>
              <w14:schemeClr w14:val="tx1"/>
            </w14:solidFill>
          </w14:textFill>
        </w:rPr>
        <w:t>Poa pubicalyx</w:t>
      </w:r>
      <w:r>
        <w:rPr>
          <w:rFonts w:hint="eastAsia" w:ascii="Times New Roman" w:hAnsi="Times New Roman" w:cs="Times New Roman"/>
          <w:color w:val="000000" w:themeColor="text1"/>
          <w:sz w:val="24"/>
          <w:szCs w:val="24"/>
          <w14:textFill>
            <w14:solidFill>
              <w14:schemeClr w14:val="tx1"/>
            </w14:solidFill>
          </w14:textFill>
        </w:rPr>
        <w:t>）、狗尾草（</w:t>
      </w:r>
      <w:r>
        <w:rPr>
          <w:rFonts w:hint="eastAsia" w:ascii="Times New Roman" w:hAnsi="Times New Roman" w:cs="Times New Roman"/>
          <w:i/>
          <w:color w:val="000000" w:themeColor="text1"/>
          <w:sz w:val="24"/>
          <w:szCs w:val="24"/>
          <w14:textFill>
            <w14:solidFill>
              <w14:schemeClr w14:val="tx1"/>
            </w14:solidFill>
          </w14:textFill>
        </w:rPr>
        <w:t>Setariaviridis</w:t>
      </w:r>
      <w:r>
        <w:rPr>
          <w:rFonts w:hint="eastAsia" w:ascii="Times New Roman" w:hAnsi="Times New Roman" w:cs="Times New Roman"/>
          <w:color w:val="000000" w:themeColor="text1"/>
          <w:sz w:val="24"/>
          <w:szCs w:val="24"/>
          <w14:textFill>
            <w14:solidFill>
              <w14:schemeClr w14:val="tx1"/>
            </w14:solidFill>
          </w14:textFill>
        </w:rPr>
        <w:t>）、雅致山蚂蝗（</w:t>
      </w:r>
      <w:r>
        <w:rPr>
          <w:rFonts w:hint="eastAsia" w:ascii="Times New Roman" w:hAnsi="Times New Roman" w:cs="Times New Roman"/>
          <w:i/>
          <w:color w:val="000000" w:themeColor="text1"/>
          <w:sz w:val="24"/>
          <w:szCs w:val="24"/>
          <w14:textFill>
            <w14:solidFill>
              <w14:schemeClr w14:val="tx1"/>
            </w14:solidFill>
          </w14:textFill>
        </w:rPr>
        <w:t>Desmodium elegan</w:t>
      </w:r>
      <w:r>
        <w:rPr>
          <w:rFonts w:hint="eastAsia" w:ascii="Times New Roman" w:hAnsi="Times New Roman" w:cs="Times New Roman"/>
          <w:color w:val="000000" w:themeColor="text1"/>
          <w:sz w:val="24"/>
          <w:szCs w:val="24"/>
          <w14:textFill>
            <w14:solidFill>
              <w14:schemeClr w14:val="tx1"/>
            </w14:solidFill>
          </w14:textFill>
        </w:rPr>
        <w:t>）、垂穗披碱草（</w:t>
      </w:r>
      <w:r>
        <w:rPr>
          <w:rFonts w:hint="eastAsia" w:ascii="Times New Roman" w:hAnsi="Times New Roman" w:cs="Times New Roman"/>
          <w:i/>
          <w:color w:val="000000" w:themeColor="text1"/>
          <w:sz w:val="24"/>
          <w:szCs w:val="24"/>
          <w14:textFill>
            <w14:solidFill>
              <w14:schemeClr w14:val="tx1"/>
            </w14:solidFill>
          </w14:textFill>
        </w:rPr>
        <w:t>Elymus nutans</w:t>
      </w:r>
      <w:r>
        <w:rPr>
          <w:rFonts w:hint="eastAsia" w:ascii="Times New Roman" w:hAnsi="Times New Roman" w:cs="Times New Roman"/>
          <w:color w:val="000000" w:themeColor="text1"/>
          <w:sz w:val="24"/>
          <w:szCs w:val="24"/>
          <w14:textFill>
            <w14:solidFill>
              <w14:schemeClr w14:val="tx1"/>
            </w14:solidFill>
          </w14:textFill>
        </w:rPr>
        <w:t>）、紫羊茅（</w:t>
      </w:r>
      <w:r>
        <w:rPr>
          <w:rFonts w:hint="eastAsia" w:ascii="Times New Roman" w:hAnsi="Times New Roman" w:cs="Times New Roman"/>
          <w:i/>
          <w:color w:val="000000" w:themeColor="text1"/>
          <w:sz w:val="24"/>
          <w:szCs w:val="24"/>
          <w14:textFill>
            <w14:solidFill>
              <w14:schemeClr w14:val="tx1"/>
            </w14:solidFill>
          </w14:textFill>
        </w:rPr>
        <w:t>Festucarubra</w:t>
      </w:r>
      <w:r>
        <w:rPr>
          <w:rFonts w:hint="eastAsia" w:ascii="Times New Roman" w:hAnsi="Times New Roman" w:cs="Times New Roman"/>
          <w:color w:val="000000" w:themeColor="text1"/>
          <w:sz w:val="24"/>
          <w:szCs w:val="24"/>
          <w14:textFill>
            <w14:solidFill>
              <w14:schemeClr w14:val="tx1"/>
            </w14:solidFill>
          </w14:textFill>
        </w:rPr>
        <w:t>）、羊茅（</w:t>
      </w:r>
      <w:r>
        <w:rPr>
          <w:rFonts w:hint="eastAsia" w:ascii="Times New Roman" w:hAnsi="Times New Roman" w:cs="Times New Roman"/>
          <w:i/>
          <w:color w:val="000000" w:themeColor="text1"/>
          <w:sz w:val="24"/>
          <w:szCs w:val="24"/>
          <w14:textFill>
            <w14:solidFill>
              <w14:schemeClr w14:val="tx1"/>
            </w14:solidFill>
          </w14:textFill>
        </w:rPr>
        <w:t>Festuca ovina</w:t>
      </w:r>
      <w:r>
        <w:rPr>
          <w:rFonts w:hint="eastAsia" w:ascii="Times New Roman" w:hAnsi="Times New Roman" w:cs="Times New Roman"/>
          <w:color w:val="000000" w:themeColor="text1"/>
          <w:sz w:val="24"/>
          <w:szCs w:val="24"/>
          <w14:textFill>
            <w14:solidFill>
              <w14:schemeClr w14:val="tx1"/>
            </w14:solidFill>
          </w14:textFill>
        </w:rPr>
        <w:t>）等。</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根据金川奥伊诺矿业公司介绍当地群众对于这些野生植物的利用主要</w:t>
      </w:r>
      <w:r>
        <w:rPr>
          <w:rFonts w:hint="eastAsia" w:ascii="Times New Roman" w:hAnsi="Times New Roman" w:cs="Times New Roman"/>
          <w:color w:val="000000" w:themeColor="text1"/>
          <w:sz w:val="24"/>
          <w:szCs w:val="24"/>
          <w:lang w:val="en-US" w:eastAsia="zh-CN"/>
          <w14:textFill>
            <w14:solidFill>
              <w14:schemeClr w14:val="tx1"/>
            </w14:solidFill>
          </w14:textFill>
        </w:rPr>
        <w:t>是</w:t>
      </w:r>
      <w:r>
        <w:rPr>
          <w:rFonts w:hint="eastAsia" w:ascii="Times New Roman" w:hAnsi="Times New Roman" w:cs="Times New Roman"/>
          <w:color w:val="000000" w:themeColor="text1"/>
          <w:sz w:val="24"/>
          <w:szCs w:val="24"/>
          <w14:textFill>
            <w14:solidFill>
              <w14:schemeClr w14:val="tx1"/>
            </w14:solidFill>
          </w14:textFill>
        </w:rPr>
        <w:t>零星的采收，没有对其日常生活和经济来源构成直接的依存关系。</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2、露天废矿石场和露天矿采矿场植被情况</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周边植被主要以草原杜鹃群落和金露梅、绣线菊灌丛为主。灌木层主要有灌木物种有：绣线菊（</w:t>
      </w:r>
      <w:r>
        <w:rPr>
          <w:rFonts w:hint="eastAsia" w:ascii="Times New Roman" w:hAnsi="Times New Roman" w:cs="Times New Roman"/>
          <w:i/>
          <w:color w:val="000000" w:themeColor="text1"/>
          <w:sz w:val="24"/>
          <w:szCs w:val="24"/>
          <w14:textFill>
            <w14:solidFill>
              <w14:schemeClr w14:val="tx1"/>
            </w14:solidFill>
          </w14:textFill>
        </w:rPr>
        <w:t>Spiraea salicifolia</w:t>
      </w:r>
      <w:r>
        <w:rPr>
          <w:rFonts w:hint="eastAsia" w:ascii="Times New Roman" w:hAnsi="Times New Roman" w:cs="Times New Roman"/>
          <w:color w:val="000000" w:themeColor="text1"/>
          <w:sz w:val="24"/>
          <w:szCs w:val="24"/>
          <w14:textFill>
            <w14:solidFill>
              <w14:schemeClr w14:val="tx1"/>
            </w14:solidFill>
          </w14:textFill>
        </w:rPr>
        <w:t>）、金露梅（</w:t>
      </w:r>
      <w:r>
        <w:rPr>
          <w:rFonts w:hint="eastAsia" w:ascii="Times New Roman" w:hAnsi="Times New Roman" w:cs="Times New Roman"/>
          <w:i/>
          <w:color w:val="000000" w:themeColor="text1"/>
          <w:sz w:val="24"/>
          <w:szCs w:val="24"/>
          <w14:textFill>
            <w14:solidFill>
              <w14:schemeClr w14:val="tx1"/>
            </w14:solidFill>
          </w14:textFill>
        </w:rPr>
        <w:t>Potentilla fruticosa</w:t>
      </w:r>
      <w:r>
        <w:rPr>
          <w:rFonts w:hint="eastAsia" w:ascii="Times New Roman" w:hAnsi="Times New Roman" w:cs="Times New Roman"/>
          <w:color w:val="000000" w:themeColor="text1"/>
          <w:sz w:val="24"/>
          <w:szCs w:val="24"/>
          <w14:textFill>
            <w14:solidFill>
              <w14:schemeClr w14:val="tx1"/>
            </w14:solidFill>
          </w14:textFill>
        </w:rPr>
        <w:t>）、多种杜鹃（</w:t>
      </w:r>
      <w:r>
        <w:rPr>
          <w:rStyle w:val="78"/>
          <w:i/>
          <w:iCs/>
        </w:rPr>
        <w:t>Rhododendron</w:t>
      </w:r>
      <w:r>
        <w:rPr>
          <w:rStyle w:val="78"/>
          <w:rFonts w:hint="eastAsia" w:eastAsia="宋体"/>
          <w:i/>
          <w:iCs/>
        </w:rPr>
        <w:t xml:space="preserve"> </w:t>
      </w:r>
      <w:r>
        <w:rPr>
          <w:rStyle w:val="78"/>
          <w:i/>
          <w:iCs/>
        </w:rPr>
        <w:t>spp</w:t>
      </w:r>
      <w:r>
        <w:rPr>
          <w:rFonts w:hint="eastAsia" w:ascii="Times New Roman" w:hAnsi="Times New Roman" w:cs="Times New Roman"/>
          <w:color w:val="000000" w:themeColor="text1"/>
          <w:sz w:val="24"/>
          <w:szCs w:val="24"/>
          <w14:textFill>
            <w14:solidFill>
              <w14:schemeClr w14:val="tx1"/>
            </w14:solidFill>
          </w14:textFill>
        </w:rPr>
        <w:t>）</w:t>
      </w:r>
      <w:r>
        <w:rPr>
          <w:rStyle w:val="79"/>
        </w:rPr>
        <w:t>、及少量蔷薇（</w:t>
      </w:r>
      <w:r>
        <w:rPr>
          <w:rStyle w:val="78"/>
          <w:i/>
          <w:iCs/>
        </w:rPr>
        <w:t>Rosa spp</w:t>
      </w:r>
      <w:r>
        <w:rPr>
          <w:rStyle w:val="79"/>
        </w:rPr>
        <w:t>）等</w:t>
      </w:r>
      <w:r>
        <w:rPr>
          <w:rStyle w:val="79"/>
          <w:rFonts w:hint="eastAsia"/>
        </w:rPr>
        <w:t>。草本层优势种主要为</w:t>
      </w:r>
      <w:r>
        <w:rPr>
          <w:rFonts w:hint="eastAsia" w:ascii="Times New Roman" w:hAnsi="Times New Roman" w:cs="Times New Roman"/>
          <w:color w:val="000000" w:themeColor="text1"/>
          <w:sz w:val="24"/>
          <w:szCs w:val="24"/>
          <w14:textFill>
            <w14:solidFill>
              <w14:schemeClr w14:val="tx1"/>
            </w14:solidFill>
          </w14:textFill>
        </w:rPr>
        <w:t>穿心莛子藨（</w:t>
      </w:r>
      <w:r>
        <w:rPr>
          <w:rFonts w:hint="eastAsia" w:ascii="Times New Roman" w:hAnsi="Times New Roman" w:cs="Times New Roman"/>
          <w:i/>
          <w:color w:val="000000" w:themeColor="text1"/>
          <w:sz w:val="24"/>
          <w:szCs w:val="24"/>
          <w14:textFill>
            <w14:solidFill>
              <w14:schemeClr w14:val="tx1"/>
            </w14:solidFill>
          </w14:textFill>
        </w:rPr>
        <w:t>Triosteum himalayanum</w:t>
      </w:r>
      <w:r>
        <w:rPr>
          <w:rFonts w:hint="eastAsia" w:ascii="Times New Roman" w:hAnsi="Times New Roman" w:cs="Times New Roman"/>
          <w:color w:val="000000" w:themeColor="text1"/>
          <w:sz w:val="24"/>
          <w:szCs w:val="24"/>
          <w14:textFill>
            <w14:solidFill>
              <w14:schemeClr w14:val="tx1"/>
            </w14:solidFill>
          </w14:textFill>
        </w:rPr>
        <w:t>）、矛叶荩草（</w:t>
      </w:r>
      <w:r>
        <w:rPr>
          <w:rFonts w:hint="eastAsia" w:ascii="Times New Roman" w:hAnsi="Times New Roman" w:cs="Times New Roman"/>
          <w:i/>
          <w:color w:val="000000" w:themeColor="text1"/>
          <w:sz w:val="24"/>
          <w:szCs w:val="24"/>
          <w14:textFill>
            <w14:solidFill>
              <w14:schemeClr w14:val="tx1"/>
            </w14:solidFill>
          </w14:textFill>
        </w:rPr>
        <w:t>Arthraxon prionodes</w:t>
      </w:r>
      <w:r>
        <w:rPr>
          <w:rFonts w:hint="eastAsia" w:ascii="Times New Roman" w:hAnsi="Times New Roman" w:cs="Times New Roman"/>
          <w:color w:val="000000" w:themeColor="text1"/>
          <w:sz w:val="24"/>
          <w:szCs w:val="24"/>
          <w14:textFill>
            <w14:solidFill>
              <w14:schemeClr w14:val="tx1"/>
            </w14:solidFill>
          </w14:textFill>
        </w:rPr>
        <w:t>）、芒草（</w:t>
      </w:r>
      <w:r>
        <w:rPr>
          <w:rFonts w:hint="eastAsia" w:ascii="Times New Roman" w:hAnsi="Times New Roman" w:cs="Times New Roman"/>
          <w:i/>
          <w:color w:val="000000" w:themeColor="text1"/>
          <w:sz w:val="24"/>
          <w:szCs w:val="24"/>
          <w14:textFill>
            <w14:solidFill>
              <w14:schemeClr w14:val="tx1"/>
            </w14:solidFill>
          </w14:textFill>
        </w:rPr>
        <w:t>Andropogon yunnanensis</w:t>
      </w:r>
      <w:r>
        <w:rPr>
          <w:rFonts w:hint="eastAsia" w:ascii="Times New Roman" w:hAnsi="Times New Roman" w:cs="Times New Roman"/>
          <w:color w:val="000000" w:themeColor="text1"/>
          <w:sz w:val="24"/>
          <w:szCs w:val="24"/>
          <w14:textFill>
            <w14:solidFill>
              <w14:schemeClr w14:val="tx1"/>
            </w14:solidFill>
          </w14:textFill>
        </w:rPr>
        <w:t>）、四川嵩草（</w:t>
      </w:r>
      <w:r>
        <w:rPr>
          <w:rFonts w:hint="eastAsia" w:ascii="Times New Roman" w:hAnsi="Times New Roman" w:cs="Times New Roman"/>
          <w:i/>
          <w:color w:val="000000" w:themeColor="text1"/>
          <w:sz w:val="24"/>
          <w:szCs w:val="24"/>
          <w14:textFill>
            <w14:solidFill>
              <w14:schemeClr w14:val="tx1"/>
            </w14:solidFill>
          </w14:textFill>
        </w:rPr>
        <w:t>Kobresia setchwanensis</w:t>
      </w:r>
      <w:r>
        <w:rPr>
          <w:rFonts w:hint="eastAsia" w:ascii="Times New Roman" w:hAnsi="Times New Roman" w:cs="Times New Roman"/>
          <w:color w:val="000000" w:themeColor="text1"/>
          <w:sz w:val="24"/>
          <w:szCs w:val="24"/>
          <w14:textFill>
            <w14:solidFill>
              <w14:schemeClr w14:val="tx1"/>
            </w14:solidFill>
          </w14:textFill>
        </w:rPr>
        <w:t>）、川藏蒲公英（</w:t>
      </w:r>
      <w:r>
        <w:rPr>
          <w:rFonts w:hint="eastAsia" w:ascii="Times New Roman" w:hAnsi="Times New Roman" w:cs="Times New Roman"/>
          <w:i/>
          <w:color w:val="000000" w:themeColor="text1"/>
          <w:sz w:val="24"/>
          <w:szCs w:val="24"/>
          <w14:textFill>
            <w14:solidFill>
              <w14:schemeClr w14:val="tx1"/>
            </w14:solidFill>
          </w14:textFill>
        </w:rPr>
        <w:t>Taraxacum maurocarpum</w:t>
      </w:r>
      <w:r>
        <w:rPr>
          <w:rFonts w:hint="eastAsia" w:ascii="Times New Roman" w:hAnsi="Times New Roman" w:cs="Times New Roman"/>
          <w:color w:val="000000" w:themeColor="text1"/>
          <w:sz w:val="24"/>
          <w:szCs w:val="24"/>
          <w14:textFill>
            <w14:solidFill>
              <w14:schemeClr w14:val="tx1"/>
            </w14:solidFill>
          </w14:textFill>
        </w:rPr>
        <w:t>）、高原早熟禾（</w:t>
      </w:r>
      <w:r>
        <w:rPr>
          <w:rFonts w:hint="eastAsia" w:ascii="Times New Roman" w:hAnsi="Times New Roman" w:cs="Times New Roman"/>
          <w:i/>
          <w:color w:val="000000" w:themeColor="text1"/>
          <w:sz w:val="24"/>
          <w:szCs w:val="24"/>
          <w14:textFill>
            <w14:solidFill>
              <w14:schemeClr w14:val="tx1"/>
            </w14:solidFill>
          </w14:textFill>
        </w:rPr>
        <w:t>Poa alpigna</w:t>
      </w:r>
      <w:r>
        <w:rPr>
          <w:rFonts w:hint="eastAsia" w:ascii="Times New Roman" w:hAnsi="Times New Roman" w:cs="Times New Roman"/>
          <w:color w:val="000000" w:themeColor="text1"/>
          <w:sz w:val="24"/>
          <w:szCs w:val="24"/>
          <w14:textFill>
            <w14:solidFill>
              <w14:schemeClr w14:val="tx1"/>
            </w14:solidFill>
          </w14:textFill>
        </w:rPr>
        <w:t>）、千里光（</w:t>
      </w:r>
      <w:r>
        <w:rPr>
          <w:rFonts w:hint="eastAsia" w:ascii="Times New Roman" w:hAnsi="Times New Roman" w:cs="Times New Roman"/>
          <w:i/>
          <w:color w:val="000000" w:themeColor="text1"/>
          <w:sz w:val="24"/>
          <w:szCs w:val="24"/>
          <w14:textFill>
            <w14:solidFill>
              <w14:schemeClr w14:val="tx1"/>
            </w14:solidFill>
          </w14:textFill>
        </w:rPr>
        <w:t>Senecio scandens</w:t>
      </w:r>
      <w:r>
        <w:rPr>
          <w:rFonts w:hint="eastAsia" w:ascii="Times New Roman" w:hAnsi="Times New Roman" w:cs="Times New Roman"/>
          <w:color w:val="000000" w:themeColor="text1"/>
          <w:sz w:val="24"/>
          <w:szCs w:val="24"/>
          <w14:textFill>
            <w14:solidFill>
              <w14:schemeClr w14:val="tx1"/>
            </w14:solidFill>
          </w14:textFill>
        </w:rPr>
        <w:t>）等。</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3、坑采基建废石场</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周边区域的植被主要是紫果云杉林群落和桦木林群落为主。乔木树种以紫果云杉（</w:t>
      </w:r>
      <w:r>
        <w:rPr>
          <w:rFonts w:hint="eastAsia" w:ascii="Times New Roman" w:hAnsi="Times New Roman" w:cs="Times New Roman"/>
          <w:i/>
          <w:iCs/>
          <w:color w:val="000000" w:themeColor="text1"/>
          <w:sz w:val="24"/>
          <w:szCs w:val="24"/>
          <w14:textFill>
            <w14:solidFill>
              <w14:schemeClr w14:val="tx1"/>
            </w14:solidFill>
          </w14:textFill>
        </w:rPr>
        <w:t>Picea purpurea</w:t>
      </w:r>
      <w:r>
        <w:rPr>
          <w:rFonts w:hint="eastAsia" w:ascii="Times New Roman" w:hAnsi="Times New Roman" w:cs="Times New Roman"/>
          <w:color w:val="000000" w:themeColor="text1"/>
          <w:sz w:val="24"/>
          <w:szCs w:val="24"/>
          <w14:textFill>
            <w14:solidFill>
              <w14:schemeClr w14:val="tx1"/>
            </w14:solidFill>
          </w14:textFill>
        </w:rPr>
        <w:t>）、白桦（</w:t>
      </w:r>
      <w:r>
        <w:rPr>
          <w:rFonts w:hint="eastAsia" w:ascii="Times New Roman" w:hAnsi="Times New Roman" w:cs="Times New Roman"/>
          <w:i/>
          <w:iCs/>
          <w:color w:val="000000" w:themeColor="text1"/>
          <w:sz w:val="24"/>
          <w:szCs w:val="24"/>
          <w14:textFill>
            <w14:solidFill>
              <w14:schemeClr w14:val="tx1"/>
            </w14:solidFill>
          </w14:textFill>
        </w:rPr>
        <w:t>Betula platyphylla</w:t>
      </w:r>
      <w:r>
        <w:rPr>
          <w:rFonts w:hint="eastAsia" w:ascii="Times New Roman" w:hAnsi="Times New Roman" w:cs="Times New Roman"/>
          <w:color w:val="000000" w:themeColor="text1"/>
          <w:sz w:val="24"/>
          <w:szCs w:val="24"/>
          <w14:textFill>
            <w14:solidFill>
              <w14:schemeClr w14:val="tx1"/>
            </w14:solidFill>
          </w14:textFill>
        </w:rPr>
        <w:t>）、青榨槭（</w:t>
      </w:r>
      <w:r>
        <w:rPr>
          <w:rFonts w:hint="eastAsia" w:ascii="Times New Roman" w:hAnsi="Times New Roman" w:cs="Times New Roman"/>
          <w:i/>
          <w:iCs/>
          <w:color w:val="000000" w:themeColor="text1"/>
          <w:sz w:val="24"/>
          <w:szCs w:val="24"/>
          <w14:textFill>
            <w14:solidFill>
              <w14:schemeClr w14:val="tx1"/>
            </w14:solidFill>
          </w14:textFill>
        </w:rPr>
        <w:t>Acer davidii</w:t>
      </w:r>
      <w:r>
        <w:rPr>
          <w:rFonts w:hint="eastAsia" w:ascii="Times New Roman" w:hAnsi="Times New Roman" w:cs="Times New Roman"/>
          <w:color w:val="000000" w:themeColor="text1"/>
          <w:sz w:val="24"/>
          <w:szCs w:val="24"/>
          <w14:textFill>
            <w14:solidFill>
              <w14:schemeClr w14:val="tx1"/>
            </w14:solidFill>
          </w14:textFill>
        </w:rPr>
        <w:t>）等为主。灌木层主要为多种杜鹃（Rhododendron spp.）、刚毛忍冬（Lonicera hispida）、细枝茶藨子（</w:t>
      </w:r>
      <w:r>
        <w:rPr>
          <w:rFonts w:hint="eastAsia" w:ascii="Times New Roman" w:hAnsi="Times New Roman" w:cs="Times New Roman"/>
          <w:i/>
          <w:iCs/>
          <w:color w:val="000000" w:themeColor="text1"/>
          <w:sz w:val="24"/>
          <w:szCs w:val="24"/>
          <w14:textFill>
            <w14:solidFill>
              <w14:schemeClr w14:val="tx1"/>
            </w14:solidFill>
          </w14:textFill>
        </w:rPr>
        <w:t>Ribes tenue</w:t>
      </w:r>
      <w:r>
        <w:rPr>
          <w:rFonts w:hint="eastAsia" w:ascii="Times New Roman" w:hAnsi="Times New Roman" w:cs="Times New Roman"/>
          <w:color w:val="000000" w:themeColor="text1"/>
          <w:sz w:val="24"/>
          <w:szCs w:val="24"/>
          <w14:textFill>
            <w14:solidFill>
              <w14:schemeClr w14:val="tx1"/>
            </w14:solidFill>
          </w14:textFill>
        </w:rPr>
        <w:t>）、陕甘花楸（</w:t>
      </w:r>
      <w:r>
        <w:rPr>
          <w:rFonts w:hint="eastAsia" w:ascii="Times New Roman" w:hAnsi="Times New Roman" w:cs="Times New Roman"/>
          <w:i/>
          <w:iCs/>
          <w:color w:val="000000" w:themeColor="text1"/>
          <w:sz w:val="24"/>
          <w:szCs w:val="24"/>
          <w14:textFill>
            <w14:solidFill>
              <w14:schemeClr w14:val="tx1"/>
            </w14:solidFill>
          </w14:textFill>
        </w:rPr>
        <w:t>Sorbus koehneana</w:t>
      </w:r>
      <w:r>
        <w:rPr>
          <w:rFonts w:hint="eastAsia" w:ascii="Times New Roman" w:hAnsi="Times New Roman" w:cs="Times New Roman"/>
          <w:color w:val="000000" w:themeColor="text1"/>
          <w:sz w:val="24"/>
          <w:szCs w:val="24"/>
          <w14:textFill>
            <w14:solidFill>
              <w14:schemeClr w14:val="tx1"/>
            </w14:solidFill>
          </w14:textFill>
        </w:rPr>
        <w:t>）、川滇绣线菊（</w:t>
      </w:r>
      <w:r>
        <w:rPr>
          <w:rFonts w:hint="eastAsia" w:ascii="Times New Roman" w:hAnsi="Times New Roman" w:cs="Times New Roman"/>
          <w:i/>
          <w:iCs/>
          <w:color w:val="000000" w:themeColor="text1"/>
          <w:sz w:val="24"/>
          <w:szCs w:val="24"/>
          <w14:textFill>
            <w14:solidFill>
              <w14:schemeClr w14:val="tx1"/>
            </w14:solidFill>
          </w14:textFill>
        </w:rPr>
        <w:t>Spiraea schneideriana</w:t>
      </w:r>
      <w:r>
        <w:rPr>
          <w:rFonts w:hint="eastAsia" w:ascii="Times New Roman" w:hAnsi="Times New Roman" w:cs="Times New Roman"/>
          <w:color w:val="000000" w:themeColor="text1"/>
          <w:sz w:val="24"/>
          <w:szCs w:val="24"/>
          <w14:textFill>
            <w14:solidFill>
              <w14:schemeClr w14:val="tx1"/>
            </w14:solidFill>
          </w14:textFill>
        </w:rPr>
        <w:t>）、亮叶杜鹃（</w:t>
      </w:r>
      <w:r>
        <w:rPr>
          <w:rFonts w:hint="eastAsia" w:ascii="Times New Roman" w:hAnsi="Times New Roman" w:cs="Times New Roman"/>
          <w:i/>
          <w:iCs/>
          <w:color w:val="000000" w:themeColor="text1"/>
          <w:sz w:val="24"/>
          <w:szCs w:val="24"/>
          <w14:textFill>
            <w14:solidFill>
              <w14:schemeClr w14:val="tx1"/>
            </w14:solidFill>
          </w14:textFill>
        </w:rPr>
        <w:t>Rhododendron vernicosum</w:t>
      </w:r>
      <w:r>
        <w:rPr>
          <w:rFonts w:hint="eastAsia" w:ascii="Times New Roman" w:hAnsi="Times New Roman" w:cs="Times New Roman"/>
          <w:color w:val="000000" w:themeColor="text1"/>
          <w:sz w:val="24"/>
          <w:szCs w:val="24"/>
          <w14:textFill>
            <w14:solidFill>
              <w14:schemeClr w14:val="tx1"/>
            </w14:solidFill>
          </w14:textFill>
        </w:rPr>
        <w:t>）等为主；草本层优势种主要为羊茅（</w:t>
      </w:r>
      <w:r>
        <w:rPr>
          <w:rFonts w:hint="eastAsia" w:ascii="Times New Roman" w:hAnsi="Times New Roman" w:cs="Times New Roman"/>
          <w:i/>
          <w:iCs/>
          <w:color w:val="000000" w:themeColor="text1"/>
          <w:sz w:val="24"/>
          <w:szCs w:val="24"/>
          <w14:textFill>
            <w14:solidFill>
              <w14:schemeClr w14:val="tx1"/>
            </w14:solidFill>
          </w14:textFill>
        </w:rPr>
        <w:t>Festuca ovina</w:t>
      </w:r>
      <w:r>
        <w:rPr>
          <w:rFonts w:hint="eastAsia" w:ascii="Times New Roman" w:hAnsi="Times New Roman" w:cs="Times New Roman"/>
          <w:color w:val="000000" w:themeColor="text1"/>
          <w:sz w:val="24"/>
          <w:szCs w:val="24"/>
          <w14:textFill>
            <w14:solidFill>
              <w14:schemeClr w14:val="tx1"/>
            </w14:solidFill>
          </w14:textFill>
        </w:rPr>
        <w:t>）、鳞毛蕨（</w:t>
      </w:r>
      <w:r>
        <w:rPr>
          <w:rFonts w:hint="eastAsia" w:ascii="Times New Roman" w:hAnsi="Times New Roman" w:cs="Times New Roman"/>
          <w:i/>
          <w:iCs/>
          <w:color w:val="000000" w:themeColor="text1"/>
          <w:sz w:val="24"/>
          <w:szCs w:val="24"/>
          <w14:textFill>
            <w14:solidFill>
              <w14:schemeClr w14:val="tx1"/>
            </w14:solidFill>
          </w14:textFill>
        </w:rPr>
        <w:t>Dryopteris spp.</w:t>
      </w:r>
      <w:r>
        <w:rPr>
          <w:rFonts w:hint="eastAsia" w:ascii="Times New Roman" w:hAnsi="Times New Roman" w:cs="Times New Roman"/>
          <w:color w:val="000000" w:themeColor="text1"/>
          <w:sz w:val="24"/>
          <w:szCs w:val="24"/>
          <w14:textFill>
            <w14:solidFill>
              <w14:schemeClr w14:val="tx1"/>
            </w14:solidFill>
          </w14:textFill>
        </w:rPr>
        <w:t>）、矛叶荩草（</w:t>
      </w:r>
      <w:r>
        <w:rPr>
          <w:rFonts w:hint="eastAsia" w:ascii="Times New Roman" w:hAnsi="Times New Roman" w:cs="Times New Roman"/>
          <w:i/>
          <w:iCs/>
          <w:color w:val="000000" w:themeColor="text1"/>
          <w:sz w:val="24"/>
          <w:szCs w:val="24"/>
          <w14:textFill>
            <w14:solidFill>
              <w14:schemeClr w14:val="tx1"/>
            </w14:solidFill>
          </w14:textFill>
        </w:rPr>
        <w:t>Arthraxon prionodes</w:t>
      </w:r>
      <w:r>
        <w:rPr>
          <w:rFonts w:hint="eastAsia" w:ascii="Times New Roman" w:hAnsi="Times New Roman" w:cs="Times New Roman"/>
          <w:color w:val="000000" w:themeColor="text1"/>
          <w:sz w:val="24"/>
          <w:szCs w:val="24"/>
          <w14:textFill>
            <w14:solidFill>
              <w14:schemeClr w14:val="tx1"/>
            </w14:solidFill>
          </w14:textFill>
        </w:rPr>
        <w:t>）、千里光（</w:t>
      </w:r>
      <w:r>
        <w:rPr>
          <w:rFonts w:hint="eastAsia" w:ascii="Times New Roman" w:hAnsi="Times New Roman" w:cs="Times New Roman"/>
          <w:i/>
          <w:iCs/>
          <w:color w:val="000000" w:themeColor="text1"/>
          <w:sz w:val="24"/>
          <w:szCs w:val="24"/>
          <w14:textFill>
            <w14:solidFill>
              <w14:schemeClr w14:val="tx1"/>
            </w14:solidFill>
          </w14:textFill>
        </w:rPr>
        <w:t>Senecio scandens</w:t>
      </w:r>
      <w:r>
        <w:rPr>
          <w:rFonts w:hint="eastAsia" w:ascii="Times New Roman" w:hAnsi="Times New Roman" w:cs="Times New Roman"/>
          <w:color w:val="000000" w:themeColor="text1"/>
          <w:sz w:val="24"/>
          <w:szCs w:val="24"/>
          <w14:textFill>
            <w14:solidFill>
              <w14:schemeClr w14:val="tx1"/>
            </w14:solidFill>
          </w14:textFill>
        </w:rPr>
        <w:t>）、川藏蒲公英（</w:t>
      </w:r>
      <w:r>
        <w:rPr>
          <w:rFonts w:hint="eastAsia" w:ascii="Times New Roman" w:hAnsi="Times New Roman" w:cs="Times New Roman"/>
          <w:i/>
          <w:iCs/>
          <w:color w:val="000000" w:themeColor="text1"/>
          <w:sz w:val="24"/>
          <w:szCs w:val="24"/>
          <w14:textFill>
            <w14:solidFill>
              <w14:schemeClr w14:val="tx1"/>
            </w14:solidFill>
          </w14:textFill>
        </w:rPr>
        <w:t>Taraxacum maurocarpum</w:t>
      </w:r>
      <w:r>
        <w:rPr>
          <w:rFonts w:hint="eastAsia" w:ascii="Times New Roman" w:hAnsi="Times New Roman" w:cs="Times New Roman"/>
          <w:color w:val="000000" w:themeColor="text1"/>
          <w:sz w:val="24"/>
          <w:szCs w:val="24"/>
          <w14:textFill>
            <w14:solidFill>
              <w14:schemeClr w14:val="tx1"/>
            </w14:solidFill>
          </w14:textFill>
        </w:rPr>
        <w:t>）等。</w:t>
      </w:r>
    </w:p>
    <w:p>
      <w:pPr>
        <w:spacing w:line="360" w:lineRule="auto"/>
        <w:rPr>
          <w:rFonts w:ascii="Times New Roman" w:hAnsi="Times New Roman" w:cs="Times New Roman"/>
          <w:b/>
          <w:color w:val="000000" w:themeColor="text1"/>
          <w:sz w:val="24"/>
          <w:szCs w:val="24"/>
          <w14:textFill>
            <w14:solidFill>
              <w14:schemeClr w14:val="tx1"/>
            </w14:solidFill>
          </w14:textFill>
        </w:rPr>
      </w:pPr>
      <w:r>
        <w:rPr>
          <w:rFonts w:hint="eastAsia" w:ascii="Times New Roman" w:hAnsi="Times New Roman" w:cs="Times New Roman"/>
          <w:b/>
          <w:color w:val="000000" w:themeColor="text1"/>
          <w:sz w:val="24"/>
          <w:szCs w:val="24"/>
          <w14:textFill>
            <w14:solidFill>
              <w14:schemeClr w14:val="tx1"/>
            </w14:solidFill>
          </w14:textFill>
        </w:rPr>
        <w:t>5</w:t>
      </w:r>
      <w:r>
        <w:rPr>
          <w:rFonts w:ascii="Times New Roman" w:hAnsi="Times New Roman" w:cs="Times New Roman"/>
          <w:b/>
          <w:color w:val="000000" w:themeColor="text1"/>
          <w:sz w:val="24"/>
          <w:szCs w:val="24"/>
          <w14:textFill>
            <w14:solidFill>
              <w14:schemeClr w14:val="tx1"/>
            </w14:solidFill>
          </w14:textFill>
        </w:rPr>
        <w:t>.1.2.3 对陆生脊椎动物的影响</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根据金川奥伊诺矿业公司提供的资料显示，评价范围内共有陆生脊椎动物14目27科53种，其中，两栖动物2目4科5种，爬行动物2目2科2种，鸟类6目15科35种，兽类4目6科11种。有部分国家重点保护野生鸟类，无国家和省级保护两栖与爬行动物。两栖动物共有2目4科5种。其中有尾目动物1科1种，小鲵科的西藏山溪鲵（</w:t>
      </w:r>
      <w:r>
        <w:rPr>
          <w:rFonts w:hint="eastAsia" w:ascii="Times New Roman" w:hAnsi="Times New Roman" w:cs="Times New Roman"/>
          <w:i/>
          <w:color w:val="000000" w:themeColor="text1"/>
          <w:sz w:val="24"/>
          <w:szCs w:val="24"/>
          <w14:textFill>
            <w14:solidFill>
              <w14:schemeClr w14:val="tx1"/>
            </w14:solidFill>
          </w14:textFill>
        </w:rPr>
        <w:t>Batrachuperus tibetanusi</w:t>
      </w:r>
      <w:r>
        <w:rPr>
          <w:rFonts w:hint="eastAsia" w:ascii="Times New Roman" w:hAnsi="Times New Roman" w:cs="Times New Roman"/>
          <w:color w:val="000000" w:themeColor="text1"/>
          <w:sz w:val="24"/>
          <w:szCs w:val="24"/>
          <w14:textFill>
            <w14:solidFill>
              <w14:schemeClr w14:val="tx1"/>
            </w14:solidFill>
          </w14:textFill>
        </w:rPr>
        <w:t>）；无尾目动物3科4种，分别是角蟾科的胸腺猫眼蟾（</w:t>
      </w:r>
      <w:r>
        <w:rPr>
          <w:rFonts w:hint="eastAsia" w:ascii="Times New Roman" w:hAnsi="Times New Roman" w:cs="Times New Roman"/>
          <w:i/>
          <w:color w:val="000000" w:themeColor="text1"/>
          <w:sz w:val="24"/>
          <w:szCs w:val="24"/>
          <w14:textFill>
            <w14:solidFill>
              <w14:schemeClr w14:val="tx1"/>
            </w14:solidFill>
          </w14:textFill>
        </w:rPr>
        <w:t>Scutiger glandulatus</w:t>
      </w:r>
      <w:r>
        <w:rPr>
          <w:rFonts w:hint="eastAsia" w:ascii="Times New Roman" w:hAnsi="Times New Roman" w:cs="Times New Roman"/>
          <w:color w:val="000000" w:themeColor="text1"/>
          <w:sz w:val="24"/>
          <w:szCs w:val="24"/>
          <w14:textFill>
            <w14:solidFill>
              <w14:schemeClr w14:val="tx1"/>
            </w14:solidFill>
          </w14:textFill>
        </w:rPr>
        <w:t>）；蟾蜍科的华西蟾蜍（</w:t>
      </w:r>
      <w:r>
        <w:rPr>
          <w:rFonts w:hint="eastAsia" w:ascii="Times New Roman" w:hAnsi="Times New Roman" w:cs="Times New Roman"/>
          <w:i/>
          <w:color w:val="000000" w:themeColor="text1"/>
          <w:sz w:val="24"/>
          <w:szCs w:val="24"/>
          <w14:textFill>
            <w14:solidFill>
              <w14:schemeClr w14:val="tx1"/>
            </w14:solidFill>
          </w14:textFill>
        </w:rPr>
        <w:t>Bufo andrewsi</w:t>
      </w:r>
      <w:r>
        <w:rPr>
          <w:rFonts w:hint="eastAsia" w:ascii="Times New Roman" w:hAnsi="Times New Roman" w:cs="Times New Roman"/>
          <w:color w:val="000000" w:themeColor="text1"/>
          <w:sz w:val="24"/>
          <w:szCs w:val="24"/>
          <w14:textFill>
            <w14:solidFill>
              <w14:schemeClr w14:val="tx1"/>
            </w14:solidFill>
          </w14:textFill>
        </w:rPr>
        <w:t>）；蛙科的高原林蛙（</w:t>
      </w:r>
      <w:r>
        <w:rPr>
          <w:rFonts w:hint="eastAsia" w:ascii="Times New Roman" w:hAnsi="Times New Roman" w:cs="Times New Roman"/>
          <w:i/>
          <w:color w:val="000000" w:themeColor="text1"/>
          <w:sz w:val="24"/>
          <w:szCs w:val="24"/>
          <w14:textFill>
            <w14:solidFill>
              <w14:schemeClr w14:val="tx1"/>
            </w14:solidFill>
          </w14:textFill>
        </w:rPr>
        <w:t>Rana kukunoris</w:t>
      </w:r>
      <w:r>
        <w:rPr>
          <w:rFonts w:hint="eastAsia" w:ascii="Times New Roman" w:hAnsi="Times New Roman" w:cs="Times New Roman"/>
          <w:color w:val="000000" w:themeColor="text1"/>
          <w:sz w:val="24"/>
          <w:szCs w:val="24"/>
          <w14:textFill>
            <w14:solidFill>
              <w14:schemeClr w14:val="tx1"/>
            </w14:solidFill>
          </w14:textFill>
        </w:rPr>
        <w:t>）和四川湍蛙（</w:t>
      </w:r>
      <w:r>
        <w:rPr>
          <w:rFonts w:hint="eastAsia" w:ascii="Times New Roman" w:hAnsi="Times New Roman" w:cs="Times New Roman"/>
          <w:i/>
          <w:color w:val="000000" w:themeColor="text1"/>
          <w:sz w:val="24"/>
          <w:szCs w:val="24"/>
          <w14:textFill>
            <w14:solidFill>
              <w14:schemeClr w14:val="tx1"/>
            </w14:solidFill>
          </w14:textFill>
        </w:rPr>
        <w:t>Amolops mantzorum</w:t>
      </w:r>
      <w:r>
        <w:rPr>
          <w:rFonts w:hint="eastAsia" w:ascii="Times New Roman" w:hAnsi="Times New Roman" w:cs="Times New Roman"/>
          <w:color w:val="000000" w:themeColor="text1"/>
          <w:sz w:val="24"/>
          <w:szCs w:val="24"/>
          <w14:textFill>
            <w14:solidFill>
              <w14:schemeClr w14:val="tx1"/>
            </w14:solidFill>
          </w14:textFill>
        </w:rPr>
        <w:t>）这5种两栖动物中，均为中国特有种。爬行动物两种，分别是蜥蜴亚目石龙子科的山滑蜥（</w:t>
      </w:r>
      <w:r>
        <w:rPr>
          <w:rFonts w:hint="eastAsia" w:ascii="Times New Roman" w:hAnsi="Times New Roman" w:cs="Times New Roman"/>
          <w:i/>
          <w:color w:val="000000" w:themeColor="text1"/>
          <w:sz w:val="24"/>
          <w:szCs w:val="24"/>
          <w14:textFill>
            <w14:solidFill>
              <w14:schemeClr w14:val="tx1"/>
            </w14:solidFill>
          </w14:textFill>
        </w:rPr>
        <w:t>Scincella monticola</w:t>
      </w:r>
      <w:r>
        <w:rPr>
          <w:rFonts w:hint="eastAsia" w:ascii="Times New Roman" w:hAnsi="Times New Roman" w:cs="Times New Roman"/>
          <w:color w:val="000000" w:themeColor="text1"/>
          <w:sz w:val="24"/>
          <w:szCs w:val="24"/>
          <w14:textFill>
            <w14:solidFill>
              <w14:schemeClr w14:val="tx1"/>
            </w14:solidFill>
          </w14:textFill>
        </w:rPr>
        <w:t>）和蛇亚目蝰科的高原蝮（</w:t>
      </w:r>
      <w:r>
        <w:rPr>
          <w:rFonts w:hint="eastAsia" w:ascii="Times New Roman" w:hAnsi="Times New Roman" w:cs="Times New Roman"/>
          <w:i/>
          <w:color w:val="000000" w:themeColor="text1"/>
          <w:sz w:val="24"/>
          <w:szCs w:val="24"/>
          <w14:textFill>
            <w14:solidFill>
              <w14:schemeClr w14:val="tx1"/>
            </w14:solidFill>
          </w14:textFill>
        </w:rPr>
        <w:t>Gloydius strauchi</w:t>
      </w:r>
      <w:r>
        <w:rPr>
          <w:rFonts w:hint="eastAsia" w:ascii="Times New Roman" w:hAnsi="Times New Roman" w:cs="Times New Roman"/>
          <w:color w:val="000000" w:themeColor="text1"/>
          <w:sz w:val="24"/>
          <w:szCs w:val="24"/>
          <w14:textFill>
            <w14:solidFill>
              <w14:schemeClr w14:val="tx1"/>
            </w14:solidFill>
          </w14:textFill>
        </w:rPr>
        <w:t>）。两种动物均属于中国特有种。</w:t>
      </w:r>
    </w:p>
    <w:p>
      <w:pPr>
        <w:spacing w:line="360" w:lineRule="auto"/>
        <w:rPr>
          <w:rFonts w:ascii="Times New Roman" w:hAnsi="Times New Roman" w:cs="Times New Roman"/>
          <w:b/>
          <w:color w:val="000000" w:themeColor="text1"/>
          <w:sz w:val="24"/>
          <w:szCs w:val="24"/>
          <w14:textFill>
            <w14:solidFill>
              <w14:schemeClr w14:val="tx1"/>
            </w14:solidFill>
          </w14:textFill>
        </w:rPr>
      </w:pPr>
      <w:r>
        <w:rPr>
          <w:rFonts w:hint="eastAsia" w:ascii="Times New Roman" w:hAnsi="Times New Roman" w:cs="Times New Roman"/>
          <w:b/>
          <w:color w:val="000000" w:themeColor="text1"/>
          <w:sz w:val="24"/>
          <w:szCs w:val="24"/>
          <w14:textFill>
            <w14:solidFill>
              <w14:schemeClr w14:val="tx1"/>
            </w14:solidFill>
          </w14:textFill>
        </w:rPr>
        <w:t>5</w:t>
      </w:r>
      <w:r>
        <w:rPr>
          <w:rFonts w:ascii="Times New Roman" w:hAnsi="Times New Roman" w:cs="Times New Roman"/>
          <w:b/>
          <w:color w:val="000000" w:themeColor="text1"/>
          <w:sz w:val="24"/>
          <w:szCs w:val="24"/>
          <w14:textFill>
            <w14:solidFill>
              <w14:schemeClr w14:val="tx1"/>
            </w14:solidFill>
          </w14:textFill>
        </w:rPr>
        <w:t>.1.2.4 对生态系统的影响</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由于工程的建设将会直接改变土地利用方式，减少地表植被。露天矿工业场地、露天矿生产废石场主要以</w:t>
      </w:r>
      <w:r>
        <w:rPr>
          <w:rFonts w:hint="eastAsia" w:ascii="Times New Roman" w:hAnsi="Times New Roman" w:cs="Times New Roman"/>
          <w:color w:val="000000" w:themeColor="text1"/>
          <w:sz w:val="24"/>
          <w:szCs w:val="24"/>
          <w:lang w:eastAsia="zh-CN"/>
          <w14:textFill>
            <w14:solidFill>
              <w14:schemeClr w14:val="tx1"/>
            </w14:solidFill>
          </w14:textFill>
        </w:rPr>
        <w:t>草地和其他土地</w:t>
      </w:r>
      <w:r>
        <w:rPr>
          <w:rFonts w:hint="eastAsia" w:ascii="Times New Roman" w:hAnsi="Times New Roman" w:cs="Times New Roman"/>
          <w:color w:val="000000" w:themeColor="text1"/>
          <w:sz w:val="24"/>
          <w:szCs w:val="24"/>
          <w14:textFill>
            <w14:solidFill>
              <w14:schemeClr w14:val="tx1"/>
            </w14:solidFill>
          </w14:textFill>
        </w:rPr>
        <w:t>为主，</w:t>
      </w:r>
      <w:r>
        <w:rPr>
          <w:rFonts w:hint="eastAsia" w:ascii="Times New Roman" w:hAnsi="Times New Roman" w:cs="Times New Roman"/>
          <w:color w:val="000000" w:themeColor="text1"/>
          <w:sz w:val="24"/>
          <w:szCs w:val="24"/>
          <w:lang w:eastAsia="zh-CN"/>
          <w14:textFill>
            <w14:solidFill>
              <w14:schemeClr w14:val="tx1"/>
            </w14:solidFill>
          </w14:textFill>
        </w:rPr>
        <w:t>其中</w:t>
      </w:r>
      <w:r>
        <w:rPr>
          <w:rFonts w:hint="eastAsia" w:ascii="Times New Roman" w:hAnsi="Times New Roman" w:cs="Times New Roman"/>
          <w:color w:val="000000" w:themeColor="text1"/>
          <w:sz w:val="24"/>
          <w:szCs w:val="24"/>
          <w14:textFill>
            <w14:solidFill>
              <w14:schemeClr w14:val="tx1"/>
            </w14:solidFill>
          </w14:textFill>
        </w:rPr>
        <w:t>共计损失草地面积</w:t>
      </w:r>
      <w:r>
        <w:rPr>
          <w:rFonts w:hint="eastAsia" w:ascii="Times New Roman" w:hAnsi="Times New Roman" w:cs="Times New Roman"/>
          <w:color w:val="000000" w:themeColor="text1"/>
          <w:sz w:val="24"/>
          <w:szCs w:val="24"/>
          <w:lang w:val="en-US" w:eastAsia="zh-CN"/>
          <w14:textFill>
            <w14:solidFill>
              <w14:schemeClr w14:val="tx1"/>
            </w14:solidFill>
          </w14:textFill>
        </w:rPr>
        <w:t>1.70</w:t>
      </w:r>
      <w:r>
        <w:rPr>
          <w:rFonts w:hint="eastAsia" w:ascii="Times New Roman" w:hAnsi="Times New Roman" w:cs="Times New Roman"/>
          <w:color w:val="000000" w:themeColor="text1"/>
          <w:sz w:val="24"/>
          <w:szCs w:val="24"/>
          <w14:textFill>
            <w14:solidFill>
              <w14:schemeClr w14:val="tx1"/>
            </w14:solidFill>
          </w14:textFill>
        </w:rPr>
        <w:t>hm</w:t>
      </w:r>
      <w:r>
        <w:rPr>
          <w:rFonts w:hint="eastAsia" w:ascii="Times New Roman" w:hAnsi="Times New Roman" w:cs="Times New Roman"/>
          <w:color w:val="000000" w:themeColor="text1"/>
          <w:sz w:val="24"/>
          <w:szCs w:val="24"/>
          <w:vertAlign w:val="superscript"/>
          <w14:textFill>
            <w14:solidFill>
              <w14:schemeClr w14:val="tx1"/>
            </w14:solidFill>
          </w14:textFill>
        </w:rPr>
        <w:t>2</w:t>
      </w:r>
      <w:r>
        <w:rPr>
          <w:rFonts w:hint="eastAsia" w:ascii="Times New Roman" w:hAnsi="Times New Roman" w:cs="Times New Roman"/>
          <w:color w:val="000000" w:themeColor="text1"/>
          <w:sz w:val="24"/>
          <w:szCs w:val="24"/>
          <w:vertAlign w:val="baseline"/>
          <w:lang w:eastAsia="zh-CN"/>
          <w14:textFill>
            <w14:solidFill>
              <w14:schemeClr w14:val="tx1"/>
            </w14:solidFill>
          </w14:textFill>
        </w:rPr>
        <w:t>，其他</w:t>
      </w:r>
      <w:r>
        <w:rPr>
          <w:rFonts w:hint="eastAsia" w:ascii="Times New Roman" w:hAnsi="Times New Roman" w:cs="Times New Roman"/>
          <w:color w:val="000000" w:themeColor="text1"/>
          <w:sz w:val="24"/>
          <w:szCs w:val="24"/>
          <w:lang w:eastAsia="zh-CN"/>
          <w14:textFill>
            <w14:solidFill>
              <w14:schemeClr w14:val="tx1"/>
            </w14:solidFill>
          </w14:textFill>
        </w:rPr>
        <w:t>土地</w:t>
      </w:r>
      <w:r>
        <w:rPr>
          <w:rFonts w:hint="eastAsia" w:ascii="Times New Roman" w:hAnsi="Times New Roman" w:cs="Times New Roman"/>
          <w:color w:val="000000" w:themeColor="text1"/>
          <w:sz w:val="24"/>
          <w:szCs w:val="24"/>
          <w:vertAlign w:val="baseline"/>
          <w:lang w:eastAsia="zh-CN"/>
          <w14:textFill>
            <w14:solidFill>
              <w14:schemeClr w14:val="tx1"/>
            </w14:solidFill>
          </w14:textFill>
        </w:rPr>
        <w:t>面积</w:t>
      </w:r>
      <w:r>
        <w:rPr>
          <w:rFonts w:hint="eastAsia" w:ascii="Times New Roman" w:hAnsi="Times New Roman" w:cs="Times New Roman"/>
          <w:color w:val="000000" w:themeColor="text1"/>
          <w:sz w:val="24"/>
          <w:szCs w:val="24"/>
          <w:vertAlign w:val="baseline"/>
          <w:lang w:val="en-US" w:eastAsia="zh-CN"/>
          <w14:textFill>
            <w14:solidFill>
              <w14:schemeClr w14:val="tx1"/>
            </w14:solidFill>
          </w14:textFill>
        </w:rPr>
        <w:t>22.15</w:t>
      </w:r>
      <w:r>
        <w:rPr>
          <w:rFonts w:hint="eastAsia" w:ascii="Times New Roman" w:hAnsi="Times New Roman" w:cs="Times New Roman"/>
          <w:color w:val="000000" w:themeColor="text1"/>
          <w:sz w:val="24"/>
          <w:szCs w:val="24"/>
          <w14:textFill>
            <w14:solidFill>
              <w14:schemeClr w14:val="tx1"/>
            </w14:solidFill>
          </w14:textFill>
        </w:rPr>
        <w:t>hm</w:t>
      </w:r>
      <w:r>
        <w:rPr>
          <w:rFonts w:hint="eastAsia" w:ascii="Times New Roman" w:hAnsi="Times New Roman" w:cs="Times New Roman"/>
          <w:color w:val="000000" w:themeColor="text1"/>
          <w:sz w:val="24"/>
          <w:szCs w:val="24"/>
          <w:vertAlign w:val="superscript"/>
          <w14:textFill>
            <w14:solidFill>
              <w14:schemeClr w14:val="tx1"/>
            </w14:solidFill>
          </w14:textFill>
        </w:rPr>
        <w:t>2</w:t>
      </w:r>
      <w:r>
        <w:rPr>
          <w:rFonts w:hint="eastAsia" w:ascii="Times New Roman" w:hAnsi="Times New Roman" w:cs="Times New Roman"/>
          <w:color w:val="000000" w:themeColor="text1"/>
          <w:sz w:val="24"/>
          <w:szCs w:val="24"/>
          <w14:textFill>
            <w14:solidFill>
              <w14:schemeClr w14:val="tx1"/>
            </w14:solidFill>
          </w14:textFill>
        </w:rPr>
        <w:t>。</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项目的建设对生态系统类型未造成破坏。工程永久占地使得区域内聚落生态系统增加，与人类活动息息相关的动物有所增加。施工期区内动植物多样性变化不大。</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对自然景观体系抗干扰稳定性的度量可通过植被异质性的改变程度来度量。异质性就是特征多样性程度，它表现在动植物已占据生态位和可能占据的潜在生态位的多样化程度。自然景观体系中有复杂和微妙的条件在保证生物栖息地、种群和群落的相对稳定。虽然工程建成后优势度值略有降低，但对生态系统的稳定性影响不大。因此，工程的建设对区域自然景观体系中模地组分的异质化程度影响也不大，这种变化对工程所在区域的自然体系是可以承受的。</w:t>
      </w:r>
    </w:p>
    <w:p>
      <w:pPr>
        <w:pStyle w:val="4"/>
        <w:rPr>
          <w:color w:val="000000" w:themeColor="text1"/>
          <w14:textFill>
            <w14:solidFill>
              <w14:schemeClr w14:val="tx1"/>
            </w14:solidFill>
          </w14:textFill>
        </w:rPr>
      </w:pPr>
      <w:r>
        <w:rPr>
          <w:color w:val="000000" w:themeColor="text1"/>
          <w14:textFill>
            <w14:solidFill>
              <w14:schemeClr w14:val="tx1"/>
            </w14:solidFill>
          </w14:textFill>
        </w:rPr>
        <w:t>5.1.3 水土流失影响调查</w:t>
      </w:r>
    </w:p>
    <w:p>
      <w:pPr>
        <w:spacing w:line="360" w:lineRule="auto"/>
        <w:rPr>
          <w:rFonts w:ascii="Times New Roman" w:hAnsi="Times New Roman" w:cs="Times New Roman"/>
          <w:b/>
          <w:color w:val="000000" w:themeColor="text1"/>
          <w:sz w:val="24"/>
          <w:szCs w:val="24"/>
          <w14:textFill>
            <w14:solidFill>
              <w14:schemeClr w14:val="tx1"/>
            </w14:solidFill>
          </w14:textFill>
        </w:rPr>
      </w:pPr>
      <w:r>
        <w:rPr>
          <w:rFonts w:hint="eastAsia" w:ascii="Times New Roman" w:hAnsi="Times New Roman" w:cs="Times New Roman"/>
          <w:b/>
          <w:color w:val="000000" w:themeColor="text1"/>
          <w:sz w:val="24"/>
          <w:szCs w:val="24"/>
          <w14:textFill>
            <w14:solidFill>
              <w14:schemeClr w14:val="tx1"/>
            </w14:solidFill>
          </w14:textFill>
        </w:rPr>
        <w:t>5</w:t>
      </w:r>
      <w:r>
        <w:rPr>
          <w:rFonts w:ascii="Times New Roman" w:hAnsi="Times New Roman" w:cs="Times New Roman"/>
          <w:b/>
          <w:color w:val="000000" w:themeColor="text1"/>
          <w:sz w:val="24"/>
          <w:szCs w:val="24"/>
          <w14:textFill>
            <w14:solidFill>
              <w14:schemeClr w14:val="tx1"/>
            </w14:solidFill>
          </w14:textFill>
        </w:rPr>
        <w:t>.1.3.1 水土流失影响源调查</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根据现场踏勘，本工程造成的水土流失主要集中在露天采区（一采区）、露天矿基建废石场、露天矿生产废石场等区域，主要原因是由于开挖、弃渣等建设活动对原地表植被和边坡稳定性的破坏而引起的。</w:t>
      </w:r>
    </w:p>
    <w:p>
      <w:pPr>
        <w:spacing w:line="360" w:lineRule="auto"/>
        <w:rPr>
          <w:rFonts w:ascii="Times New Roman" w:hAnsi="Times New Roman" w:cs="Times New Roman"/>
          <w:b/>
          <w:color w:val="000000" w:themeColor="text1"/>
          <w:sz w:val="24"/>
          <w:szCs w:val="24"/>
          <w14:textFill>
            <w14:solidFill>
              <w14:schemeClr w14:val="tx1"/>
            </w14:solidFill>
          </w14:textFill>
        </w:rPr>
      </w:pPr>
      <w:r>
        <w:rPr>
          <w:rFonts w:hint="eastAsia" w:ascii="Times New Roman" w:hAnsi="Times New Roman" w:cs="Times New Roman"/>
          <w:b/>
          <w:color w:val="000000" w:themeColor="text1"/>
          <w:sz w:val="24"/>
          <w:szCs w:val="24"/>
          <w14:textFill>
            <w14:solidFill>
              <w14:schemeClr w14:val="tx1"/>
            </w14:solidFill>
          </w14:textFill>
        </w:rPr>
        <w:t>5</w:t>
      </w:r>
      <w:r>
        <w:rPr>
          <w:rFonts w:ascii="Times New Roman" w:hAnsi="Times New Roman" w:cs="Times New Roman"/>
          <w:b/>
          <w:color w:val="000000" w:themeColor="text1"/>
          <w:sz w:val="24"/>
          <w:szCs w:val="24"/>
          <w14:textFill>
            <w14:solidFill>
              <w14:schemeClr w14:val="tx1"/>
            </w14:solidFill>
          </w14:textFill>
        </w:rPr>
        <w:t>.1.3.2 水土流失防治责任范围</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根据项目水土保持变更报告、水土保持监测成果，并查阅相关的施工、征地与档案资料和资料统计，本阶段验收工程建设期实际发生的水土流失防治责任范围面积共计23.85hm</w:t>
      </w:r>
      <w:r>
        <w:rPr>
          <w:rFonts w:hint="eastAsia" w:ascii="Times New Roman" w:hAnsi="Times New Roman" w:cs="Times New Roman"/>
          <w:color w:val="000000" w:themeColor="text1"/>
          <w:sz w:val="24"/>
          <w:szCs w:val="24"/>
          <w:vertAlign w:val="superscript"/>
          <w14:textFill>
            <w14:solidFill>
              <w14:schemeClr w14:val="tx1"/>
            </w14:solidFill>
          </w14:textFill>
        </w:rPr>
        <w:t>2</w:t>
      </w:r>
      <w:r>
        <w:rPr>
          <w:rFonts w:hint="eastAsia" w:ascii="Times New Roman" w:hAnsi="Times New Roman" w:cs="Times New Roman"/>
          <w:color w:val="000000" w:themeColor="text1"/>
          <w:sz w:val="24"/>
          <w:szCs w:val="24"/>
          <w14:textFill>
            <w14:solidFill>
              <w14:schemeClr w14:val="tx1"/>
            </w14:solidFill>
          </w14:textFill>
        </w:rPr>
        <w:t>，包括露天开采区面积3.84hm</w:t>
      </w:r>
      <w:r>
        <w:rPr>
          <w:rFonts w:hint="eastAsia" w:ascii="Times New Roman" w:hAnsi="Times New Roman" w:cs="Times New Roman"/>
          <w:color w:val="000000" w:themeColor="text1"/>
          <w:sz w:val="24"/>
          <w:szCs w:val="24"/>
          <w:vertAlign w:val="superscript"/>
          <w14:textFill>
            <w14:solidFill>
              <w14:schemeClr w14:val="tx1"/>
            </w14:solidFill>
          </w14:textFill>
        </w:rPr>
        <w:t>2</w:t>
      </w:r>
      <w:r>
        <w:rPr>
          <w:rFonts w:hint="eastAsia" w:ascii="Times New Roman" w:hAnsi="Times New Roman" w:cs="Times New Roman"/>
          <w:color w:val="000000" w:themeColor="text1"/>
          <w:sz w:val="24"/>
          <w:szCs w:val="24"/>
          <w14:textFill>
            <w14:solidFill>
              <w14:schemeClr w14:val="tx1"/>
            </w14:solidFill>
          </w14:textFill>
        </w:rPr>
        <w:t>、露采配套废石场面积20.01hm</w:t>
      </w:r>
      <w:r>
        <w:rPr>
          <w:rFonts w:hint="eastAsia" w:ascii="Times New Roman" w:hAnsi="Times New Roman" w:cs="Times New Roman"/>
          <w:color w:val="000000" w:themeColor="text1"/>
          <w:sz w:val="24"/>
          <w:szCs w:val="24"/>
          <w:vertAlign w:val="superscript"/>
          <w14:textFill>
            <w14:solidFill>
              <w14:schemeClr w14:val="tx1"/>
            </w14:solidFill>
          </w14:textFill>
        </w:rPr>
        <w:t>2</w:t>
      </w:r>
      <w:r>
        <w:rPr>
          <w:rFonts w:hint="eastAsia" w:ascii="Times New Roman" w:hAnsi="Times New Roman" w:cs="Times New Roman"/>
          <w:color w:val="000000" w:themeColor="text1"/>
          <w:sz w:val="24"/>
          <w:szCs w:val="24"/>
          <w14:textFill>
            <w14:solidFill>
              <w14:schemeClr w14:val="tx1"/>
            </w14:solidFill>
          </w14:textFill>
        </w:rPr>
        <w:t>。</w:t>
      </w:r>
    </w:p>
    <w:p>
      <w:pPr>
        <w:spacing w:line="360" w:lineRule="auto"/>
        <w:rPr>
          <w:rFonts w:ascii="Times New Roman" w:hAnsi="Times New Roman" w:cs="Times New Roman"/>
          <w:b/>
          <w:color w:val="000000" w:themeColor="text1"/>
          <w:sz w:val="24"/>
          <w:szCs w:val="24"/>
          <w14:textFill>
            <w14:solidFill>
              <w14:schemeClr w14:val="tx1"/>
            </w14:solidFill>
          </w14:textFill>
        </w:rPr>
      </w:pPr>
      <w:r>
        <w:rPr>
          <w:rFonts w:hint="eastAsia" w:ascii="Times New Roman" w:hAnsi="Times New Roman" w:cs="Times New Roman"/>
          <w:b/>
          <w:color w:val="000000" w:themeColor="text1"/>
          <w:sz w:val="24"/>
          <w:szCs w:val="24"/>
          <w14:textFill>
            <w14:solidFill>
              <w14:schemeClr w14:val="tx1"/>
            </w14:solidFill>
          </w14:textFill>
        </w:rPr>
        <w:t>5</w:t>
      </w:r>
      <w:r>
        <w:rPr>
          <w:rFonts w:ascii="Times New Roman" w:hAnsi="Times New Roman" w:cs="Times New Roman"/>
          <w:b/>
          <w:color w:val="000000" w:themeColor="text1"/>
          <w:sz w:val="24"/>
          <w:szCs w:val="24"/>
          <w14:textFill>
            <w14:solidFill>
              <w14:schemeClr w14:val="tx1"/>
            </w14:solidFill>
          </w14:textFill>
        </w:rPr>
        <w:t>.1.3.3 水土流失措施总体布局及效果调查</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项目实际水土流失防治责任范围划分为</w:t>
      </w:r>
      <w:r>
        <w:rPr>
          <w:rFonts w:hint="eastAsia" w:hAnsi="宋体"/>
          <w:color w:val="000000" w:themeColor="text1"/>
          <w:sz w:val="24"/>
          <w14:textFill>
            <w14:solidFill>
              <w14:schemeClr w14:val="tx1"/>
            </w14:solidFill>
          </w14:textFill>
        </w:rPr>
        <w:t>露天开采区和配套废石场区</w:t>
      </w:r>
      <w:r>
        <w:rPr>
          <w:rFonts w:hint="eastAsia" w:ascii="Times New Roman" w:hAnsi="Times New Roman" w:cs="Times New Roman"/>
          <w:color w:val="000000" w:themeColor="text1"/>
          <w:sz w:val="24"/>
          <w:szCs w:val="24"/>
          <w14:textFill>
            <w14:solidFill>
              <w14:schemeClr w14:val="tx1"/>
            </w14:solidFill>
          </w14:textFill>
        </w:rPr>
        <w:t>，与批复的水土保持措施变更报告中的水土流失防治分区基本一致，与项目实际相符，水土流失防治分区划分合理。</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根据总体布局可知，在项目建设过程中，建设单位按照水土保持方案确定的水土流失防治措施体系实施水土保持各项措施。从现场踏勘中发现，通过上述水土保持设施布局的实现，工程地表可恢复植被区域已进行植物绿化，随着工程施工活动结束，植物措施保水保土效益的日益发挥，项目区的水土流失将逐步得到有效遏制。</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综上认为，水土流失防治分区划分合理，防治措施体系布设体现了“预防为主、保护优先、全面规划、综合治理、因地制宜、突出重点、科学管理、注重效益”的防治方针，从资料查询和现场查勘情况看，本项目施工过程中水土保持措施主要采用工程挡护措施、工程排水措施、植物措施等来对各防治区进行水土流失治理。经现场核实，本项目各防治区均按照以上措施对建设区进行了水土流失治理，治理后未发现明显水土流失情况，水土保持措施总体布局基本合理可行。措施选择得当，调试情况良好，符合水土保持与工程建设的要求，对改善当地生态环境，保证主体工程的安全运行起到了积极的作用。</w:t>
      </w:r>
    </w:p>
    <w:p>
      <w:pPr>
        <w:spacing w:line="360" w:lineRule="auto"/>
        <w:rPr>
          <w:rFonts w:ascii="Times New Roman" w:hAnsi="Times New Roman" w:cs="Times New Roman"/>
          <w:b/>
          <w:color w:val="000000" w:themeColor="text1"/>
          <w:sz w:val="24"/>
          <w:szCs w:val="24"/>
          <w14:textFill>
            <w14:solidFill>
              <w14:schemeClr w14:val="tx1"/>
            </w14:solidFill>
          </w14:textFill>
        </w:rPr>
      </w:pPr>
      <w:r>
        <w:rPr>
          <w:rFonts w:hint="eastAsia" w:ascii="Times New Roman" w:hAnsi="Times New Roman" w:cs="Times New Roman"/>
          <w:b/>
          <w:color w:val="000000" w:themeColor="text1"/>
          <w:sz w:val="24"/>
          <w:szCs w:val="24"/>
          <w14:textFill>
            <w14:solidFill>
              <w14:schemeClr w14:val="tx1"/>
            </w14:solidFill>
          </w14:textFill>
        </w:rPr>
        <w:t>5</w:t>
      </w:r>
      <w:r>
        <w:rPr>
          <w:rFonts w:ascii="Times New Roman" w:hAnsi="Times New Roman" w:cs="Times New Roman"/>
          <w:b/>
          <w:color w:val="000000" w:themeColor="text1"/>
          <w:sz w:val="24"/>
          <w:szCs w:val="24"/>
          <w14:textFill>
            <w14:solidFill>
              <w14:schemeClr w14:val="tx1"/>
            </w14:solidFill>
          </w14:textFill>
        </w:rPr>
        <w:t>.1.3.4 水土保持验收结论</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本项目建设单位按照国家水土保持相关法律法规和技术规范要求，编报了水土保持方案。本项目水土保持验收工作</w:t>
      </w:r>
      <w:r>
        <w:rPr>
          <w:rFonts w:hint="eastAsia" w:ascii="Times New Roman" w:hAnsi="Times New Roman" w:cs="Times New Roman"/>
          <w:color w:val="000000" w:themeColor="text1"/>
          <w:sz w:val="24"/>
          <w:szCs w:val="24"/>
          <w:lang w:eastAsia="zh-CN"/>
          <w14:textFill>
            <w14:solidFill>
              <w14:schemeClr w14:val="tx1"/>
            </w14:solidFill>
          </w14:textFill>
        </w:rPr>
        <w:t>已于</w:t>
      </w:r>
      <w:r>
        <w:rPr>
          <w:rFonts w:hint="eastAsia" w:ascii="Times New Roman" w:hAnsi="Times New Roman" w:cs="Times New Roman"/>
          <w:color w:val="000000" w:themeColor="text1"/>
          <w:sz w:val="24"/>
          <w:szCs w:val="24"/>
          <w:lang w:val="en-US" w:eastAsia="zh-CN"/>
          <w14:textFill>
            <w14:solidFill>
              <w14:schemeClr w14:val="tx1"/>
            </w14:solidFill>
          </w14:textFill>
        </w:rPr>
        <w:t>2021年</w:t>
      </w:r>
      <w:r>
        <w:rPr>
          <w:rFonts w:hint="eastAsia" w:ascii="Times New Roman" w:hAnsi="Times New Roman" w:cs="Times New Roman"/>
          <w:color w:val="000000" w:themeColor="text1"/>
          <w:sz w:val="24"/>
          <w:szCs w:val="24"/>
          <w14:textFill>
            <w14:solidFill>
              <w14:schemeClr w14:val="tx1"/>
            </w14:solidFill>
          </w14:textFill>
        </w:rPr>
        <w:t>开展，故项目水土保持验收结论以项目水土保持自主验收为最终结论。</w: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.1.4 </w:t>
      </w:r>
      <w:r>
        <w:rPr>
          <w:rFonts w:hint="eastAsia"/>
          <w:color w:val="000000" w:themeColor="text1"/>
          <w14:textFill>
            <w14:solidFill>
              <w14:schemeClr w14:val="tx1"/>
            </w14:solidFill>
          </w14:textFill>
        </w:rPr>
        <w:t>景观</w:t>
      </w:r>
      <w:r>
        <w:rPr>
          <w:color w:val="000000" w:themeColor="text1"/>
          <w14:textFill>
            <w14:solidFill>
              <w14:schemeClr w14:val="tx1"/>
            </w14:solidFill>
          </w14:textFill>
        </w:rPr>
        <w:t>环境影响调查</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区域内生态系统的抗干扰及恢复能力总体较为脆弱，生态系统结构稳定性有限，在工程建设和调试期间开展了自然生态系统的保护的相关工作。工程建设改变区域内各类生态系统的面积，但这种变化不足以对生态系统类型完整性产生明显影响，各类生态系统依然具有维持良性发展的潜力。露天采区建设</w:t>
      </w:r>
      <w:r>
        <w:rPr>
          <w:rFonts w:hint="eastAsia" w:ascii="Times New Roman" w:hAnsi="Times New Roman" w:cs="Times New Roman"/>
          <w:color w:val="000000" w:themeColor="text1"/>
          <w:sz w:val="24"/>
          <w:szCs w:val="24"/>
          <w:lang w:eastAsia="zh-CN"/>
          <w14:textFill>
            <w14:solidFill>
              <w14:schemeClr w14:val="tx1"/>
            </w14:solidFill>
          </w14:textFill>
        </w:rPr>
        <w:t>会</w:t>
      </w:r>
      <w:r>
        <w:rPr>
          <w:rFonts w:hint="eastAsia" w:ascii="Times New Roman" w:hAnsi="Times New Roman" w:cs="Times New Roman"/>
          <w:color w:val="000000" w:themeColor="text1"/>
          <w:sz w:val="24"/>
          <w:szCs w:val="24"/>
          <w14:textFill>
            <w14:solidFill>
              <w14:schemeClr w14:val="tx1"/>
            </w14:solidFill>
          </w14:textFill>
        </w:rPr>
        <w:t>剥离大量表土，破坏地表植被，造成地表裸露及地形地貌的改变，造成区内植被覆盖率明显下降。</w:t>
      </w:r>
      <w:r>
        <w:rPr>
          <w:rFonts w:hint="eastAsia" w:ascii="Times New Roman" w:hAnsi="Times New Roman" w:cs="Times New Roman"/>
          <w:color w:val="000000" w:themeColor="text1"/>
          <w:sz w:val="24"/>
          <w:szCs w:val="24"/>
          <w:lang w:val="en-US" w:eastAsia="zh-CN"/>
          <w14:textFill>
            <w14:solidFill>
              <w14:schemeClr w14:val="tx1"/>
            </w14:solidFill>
          </w14:textFill>
        </w:rPr>
        <w:t>露采</w:t>
      </w:r>
      <w:r>
        <w:rPr>
          <w:rFonts w:hint="eastAsia" w:ascii="Times New Roman" w:hAnsi="Times New Roman" w:cs="Times New Roman"/>
          <w:color w:val="000000" w:themeColor="text1"/>
          <w:sz w:val="24"/>
          <w:szCs w:val="24"/>
          <w14:textFill>
            <w14:solidFill>
              <w14:schemeClr w14:val="tx1"/>
            </w14:solidFill>
          </w14:textFill>
        </w:rPr>
        <w:t>配套废石场建设和废土石堆放造成了其所在沟谷填平，植被压覆，对矿权范围内的景观和植被景观会造成了一定程度的破坏。通过及时对</w:t>
      </w:r>
      <w:r>
        <w:rPr>
          <w:rFonts w:hint="eastAsia" w:ascii="Times New Roman" w:hAnsi="Times New Roman" w:cs="Times New Roman"/>
          <w:color w:val="000000" w:themeColor="text1"/>
          <w:sz w:val="24"/>
          <w:szCs w:val="24"/>
          <w:lang w:eastAsia="zh-CN"/>
          <w14:textFill>
            <w14:solidFill>
              <w14:schemeClr w14:val="tx1"/>
            </w14:solidFill>
          </w14:textFill>
        </w:rPr>
        <w:t>采场和配套废石场</w:t>
      </w:r>
      <w:r>
        <w:rPr>
          <w:rFonts w:hint="eastAsia" w:ascii="Times New Roman" w:hAnsi="Times New Roman" w:cs="Times New Roman"/>
          <w:color w:val="000000" w:themeColor="text1"/>
          <w:sz w:val="24"/>
          <w:szCs w:val="24"/>
          <w14:textFill>
            <w14:solidFill>
              <w14:schemeClr w14:val="tx1"/>
            </w14:solidFill>
          </w14:textFill>
        </w:rPr>
        <w:t>进行生态恢复、加强周边林地的管护等措施保证了工程建设不对评价区内生态系统类型完整性产生明显影响，维持评价区内的生态功能和良性发展的潜力。在采取植被恢复、水土流失防治、野生动植物保护等措施的情况下，生态系统的稳定性尚好。</w:t>
      </w:r>
    </w:p>
    <w:p>
      <w:pPr>
        <w:pStyle w:val="4"/>
        <w:rPr>
          <w:color w:val="000000" w:themeColor="text1"/>
          <w14:textFill>
            <w14:solidFill>
              <w14:schemeClr w14:val="tx1"/>
            </w14:solidFill>
          </w14:textFill>
        </w:rPr>
      </w:pPr>
      <w:r>
        <w:rPr>
          <w:color w:val="000000" w:themeColor="text1"/>
          <w14:textFill>
            <w14:solidFill>
              <w14:schemeClr w14:val="tx1"/>
            </w14:solidFill>
          </w14:textFill>
        </w:rPr>
        <w:t xml:space="preserve">5.1.5 </w:t>
      </w:r>
      <w:r>
        <w:rPr>
          <w:rFonts w:hint="eastAsia"/>
          <w:color w:val="000000" w:themeColor="text1"/>
          <w14:textFill>
            <w14:solidFill>
              <w14:schemeClr w14:val="tx1"/>
            </w14:solidFill>
          </w14:textFill>
        </w:rPr>
        <w:t>土壤环境影响调查</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项目验收调查期间于2</w:t>
      </w:r>
      <w:r>
        <w:rPr>
          <w:rFonts w:ascii="Times New Roman" w:hAnsi="Times New Roman" w:cs="Times New Roman"/>
          <w:color w:val="000000" w:themeColor="text1"/>
          <w:sz w:val="24"/>
          <w:szCs w:val="24"/>
          <w14:textFill>
            <w14:solidFill>
              <w14:schemeClr w14:val="tx1"/>
            </w14:solidFill>
          </w14:textFill>
        </w:rPr>
        <w:t>0</w:t>
      </w:r>
      <w:r>
        <w:rPr>
          <w:rFonts w:hint="eastAsia" w:ascii="Times New Roman" w:hAnsi="Times New Roman" w:cs="Times New Roman"/>
          <w:color w:val="000000" w:themeColor="text1"/>
          <w:sz w:val="24"/>
          <w:szCs w:val="24"/>
          <w14:textFill>
            <w14:solidFill>
              <w14:schemeClr w14:val="tx1"/>
            </w14:solidFill>
          </w14:textFill>
        </w:rPr>
        <w:t>22年6月16日对一采区（露天采区）和露采区配套废石场区域土壤环境质量进行了取样监测。具体监测结果见下表。</w:t>
      </w:r>
    </w:p>
    <w:p>
      <w:pPr>
        <w:spacing w:line="360" w:lineRule="auto"/>
        <w:jc w:val="center"/>
        <w:rPr>
          <w:rFonts w:ascii="Times New Roman" w:hAnsi="Times New Roman" w:cs="Times New Roman"/>
          <w:b/>
          <w:color w:val="000000" w:themeColor="text1"/>
          <w:szCs w:val="24"/>
          <w14:textFill>
            <w14:solidFill>
              <w14:schemeClr w14:val="tx1"/>
            </w14:solidFill>
          </w14:textFill>
        </w:rPr>
      </w:pPr>
      <w:r>
        <w:rPr>
          <w:rFonts w:hint="eastAsia" w:ascii="Times New Roman" w:hAnsi="Times New Roman" w:cs="Times New Roman"/>
          <w:b/>
          <w:color w:val="000000" w:themeColor="text1"/>
          <w:szCs w:val="24"/>
          <w14:textFill>
            <w14:solidFill>
              <w14:schemeClr w14:val="tx1"/>
            </w14:solidFill>
          </w14:textFill>
        </w:rPr>
        <w:t>表5</w:t>
      </w:r>
      <w:r>
        <w:rPr>
          <w:rFonts w:ascii="Times New Roman" w:hAnsi="Times New Roman" w:cs="Times New Roman"/>
          <w:b/>
          <w:color w:val="000000" w:themeColor="text1"/>
          <w:szCs w:val="24"/>
          <w14:textFill>
            <w14:solidFill>
              <w14:schemeClr w14:val="tx1"/>
            </w14:solidFill>
          </w14:textFill>
        </w:rPr>
        <w:t>.1</w:t>
      </w:r>
      <w:r>
        <w:rPr>
          <w:rFonts w:hint="eastAsia" w:ascii="Times New Roman" w:hAnsi="Times New Roman" w:cs="Times New Roman"/>
          <w:b/>
          <w:color w:val="000000" w:themeColor="text1"/>
          <w:szCs w:val="24"/>
          <w14:textFill>
            <w14:solidFill>
              <w14:schemeClr w14:val="tx1"/>
            </w14:solidFill>
          </w14:textFill>
        </w:rPr>
        <w:t>-</w:t>
      </w:r>
      <w:r>
        <w:rPr>
          <w:rFonts w:ascii="Times New Roman" w:hAnsi="Times New Roman" w:cs="Times New Roman"/>
          <w:b/>
          <w:color w:val="000000" w:themeColor="text1"/>
          <w:szCs w:val="24"/>
          <w14:textFill>
            <w14:solidFill>
              <w14:schemeClr w14:val="tx1"/>
            </w14:solidFill>
          </w14:textFill>
        </w:rPr>
        <w:t xml:space="preserve">1  </w:t>
      </w:r>
      <w:r>
        <w:rPr>
          <w:rFonts w:hint="eastAsia" w:ascii="Times New Roman" w:hAnsi="Times New Roman" w:cs="Times New Roman"/>
          <w:b/>
          <w:color w:val="000000" w:themeColor="text1"/>
          <w:szCs w:val="24"/>
          <w14:textFill>
            <w14:solidFill>
              <w14:schemeClr w14:val="tx1"/>
            </w14:solidFill>
          </w14:textFill>
        </w:rPr>
        <w:t>土壤质量监测布点情况一览表</w:t>
      </w:r>
    </w:p>
    <w:tbl>
      <w:tblPr>
        <w:tblStyle w:val="28"/>
        <w:tblW w:w="924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
      <w:tblGrid>
        <w:gridCol w:w="1577"/>
        <w:gridCol w:w="1446"/>
        <w:gridCol w:w="788"/>
        <w:gridCol w:w="788"/>
        <w:gridCol w:w="657"/>
        <w:gridCol w:w="1971"/>
        <w:gridCol w:w="20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71" w:hRule="atLeast"/>
          <w:jc w:val="center"/>
        </w:trPr>
        <w:tc>
          <w:tcPr>
            <w:tcW w:w="1577" w:type="dxa"/>
            <w:vAlign w:val="center"/>
          </w:tcPr>
          <w:p>
            <w:pPr>
              <w:widowControl/>
              <w:jc w:val="center"/>
              <w:textAlignment w:val="center"/>
              <w:rPr>
                <w:color w:val="000000"/>
                <w:kern w:val="0"/>
                <w:szCs w:val="21"/>
                <w:lang w:bidi="ar"/>
              </w:rPr>
            </w:pPr>
            <w:r>
              <w:rPr>
                <w:rFonts w:hint="eastAsia"/>
                <w:color w:val="000000"/>
                <w:kern w:val="0"/>
                <w:szCs w:val="21"/>
                <w:lang w:bidi="ar"/>
              </w:rPr>
              <w:t>项目</w:t>
            </w:r>
          </w:p>
        </w:tc>
        <w:tc>
          <w:tcPr>
            <w:tcW w:w="1446" w:type="dxa"/>
            <w:vAlign w:val="center"/>
          </w:tcPr>
          <w:p>
            <w:pPr>
              <w:widowControl/>
              <w:jc w:val="left"/>
              <w:textAlignment w:val="center"/>
              <w:rPr>
                <w:color w:val="000000"/>
                <w:kern w:val="0"/>
                <w:szCs w:val="21"/>
                <w:lang w:bidi="ar"/>
              </w:rPr>
            </w:pPr>
            <w:r>
              <w:rPr>
                <w:rFonts w:hint="eastAsia"/>
                <w:color w:val="000000"/>
                <w:kern w:val="0"/>
                <w:szCs w:val="21"/>
                <w:lang w:bidi="ar"/>
              </w:rPr>
              <w:t>点位</w:t>
            </w:r>
          </w:p>
        </w:tc>
        <w:tc>
          <w:tcPr>
            <w:tcW w:w="788" w:type="dxa"/>
            <w:vAlign w:val="center"/>
          </w:tcPr>
          <w:p>
            <w:pPr>
              <w:widowControl/>
              <w:jc w:val="center"/>
              <w:textAlignment w:val="center"/>
              <w:rPr>
                <w:color w:val="000000"/>
                <w:kern w:val="0"/>
                <w:szCs w:val="21"/>
                <w:lang w:bidi="ar"/>
              </w:rPr>
            </w:pPr>
            <w:r>
              <w:rPr>
                <w:rFonts w:hint="eastAsia"/>
                <w:color w:val="000000"/>
                <w:kern w:val="0"/>
                <w:szCs w:val="21"/>
                <w:lang w:bidi="ar"/>
              </w:rPr>
              <w:t>点位数</w:t>
            </w:r>
          </w:p>
        </w:tc>
        <w:tc>
          <w:tcPr>
            <w:tcW w:w="788" w:type="dxa"/>
            <w:vAlign w:val="center"/>
          </w:tcPr>
          <w:p>
            <w:pPr>
              <w:widowControl/>
              <w:jc w:val="center"/>
              <w:textAlignment w:val="center"/>
              <w:rPr>
                <w:color w:val="000000"/>
                <w:kern w:val="0"/>
                <w:szCs w:val="21"/>
                <w:lang w:bidi="ar"/>
              </w:rPr>
            </w:pPr>
            <w:r>
              <w:rPr>
                <w:rFonts w:hint="eastAsia"/>
                <w:color w:val="000000"/>
                <w:kern w:val="0"/>
                <w:szCs w:val="21"/>
                <w:lang w:bidi="ar"/>
              </w:rPr>
              <w:t>天数</w:t>
            </w:r>
          </w:p>
        </w:tc>
        <w:tc>
          <w:tcPr>
            <w:tcW w:w="657" w:type="dxa"/>
            <w:vAlign w:val="center"/>
          </w:tcPr>
          <w:p>
            <w:pPr>
              <w:widowControl/>
              <w:jc w:val="center"/>
              <w:textAlignment w:val="center"/>
              <w:rPr>
                <w:color w:val="000000"/>
                <w:kern w:val="0"/>
                <w:szCs w:val="21"/>
                <w:lang w:bidi="ar"/>
              </w:rPr>
            </w:pPr>
            <w:r>
              <w:rPr>
                <w:rFonts w:hint="eastAsia"/>
                <w:color w:val="000000"/>
                <w:kern w:val="0"/>
                <w:szCs w:val="21"/>
                <w:lang w:bidi="ar"/>
              </w:rPr>
              <w:t>频次</w:t>
            </w:r>
          </w:p>
        </w:tc>
        <w:tc>
          <w:tcPr>
            <w:tcW w:w="1971" w:type="dxa"/>
            <w:vAlign w:val="center"/>
          </w:tcPr>
          <w:p>
            <w:pPr>
              <w:widowControl/>
              <w:jc w:val="center"/>
              <w:textAlignment w:val="center"/>
              <w:rPr>
                <w:color w:val="000000"/>
                <w:kern w:val="0"/>
                <w:szCs w:val="21"/>
                <w:lang w:bidi="ar"/>
              </w:rPr>
            </w:pPr>
            <w:r>
              <w:rPr>
                <w:rFonts w:hint="eastAsia"/>
                <w:color w:val="000000"/>
                <w:kern w:val="0"/>
                <w:szCs w:val="21"/>
                <w:lang w:bidi="ar"/>
              </w:rPr>
              <w:t>监测方法</w:t>
            </w:r>
          </w:p>
        </w:tc>
        <w:tc>
          <w:tcPr>
            <w:tcW w:w="2021" w:type="dxa"/>
            <w:vAlign w:val="center"/>
          </w:tcPr>
          <w:p>
            <w:pPr>
              <w:widowControl/>
              <w:jc w:val="center"/>
              <w:textAlignment w:val="center"/>
              <w:rPr>
                <w:color w:val="000000"/>
                <w:kern w:val="0"/>
                <w:szCs w:val="21"/>
                <w:lang w:bidi="ar"/>
              </w:rPr>
            </w:pPr>
            <w:r>
              <w:rPr>
                <w:rFonts w:hint="eastAsia"/>
                <w:color w:val="000000"/>
                <w:kern w:val="0"/>
                <w:szCs w:val="21"/>
                <w:lang w:bidi="ar"/>
              </w:rPr>
              <w:t>评价标准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712" w:hRule="atLeast"/>
          <w:jc w:val="center"/>
        </w:trPr>
        <w:tc>
          <w:tcPr>
            <w:tcW w:w="1577" w:type="dxa"/>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pH 值、镉、汞、砷、铜、铅、铬、锌、镍</w:t>
            </w:r>
            <w:r>
              <w:rPr>
                <w:rFonts w:hint="eastAsia" w:ascii="Times New Roman" w:hAnsi="Times New Roman" w:eastAsia="宋体" w:cs="Times New Roman"/>
                <w:color w:val="000000"/>
                <w:kern w:val="0"/>
                <w:szCs w:val="21"/>
                <w:lang w:bidi="ar"/>
              </w:rPr>
              <w:t>、锂、钽、铌、铍</w:t>
            </w:r>
          </w:p>
        </w:tc>
        <w:tc>
          <w:tcPr>
            <w:tcW w:w="1446" w:type="dxa"/>
            <w:vAlign w:val="center"/>
          </w:tcPr>
          <w:p>
            <w:pPr>
              <w:widowControl/>
              <w:jc w:val="left"/>
              <w:textAlignment w:val="center"/>
              <w:rPr>
                <w:rFonts w:ascii="Times New Roman" w:hAnsi="Times New Roman" w:eastAsia="宋体" w:cs="Times New Roman"/>
                <w:color w:val="000000"/>
                <w:kern w:val="0"/>
                <w:szCs w:val="21"/>
                <w:lang w:bidi="ar"/>
              </w:rPr>
            </w:pPr>
            <w:r>
              <w:rPr>
                <w:rFonts w:hint="eastAsia" w:ascii="Times New Roman" w:hAnsi="Times New Roman" w:eastAsia="宋体" w:cs="Times New Roman"/>
                <w:color w:val="000000"/>
                <w:kern w:val="0"/>
                <w:szCs w:val="21"/>
                <w:lang w:bidi="ar"/>
              </w:rPr>
              <w:t>露天矿生产废石场</w:t>
            </w:r>
          </w:p>
        </w:tc>
        <w:tc>
          <w:tcPr>
            <w:tcW w:w="788" w:type="dxa"/>
            <w:vAlign w:val="center"/>
          </w:tcPr>
          <w:p>
            <w:pPr>
              <w:widowControl/>
              <w:jc w:val="center"/>
              <w:textAlignment w:val="center"/>
              <w:rPr>
                <w:rFonts w:ascii="Times New Roman" w:hAnsi="Times New Roman" w:eastAsia="宋体" w:cs="Times New Roman"/>
                <w:color w:val="000000"/>
                <w:kern w:val="0"/>
                <w:szCs w:val="21"/>
                <w:lang w:bidi="ar"/>
              </w:rPr>
            </w:pPr>
            <w:r>
              <w:rPr>
                <w:rFonts w:hint="eastAsia" w:ascii="Times New Roman" w:hAnsi="Times New Roman" w:eastAsia="宋体" w:cs="Times New Roman"/>
                <w:color w:val="000000"/>
                <w:kern w:val="0"/>
                <w:szCs w:val="21"/>
                <w:lang w:bidi="ar"/>
              </w:rPr>
              <w:t>3</w:t>
            </w:r>
          </w:p>
        </w:tc>
        <w:tc>
          <w:tcPr>
            <w:tcW w:w="788" w:type="dxa"/>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1</w:t>
            </w:r>
          </w:p>
        </w:tc>
        <w:tc>
          <w:tcPr>
            <w:tcW w:w="657" w:type="dxa"/>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1</w:t>
            </w:r>
          </w:p>
        </w:tc>
        <w:tc>
          <w:tcPr>
            <w:tcW w:w="1971" w:type="dxa"/>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《土壤环境质量 建设用地土壤污染风险管控标准（试行）》（GB36600-2018）</w:t>
            </w:r>
          </w:p>
        </w:tc>
        <w:tc>
          <w:tcPr>
            <w:tcW w:w="2021" w:type="dxa"/>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《土壤环境质量 建设用地土壤污染风险管控标准（试行）》（GB36600-2018）中第二类用地标准</w:t>
            </w:r>
          </w:p>
        </w:tc>
      </w:tr>
    </w:tbl>
    <w:p>
      <w:pPr>
        <w:spacing w:line="360" w:lineRule="auto"/>
        <w:jc w:val="center"/>
        <w:rPr>
          <w:rFonts w:ascii="Times New Roman" w:hAnsi="Times New Roman" w:cs="Times New Roman"/>
          <w:b/>
          <w:color w:val="000000" w:themeColor="text1"/>
          <w:szCs w:val="24"/>
          <w14:textFill>
            <w14:solidFill>
              <w14:schemeClr w14:val="tx1"/>
            </w14:solidFill>
          </w14:textFill>
        </w:rPr>
      </w:pPr>
      <w:r>
        <w:rPr>
          <w:rFonts w:hint="eastAsia" w:ascii="Times New Roman" w:hAnsi="Times New Roman" w:cs="Times New Roman"/>
          <w:b/>
          <w:color w:val="000000" w:themeColor="text1"/>
          <w:szCs w:val="24"/>
          <w14:textFill>
            <w14:solidFill>
              <w14:schemeClr w14:val="tx1"/>
            </w14:solidFill>
          </w14:textFill>
        </w:rPr>
        <w:t>表5</w:t>
      </w:r>
      <w:r>
        <w:rPr>
          <w:rFonts w:ascii="Times New Roman" w:hAnsi="Times New Roman" w:cs="Times New Roman"/>
          <w:b/>
          <w:color w:val="000000" w:themeColor="text1"/>
          <w:szCs w:val="24"/>
          <w14:textFill>
            <w14:solidFill>
              <w14:schemeClr w14:val="tx1"/>
            </w14:solidFill>
          </w14:textFill>
        </w:rPr>
        <w:t>.1</w:t>
      </w:r>
      <w:r>
        <w:rPr>
          <w:rFonts w:hint="eastAsia" w:ascii="Times New Roman" w:hAnsi="Times New Roman" w:cs="Times New Roman"/>
          <w:b/>
          <w:color w:val="000000" w:themeColor="text1"/>
          <w:szCs w:val="24"/>
          <w14:textFill>
            <w14:solidFill>
              <w14:schemeClr w14:val="tx1"/>
            </w14:solidFill>
          </w14:textFill>
        </w:rPr>
        <w:t>-</w:t>
      </w:r>
      <w:r>
        <w:rPr>
          <w:rFonts w:ascii="Times New Roman" w:hAnsi="Times New Roman" w:cs="Times New Roman"/>
          <w:b/>
          <w:color w:val="000000" w:themeColor="text1"/>
          <w:szCs w:val="24"/>
          <w14:textFill>
            <w14:solidFill>
              <w14:schemeClr w14:val="tx1"/>
            </w14:solidFill>
          </w14:textFill>
        </w:rPr>
        <w:t xml:space="preserve">2  </w:t>
      </w:r>
      <w:r>
        <w:rPr>
          <w:rFonts w:hint="eastAsia" w:ascii="Times New Roman" w:hAnsi="Times New Roman" w:cs="Times New Roman"/>
          <w:b/>
          <w:color w:val="000000" w:themeColor="text1"/>
          <w:szCs w:val="24"/>
          <w14:textFill>
            <w14:solidFill>
              <w14:schemeClr w14:val="tx1"/>
            </w14:solidFill>
          </w14:textFill>
        </w:rPr>
        <w:t>土壤质量监测结果</w:t>
      </w:r>
    </w:p>
    <w:tbl>
      <w:tblPr>
        <w:tblStyle w:val="29"/>
        <w:tblW w:w="924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49"/>
        <w:gridCol w:w="1849"/>
        <w:gridCol w:w="1849"/>
        <w:gridCol w:w="1851"/>
        <w:gridCol w:w="18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49" w:type="dxa"/>
            <w:vMerge w:val="restart"/>
            <w:vAlign w:val="center"/>
          </w:tcPr>
          <w:p>
            <w:pPr>
              <w:spacing w:line="360" w:lineRule="auto"/>
              <w:jc w:val="center"/>
              <w:rPr>
                <w:rFonts w:ascii="Times New Roman" w:hAnsi="Times New Roman" w:eastAsia="宋体" w:cs="Times New Roman"/>
                <w:b/>
                <w:color w:val="000000" w:themeColor="text1"/>
                <w:kern w:val="0"/>
                <w:sz w:val="24"/>
                <w:szCs w:val="24"/>
                <w14:textFill>
                  <w14:solidFill>
                    <w14:schemeClr w14:val="tx1"/>
                  </w14:solidFill>
                </w14:textFill>
              </w:rPr>
            </w:pPr>
            <w:r>
              <w:rPr>
                <w:rFonts w:ascii="Times New Roman" w:hAnsi="Times New Roman" w:eastAsia="宋体" w:cs="Times New Roman"/>
                <w:b/>
                <w:color w:val="000000" w:themeColor="text1"/>
                <w:kern w:val="0"/>
                <w:sz w:val="24"/>
                <w:szCs w:val="24"/>
                <w14:textFill>
                  <w14:solidFill>
                    <w14:schemeClr w14:val="tx1"/>
                  </w14:solidFill>
                </w14:textFill>
              </w:rPr>
              <w:t>监测项目</w:t>
            </w:r>
          </w:p>
        </w:tc>
        <w:tc>
          <w:tcPr>
            <w:tcW w:w="5549" w:type="dxa"/>
            <w:gridSpan w:val="3"/>
            <w:vAlign w:val="center"/>
          </w:tcPr>
          <w:p>
            <w:pPr>
              <w:spacing w:line="360" w:lineRule="auto"/>
              <w:jc w:val="center"/>
              <w:rPr>
                <w:rFonts w:ascii="Times New Roman" w:hAnsi="Times New Roman" w:eastAsia="宋体" w:cs="Times New Roman"/>
                <w:b/>
                <w:color w:val="000000" w:themeColor="text1"/>
                <w:kern w:val="0"/>
                <w:sz w:val="24"/>
                <w:szCs w:val="24"/>
                <w14:textFill>
                  <w14:solidFill>
                    <w14:schemeClr w14:val="tx1"/>
                  </w14:solidFill>
                </w14:textFill>
              </w:rPr>
            </w:pPr>
            <w:r>
              <w:rPr>
                <w:rFonts w:ascii="Times New Roman" w:hAnsi="Times New Roman" w:eastAsia="宋体" w:cs="Times New Roman"/>
                <w:b/>
                <w:color w:val="000000" w:themeColor="text1"/>
                <w:kern w:val="0"/>
                <w:sz w:val="24"/>
                <w:szCs w:val="24"/>
                <w14:textFill>
                  <w14:solidFill>
                    <w14:schemeClr w14:val="tx1"/>
                  </w14:solidFill>
                </w14:textFill>
              </w:rPr>
              <w:t>监测点位及结果(mg/kg,pH无单位)</w:t>
            </w:r>
          </w:p>
        </w:tc>
        <w:tc>
          <w:tcPr>
            <w:tcW w:w="1850" w:type="dxa"/>
            <w:vMerge w:val="restart"/>
            <w:vAlign w:val="center"/>
          </w:tcPr>
          <w:p>
            <w:pPr>
              <w:spacing w:line="360" w:lineRule="auto"/>
              <w:jc w:val="center"/>
              <w:rPr>
                <w:rFonts w:ascii="Times New Roman" w:hAnsi="Times New Roman" w:eastAsia="宋体" w:cs="Times New Roman"/>
                <w:b/>
                <w:color w:val="000000" w:themeColor="text1"/>
                <w:kern w:val="0"/>
                <w:sz w:val="24"/>
                <w:szCs w:val="24"/>
                <w14:textFill>
                  <w14:solidFill>
                    <w14:schemeClr w14:val="tx1"/>
                  </w14:solidFill>
                </w14:textFill>
              </w:rPr>
            </w:pPr>
            <w:r>
              <w:rPr>
                <w:rFonts w:ascii="Times New Roman" w:hAnsi="Times New Roman" w:eastAsia="宋体" w:cs="Times New Roman"/>
                <w:b/>
                <w:color w:val="000000" w:themeColor="text1"/>
                <w:kern w:val="0"/>
                <w:sz w:val="24"/>
                <w:szCs w:val="24"/>
                <w14:textFill>
                  <w14:solidFill>
                    <w14:schemeClr w14:val="tx1"/>
                  </w14:solidFill>
                </w14:textFill>
              </w:rPr>
              <w:t>达标结论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49" w:type="dxa"/>
            <w:vMerge w:val="continue"/>
            <w:vAlign w:val="center"/>
          </w:tcPr>
          <w:p>
            <w:pPr>
              <w:spacing w:line="360" w:lineRule="auto"/>
              <w:jc w:val="center"/>
              <w:rPr>
                <w:rFonts w:ascii="Times New Roman" w:hAnsi="Times New Roman" w:eastAsia="宋体" w:cs="Times New Roman"/>
                <w:color w:val="000000" w:themeColor="text1"/>
                <w:kern w:val="0"/>
                <w:sz w:val="24"/>
                <w:szCs w:val="24"/>
                <w14:textFill>
                  <w14:solidFill>
                    <w14:schemeClr w14:val="tx1"/>
                  </w14:solidFill>
                </w14:textFill>
              </w:rPr>
            </w:pPr>
          </w:p>
        </w:tc>
        <w:tc>
          <w:tcPr>
            <w:tcW w:w="1849" w:type="dxa"/>
            <w:vAlign w:val="center"/>
          </w:tcPr>
          <w:p>
            <w:pPr>
              <w:spacing w:line="360" w:lineRule="auto"/>
              <w:jc w:val="center"/>
              <w:rPr>
                <w:rFonts w:ascii="Times New Roman" w:hAnsi="Times New Roman" w:eastAsia="宋体" w:cs="Times New Roman"/>
                <w:b/>
                <w:color w:val="000000" w:themeColor="text1"/>
                <w:kern w:val="0"/>
                <w:sz w:val="24"/>
                <w:szCs w:val="24"/>
                <w14:textFill>
                  <w14:solidFill>
                    <w14:schemeClr w14:val="tx1"/>
                  </w14:solidFill>
                </w14:textFill>
              </w:rPr>
            </w:pPr>
            <w:r>
              <w:rPr>
                <w:rFonts w:ascii="Times New Roman" w:hAnsi="Times New Roman" w:eastAsia="宋体" w:cs="Times New Roman"/>
                <w:b/>
                <w:color w:val="000000" w:themeColor="text1"/>
                <w:kern w:val="0"/>
                <w:sz w:val="24"/>
                <w:szCs w:val="24"/>
                <w14:textFill>
                  <w14:solidFill>
                    <w14:schemeClr w14:val="tx1"/>
                  </w14:solidFill>
                </w14:textFill>
              </w:rPr>
              <w:t>点位1</w:t>
            </w:r>
          </w:p>
        </w:tc>
        <w:tc>
          <w:tcPr>
            <w:tcW w:w="1849" w:type="dxa"/>
            <w:vAlign w:val="center"/>
          </w:tcPr>
          <w:p>
            <w:pPr>
              <w:spacing w:line="360" w:lineRule="auto"/>
              <w:jc w:val="center"/>
              <w:rPr>
                <w:rFonts w:ascii="Times New Roman" w:hAnsi="Times New Roman" w:eastAsia="宋体" w:cs="Times New Roman"/>
                <w:b/>
                <w:color w:val="000000" w:themeColor="text1"/>
                <w:kern w:val="0"/>
                <w:sz w:val="24"/>
                <w:szCs w:val="24"/>
                <w14:textFill>
                  <w14:solidFill>
                    <w14:schemeClr w14:val="tx1"/>
                  </w14:solidFill>
                </w14:textFill>
              </w:rPr>
            </w:pPr>
            <w:r>
              <w:rPr>
                <w:rFonts w:ascii="Times New Roman" w:hAnsi="Times New Roman" w:eastAsia="宋体" w:cs="Times New Roman"/>
                <w:b/>
                <w:color w:val="000000" w:themeColor="text1"/>
                <w:kern w:val="0"/>
                <w:sz w:val="24"/>
                <w:szCs w:val="24"/>
                <w14:textFill>
                  <w14:solidFill>
                    <w14:schemeClr w14:val="tx1"/>
                  </w14:solidFill>
                </w14:textFill>
              </w:rPr>
              <w:t>点位2</w:t>
            </w:r>
          </w:p>
        </w:tc>
        <w:tc>
          <w:tcPr>
            <w:tcW w:w="1851" w:type="dxa"/>
            <w:vAlign w:val="center"/>
          </w:tcPr>
          <w:p>
            <w:pPr>
              <w:spacing w:line="360" w:lineRule="auto"/>
              <w:jc w:val="center"/>
              <w:rPr>
                <w:rFonts w:ascii="Times New Roman" w:hAnsi="Times New Roman" w:eastAsia="宋体" w:cs="Times New Roman"/>
                <w:b/>
                <w:color w:val="000000" w:themeColor="text1"/>
                <w:kern w:val="0"/>
                <w:sz w:val="24"/>
                <w:szCs w:val="24"/>
                <w14:textFill>
                  <w14:solidFill>
                    <w14:schemeClr w14:val="tx1"/>
                  </w14:solidFill>
                </w14:textFill>
              </w:rPr>
            </w:pPr>
            <w:r>
              <w:rPr>
                <w:rFonts w:hint="eastAsia" w:ascii="Times New Roman" w:hAnsi="Times New Roman" w:eastAsia="宋体" w:cs="Times New Roman"/>
                <w:b/>
                <w:color w:val="000000" w:themeColor="text1"/>
                <w:kern w:val="0"/>
                <w:sz w:val="24"/>
                <w:szCs w:val="24"/>
                <w14:textFill>
                  <w14:solidFill>
                    <w14:schemeClr w14:val="tx1"/>
                  </w14:solidFill>
                </w14:textFill>
              </w:rPr>
              <w:t>点位3</w:t>
            </w:r>
          </w:p>
        </w:tc>
        <w:tc>
          <w:tcPr>
            <w:tcW w:w="1850" w:type="dxa"/>
            <w:vMerge w:val="continue"/>
            <w:vAlign w:val="center"/>
          </w:tcPr>
          <w:p>
            <w:pPr>
              <w:spacing w:line="360" w:lineRule="auto"/>
              <w:jc w:val="center"/>
              <w:rPr>
                <w:rFonts w:ascii="Times New Roman" w:hAnsi="Times New Roman" w:eastAsia="宋体" w:cs="Times New Roman"/>
                <w:color w:val="000000" w:themeColor="text1"/>
                <w:kern w:val="0"/>
                <w:sz w:val="24"/>
                <w:szCs w:val="24"/>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49" w:type="dxa"/>
            <w:vAlign w:val="center"/>
          </w:tcPr>
          <w:p>
            <w:pPr>
              <w:spacing w:line="360" w:lineRule="auto"/>
              <w:jc w:val="center"/>
              <w:rPr>
                <w:rFonts w:ascii="Times New Roman" w:hAnsi="Times New Roman" w:eastAsia="宋体" w:cs="Times New Roman"/>
                <w:color w:val="000000" w:themeColor="text1"/>
                <w:kern w:val="0"/>
                <w:szCs w:val="24"/>
                <w14:textFill>
                  <w14:solidFill>
                    <w14:schemeClr w14:val="tx1"/>
                  </w14:solidFill>
                </w14:textFill>
              </w:rPr>
            </w:pPr>
            <w:r>
              <w:rPr>
                <w:rFonts w:ascii="Times New Roman" w:hAnsi="Times New Roman" w:eastAsia="宋体" w:cs="Times New Roman"/>
                <w:kern w:val="0"/>
                <w:szCs w:val="20"/>
              </w:rPr>
              <w:t>pH</w:t>
            </w:r>
          </w:p>
        </w:tc>
        <w:tc>
          <w:tcPr>
            <w:tcW w:w="1849" w:type="dxa"/>
            <w:vAlign w:val="center"/>
          </w:tcPr>
          <w:p>
            <w:pPr>
              <w:spacing w:line="360" w:lineRule="auto"/>
              <w:jc w:val="center"/>
              <w:rPr>
                <w:rFonts w:ascii="Times New Roman" w:hAnsi="Times New Roman" w:eastAsia="宋体" w:cs="Times New Roman"/>
                <w:color w:val="000000" w:themeColor="text1"/>
                <w:kern w:val="0"/>
                <w:szCs w:val="24"/>
                <w14:textFill>
                  <w14:solidFill>
                    <w14:schemeClr w14:val="tx1"/>
                  </w14:solidFill>
                </w14:textFill>
              </w:rPr>
            </w:pPr>
            <w:r>
              <w:rPr>
                <w:rFonts w:ascii="Times New Roman" w:hAnsi="Times New Roman" w:eastAsia="宋体" w:cs="Times New Roman"/>
                <w:color w:val="000000" w:themeColor="text1"/>
                <w:kern w:val="0"/>
                <w:szCs w:val="24"/>
                <w14:textFill>
                  <w14:solidFill>
                    <w14:schemeClr w14:val="tx1"/>
                  </w14:solidFill>
                </w14:textFill>
              </w:rPr>
              <w:t>5.43</w:t>
            </w:r>
          </w:p>
        </w:tc>
        <w:tc>
          <w:tcPr>
            <w:tcW w:w="1849" w:type="dxa"/>
            <w:vAlign w:val="center"/>
          </w:tcPr>
          <w:p>
            <w:pPr>
              <w:spacing w:line="360" w:lineRule="auto"/>
              <w:jc w:val="center"/>
              <w:rPr>
                <w:rFonts w:ascii="Times New Roman" w:hAnsi="Times New Roman" w:eastAsia="宋体" w:cs="Times New Roman"/>
                <w:color w:val="000000" w:themeColor="text1"/>
                <w:kern w:val="0"/>
                <w:szCs w:val="24"/>
                <w14:textFill>
                  <w14:solidFill>
                    <w14:schemeClr w14:val="tx1"/>
                  </w14:solidFill>
                </w14:textFill>
              </w:rPr>
            </w:pPr>
            <w:r>
              <w:rPr>
                <w:rFonts w:ascii="Times New Roman" w:hAnsi="Times New Roman" w:eastAsia="宋体" w:cs="Times New Roman"/>
                <w:color w:val="000000" w:themeColor="text1"/>
                <w:kern w:val="0"/>
                <w:szCs w:val="24"/>
                <w14:textFill>
                  <w14:solidFill>
                    <w14:schemeClr w14:val="tx1"/>
                  </w14:solidFill>
                </w14:textFill>
              </w:rPr>
              <w:t>6.16</w:t>
            </w:r>
          </w:p>
        </w:tc>
        <w:tc>
          <w:tcPr>
            <w:tcW w:w="1851" w:type="dxa"/>
            <w:vAlign w:val="center"/>
          </w:tcPr>
          <w:p>
            <w:pPr>
              <w:spacing w:line="360" w:lineRule="auto"/>
              <w:jc w:val="center"/>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14:textFill>
                  <w14:solidFill>
                    <w14:schemeClr w14:val="tx1"/>
                  </w14:solidFill>
                </w14:textFill>
              </w:rPr>
              <w:t>5.11</w:t>
            </w:r>
          </w:p>
        </w:tc>
        <w:tc>
          <w:tcPr>
            <w:tcW w:w="1850" w:type="dxa"/>
            <w:vAlign w:val="center"/>
          </w:tcPr>
          <w:p>
            <w:pPr>
              <w:spacing w:line="360" w:lineRule="auto"/>
              <w:jc w:val="center"/>
              <w:rPr>
                <w:rFonts w:ascii="Times New Roman" w:hAnsi="Times New Roman" w:eastAsia="宋体" w:cs="Times New Roman"/>
                <w:color w:val="000000" w:themeColor="text1"/>
                <w:kern w:val="0"/>
                <w:szCs w:val="24"/>
                <w14:textFill>
                  <w14:solidFill>
                    <w14:schemeClr w14:val="tx1"/>
                  </w14:solidFill>
                </w14:textFill>
              </w:rPr>
            </w:pPr>
            <w:r>
              <w:rPr>
                <w:rFonts w:ascii="Times New Roman" w:hAnsi="Times New Roman" w:eastAsia="宋体" w:cs="Times New Roman"/>
                <w:color w:val="000000" w:themeColor="text1"/>
                <w:kern w:val="0"/>
                <w:szCs w:val="24"/>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49" w:type="dxa"/>
            <w:vAlign w:val="center"/>
          </w:tcPr>
          <w:p>
            <w:pPr>
              <w:spacing w:line="360" w:lineRule="auto"/>
              <w:jc w:val="center"/>
              <w:rPr>
                <w:rFonts w:ascii="Times New Roman" w:hAnsi="Times New Roman" w:eastAsia="宋体" w:cs="Times New Roman"/>
                <w:color w:val="000000" w:themeColor="text1"/>
                <w:kern w:val="0"/>
                <w:szCs w:val="24"/>
                <w14:textFill>
                  <w14:solidFill>
                    <w14:schemeClr w14:val="tx1"/>
                  </w14:solidFill>
                </w14:textFill>
              </w:rPr>
            </w:pPr>
            <w:r>
              <w:rPr>
                <w:rFonts w:ascii="Times New Roman" w:hAnsi="Times New Roman" w:eastAsia="宋体" w:cs="Times New Roman"/>
                <w:kern w:val="0"/>
                <w:szCs w:val="20"/>
              </w:rPr>
              <w:t>铅</w:t>
            </w:r>
          </w:p>
        </w:tc>
        <w:tc>
          <w:tcPr>
            <w:tcW w:w="1849" w:type="dxa"/>
            <w:vAlign w:val="center"/>
          </w:tcPr>
          <w:p>
            <w:pPr>
              <w:spacing w:line="360" w:lineRule="auto"/>
              <w:jc w:val="center"/>
              <w:rPr>
                <w:rFonts w:ascii="Times New Roman" w:hAnsi="Times New Roman" w:eastAsia="宋体" w:cs="Times New Roman"/>
                <w:color w:val="000000" w:themeColor="text1"/>
                <w:kern w:val="0"/>
                <w:szCs w:val="24"/>
                <w14:textFill>
                  <w14:solidFill>
                    <w14:schemeClr w14:val="tx1"/>
                  </w14:solidFill>
                </w14:textFill>
              </w:rPr>
            </w:pPr>
            <w:r>
              <w:rPr>
                <w:rFonts w:ascii="Times New Roman" w:hAnsi="Times New Roman" w:eastAsia="宋体" w:cs="Times New Roman"/>
                <w:color w:val="000000" w:themeColor="text1"/>
                <w:kern w:val="0"/>
                <w:szCs w:val="24"/>
                <w14:textFill>
                  <w14:solidFill>
                    <w14:schemeClr w14:val="tx1"/>
                  </w14:solidFill>
                </w14:textFill>
              </w:rPr>
              <w:t>35</w:t>
            </w:r>
          </w:p>
        </w:tc>
        <w:tc>
          <w:tcPr>
            <w:tcW w:w="1849" w:type="dxa"/>
            <w:vAlign w:val="center"/>
          </w:tcPr>
          <w:p>
            <w:pPr>
              <w:spacing w:line="360" w:lineRule="auto"/>
              <w:jc w:val="center"/>
              <w:rPr>
                <w:rFonts w:ascii="Times New Roman" w:hAnsi="Times New Roman" w:eastAsia="宋体" w:cs="Times New Roman"/>
                <w:color w:val="000000" w:themeColor="text1"/>
                <w:kern w:val="0"/>
                <w:szCs w:val="24"/>
                <w14:textFill>
                  <w14:solidFill>
                    <w14:schemeClr w14:val="tx1"/>
                  </w14:solidFill>
                </w14:textFill>
              </w:rPr>
            </w:pPr>
            <w:r>
              <w:rPr>
                <w:rFonts w:ascii="Times New Roman" w:hAnsi="Times New Roman" w:eastAsia="宋体" w:cs="Times New Roman"/>
                <w:color w:val="000000" w:themeColor="text1"/>
                <w:kern w:val="0"/>
                <w:szCs w:val="24"/>
                <w14:textFill>
                  <w14:solidFill>
                    <w14:schemeClr w14:val="tx1"/>
                  </w14:solidFill>
                </w14:textFill>
              </w:rPr>
              <w:t>32</w:t>
            </w:r>
          </w:p>
        </w:tc>
        <w:tc>
          <w:tcPr>
            <w:tcW w:w="1851" w:type="dxa"/>
            <w:vAlign w:val="center"/>
          </w:tcPr>
          <w:p>
            <w:pPr>
              <w:spacing w:line="360" w:lineRule="auto"/>
              <w:jc w:val="center"/>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14:textFill>
                  <w14:solidFill>
                    <w14:schemeClr w14:val="tx1"/>
                  </w14:solidFill>
                </w14:textFill>
              </w:rPr>
              <w:t>42</w:t>
            </w:r>
          </w:p>
        </w:tc>
        <w:tc>
          <w:tcPr>
            <w:tcW w:w="1850" w:type="dxa"/>
            <w:vAlign w:val="center"/>
          </w:tcPr>
          <w:p>
            <w:pPr>
              <w:spacing w:line="360" w:lineRule="auto"/>
              <w:jc w:val="center"/>
              <w:rPr>
                <w:rFonts w:ascii="Times New Roman" w:hAnsi="Times New Roman" w:eastAsia="宋体" w:cs="Times New Roman"/>
                <w:color w:val="000000" w:themeColor="text1"/>
                <w:kern w:val="0"/>
                <w:szCs w:val="24"/>
                <w14:textFill>
                  <w14:solidFill>
                    <w14:schemeClr w14:val="tx1"/>
                  </w14:solidFill>
                </w14:textFill>
              </w:rPr>
            </w:pPr>
            <w:r>
              <w:rPr>
                <w:rFonts w:ascii="Times New Roman" w:hAnsi="Times New Roman" w:eastAsia="宋体" w:cs="Times New Roman"/>
                <w:color w:val="000000" w:themeColor="text1"/>
                <w:kern w:val="0"/>
                <w:szCs w:val="24"/>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49" w:type="dxa"/>
            <w:vAlign w:val="center"/>
          </w:tcPr>
          <w:p>
            <w:pPr>
              <w:spacing w:line="360" w:lineRule="auto"/>
              <w:jc w:val="center"/>
              <w:rPr>
                <w:rFonts w:ascii="Times New Roman" w:hAnsi="Times New Roman" w:eastAsia="宋体" w:cs="Times New Roman"/>
                <w:color w:val="000000" w:themeColor="text1"/>
                <w:kern w:val="0"/>
                <w:szCs w:val="24"/>
                <w14:textFill>
                  <w14:solidFill>
                    <w14:schemeClr w14:val="tx1"/>
                  </w14:solidFill>
                </w14:textFill>
              </w:rPr>
            </w:pPr>
            <w:r>
              <w:rPr>
                <w:rFonts w:ascii="Times New Roman" w:hAnsi="Times New Roman" w:eastAsia="宋体" w:cs="Times New Roman"/>
                <w:kern w:val="0"/>
                <w:szCs w:val="20"/>
              </w:rPr>
              <w:t>铬</w:t>
            </w:r>
          </w:p>
        </w:tc>
        <w:tc>
          <w:tcPr>
            <w:tcW w:w="1849" w:type="dxa"/>
            <w:vAlign w:val="center"/>
          </w:tcPr>
          <w:p>
            <w:pPr>
              <w:spacing w:line="360" w:lineRule="auto"/>
              <w:jc w:val="center"/>
              <w:rPr>
                <w:rFonts w:ascii="Times New Roman" w:hAnsi="Times New Roman" w:eastAsia="宋体" w:cs="Times New Roman"/>
                <w:color w:val="000000" w:themeColor="text1"/>
                <w:kern w:val="0"/>
                <w:szCs w:val="24"/>
                <w14:textFill>
                  <w14:solidFill>
                    <w14:schemeClr w14:val="tx1"/>
                  </w14:solidFill>
                </w14:textFill>
              </w:rPr>
            </w:pPr>
            <w:r>
              <w:rPr>
                <w:rFonts w:ascii="Times New Roman" w:hAnsi="Times New Roman" w:eastAsia="宋体" w:cs="Times New Roman"/>
                <w:color w:val="000000" w:themeColor="text1"/>
                <w:kern w:val="0"/>
                <w:szCs w:val="24"/>
                <w14:textFill>
                  <w14:solidFill>
                    <w14:schemeClr w14:val="tx1"/>
                  </w14:solidFill>
                </w14:textFill>
              </w:rPr>
              <w:t>104</w:t>
            </w:r>
          </w:p>
        </w:tc>
        <w:tc>
          <w:tcPr>
            <w:tcW w:w="1849" w:type="dxa"/>
            <w:vAlign w:val="center"/>
          </w:tcPr>
          <w:p>
            <w:pPr>
              <w:spacing w:line="360" w:lineRule="auto"/>
              <w:jc w:val="center"/>
              <w:rPr>
                <w:rFonts w:ascii="Times New Roman" w:hAnsi="Times New Roman" w:eastAsia="宋体" w:cs="Times New Roman"/>
                <w:color w:val="000000" w:themeColor="text1"/>
                <w:kern w:val="0"/>
                <w:szCs w:val="24"/>
                <w14:textFill>
                  <w14:solidFill>
                    <w14:schemeClr w14:val="tx1"/>
                  </w14:solidFill>
                </w14:textFill>
              </w:rPr>
            </w:pPr>
            <w:r>
              <w:rPr>
                <w:rFonts w:ascii="Times New Roman" w:hAnsi="Times New Roman" w:eastAsia="宋体" w:cs="Times New Roman"/>
                <w:color w:val="000000" w:themeColor="text1"/>
                <w:kern w:val="0"/>
                <w:szCs w:val="24"/>
                <w14:textFill>
                  <w14:solidFill>
                    <w14:schemeClr w14:val="tx1"/>
                  </w14:solidFill>
                </w14:textFill>
              </w:rPr>
              <w:t>107</w:t>
            </w:r>
          </w:p>
        </w:tc>
        <w:tc>
          <w:tcPr>
            <w:tcW w:w="1851" w:type="dxa"/>
            <w:vAlign w:val="center"/>
          </w:tcPr>
          <w:p>
            <w:pPr>
              <w:spacing w:line="360" w:lineRule="auto"/>
              <w:jc w:val="center"/>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14:textFill>
                  <w14:solidFill>
                    <w14:schemeClr w14:val="tx1"/>
                  </w14:solidFill>
                </w14:textFill>
              </w:rPr>
              <w:t>107</w:t>
            </w:r>
          </w:p>
        </w:tc>
        <w:tc>
          <w:tcPr>
            <w:tcW w:w="1850" w:type="dxa"/>
            <w:vAlign w:val="center"/>
          </w:tcPr>
          <w:p>
            <w:pPr>
              <w:spacing w:line="360" w:lineRule="auto"/>
              <w:jc w:val="center"/>
              <w:rPr>
                <w:rFonts w:ascii="Times New Roman" w:hAnsi="Times New Roman" w:eastAsia="宋体" w:cs="Times New Roman"/>
                <w:color w:val="000000" w:themeColor="text1"/>
                <w:kern w:val="0"/>
                <w:szCs w:val="24"/>
                <w14:textFill>
                  <w14:solidFill>
                    <w14:schemeClr w14:val="tx1"/>
                  </w14:solidFill>
                </w14:textFill>
              </w:rPr>
            </w:pPr>
            <w:r>
              <w:rPr>
                <w:rFonts w:ascii="Times New Roman" w:hAnsi="Times New Roman" w:eastAsia="宋体" w:cs="Times New Roman"/>
                <w:color w:val="000000" w:themeColor="text1"/>
                <w:kern w:val="0"/>
                <w:szCs w:val="24"/>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49" w:type="dxa"/>
            <w:vAlign w:val="center"/>
          </w:tcPr>
          <w:p>
            <w:pPr>
              <w:spacing w:line="360" w:lineRule="auto"/>
              <w:jc w:val="center"/>
              <w:rPr>
                <w:rFonts w:ascii="Times New Roman" w:hAnsi="Times New Roman" w:eastAsia="宋体" w:cs="Times New Roman"/>
                <w:color w:val="000000" w:themeColor="text1"/>
                <w:kern w:val="0"/>
                <w:szCs w:val="24"/>
                <w14:textFill>
                  <w14:solidFill>
                    <w14:schemeClr w14:val="tx1"/>
                  </w14:solidFill>
                </w14:textFill>
              </w:rPr>
            </w:pPr>
            <w:r>
              <w:rPr>
                <w:rFonts w:ascii="Times New Roman" w:hAnsi="Times New Roman" w:eastAsia="宋体" w:cs="Times New Roman"/>
                <w:kern w:val="0"/>
                <w:szCs w:val="20"/>
              </w:rPr>
              <w:t>铜</w:t>
            </w:r>
          </w:p>
        </w:tc>
        <w:tc>
          <w:tcPr>
            <w:tcW w:w="1849" w:type="dxa"/>
            <w:vAlign w:val="center"/>
          </w:tcPr>
          <w:p>
            <w:pPr>
              <w:spacing w:line="360" w:lineRule="auto"/>
              <w:jc w:val="center"/>
              <w:rPr>
                <w:rFonts w:ascii="Times New Roman" w:hAnsi="Times New Roman" w:eastAsia="宋体" w:cs="Times New Roman"/>
                <w:color w:val="000000" w:themeColor="text1"/>
                <w:kern w:val="0"/>
                <w:szCs w:val="24"/>
                <w14:textFill>
                  <w14:solidFill>
                    <w14:schemeClr w14:val="tx1"/>
                  </w14:solidFill>
                </w14:textFill>
              </w:rPr>
            </w:pPr>
            <w:r>
              <w:rPr>
                <w:rFonts w:ascii="Times New Roman" w:hAnsi="Times New Roman" w:eastAsia="宋体" w:cs="Times New Roman"/>
                <w:color w:val="000000" w:themeColor="text1"/>
                <w:kern w:val="0"/>
                <w:szCs w:val="24"/>
                <w14:textFill>
                  <w14:solidFill>
                    <w14:schemeClr w14:val="tx1"/>
                  </w14:solidFill>
                </w14:textFill>
              </w:rPr>
              <w:t>25</w:t>
            </w:r>
          </w:p>
        </w:tc>
        <w:tc>
          <w:tcPr>
            <w:tcW w:w="1849" w:type="dxa"/>
            <w:vAlign w:val="center"/>
          </w:tcPr>
          <w:p>
            <w:pPr>
              <w:spacing w:line="360" w:lineRule="auto"/>
              <w:jc w:val="center"/>
              <w:rPr>
                <w:rFonts w:ascii="Times New Roman" w:hAnsi="Times New Roman" w:eastAsia="宋体" w:cs="Times New Roman"/>
                <w:color w:val="000000" w:themeColor="text1"/>
                <w:kern w:val="0"/>
                <w:szCs w:val="24"/>
                <w14:textFill>
                  <w14:solidFill>
                    <w14:schemeClr w14:val="tx1"/>
                  </w14:solidFill>
                </w14:textFill>
              </w:rPr>
            </w:pPr>
            <w:r>
              <w:rPr>
                <w:rFonts w:ascii="Times New Roman" w:hAnsi="Times New Roman" w:eastAsia="宋体" w:cs="Times New Roman"/>
                <w:color w:val="000000" w:themeColor="text1"/>
                <w:kern w:val="0"/>
                <w:szCs w:val="24"/>
                <w14:textFill>
                  <w14:solidFill>
                    <w14:schemeClr w14:val="tx1"/>
                  </w14:solidFill>
                </w14:textFill>
              </w:rPr>
              <w:t>10</w:t>
            </w:r>
          </w:p>
        </w:tc>
        <w:tc>
          <w:tcPr>
            <w:tcW w:w="1851" w:type="dxa"/>
            <w:vAlign w:val="center"/>
          </w:tcPr>
          <w:p>
            <w:pPr>
              <w:spacing w:line="360" w:lineRule="auto"/>
              <w:jc w:val="center"/>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14:textFill>
                  <w14:solidFill>
                    <w14:schemeClr w14:val="tx1"/>
                  </w14:solidFill>
                </w14:textFill>
              </w:rPr>
              <w:t>47</w:t>
            </w:r>
          </w:p>
        </w:tc>
        <w:tc>
          <w:tcPr>
            <w:tcW w:w="1850" w:type="dxa"/>
            <w:vAlign w:val="center"/>
          </w:tcPr>
          <w:p>
            <w:pPr>
              <w:spacing w:line="360" w:lineRule="auto"/>
              <w:jc w:val="center"/>
              <w:rPr>
                <w:rFonts w:ascii="Times New Roman" w:hAnsi="Times New Roman" w:eastAsia="宋体" w:cs="Times New Roman"/>
                <w:color w:val="000000" w:themeColor="text1"/>
                <w:kern w:val="0"/>
                <w:szCs w:val="24"/>
                <w14:textFill>
                  <w14:solidFill>
                    <w14:schemeClr w14:val="tx1"/>
                  </w14:solidFill>
                </w14:textFill>
              </w:rPr>
            </w:pPr>
            <w:r>
              <w:rPr>
                <w:rFonts w:ascii="Times New Roman" w:hAnsi="Times New Roman" w:eastAsia="宋体" w:cs="Times New Roman"/>
                <w:color w:val="000000" w:themeColor="text1"/>
                <w:kern w:val="0"/>
                <w:szCs w:val="24"/>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49" w:type="dxa"/>
            <w:vAlign w:val="center"/>
          </w:tcPr>
          <w:p>
            <w:pPr>
              <w:spacing w:line="360" w:lineRule="auto"/>
              <w:jc w:val="center"/>
              <w:rPr>
                <w:rFonts w:ascii="Times New Roman" w:hAnsi="Times New Roman" w:eastAsia="宋体" w:cs="Times New Roman"/>
                <w:color w:val="000000" w:themeColor="text1"/>
                <w:kern w:val="0"/>
                <w:szCs w:val="24"/>
                <w14:textFill>
                  <w14:solidFill>
                    <w14:schemeClr w14:val="tx1"/>
                  </w14:solidFill>
                </w14:textFill>
              </w:rPr>
            </w:pPr>
            <w:r>
              <w:rPr>
                <w:rFonts w:ascii="Times New Roman" w:hAnsi="Times New Roman" w:eastAsia="宋体" w:cs="Times New Roman"/>
                <w:kern w:val="0"/>
                <w:szCs w:val="20"/>
              </w:rPr>
              <w:t>镍</w:t>
            </w:r>
          </w:p>
        </w:tc>
        <w:tc>
          <w:tcPr>
            <w:tcW w:w="1849" w:type="dxa"/>
            <w:vAlign w:val="center"/>
          </w:tcPr>
          <w:p>
            <w:pPr>
              <w:spacing w:line="360" w:lineRule="auto"/>
              <w:jc w:val="center"/>
              <w:rPr>
                <w:rFonts w:ascii="Times New Roman" w:hAnsi="Times New Roman" w:eastAsia="宋体" w:cs="Times New Roman"/>
                <w:color w:val="000000" w:themeColor="text1"/>
                <w:kern w:val="0"/>
                <w:szCs w:val="24"/>
                <w14:textFill>
                  <w14:solidFill>
                    <w14:schemeClr w14:val="tx1"/>
                  </w14:solidFill>
                </w14:textFill>
              </w:rPr>
            </w:pPr>
            <w:r>
              <w:rPr>
                <w:rFonts w:ascii="Times New Roman" w:hAnsi="Times New Roman" w:eastAsia="宋体" w:cs="Times New Roman"/>
                <w:color w:val="000000" w:themeColor="text1"/>
                <w:kern w:val="0"/>
                <w:szCs w:val="24"/>
                <w14:textFill>
                  <w14:solidFill>
                    <w14:schemeClr w14:val="tx1"/>
                  </w14:solidFill>
                </w14:textFill>
              </w:rPr>
              <w:t>37</w:t>
            </w:r>
          </w:p>
        </w:tc>
        <w:tc>
          <w:tcPr>
            <w:tcW w:w="1849" w:type="dxa"/>
            <w:vAlign w:val="center"/>
          </w:tcPr>
          <w:p>
            <w:pPr>
              <w:spacing w:line="360" w:lineRule="auto"/>
              <w:jc w:val="center"/>
              <w:rPr>
                <w:rFonts w:ascii="Times New Roman" w:hAnsi="Times New Roman" w:eastAsia="宋体" w:cs="Times New Roman"/>
                <w:color w:val="000000" w:themeColor="text1"/>
                <w:kern w:val="0"/>
                <w:szCs w:val="24"/>
                <w14:textFill>
                  <w14:solidFill>
                    <w14:schemeClr w14:val="tx1"/>
                  </w14:solidFill>
                </w14:textFill>
              </w:rPr>
            </w:pPr>
            <w:r>
              <w:rPr>
                <w:rFonts w:ascii="Times New Roman" w:hAnsi="Times New Roman" w:eastAsia="宋体" w:cs="Times New Roman"/>
                <w:color w:val="000000" w:themeColor="text1"/>
                <w:kern w:val="0"/>
                <w:szCs w:val="24"/>
                <w14:textFill>
                  <w14:solidFill>
                    <w14:schemeClr w14:val="tx1"/>
                  </w14:solidFill>
                </w14:textFill>
              </w:rPr>
              <w:t>21</w:t>
            </w:r>
          </w:p>
        </w:tc>
        <w:tc>
          <w:tcPr>
            <w:tcW w:w="1851" w:type="dxa"/>
            <w:vAlign w:val="center"/>
          </w:tcPr>
          <w:p>
            <w:pPr>
              <w:spacing w:line="360" w:lineRule="auto"/>
              <w:jc w:val="center"/>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14:textFill>
                  <w14:solidFill>
                    <w14:schemeClr w14:val="tx1"/>
                  </w14:solidFill>
                </w14:textFill>
              </w:rPr>
              <w:t>61</w:t>
            </w:r>
          </w:p>
        </w:tc>
        <w:tc>
          <w:tcPr>
            <w:tcW w:w="1850" w:type="dxa"/>
            <w:vAlign w:val="center"/>
          </w:tcPr>
          <w:p>
            <w:pPr>
              <w:spacing w:line="360" w:lineRule="auto"/>
              <w:jc w:val="center"/>
              <w:rPr>
                <w:rFonts w:ascii="Times New Roman" w:hAnsi="Times New Roman" w:eastAsia="宋体" w:cs="Times New Roman"/>
                <w:color w:val="000000" w:themeColor="text1"/>
                <w:kern w:val="0"/>
                <w:szCs w:val="24"/>
                <w14:textFill>
                  <w14:solidFill>
                    <w14:schemeClr w14:val="tx1"/>
                  </w14:solidFill>
                </w14:textFill>
              </w:rPr>
            </w:pPr>
            <w:r>
              <w:rPr>
                <w:rFonts w:ascii="Times New Roman" w:hAnsi="Times New Roman" w:eastAsia="宋体" w:cs="Times New Roman"/>
                <w:color w:val="000000" w:themeColor="text1"/>
                <w:kern w:val="0"/>
                <w:szCs w:val="24"/>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49" w:type="dxa"/>
            <w:vAlign w:val="center"/>
          </w:tcPr>
          <w:p>
            <w:pPr>
              <w:spacing w:line="360" w:lineRule="auto"/>
              <w:jc w:val="center"/>
              <w:rPr>
                <w:rFonts w:ascii="Times New Roman" w:hAnsi="Times New Roman" w:eastAsia="宋体" w:cs="Times New Roman"/>
                <w:color w:val="000000" w:themeColor="text1"/>
                <w:kern w:val="0"/>
                <w:szCs w:val="24"/>
                <w14:textFill>
                  <w14:solidFill>
                    <w14:schemeClr w14:val="tx1"/>
                  </w14:solidFill>
                </w14:textFill>
              </w:rPr>
            </w:pPr>
            <w:r>
              <w:rPr>
                <w:rFonts w:ascii="Times New Roman" w:hAnsi="Times New Roman" w:eastAsia="宋体" w:cs="Times New Roman"/>
                <w:kern w:val="0"/>
                <w:szCs w:val="20"/>
              </w:rPr>
              <w:t>锌</w:t>
            </w:r>
          </w:p>
        </w:tc>
        <w:tc>
          <w:tcPr>
            <w:tcW w:w="1849" w:type="dxa"/>
            <w:vAlign w:val="center"/>
          </w:tcPr>
          <w:p>
            <w:pPr>
              <w:spacing w:line="360" w:lineRule="auto"/>
              <w:jc w:val="center"/>
              <w:rPr>
                <w:rFonts w:ascii="Times New Roman" w:hAnsi="Times New Roman" w:eastAsia="宋体" w:cs="Times New Roman"/>
                <w:color w:val="000000" w:themeColor="text1"/>
                <w:kern w:val="0"/>
                <w:szCs w:val="24"/>
                <w14:textFill>
                  <w14:solidFill>
                    <w14:schemeClr w14:val="tx1"/>
                  </w14:solidFill>
                </w14:textFill>
              </w:rPr>
            </w:pPr>
            <w:r>
              <w:rPr>
                <w:rFonts w:ascii="Times New Roman" w:hAnsi="Times New Roman" w:eastAsia="宋体" w:cs="Times New Roman"/>
                <w:color w:val="000000" w:themeColor="text1"/>
                <w:kern w:val="0"/>
                <w:szCs w:val="24"/>
                <w14:textFill>
                  <w14:solidFill>
                    <w14:schemeClr w14:val="tx1"/>
                  </w14:solidFill>
                </w14:textFill>
              </w:rPr>
              <w:t>102</w:t>
            </w:r>
          </w:p>
        </w:tc>
        <w:tc>
          <w:tcPr>
            <w:tcW w:w="1849" w:type="dxa"/>
            <w:vAlign w:val="center"/>
          </w:tcPr>
          <w:p>
            <w:pPr>
              <w:spacing w:line="360" w:lineRule="auto"/>
              <w:jc w:val="center"/>
              <w:rPr>
                <w:rFonts w:ascii="Times New Roman" w:hAnsi="Times New Roman" w:eastAsia="宋体" w:cs="Times New Roman"/>
                <w:color w:val="000000" w:themeColor="text1"/>
                <w:kern w:val="0"/>
                <w:szCs w:val="24"/>
                <w14:textFill>
                  <w14:solidFill>
                    <w14:schemeClr w14:val="tx1"/>
                  </w14:solidFill>
                </w14:textFill>
              </w:rPr>
            </w:pPr>
            <w:r>
              <w:rPr>
                <w:rFonts w:ascii="Times New Roman" w:hAnsi="Times New Roman" w:eastAsia="宋体" w:cs="Times New Roman"/>
                <w:color w:val="000000" w:themeColor="text1"/>
                <w:kern w:val="0"/>
                <w:szCs w:val="24"/>
                <w14:textFill>
                  <w14:solidFill>
                    <w14:schemeClr w14:val="tx1"/>
                  </w14:solidFill>
                </w14:textFill>
              </w:rPr>
              <w:t>63</w:t>
            </w:r>
          </w:p>
        </w:tc>
        <w:tc>
          <w:tcPr>
            <w:tcW w:w="1851" w:type="dxa"/>
            <w:vAlign w:val="center"/>
          </w:tcPr>
          <w:p>
            <w:pPr>
              <w:spacing w:line="360" w:lineRule="auto"/>
              <w:jc w:val="center"/>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14:textFill>
                  <w14:solidFill>
                    <w14:schemeClr w14:val="tx1"/>
                  </w14:solidFill>
                </w14:textFill>
              </w:rPr>
              <w:t>103</w:t>
            </w:r>
          </w:p>
        </w:tc>
        <w:tc>
          <w:tcPr>
            <w:tcW w:w="1850" w:type="dxa"/>
            <w:vAlign w:val="center"/>
          </w:tcPr>
          <w:p>
            <w:pPr>
              <w:spacing w:line="360" w:lineRule="auto"/>
              <w:jc w:val="center"/>
              <w:rPr>
                <w:rFonts w:ascii="Times New Roman" w:hAnsi="Times New Roman" w:eastAsia="宋体" w:cs="Times New Roman"/>
                <w:color w:val="000000" w:themeColor="text1"/>
                <w:kern w:val="0"/>
                <w:szCs w:val="24"/>
                <w14:textFill>
                  <w14:solidFill>
                    <w14:schemeClr w14:val="tx1"/>
                  </w14:solidFill>
                </w14:textFill>
              </w:rPr>
            </w:pPr>
            <w:r>
              <w:rPr>
                <w:rFonts w:ascii="Times New Roman" w:hAnsi="Times New Roman" w:eastAsia="宋体" w:cs="Times New Roman"/>
                <w:color w:val="000000" w:themeColor="text1"/>
                <w:kern w:val="0"/>
                <w:szCs w:val="24"/>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49" w:type="dxa"/>
            <w:vAlign w:val="center"/>
          </w:tcPr>
          <w:p>
            <w:pPr>
              <w:spacing w:line="360" w:lineRule="auto"/>
              <w:jc w:val="center"/>
              <w:rPr>
                <w:rFonts w:ascii="Times New Roman" w:hAnsi="Times New Roman" w:eastAsia="宋体" w:cs="Times New Roman"/>
                <w:color w:val="000000" w:themeColor="text1"/>
                <w:kern w:val="0"/>
                <w:szCs w:val="24"/>
                <w14:textFill>
                  <w14:solidFill>
                    <w14:schemeClr w14:val="tx1"/>
                  </w14:solidFill>
                </w14:textFill>
              </w:rPr>
            </w:pPr>
            <w:r>
              <w:rPr>
                <w:rFonts w:ascii="Times New Roman" w:hAnsi="Times New Roman" w:eastAsia="宋体" w:cs="Times New Roman"/>
                <w:kern w:val="0"/>
                <w:szCs w:val="20"/>
              </w:rPr>
              <w:t>镉</w:t>
            </w:r>
          </w:p>
        </w:tc>
        <w:tc>
          <w:tcPr>
            <w:tcW w:w="1849" w:type="dxa"/>
            <w:vAlign w:val="center"/>
          </w:tcPr>
          <w:p>
            <w:pPr>
              <w:spacing w:line="360" w:lineRule="auto"/>
              <w:jc w:val="center"/>
              <w:rPr>
                <w:rFonts w:ascii="Times New Roman" w:hAnsi="Times New Roman" w:eastAsia="宋体" w:cs="Times New Roman"/>
                <w:color w:val="000000" w:themeColor="text1"/>
                <w:kern w:val="0"/>
                <w:szCs w:val="24"/>
                <w14:textFill>
                  <w14:solidFill>
                    <w14:schemeClr w14:val="tx1"/>
                  </w14:solidFill>
                </w14:textFill>
              </w:rPr>
            </w:pPr>
            <w:r>
              <w:rPr>
                <w:rFonts w:ascii="Times New Roman" w:hAnsi="Times New Roman" w:eastAsia="宋体" w:cs="Times New Roman"/>
                <w:color w:val="000000" w:themeColor="text1"/>
                <w:kern w:val="0"/>
                <w:szCs w:val="24"/>
                <w14:textFill>
                  <w14:solidFill>
                    <w14:schemeClr w14:val="tx1"/>
                  </w14:solidFill>
                </w14:textFill>
              </w:rPr>
              <w:t>0.04</w:t>
            </w:r>
          </w:p>
        </w:tc>
        <w:tc>
          <w:tcPr>
            <w:tcW w:w="1849" w:type="dxa"/>
            <w:vAlign w:val="center"/>
          </w:tcPr>
          <w:p>
            <w:pPr>
              <w:spacing w:line="360" w:lineRule="auto"/>
              <w:jc w:val="center"/>
              <w:rPr>
                <w:rFonts w:ascii="Times New Roman" w:hAnsi="Times New Roman" w:eastAsia="宋体" w:cs="Times New Roman"/>
                <w:color w:val="000000" w:themeColor="text1"/>
                <w:kern w:val="0"/>
                <w:szCs w:val="24"/>
                <w14:textFill>
                  <w14:solidFill>
                    <w14:schemeClr w14:val="tx1"/>
                  </w14:solidFill>
                </w14:textFill>
              </w:rPr>
            </w:pPr>
            <w:r>
              <w:rPr>
                <w:rFonts w:ascii="Times New Roman" w:hAnsi="Times New Roman" w:eastAsia="宋体" w:cs="Times New Roman"/>
                <w:color w:val="000000" w:themeColor="text1"/>
                <w:kern w:val="0"/>
                <w:szCs w:val="24"/>
                <w14:textFill>
                  <w14:solidFill>
                    <w14:schemeClr w14:val="tx1"/>
                  </w14:solidFill>
                </w14:textFill>
              </w:rPr>
              <w:t>0.48</w:t>
            </w:r>
          </w:p>
        </w:tc>
        <w:tc>
          <w:tcPr>
            <w:tcW w:w="1851" w:type="dxa"/>
            <w:vAlign w:val="center"/>
          </w:tcPr>
          <w:p>
            <w:pPr>
              <w:spacing w:line="360" w:lineRule="auto"/>
              <w:jc w:val="center"/>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14:textFill>
                  <w14:solidFill>
                    <w14:schemeClr w14:val="tx1"/>
                  </w14:solidFill>
                </w14:textFill>
              </w:rPr>
              <w:t>0.18</w:t>
            </w:r>
          </w:p>
        </w:tc>
        <w:tc>
          <w:tcPr>
            <w:tcW w:w="1850" w:type="dxa"/>
            <w:vAlign w:val="center"/>
          </w:tcPr>
          <w:p>
            <w:pPr>
              <w:spacing w:line="360" w:lineRule="auto"/>
              <w:jc w:val="center"/>
              <w:rPr>
                <w:rFonts w:ascii="Times New Roman" w:hAnsi="Times New Roman" w:eastAsia="宋体" w:cs="Times New Roman"/>
                <w:color w:val="000000" w:themeColor="text1"/>
                <w:kern w:val="0"/>
                <w:szCs w:val="24"/>
                <w14:textFill>
                  <w14:solidFill>
                    <w14:schemeClr w14:val="tx1"/>
                  </w14:solidFill>
                </w14:textFill>
              </w:rPr>
            </w:pPr>
            <w:r>
              <w:rPr>
                <w:rFonts w:ascii="Times New Roman" w:hAnsi="Times New Roman" w:eastAsia="宋体" w:cs="Times New Roman"/>
                <w:color w:val="000000" w:themeColor="text1"/>
                <w:kern w:val="0"/>
                <w:szCs w:val="24"/>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49" w:type="dxa"/>
            <w:vAlign w:val="center"/>
          </w:tcPr>
          <w:p>
            <w:pPr>
              <w:spacing w:line="360" w:lineRule="auto"/>
              <w:jc w:val="center"/>
              <w:rPr>
                <w:rFonts w:ascii="Times New Roman" w:hAnsi="Times New Roman" w:eastAsia="宋体" w:cs="Times New Roman"/>
                <w:color w:val="000000" w:themeColor="text1"/>
                <w:kern w:val="0"/>
                <w:szCs w:val="24"/>
                <w14:textFill>
                  <w14:solidFill>
                    <w14:schemeClr w14:val="tx1"/>
                  </w14:solidFill>
                </w14:textFill>
              </w:rPr>
            </w:pPr>
            <w:r>
              <w:rPr>
                <w:rFonts w:ascii="Times New Roman" w:hAnsi="Times New Roman" w:eastAsia="宋体" w:cs="Times New Roman"/>
                <w:kern w:val="0"/>
                <w:szCs w:val="20"/>
              </w:rPr>
              <w:t>砷</w:t>
            </w:r>
          </w:p>
        </w:tc>
        <w:tc>
          <w:tcPr>
            <w:tcW w:w="1849" w:type="dxa"/>
            <w:vAlign w:val="center"/>
          </w:tcPr>
          <w:p>
            <w:pPr>
              <w:spacing w:line="360" w:lineRule="auto"/>
              <w:jc w:val="center"/>
              <w:rPr>
                <w:rFonts w:ascii="Times New Roman" w:hAnsi="Times New Roman" w:eastAsia="宋体" w:cs="Times New Roman"/>
                <w:color w:val="000000" w:themeColor="text1"/>
                <w:kern w:val="0"/>
                <w:szCs w:val="24"/>
                <w14:textFill>
                  <w14:solidFill>
                    <w14:schemeClr w14:val="tx1"/>
                  </w14:solidFill>
                </w14:textFill>
              </w:rPr>
            </w:pPr>
            <w:r>
              <w:rPr>
                <w:rFonts w:ascii="Times New Roman" w:hAnsi="Times New Roman" w:eastAsia="宋体" w:cs="Times New Roman"/>
                <w:color w:val="000000" w:themeColor="text1"/>
                <w:kern w:val="0"/>
                <w:szCs w:val="24"/>
                <w14:textFill>
                  <w14:solidFill>
                    <w14:schemeClr w14:val="tx1"/>
                  </w14:solidFill>
                </w14:textFill>
              </w:rPr>
              <w:t>8.34</w:t>
            </w:r>
          </w:p>
        </w:tc>
        <w:tc>
          <w:tcPr>
            <w:tcW w:w="1849" w:type="dxa"/>
            <w:vAlign w:val="center"/>
          </w:tcPr>
          <w:p>
            <w:pPr>
              <w:spacing w:line="360" w:lineRule="auto"/>
              <w:jc w:val="center"/>
              <w:rPr>
                <w:rFonts w:ascii="Times New Roman" w:hAnsi="Times New Roman" w:eastAsia="宋体" w:cs="Times New Roman"/>
                <w:color w:val="000000" w:themeColor="text1"/>
                <w:kern w:val="0"/>
                <w:szCs w:val="24"/>
                <w14:textFill>
                  <w14:solidFill>
                    <w14:schemeClr w14:val="tx1"/>
                  </w14:solidFill>
                </w14:textFill>
              </w:rPr>
            </w:pPr>
            <w:r>
              <w:rPr>
                <w:rFonts w:ascii="Times New Roman" w:hAnsi="Times New Roman" w:eastAsia="宋体" w:cs="Times New Roman"/>
                <w:color w:val="000000" w:themeColor="text1"/>
                <w:kern w:val="0"/>
                <w:szCs w:val="24"/>
                <w14:textFill>
                  <w14:solidFill>
                    <w14:schemeClr w14:val="tx1"/>
                  </w14:solidFill>
                </w14:textFill>
              </w:rPr>
              <w:t>18.4</w:t>
            </w:r>
          </w:p>
        </w:tc>
        <w:tc>
          <w:tcPr>
            <w:tcW w:w="1851" w:type="dxa"/>
            <w:vAlign w:val="center"/>
          </w:tcPr>
          <w:p>
            <w:pPr>
              <w:spacing w:line="360" w:lineRule="auto"/>
              <w:jc w:val="center"/>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14:textFill>
                  <w14:solidFill>
                    <w14:schemeClr w14:val="tx1"/>
                  </w14:solidFill>
                </w14:textFill>
              </w:rPr>
              <w:t>12.4</w:t>
            </w:r>
          </w:p>
        </w:tc>
        <w:tc>
          <w:tcPr>
            <w:tcW w:w="1850" w:type="dxa"/>
            <w:vAlign w:val="center"/>
          </w:tcPr>
          <w:p>
            <w:pPr>
              <w:spacing w:line="360" w:lineRule="auto"/>
              <w:jc w:val="center"/>
              <w:rPr>
                <w:rFonts w:ascii="Times New Roman" w:hAnsi="Times New Roman" w:eastAsia="宋体" w:cs="Times New Roman"/>
                <w:color w:val="000000" w:themeColor="text1"/>
                <w:kern w:val="0"/>
                <w:szCs w:val="24"/>
                <w14:textFill>
                  <w14:solidFill>
                    <w14:schemeClr w14:val="tx1"/>
                  </w14:solidFill>
                </w14:textFill>
              </w:rPr>
            </w:pPr>
            <w:r>
              <w:rPr>
                <w:rFonts w:ascii="Times New Roman" w:hAnsi="Times New Roman" w:eastAsia="宋体" w:cs="Times New Roman"/>
                <w:color w:val="000000" w:themeColor="text1"/>
                <w:kern w:val="0"/>
                <w:szCs w:val="24"/>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49" w:type="dxa"/>
            <w:vAlign w:val="center"/>
          </w:tcPr>
          <w:p>
            <w:pPr>
              <w:spacing w:line="360" w:lineRule="auto"/>
              <w:jc w:val="center"/>
              <w:rPr>
                <w:rFonts w:ascii="Times New Roman" w:hAnsi="Times New Roman" w:eastAsia="宋体" w:cs="Times New Roman"/>
                <w:color w:val="000000" w:themeColor="text1"/>
                <w:kern w:val="0"/>
                <w:szCs w:val="24"/>
                <w14:textFill>
                  <w14:solidFill>
                    <w14:schemeClr w14:val="tx1"/>
                  </w14:solidFill>
                </w14:textFill>
              </w:rPr>
            </w:pPr>
            <w:r>
              <w:rPr>
                <w:rFonts w:ascii="Times New Roman" w:hAnsi="Times New Roman" w:eastAsia="宋体" w:cs="Times New Roman"/>
                <w:kern w:val="0"/>
                <w:szCs w:val="20"/>
              </w:rPr>
              <w:t>汞</w:t>
            </w:r>
          </w:p>
        </w:tc>
        <w:tc>
          <w:tcPr>
            <w:tcW w:w="1849" w:type="dxa"/>
            <w:vAlign w:val="center"/>
          </w:tcPr>
          <w:p>
            <w:pPr>
              <w:spacing w:line="360" w:lineRule="auto"/>
              <w:jc w:val="center"/>
              <w:rPr>
                <w:rFonts w:ascii="Times New Roman" w:hAnsi="Times New Roman" w:eastAsia="宋体" w:cs="Times New Roman"/>
                <w:color w:val="000000" w:themeColor="text1"/>
                <w:kern w:val="0"/>
                <w:szCs w:val="24"/>
                <w14:textFill>
                  <w14:solidFill>
                    <w14:schemeClr w14:val="tx1"/>
                  </w14:solidFill>
                </w14:textFill>
              </w:rPr>
            </w:pPr>
            <w:r>
              <w:rPr>
                <w:rFonts w:ascii="Times New Roman" w:hAnsi="Times New Roman" w:eastAsia="宋体" w:cs="Times New Roman"/>
                <w:color w:val="000000" w:themeColor="text1"/>
                <w:kern w:val="0"/>
                <w:szCs w:val="24"/>
                <w14:textFill>
                  <w14:solidFill>
                    <w14:schemeClr w14:val="tx1"/>
                  </w14:solidFill>
                </w14:textFill>
              </w:rPr>
              <w:t>0.023</w:t>
            </w:r>
          </w:p>
        </w:tc>
        <w:tc>
          <w:tcPr>
            <w:tcW w:w="1849" w:type="dxa"/>
            <w:vAlign w:val="center"/>
          </w:tcPr>
          <w:p>
            <w:pPr>
              <w:spacing w:line="360" w:lineRule="auto"/>
              <w:jc w:val="center"/>
              <w:rPr>
                <w:rFonts w:ascii="Times New Roman" w:hAnsi="Times New Roman" w:eastAsia="宋体" w:cs="Times New Roman"/>
                <w:color w:val="000000" w:themeColor="text1"/>
                <w:kern w:val="0"/>
                <w:szCs w:val="24"/>
                <w14:textFill>
                  <w14:solidFill>
                    <w14:schemeClr w14:val="tx1"/>
                  </w14:solidFill>
                </w14:textFill>
              </w:rPr>
            </w:pPr>
            <w:r>
              <w:rPr>
                <w:rFonts w:ascii="Times New Roman" w:hAnsi="Times New Roman" w:eastAsia="宋体" w:cs="Times New Roman"/>
                <w:color w:val="000000" w:themeColor="text1"/>
                <w:kern w:val="0"/>
                <w:szCs w:val="24"/>
                <w14:textFill>
                  <w14:solidFill>
                    <w14:schemeClr w14:val="tx1"/>
                  </w14:solidFill>
                </w14:textFill>
              </w:rPr>
              <w:t>0.032</w:t>
            </w:r>
          </w:p>
        </w:tc>
        <w:tc>
          <w:tcPr>
            <w:tcW w:w="1851" w:type="dxa"/>
            <w:vAlign w:val="center"/>
          </w:tcPr>
          <w:p>
            <w:pPr>
              <w:spacing w:line="360" w:lineRule="auto"/>
              <w:jc w:val="center"/>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14:textFill>
                  <w14:solidFill>
                    <w14:schemeClr w14:val="tx1"/>
                  </w14:solidFill>
                </w14:textFill>
              </w:rPr>
              <w:t>0.029</w:t>
            </w:r>
          </w:p>
        </w:tc>
        <w:tc>
          <w:tcPr>
            <w:tcW w:w="1850" w:type="dxa"/>
            <w:vAlign w:val="center"/>
          </w:tcPr>
          <w:p>
            <w:pPr>
              <w:spacing w:line="360" w:lineRule="auto"/>
              <w:jc w:val="center"/>
              <w:rPr>
                <w:rFonts w:ascii="Times New Roman" w:hAnsi="Times New Roman" w:eastAsia="宋体" w:cs="Times New Roman"/>
                <w:color w:val="000000" w:themeColor="text1"/>
                <w:kern w:val="0"/>
                <w:szCs w:val="24"/>
                <w14:textFill>
                  <w14:solidFill>
                    <w14:schemeClr w14:val="tx1"/>
                  </w14:solidFill>
                </w14:textFill>
              </w:rPr>
            </w:pPr>
            <w:r>
              <w:rPr>
                <w:rFonts w:ascii="Times New Roman" w:hAnsi="Times New Roman" w:eastAsia="宋体" w:cs="Times New Roman"/>
                <w:color w:val="000000" w:themeColor="text1"/>
                <w:kern w:val="0"/>
                <w:szCs w:val="24"/>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49" w:type="dxa"/>
            <w:vAlign w:val="center"/>
          </w:tcPr>
          <w:p>
            <w:pPr>
              <w:spacing w:line="360" w:lineRule="auto"/>
              <w:jc w:val="center"/>
              <w:rPr>
                <w:rFonts w:ascii="Times New Roman" w:hAnsi="Times New Roman" w:eastAsia="宋体" w:cs="Times New Roman"/>
                <w:kern w:val="0"/>
                <w:szCs w:val="20"/>
              </w:rPr>
            </w:pPr>
            <w:r>
              <w:rPr>
                <w:rFonts w:ascii="Times New Roman" w:hAnsi="Times New Roman" w:eastAsia="宋体" w:cs="Times New Roman"/>
                <w:kern w:val="0"/>
                <w:szCs w:val="20"/>
              </w:rPr>
              <w:t>锂</w:t>
            </w:r>
          </w:p>
        </w:tc>
        <w:tc>
          <w:tcPr>
            <w:tcW w:w="1849" w:type="dxa"/>
            <w:vAlign w:val="center"/>
          </w:tcPr>
          <w:p>
            <w:pPr>
              <w:spacing w:line="360" w:lineRule="auto"/>
              <w:jc w:val="center"/>
              <w:rPr>
                <w:rFonts w:ascii="Times New Roman" w:hAnsi="Times New Roman" w:eastAsia="宋体" w:cs="Times New Roman"/>
                <w:kern w:val="0"/>
                <w:szCs w:val="20"/>
              </w:rPr>
            </w:pPr>
            <w:r>
              <w:rPr>
                <w:rFonts w:ascii="Times New Roman" w:hAnsi="Times New Roman" w:eastAsia="宋体" w:cs="Times New Roman"/>
                <w:kern w:val="0"/>
                <w:szCs w:val="20"/>
              </w:rPr>
              <w:t>224</w:t>
            </w:r>
          </w:p>
        </w:tc>
        <w:tc>
          <w:tcPr>
            <w:tcW w:w="1849" w:type="dxa"/>
            <w:vAlign w:val="center"/>
          </w:tcPr>
          <w:p>
            <w:pPr>
              <w:spacing w:line="360" w:lineRule="auto"/>
              <w:jc w:val="center"/>
              <w:rPr>
                <w:rFonts w:ascii="Times New Roman" w:hAnsi="Times New Roman" w:eastAsia="宋体" w:cs="Times New Roman"/>
                <w:kern w:val="0"/>
                <w:szCs w:val="20"/>
              </w:rPr>
            </w:pPr>
            <w:r>
              <w:rPr>
                <w:rFonts w:ascii="Times New Roman" w:hAnsi="Times New Roman" w:eastAsia="宋体" w:cs="Times New Roman"/>
                <w:kern w:val="0"/>
                <w:szCs w:val="20"/>
              </w:rPr>
              <w:t>64.1</w:t>
            </w:r>
          </w:p>
        </w:tc>
        <w:tc>
          <w:tcPr>
            <w:tcW w:w="1851" w:type="dxa"/>
            <w:vAlign w:val="center"/>
          </w:tcPr>
          <w:p>
            <w:pPr>
              <w:spacing w:line="360" w:lineRule="auto"/>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230</w:t>
            </w:r>
          </w:p>
        </w:tc>
        <w:tc>
          <w:tcPr>
            <w:tcW w:w="1850" w:type="dxa"/>
            <w:vAlign w:val="center"/>
          </w:tcPr>
          <w:p>
            <w:pPr>
              <w:spacing w:line="360" w:lineRule="auto"/>
              <w:jc w:val="center"/>
              <w:rPr>
                <w:rFonts w:ascii="Times New Roman" w:hAnsi="Times New Roman" w:eastAsia="宋体" w:cs="Times New Roman"/>
                <w:color w:val="000000" w:themeColor="text1"/>
                <w:kern w:val="0"/>
                <w:szCs w:val="24"/>
                <w14:textFill>
                  <w14:solidFill>
                    <w14:schemeClr w14:val="tx1"/>
                  </w14:solidFill>
                </w14:textFill>
              </w:rPr>
            </w:pPr>
            <w:r>
              <w:rPr>
                <w:rFonts w:ascii="Times New Roman" w:hAnsi="Times New Roman" w:eastAsia="宋体" w:cs="Times New Roman"/>
                <w:color w:val="000000" w:themeColor="text1"/>
                <w:kern w:val="0"/>
                <w:szCs w:val="24"/>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49" w:type="dxa"/>
            <w:vAlign w:val="center"/>
          </w:tcPr>
          <w:p>
            <w:pPr>
              <w:spacing w:line="360" w:lineRule="auto"/>
              <w:jc w:val="center"/>
              <w:rPr>
                <w:rFonts w:ascii="Times New Roman" w:hAnsi="Times New Roman" w:eastAsia="宋体" w:cs="Times New Roman"/>
                <w:kern w:val="0"/>
                <w:szCs w:val="20"/>
              </w:rPr>
            </w:pPr>
            <w:r>
              <w:rPr>
                <w:rFonts w:ascii="Times New Roman" w:hAnsi="Times New Roman" w:eastAsia="宋体" w:cs="Times New Roman"/>
                <w:kern w:val="0"/>
                <w:szCs w:val="20"/>
              </w:rPr>
              <w:t>钽</w:t>
            </w:r>
          </w:p>
        </w:tc>
        <w:tc>
          <w:tcPr>
            <w:tcW w:w="1849" w:type="dxa"/>
            <w:vAlign w:val="center"/>
          </w:tcPr>
          <w:p>
            <w:pPr>
              <w:spacing w:line="360" w:lineRule="auto"/>
              <w:jc w:val="center"/>
              <w:rPr>
                <w:rFonts w:ascii="Times New Roman" w:hAnsi="Times New Roman" w:eastAsia="宋体" w:cs="Times New Roman"/>
                <w:kern w:val="0"/>
                <w:szCs w:val="20"/>
              </w:rPr>
            </w:pPr>
            <w:r>
              <w:rPr>
                <w:rFonts w:ascii="Times New Roman" w:hAnsi="Times New Roman" w:eastAsia="宋体" w:cs="Times New Roman"/>
                <w:kern w:val="0"/>
                <w:szCs w:val="20"/>
              </w:rPr>
              <w:t>1.97</w:t>
            </w:r>
          </w:p>
        </w:tc>
        <w:tc>
          <w:tcPr>
            <w:tcW w:w="1849" w:type="dxa"/>
            <w:vAlign w:val="center"/>
          </w:tcPr>
          <w:p>
            <w:pPr>
              <w:spacing w:line="360" w:lineRule="auto"/>
              <w:jc w:val="center"/>
              <w:rPr>
                <w:rFonts w:ascii="Times New Roman" w:hAnsi="Times New Roman" w:eastAsia="宋体" w:cs="Times New Roman"/>
                <w:kern w:val="0"/>
                <w:szCs w:val="20"/>
              </w:rPr>
            </w:pPr>
            <w:r>
              <w:rPr>
                <w:rFonts w:ascii="Times New Roman" w:hAnsi="Times New Roman" w:eastAsia="宋体" w:cs="Times New Roman"/>
                <w:kern w:val="0"/>
                <w:szCs w:val="20"/>
              </w:rPr>
              <w:t>1.64</w:t>
            </w:r>
          </w:p>
        </w:tc>
        <w:tc>
          <w:tcPr>
            <w:tcW w:w="1851" w:type="dxa"/>
            <w:vAlign w:val="center"/>
          </w:tcPr>
          <w:p>
            <w:pPr>
              <w:spacing w:line="360" w:lineRule="auto"/>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1.71</w:t>
            </w:r>
          </w:p>
        </w:tc>
        <w:tc>
          <w:tcPr>
            <w:tcW w:w="1850" w:type="dxa"/>
            <w:vAlign w:val="center"/>
          </w:tcPr>
          <w:p>
            <w:pPr>
              <w:spacing w:line="360" w:lineRule="auto"/>
              <w:jc w:val="center"/>
              <w:rPr>
                <w:rFonts w:ascii="Times New Roman" w:hAnsi="Times New Roman" w:eastAsia="宋体" w:cs="Times New Roman"/>
                <w:color w:val="000000" w:themeColor="text1"/>
                <w:kern w:val="0"/>
                <w:szCs w:val="24"/>
                <w14:textFill>
                  <w14:solidFill>
                    <w14:schemeClr w14:val="tx1"/>
                  </w14:solidFill>
                </w14:textFill>
              </w:rPr>
            </w:pPr>
            <w:r>
              <w:rPr>
                <w:rFonts w:ascii="Times New Roman" w:hAnsi="Times New Roman" w:eastAsia="宋体" w:cs="Times New Roman"/>
                <w:color w:val="000000" w:themeColor="text1"/>
                <w:kern w:val="0"/>
                <w:szCs w:val="24"/>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49" w:type="dxa"/>
            <w:vAlign w:val="center"/>
          </w:tcPr>
          <w:p>
            <w:pPr>
              <w:spacing w:line="360" w:lineRule="auto"/>
              <w:jc w:val="center"/>
              <w:rPr>
                <w:rFonts w:ascii="Times New Roman" w:hAnsi="Times New Roman" w:eastAsia="宋体" w:cs="Times New Roman"/>
                <w:kern w:val="0"/>
                <w:szCs w:val="20"/>
              </w:rPr>
            </w:pPr>
            <w:r>
              <w:rPr>
                <w:rFonts w:ascii="Times New Roman" w:hAnsi="Times New Roman" w:eastAsia="宋体" w:cs="Times New Roman"/>
                <w:kern w:val="0"/>
                <w:szCs w:val="20"/>
              </w:rPr>
              <w:t>铌</w:t>
            </w:r>
          </w:p>
        </w:tc>
        <w:tc>
          <w:tcPr>
            <w:tcW w:w="1849" w:type="dxa"/>
            <w:vAlign w:val="center"/>
          </w:tcPr>
          <w:p>
            <w:pPr>
              <w:spacing w:line="360" w:lineRule="auto"/>
              <w:jc w:val="center"/>
              <w:rPr>
                <w:rFonts w:ascii="Times New Roman" w:hAnsi="Times New Roman" w:eastAsia="宋体" w:cs="Times New Roman"/>
                <w:kern w:val="0"/>
                <w:szCs w:val="20"/>
              </w:rPr>
            </w:pPr>
            <w:r>
              <w:rPr>
                <w:rFonts w:ascii="Times New Roman" w:hAnsi="Times New Roman" w:eastAsia="宋体" w:cs="Times New Roman"/>
                <w:kern w:val="0"/>
                <w:szCs w:val="20"/>
              </w:rPr>
              <w:t>15.2</w:t>
            </w:r>
          </w:p>
        </w:tc>
        <w:tc>
          <w:tcPr>
            <w:tcW w:w="1849" w:type="dxa"/>
            <w:vAlign w:val="center"/>
          </w:tcPr>
          <w:p>
            <w:pPr>
              <w:spacing w:line="360" w:lineRule="auto"/>
              <w:jc w:val="center"/>
              <w:rPr>
                <w:rFonts w:ascii="Times New Roman" w:hAnsi="Times New Roman" w:eastAsia="宋体" w:cs="Times New Roman"/>
                <w:kern w:val="0"/>
                <w:szCs w:val="20"/>
              </w:rPr>
            </w:pPr>
            <w:r>
              <w:rPr>
                <w:rFonts w:ascii="Times New Roman" w:hAnsi="Times New Roman" w:eastAsia="宋体" w:cs="Times New Roman"/>
                <w:kern w:val="0"/>
                <w:szCs w:val="20"/>
              </w:rPr>
              <w:t>16.3</w:t>
            </w:r>
          </w:p>
        </w:tc>
        <w:tc>
          <w:tcPr>
            <w:tcW w:w="1851" w:type="dxa"/>
            <w:vAlign w:val="center"/>
          </w:tcPr>
          <w:p>
            <w:pPr>
              <w:spacing w:line="360" w:lineRule="auto"/>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17.1</w:t>
            </w:r>
          </w:p>
        </w:tc>
        <w:tc>
          <w:tcPr>
            <w:tcW w:w="1850" w:type="dxa"/>
            <w:vAlign w:val="center"/>
          </w:tcPr>
          <w:p>
            <w:pPr>
              <w:spacing w:line="360" w:lineRule="auto"/>
              <w:jc w:val="center"/>
              <w:rPr>
                <w:rFonts w:ascii="Times New Roman" w:hAnsi="Times New Roman" w:eastAsia="宋体" w:cs="Times New Roman"/>
                <w:color w:val="000000" w:themeColor="text1"/>
                <w:kern w:val="0"/>
                <w:szCs w:val="24"/>
                <w14:textFill>
                  <w14:solidFill>
                    <w14:schemeClr w14:val="tx1"/>
                  </w14:solidFill>
                </w14:textFill>
              </w:rPr>
            </w:pPr>
            <w:r>
              <w:rPr>
                <w:rFonts w:ascii="Times New Roman" w:hAnsi="Times New Roman" w:eastAsia="宋体" w:cs="Times New Roman"/>
                <w:color w:val="000000" w:themeColor="text1"/>
                <w:kern w:val="0"/>
                <w:szCs w:val="24"/>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49" w:type="dxa"/>
            <w:vAlign w:val="center"/>
          </w:tcPr>
          <w:p>
            <w:pPr>
              <w:spacing w:line="360" w:lineRule="auto"/>
              <w:jc w:val="center"/>
              <w:rPr>
                <w:rFonts w:ascii="Times New Roman" w:hAnsi="Times New Roman" w:eastAsia="宋体" w:cs="Times New Roman"/>
                <w:kern w:val="0"/>
                <w:szCs w:val="20"/>
              </w:rPr>
            </w:pPr>
            <w:r>
              <w:rPr>
                <w:rFonts w:ascii="Times New Roman" w:hAnsi="Times New Roman" w:eastAsia="宋体" w:cs="Times New Roman"/>
                <w:kern w:val="0"/>
                <w:szCs w:val="20"/>
              </w:rPr>
              <w:t>铍</w:t>
            </w:r>
          </w:p>
        </w:tc>
        <w:tc>
          <w:tcPr>
            <w:tcW w:w="1849" w:type="dxa"/>
            <w:vAlign w:val="center"/>
          </w:tcPr>
          <w:p>
            <w:pPr>
              <w:spacing w:line="360" w:lineRule="auto"/>
              <w:jc w:val="center"/>
              <w:rPr>
                <w:rFonts w:ascii="Times New Roman" w:hAnsi="Times New Roman" w:eastAsia="宋体" w:cs="Times New Roman"/>
                <w:kern w:val="0"/>
                <w:szCs w:val="20"/>
              </w:rPr>
            </w:pPr>
            <w:r>
              <w:rPr>
                <w:rFonts w:ascii="Times New Roman" w:hAnsi="Times New Roman" w:eastAsia="宋体" w:cs="Times New Roman"/>
                <w:kern w:val="0"/>
                <w:szCs w:val="20"/>
              </w:rPr>
              <w:t>4.16</w:t>
            </w:r>
          </w:p>
        </w:tc>
        <w:tc>
          <w:tcPr>
            <w:tcW w:w="1849" w:type="dxa"/>
            <w:vAlign w:val="center"/>
          </w:tcPr>
          <w:p>
            <w:pPr>
              <w:spacing w:line="360" w:lineRule="auto"/>
              <w:jc w:val="center"/>
              <w:rPr>
                <w:rFonts w:ascii="Times New Roman" w:hAnsi="Times New Roman" w:eastAsia="宋体" w:cs="Times New Roman"/>
                <w:kern w:val="0"/>
                <w:szCs w:val="20"/>
              </w:rPr>
            </w:pPr>
            <w:r>
              <w:rPr>
                <w:rFonts w:ascii="Times New Roman" w:hAnsi="Times New Roman" w:eastAsia="宋体" w:cs="Times New Roman"/>
                <w:kern w:val="0"/>
                <w:szCs w:val="20"/>
              </w:rPr>
              <w:t>2.51</w:t>
            </w:r>
          </w:p>
        </w:tc>
        <w:tc>
          <w:tcPr>
            <w:tcW w:w="1851" w:type="dxa"/>
            <w:vAlign w:val="center"/>
          </w:tcPr>
          <w:p>
            <w:pPr>
              <w:spacing w:line="360" w:lineRule="auto"/>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3.39</w:t>
            </w:r>
          </w:p>
        </w:tc>
        <w:tc>
          <w:tcPr>
            <w:tcW w:w="1850" w:type="dxa"/>
            <w:vAlign w:val="center"/>
          </w:tcPr>
          <w:p>
            <w:pPr>
              <w:spacing w:line="360" w:lineRule="auto"/>
              <w:jc w:val="center"/>
              <w:rPr>
                <w:rFonts w:ascii="Times New Roman" w:hAnsi="Times New Roman" w:eastAsia="宋体" w:cs="Times New Roman"/>
                <w:color w:val="000000" w:themeColor="text1"/>
                <w:kern w:val="0"/>
                <w:szCs w:val="24"/>
                <w14:textFill>
                  <w14:solidFill>
                    <w14:schemeClr w14:val="tx1"/>
                  </w14:solidFill>
                </w14:textFill>
              </w:rPr>
            </w:pPr>
            <w:r>
              <w:rPr>
                <w:rFonts w:ascii="Times New Roman" w:hAnsi="Times New Roman" w:eastAsia="宋体" w:cs="Times New Roman"/>
                <w:color w:val="000000" w:themeColor="text1"/>
                <w:kern w:val="0"/>
                <w:szCs w:val="24"/>
                <w14:textFill>
                  <w14:solidFill>
                    <w14:schemeClr w14:val="tx1"/>
                  </w14:solidFill>
                </w14:textFill>
              </w:rPr>
              <w:t>达标</w:t>
            </w:r>
          </w:p>
        </w:tc>
      </w:tr>
    </w:tbl>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如表5</w:t>
      </w:r>
      <w:r>
        <w:rPr>
          <w:rFonts w:ascii="Times New Roman" w:hAnsi="Times New Roman" w:cs="Times New Roman"/>
          <w:color w:val="000000" w:themeColor="text1"/>
          <w:sz w:val="24"/>
          <w:szCs w:val="24"/>
          <w14:textFill>
            <w14:solidFill>
              <w14:schemeClr w14:val="tx1"/>
            </w14:solidFill>
          </w14:textFill>
        </w:rPr>
        <w:t>.1</w:t>
      </w: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2</w:t>
      </w:r>
      <w:r>
        <w:rPr>
          <w:rFonts w:hint="eastAsia" w:ascii="Times New Roman" w:hAnsi="Times New Roman" w:cs="Times New Roman"/>
          <w:color w:val="000000" w:themeColor="text1"/>
          <w:sz w:val="24"/>
          <w:szCs w:val="24"/>
          <w14:textFill>
            <w14:solidFill>
              <w14:schemeClr w14:val="tx1"/>
            </w14:solidFill>
          </w14:textFill>
        </w:rPr>
        <w:t>所示，两个监测点位的各项监测指标均满足《土壤环境质量 建设用地土壤污染风险管控标准（试行）》（GB36600-2018）中第二类用地标准。调查结果表明，本项目土壤环境保护工作落实良好。项目建设和运营对周边土壤环境质量影响较小。</w:t>
      </w:r>
    </w:p>
    <w:p>
      <w:pPr>
        <w:pStyle w:val="4"/>
        <w:rPr>
          <w:color w:val="000000" w:themeColor="text1"/>
          <w14:textFill>
            <w14:solidFill>
              <w14:schemeClr w14:val="tx1"/>
            </w14:solidFill>
          </w14:textFill>
        </w:rPr>
      </w:pPr>
      <w:r>
        <w:rPr>
          <w:color w:val="000000" w:themeColor="text1"/>
          <w14:textFill>
            <w14:solidFill>
              <w14:schemeClr w14:val="tx1"/>
            </w14:solidFill>
          </w14:textFill>
        </w:rPr>
        <w:t>5.1.</w:t>
      </w:r>
      <w:r>
        <w:rPr>
          <w:rFonts w:hint="eastAsia"/>
          <w:color w:val="000000" w:themeColor="text1"/>
          <w:lang w:val="en-US" w:eastAsia="zh-CN"/>
          <w14:textFill>
            <w14:solidFill>
              <w14:schemeClr w14:val="tx1"/>
            </w14:solidFill>
          </w14:textFill>
        </w:rPr>
        <w:t>6</w:t>
      </w:r>
      <w:r>
        <w:rPr>
          <w:color w:val="000000" w:themeColor="text1"/>
          <w14:textFill>
            <w14:solidFill>
              <w14:schemeClr w14:val="tx1"/>
            </w14:solidFill>
          </w14:textFill>
        </w:rPr>
        <w:t xml:space="preserve"> 生态影响及措施的有效性分析</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项目</w:t>
      </w:r>
      <w:r>
        <w:rPr>
          <w:rFonts w:ascii="Times New Roman" w:hAnsi="Times New Roman" w:cs="Times New Roman"/>
          <w:color w:val="000000" w:themeColor="text1"/>
          <w:sz w:val="24"/>
          <w:szCs w:val="24"/>
          <w14:textFill>
            <w14:solidFill>
              <w14:schemeClr w14:val="tx1"/>
            </w14:solidFill>
          </w14:textFill>
        </w:rPr>
        <w:t>在施工前期对环境保护绿化、植被恢复、水土保持等项目进行了全工区的规划和设计。在建设期间，建设单位高度重视生态保护工作，在生态恢复方面做了大量工作，对环评报告书中的各项环保措施也进行了认真的落实，取得了较好的效果，没有造成明显的生态环境问题。</w: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7</w:t>
      </w:r>
      <w:r>
        <w:rPr>
          <w:color w:val="000000" w:themeColor="text1"/>
          <w14:textFill>
            <w14:solidFill>
              <w14:schemeClr w14:val="tx1"/>
            </w14:solidFill>
          </w14:textFill>
        </w:rPr>
        <w:t xml:space="preserve"> 生态环境影响调查结论</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项目</w:t>
      </w:r>
      <w:r>
        <w:rPr>
          <w:rFonts w:ascii="Times New Roman" w:hAnsi="Times New Roman" w:cs="Times New Roman"/>
          <w:color w:val="000000" w:themeColor="text1"/>
          <w:sz w:val="24"/>
          <w:szCs w:val="24"/>
          <w14:textFill>
            <w14:solidFill>
              <w14:schemeClr w14:val="tx1"/>
            </w14:solidFill>
          </w14:textFill>
        </w:rPr>
        <w:t>调查区</w:t>
      </w:r>
      <w:r>
        <w:rPr>
          <w:rFonts w:hint="eastAsia" w:ascii="Times New Roman" w:hAnsi="Times New Roman" w:cs="Times New Roman"/>
          <w:color w:val="000000" w:themeColor="text1"/>
          <w:sz w:val="24"/>
          <w:szCs w:val="24"/>
          <w14:textFill>
            <w14:solidFill>
              <w14:schemeClr w14:val="tx1"/>
            </w14:solidFill>
          </w14:textFill>
        </w:rPr>
        <w:t>调试期区域内植物种类与施工前相比没有发生变化。本项目占地区域无国家重点保护植物分布，项目施工未造成区域植物物种变化。</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施工期，工程建设对植物的直接影响主要集中在</w:t>
      </w:r>
      <w:r>
        <w:rPr>
          <w:rFonts w:hint="eastAsia" w:ascii="Times New Roman" w:hAnsi="Times New Roman" w:cs="Times New Roman"/>
          <w:color w:val="000000" w:themeColor="text1"/>
          <w:sz w:val="24"/>
          <w:szCs w:val="24"/>
          <w14:textFill>
            <w14:solidFill>
              <w14:schemeClr w14:val="tx1"/>
            </w14:solidFill>
          </w14:textFill>
        </w:rPr>
        <w:t>露天采区（一采区）、露天矿基建废石场、露天矿生产废石场等</w:t>
      </w:r>
      <w:r>
        <w:rPr>
          <w:rFonts w:ascii="Times New Roman" w:hAnsi="Times New Roman" w:cs="Times New Roman"/>
          <w:color w:val="000000" w:themeColor="text1"/>
          <w:sz w:val="24"/>
          <w:szCs w:val="24"/>
          <w14:textFill>
            <w14:solidFill>
              <w14:schemeClr w14:val="tx1"/>
            </w14:solidFill>
          </w14:textFill>
        </w:rPr>
        <w:t>区域。工程永久占地和临时占地区域几乎所有植物都被移除，仅部分地段有极少量残留或新长出的灌草丛，植物多样性与施工前相比降至最低。</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区域主要为灌木林地和草地，对整个区域而言，生物生产力损失量较小，区域内生态系统是可以承受的。</w:t>
      </w:r>
    </w:p>
    <w:p>
      <w:pPr>
        <w:pStyle w:val="3"/>
        <w:rPr>
          <w:color w:val="000000" w:themeColor="text1"/>
          <w14:textFill>
            <w14:solidFill>
              <w14:schemeClr w14:val="tx1"/>
            </w14:solidFill>
          </w14:textFill>
        </w:rPr>
      </w:pPr>
      <w:bookmarkStart w:id="24" w:name="_Toc62202388"/>
      <w:r>
        <w:rPr>
          <w:rFonts w:hint="eastAsia"/>
          <w:color w:val="000000" w:themeColor="text1"/>
          <w14:textFill>
            <w14:solidFill>
              <w14:schemeClr w14:val="tx1"/>
            </w14:solidFill>
          </w14:textFill>
        </w:rPr>
        <w:t>5</w:t>
      </w:r>
      <w:r>
        <w:rPr>
          <w:color w:val="000000" w:themeColor="text1"/>
          <w14:textFill>
            <w14:solidFill>
              <w14:schemeClr w14:val="tx1"/>
            </w14:solidFill>
          </w14:textFill>
        </w:rPr>
        <w:t>.2 水环境影响调查</w:t>
      </w:r>
      <w:bookmarkEnd w:id="24"/>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.2.1 污染源调查</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业隆沟流域</w:t>
      </w:r>
      <w:r>
        <w:rPr>
          <w:rFonts w:ascii="Times New Roman" w:hAnsi="Times New Roman" w:cs="Times New Roman"/>
          <w:color w:val="000000" w:themeColor="text1"/>
          <w:sz w:val="24"/>
          <w:szCs w:val="24"/>
          <w14:textFill>
            <w14:solidFill>
              <w14:schemeClr w14:val="tx1"/>
            </w14:solidFill>
          </w14:textFill>
        </w:rPr>
        <w:t>及工程所在河段内没有工业污染源</w:t>
      </w: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农业面源污染少</w:t>
      </w: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沿岸居民生活污水直接排放</w:t>
      </w:r>
      <w:r>
        <w:rPr>
          <w:rFonts w:hint="eastAsia" w:ascii="Times New Roman" w:hAnsi="Times New Roman" w:cs="Times New Roman"/>
          <w:color w:val="000000" w:themeColor="text1"/>
          <w:sz w:val="24"/>
          <w:szCs w:val="24"/>
          <w14:textFill>
            <w14:solidFill>
              <w14:schemeClr w14:val="tx1"/>
            </w14:solidFill>
          </w14:textFill>
        </w:rPr>
        <w:t>。</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本次污染源调查结果与环评报告书阶段相比，污染源变化不大。</w: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.2.2 施工期水环境影响调查</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项目施工期的水污染源主要包括生产废水和生活污水两大部分。其中生产废水主要为混凝土拌和系统冲洗废水、机修系统含油污水；生活污水产生量也较少，主要来源于生活区的生活排水和粪便。为了防止因工程施工带来的水环境污染，根据环评报告书及其批复文件，建设单位对生产废水和生活污水均采取了相关处理措施，且采取的处理措施均先于污染源建成，具体措施如下：</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1、混凝土拌和系统废水和车辆冲洗废水</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工程施工期共设1</w:t>
      </w:r>
      <w:r>
        <w:rPr>
          <w:rFonts w:ascii="Times New Roman" w:hAnsi="Times New Roman" w:cs="Times New Roman"/>
          <w:color w:val="000000" w:themeColor="text1"/>
          <w:sz w:val="24"/>
          <w:szCs w:val="24"/>
          <w14:textFill>
            <w14:solidFill>
              <w14:schemeClr w14:val="tx1"/>
            </w14:solidFill>
          </w14:textFill>
        </w:rPr>
        <w:t>处</w:t>
      </w:r>
      <w:r>
        <w:rPr>
          <w:rFonts w:hint="eastAsia" w:ascii="Times New Roman" w:hAnsi="Times New Roman" w:cs="Times New Roman"/>
          <w:color w:val="000000" w:themeColor="text1"/>
          <w:sz w:val="24"/>
          <w:szCs w:val="24"/>
          <w14:textFill>
            <w14:solidFill>
              <w14:schemeClr w14:val="tx1"/>
            </w14:solidFill>
          </w14:textFill>
        </w:rPr>
        <w:t>混凝土生产系统，布置于</w:t>
      </w:r>
      <w:r>
        <w:rPr>
          <w:rFonts w:ascii="Times New Roman" w:hAnsi="Times New Roman" w:cs="Times New Roman"/>
          <w:color w:val="000000" w:themeColor="text1"/>
          <w:sz w:val="24"/>
          <w:szCs w:val="24"/>
          <w14:textFill>
            <w14:solidFill>
              <w14:schemeClr w14:val="tx1"/>
            </w14:solidFill>
          </w14:textFill>
        </w:rPr>
        <w:t>施工场地内</w:t>
      </w:r>
      <w:r>
        <w:rPr>
          <w:rFonts w:hint="eastAsia" w:ascii="Times New Roman" w:hAnsi="Times New Roman" w:cs="Times New Roman"/>
          <w:color w:val="000000" w:themeColor="text1"/>
          <w:sz w:val="24"/>
          <w:szCs w:val="24"/>
          <w14:textFill>
            <w14:solidFill>
              <w14:schemeClr w14:val="tx1"/>
            </w14:solidFill>
          </w14:textFill>
        </w:rPr>
        <w:t>。混凝土拌和系统生产过程中产生的高SS浓度的冲洗废水，现场主要采取沉淀池进行沉淀处理后用作所在施工区域的洒水降尘用水或部分回用。车辆冲洗废水进入沉淀池处理后回用。据调查，工程施工期混凝土拌合系统废水并未对周边地区水体环境造成明显不利影响。</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2、含油污水</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含油污水主要是润滑油、柴油、汽油等石油类物质，施工机械维修作业区应作简单的防渗处理，产生的含油废水采用容器或砌坑专门收集，进行隔油沉淀处理后全部循环用于混凝土拌和等生产用水，不外排。据调查，工程施工期含油污水并未对周边地区水体环境造成明显不利影响。</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3、生活污水</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厂区施工营地设置旱厕收集生活污水，固体物适时清掏后用于附近林地施肥。据调查，工程施工期间，生活污水未对水体造成明显不利影响。</w: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.2.3 </w:t>
      </w:r>
      <w:r>
        <w:rPr>
          <w:rFonts w:hint="eastAsia"/>
          <w:color w:val="000000" w:themeColor="text1"/>
          <w14:textFill>
            <w14:solidFill>
              <w14:schemeClr w14:val="tx1"/>
            </w14:solidFill>
          </w14:textFill>
        </w:rPr>
        <w:t>调试</w:t>
      </w:r>
      <w:r>
        <w:rPr>
          <w:color w:val="000000" w:themeColor="text1"/>
          <w14:textFill>
            <w14:solidFill>
              <w14:schemeClr w14:val="tx1"/>
            </w14:solidFill>
          </w14:textFill>
        </w:rPr>
        <w:t>期水环境影响调查</w:t>
      </w:r>
    </w:p>
    <w:p>
      <w:pPr>
        <w:spacing w:line="360" w:lineRule="auto"/>
        <w:ind w:firstLine="480" w:firstLineChars="200"/>
        <w:rPr>
          <w:rFonts w:ascii="Times New Roman" w:hAnsi="Times New Roman" w:cs="Times New Roman"/>
          <w:color w:val="000000"/>
          <w:sz w:val="24"/>
          <w:szCs w:val="24"/>
        </w:rPr>
      </w:pPr>
      <w:r>
        <w:rPr>
          <w:rFonts w:hint="eastAsia" w:ascii="Times New Roman" w:hAnsi="Times New Roman" w:cs="Times New Roman"/>
          <w:color w:val="000000"/>
          <w:sz w:val="24"/>
          <w:szCs w:val="24"/>
        </w:rPr>
        <w:t>验收单位成都创境环保工程有限公司委托</w:t>
      </w:r>
      <w:r>
        <w:rPr>
          <w:rFonts w:hint="eastAsia" w:ascii="Times New Roman" w:hAnsi="Times New Roman" w:cs="Times New Roman"/>
          <w:color w:val="000000" w:themeColor="text1"/>
          <w:sz w:val="24"/>
          <w:szCs w:val="24"/>
          <w14:textFill>
            <w14:solidFill>
              <w14:schemeClr w14:val="tx1"/>
            </w14:solidFill>
          </w14:textFill>
        </w:rPr>
        <w:t>四川合力新创环境监测有限公司</w:t>
      </w:r>
      <w:r>
        <w:rPr>
          <w:rFonts w:hint="eastAsia" w:ascii="Times New Roman" w:hAnsi="Times New Roman" w:cs="Times New Roman"/>
          <w:color w:val="000000"/>
          <w:sz w:val="24"/>
          <w:szCs w:val="24"/>
        </w:rPr>
        <w:t>承担本工程竣工环境保护验收监测工作。按照环评报告书要求在露天矿生产废石场下游自建监测井、露天矿基建废石场下游自建监测井、露天矿生产废石场下游泉点进行地下水水质采样分析。</w:t>
      </w:r>
    </w:p>
    <w:p>
      <w:pPr>
        <w:spacing w:line="360" w:lineRule="auto"/>
        <w:jc w:val="center"/>
        <w:rPr>
          <w:rFonts w:ascii="Times New Roman" w:hAnsi="Times New Roman" w:cs="Times New Roman"/>
          <w:b/>
          <w:color w:val="000000"/>
          <w:szCs w:val="21"/>
        </w:rPr>
      </w:pPr>
      <w:r>
        <w:rPr>
          <w:rFonts w:ascii="Times New Roman" w:hAnsi="Times New Roman" w:cs="Times New Roman"/>
          <w:b/>
          <w:color w:val="000000"/>
          <w:szCs w:val="21"/>
        </w:rPr>
        <w:t>表</w:t>
      </w:r>
      <w:r>
        <w:rPr>
          <w:rFonts w:hint="eastAsia" w:ascii="Times New Roman" w:hAnsi="Times New Roman" w:cs="Times New Roman"/>
          <w:b/>
          <w:color w:val="000000"/>
          <w:szCs w:val="21"/>
        </w:rPr>
        <w:t>5</w:t>
      </w:r>
      <w:r>
        <w:rPr>
          <w:rFonts w:ascii="Times New Roman" w:hAnsi="Times New Roman" w:cs="Times New Roman"/>
          <w:b/>
          <w:color w:val="000000"/>
          <w:szCs w:val="21"/>
        </w:rPr>
        <w:t>.2-1  水环境监测布点一览表</w:t>
      </w:r>
    </w:p>
    <w:tbl>
      <w:tblPr>
        <w:tblStyle w:val="29"/>
        <w:tblW w:w="978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1985"/>
        <w:gridCol w:w="3260"/>
        <w:gridCol w:w="1701"/>
        <w:gridCol w:w="170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tcBorders>
              <w:tl2br w:val="nil"/>
              <w:tr2bl w:val="nil"/>
            </w:tcBorders>
            <w:vAlign w:val="center"/>
          </w:tcPr>
          <w:p>
            <w:pPr>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Cs w:val="21"/>
              </w:rPr>
              <w:t>监测</w:t>
            </w:r>
            <w:r>
              <w:rPr>
                <w:rFonts w:ascii="Times New Roman" w:hAnsi="Times New Roman" w:eastAsia="宋体" w:cs="Times New Roman"/>
                <w:b/>
                <w:bCs/>
                <w:kern w:val="0"/>
                <w:szCs w:val="21"/>
              </w:rPr>
              <w:t>类别</w:t>
            </w:r>
          </w:p>
        </w:tc>
        <w:tc>
          <w:tcPr>
            <w:tcW w:w="1985" w:type="dxa"/>
            <w:tcBorders>
              <w:tl2br w:val="nil"/>
              <w:tr2bl w:val="nil"/>
            </w:tcBorders>
            <w:vAlign w:val="center"/>
          </w:tcPr>
          <w:p>
            <w:pPr>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Cs w:val="21"/>
              </w:rPr>
              <w:t>监测项目</w:t>
            </w:r>
          </w:p>
        </w:tc>
        <w:tc>
          <w:tcPr>
            <w:tcW w:w="3260" w:type="dxa"/>
            <w:tcBorders>
              <w:tl2br w:val="nil"/>
              <w:tr2bl w:val="nil"/>
            </w:tcBorders>
            <w:vAlign w:val="center"/>
          </w:tcPr>
          <w:p>
            <w:pPr>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Cs w:val="21"/>
              </w:rPr>
              <w:t>监测点位</w:t>
            </w:r>
          </w:p>
        </w:tc>
        <w:tc>
          <w:tcPr>
            <w:tcW w:w="1701" w:type="dxa"/>
            <w:tcBorders>
              <w:tl2br w:val="nil"/>
              <w:tr2bl w:val="nil"/>
            </w:tcBorders>
            <w:vAlign w:val="center"/>
          </w:tcPr>
          <w:p>
            <w:pPr>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Cs w:val="21"/>
              </w:rPr>
              <w:t>点位数</w:t>
            </w:r>
          </w:p>
        </w:tc>
        <w:tc>
          <w:tcPr>
            <w:tcW w:w="1701" w:type="dxa"/>
            <w:tcBorders>
              <w:tl2br w:val="nil"/>
              <w:tr2bl w:val="nil"/>
            </w:tcBorders>
            <w:vAlign w:val="center"/>
          </w:tcPr>
          <w:p>
            <w:pPr>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 w:val="20"/>
                <w:szCs w:val="21"/>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134" w:type="dxa"/>
            <w:tcBorders>
              <w:tl2br w:val="nil"/>
              <w:tr2bl w:val="nil"/>
            </w:tcBorders>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地下水</w:t>
            </w:r>
          </w:p>
        </w:tc>
        <w:tc>
          <w:tcPr>
            <w:tcW w:w="1985" w:type="dxa"/>
            <w:tcBorders>
              <w:tl2br w:val="nil"/>
              <w:tr2bl w:val="nil"/>
            </w:tcBorders>
            <w:vAlign w:val="center"/>
          </w:tcPr>
          <w:p>
            <w:pPr>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pH、氨氮、耗氧量、铅、铜、镉、六价铬、水位、流量（3号点位）、石油类（2号点位）、锂、氟化物、锌、砷、汞</w:t>
            </w:r>
          </w:p>
        </w:tc>
        <w:tc>
          <w:tcPr>
            <w:tcW w:w="3260" w:type="dxa"/>
            <w:tcBorders>
              <w:tl2br w:val="nil"/>
              <w:tr2bl w:val="nil"/>
            </w:tcBorders>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1.露天矿生产废石场下游自建监测井</w:t>
            </w:r>
          </w:p>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2.露天矿基建废石场下游自建监测井</w:t>
            </w:r>
          </w:p>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3.露天矿生产废石场下游泉点</w:t>
            </w:r>
          </w:p>
        </w:tc>
        <w:tc>
          <w:tcPr>
            <w:tcW w:w="1701" w:type="dxa"/>
            <w:tcBorders>
              <w:tl2br w:val="nil"/>
              <w:tr2bl w:val="nil"/>
            </w:tcBorders>
            <w:vAlign w:val="center"/>
          </w:tcPr>
          <w:p>
            <w:pPr>
              <w:spacing w:line="360" w:lineRule="auto"/>
              <w:jc w:val="center"/>
              <w:rPr>
                <w:rFonts w:ascii="Times New Roman" w:hAnsi="Times New Roman" w:eastAsia="宋体" w:cs="Times New Roman"/>
                <w:kern w:val="0"/>
                <w:sz w:val="20"/>
                <w:szCs w:val="21"/>
              </w:rPr>
            </w:pPr>
            <w:r>
              <w:rPr>
                <w:rFonts w:hint="eastAsia" w:ascii="Times New Roman" w:hAnsi="Times New Roman" w:eastAsia="宋体" w:cs="Times New Roman"/>
                <w:kern w:val="0"/>
                <w:szCs w:val="21"/>
              </w:rPr>
              <w:t>3</w:t>
            </w:r>
          </w:p>
        </w:tc>
        <w:tc>
          <w:tcPr>
            <w:tcW w:w="1701" w:type="dxa"/>
            <w:tcBorders>
              <w:tl2br w:val="nil"/>
              <w:tr2bl w:val="nil"/>
            </w:tcBorders>
            <w:vAlign w:val="center"/>
          </w:tcPr>
          <w:p>
            <w:pPr>
              <w:spacing w:line="360" w:lineRule="auto"/>
              <w:jc w:val="center"/>
              <w:rPr>
                <w:rFonts w:ascii="Times New Roman" w:hAnsi="Times New Roman" w:eastAsia="宋体" w:cs="Times New Roman"/>
                <w:kern w:val="0"/>
                <w:sz w:val="20"/>
                <w:szCs w:val="21"/>
              </w:rPr>
            </w:pPr>
            <w:r>
              <w:rPr>
                <w:rFonts w:ascii="Times New Roman" w:hAnsi="Times New Roman" w:eastAsia="宋体" w:cs="Times New Roman"/>
                <w:kern w:val="0"/>
                <w:szCs w:val="21"/>
              </w:rPr>
              <w:t>连续</w:t>
            </w:r>
            <w:r>
              <w:rPr>
                <w:rFonts w:hint="eastAsia" w:ascii="Times New Roman" w:hAnsi="Times New Roman" w:eastAsia="宋体" w:cs="Times New Roman"/>
                <w:kern w:val="0"/>
                <w:szCs w:val="21"/>
              </w:rPr>
              <w:t>监测</w:t>
            </w:r>
            <w:r>
              <w:rPr>
                <w:rFonts w:ascii="Times New Roman" w:hAnsi="Times New Roman" w:eastAsia="宋体" w:cs="Times New Roman"/>
                <w:kern w:val="0"/>
                <w:szCs w:val="21"/>
              </w:rPr>
              <w:t>2天，</w:t>
            </w:r>
          </w:p>
          <w:p>
            <w:pPr>
              <w:spacing w:line="360" w:lineRule="auto"/>
              <w:jc w:val="center"/>
              <w:rPr>
                <w:rFonts w:ascii="Times New Roman" w:hAnsi="Times New Roman" w:eastAsia="宋体" w:cs="Times New Roman"/>
                <w:kern w:val="0"/>
                <w:sz w:val="20"/>
                <w:szCs w:val="21"/>
              </w:rPr>
            </w:pPr>
            <w:r>
              <w:rPr>
                <w:rFonts w:ascii="Times New Roman" w:hAnsi="Times New Roman" w:eastAsia="宋体" w:cs="Times New Roman"/>
                <w:kern w:val="0"/>
                <w:szCs w:val="21"/>
              </w:rPr>
              <w:t>每天</w:t>
            </w:r>
            <w:r>
              <w:rPr>
                <w:rFonts w:hint="eastAsia" w:ascii="Times New Roman" w:hAnsi="Times New Roman" w:eastAsia="宋体" w:cs="Times New Roman"/>
                <w:kern w:val="0"/>
                <w:szCs w:val="21"/>
              </w:rPr>
              <w:t>监测2</w:t>
            </w:r>
            <w:r>
              <w:rPr>
                <w:rFonts w:ascii="Times New Roman" w:hAnsi="Times New Roman" w:eastAsia="宋体" w:cs="Times New Roman"/>
                <w:kern w:val="0"/>
                <w:szCs w:val="21"/>
              </w:rPr>
              <w:t>次</w:t>
            </w:r>
            <w:r>
              <w:rPr>
                <w:rFonts w:hint="eastAsia" w:ascii="Times New Roman" w:hAnsi="Times New Roman" w:eastAsia="宋体" w:cs="Times New Roman"/>
                <w:kern w:val="0"/>
                <w:szCs w:val="21"/>
              </w:rPr>
              <w:t>。</w:t>
            </w:r>
          </w:p>
        </w:tc>
      </w:tr>
    </w:tbl>
    <w:p>
      <w:pPr>
        <w:spacing w:line="360" w:lineRule="auto"/>
        <w:ind w:firstLine="480" w:firstLineChars="200"/>
        <w:rPr>
          <w:rFonts w:ascii="Times New Roman" w:hAnsi="Times New Roman" w:cs="Times New Roman"/>
          <w:color w:val="000000"/>
          <w:sz w:val="24"/>
          <w:szCs w:val="24"/>
        </w:rPr>
      </w:pPr>
      <w:r>
        <w:rPr>
          <w:rFonts w:hint="eastAsia" w:ascii="Times New Roman" w:hAnsi="Times New Roman" w:cs="Times New Roman"/>
          <w:color w:val="000000"/>
          <w:sz w:val="24"/>
          <w:szCs w:val="24"/>
        </w:rPr>
        <w:t>2022年6月16日和6月17日对露天矿废石场附近业隆沟进行地下水</w:t>
      </w:r>
      <w:r>
        <w:rPr>
          <w:rFonts w:ascii="Times New Roman" w:hAnsi="Times New Roman" w:cs="Times New Roman"/>
          <w:color w:val="000000"/>
          <w:sz w:val="24"/>
          <w:szCs w:val="24"/>
        </w:rPr>
        <w:t>的</w:t>
      </w:r>
      <w:r>
        <w:rPr>
          <w:rFonts w:hint="eastAsia" w:ascii="Times New Roman" w:hAnsi="Times New Roman" w:cs="Times New Roman"/>
          <w:color w:val="000000"/>
          <w:sz w:val="24"/>
          <w:szCs w:val="24"/>
        </w:rPr>
        <w:t>水质监测，业隆沟选厂下游河段水质监测数据pH、氨氮、耗氧量、铅、铜、镉、六价铬、水位、流量（3号点位）、石油类（2号点位）、锂、氟化物、锌、砷、汞等监测指标均能满足《地下水质量标准》（GB/T1484-2017）三</w:t>
      </w:r>
      <w:r>
        <w:rPr>
          <w:rFonts w:ascii="Times New Roman" w:hAnsi="Times New Roman" w:cs="Times New Roman"/>
          <w:color w:val="000000"/>
          <w:sz w:val="24"/>
          <w:szCs w:val="24"/>
        </w:rPr>
        <w:t>类</w:t>
      </w:r>
      <w:r>
        <w:rPr>
          <w:rFonts w:hint="eastAsia" w:ascii="Times New Roman" w:hAnsi="Times New Roman" w:cs="Times New Roman"/>
          <w:color w:val="000000"/>
          <w:sz w:val="24"/>
          <w:szCs w:val="24"/>
        </w:rPr>
        <w:t>标准要求，监测结果详见</w:t>
      </w:r>
      <w:r>
        <w:rPr>
          <w:rFonts w:hint="eastAsia" w:ascii="Times New Roman" w:hAnsi="Times New Roman" w:cs="Times New Roman"/>
          <w:color w:val="000000" w:themeColor="text1"/>
          <w:sz w:val="24"/>
          <w:szCs w:val="24"/>
          <w14:textFill>
            <w14:solidFill>
              <w14:schemeClr w14:val="tx1"/>
            </w14:solidFill>
          </w14:textFill>
        </w:rPr>
        <w:t>附件中环境监测报告</w:t>
      </w:r>
      <w:r>
        <w:rPr>
          <w:rFonts w:hint="eastAsia" w:ascii="Times New Roman" w:hAnsi="Times New Roman" w:cs="Times New Roman"/>
          <w:color w:val="000000"/>
          <w:sz w:val="24"/>
          <w:szCs w:val="24"/>
        </w:rPr>
        <w:t>。</w:t>
      </w:r>
    </w:p>
    <w:p>
      <w:pPr>
        <w:rPr>
          <w:rFonts w:hint="eastAsia" w:ascii="Times New Roman" w:hAnsi="Times New Roman" w:cs="Times New Roman"/>
          <w:b/>
          <w:color w:val="000000"/>
          <w:szCs w:val="24"/>
        </w:rPr>
      </w:pPr>
      <w:r>
        <w:rPr>
          <w:rFonts w:hint="eastAsia" w:ascii="Times New Roman" w:hAnsi="Times New Roman" w:cs="Times New Roman"/>
          <w:b/>
          <w:color w:val="000000"/>
          <w:szCs w:val="24"/>
        </w:rPr>
        <w:br w:type="page"/>
      </w:r>
    </w:p>
    <w:p>
      <w:pPr>
        <w:spacing w:line="360" w:lineRule="auto"/>
        <w:jc w:val="center"/>
        <w:rPr>
          <w:rFonts w:ascii="Times New Roman" w:hAnsi="Times New Roman" w:cs="Times New Roman"/>
          <w:b/>
          <w:color w:val="000000"/>
          <w:szCs w:val="24"/>
        </w:rPr>
      </w:pPr>
      <w:r>
        <w:rPr>
          <w:rFonts w:hint="eastAsia" w:ascii="Times New Roman" w:hAnsi="Times New Roman" w:cs="Times New Roman"/>
          <w:b/>
          <w:color w:val="000000"/>
          <w:szCs w:val="24"/>
        </w:rPr>
        <w:t>表5</w:t>
      </w:r>
      <w:r>
        <w:rPr>
          <w:rFonts w:ascii="Times New Roman" w:hAnsi="Times New Roman" w:cs="Times New Roman"/>
          <w:b/>
          <w:color w:val="000000"/>
          <w:szCs w:val="24"/>
        </w:rPr>
        <w:t xml:space="preserve">.2-2  </w:t>
      </w:r>
      <w:r>
        <w:rPr>
          <w:rFonts w:hint="eastAsia" w:ascii="Times New Roman" w:hAnsi="Times New Roman" w:cs="Times New Roman"/>
          <w:b/>
          <w:color w:val="000000"/>
          <w:szCs w:val="24"/>
        </w:rPr>
        <w:t>地下水环境质量监测结果</w:t>
      </w:r>
    </w:p>
    <w:tbl>
      <w:tblPr>
        <w:tblStyle w:val="29"/>
        <w:tblW w:w="927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10"/>
        <w:gridCol w:w="2056"/>
        <w:gridCol w:w="1016"/>
        <w:gridCol w:w="1016"/>
        <w:gridCol w:w="24"/>
        <w:gridCol w:w="992"/>
        <w:gridCol w:w="1017"/>
        <w:gridCol w:w="7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10" w:type="dxa"/>
            <w:vMerge w:val="restart"/>
            <w:tcBorders>
              <w:tl2br w:val="nil"/>
              <w:tr2bl w:val="nil"/>
            </w:tcBorders>
            <w:vAlign w:val="center"/>
          </w:tcPr>
          <w:p>
            <w:pPr>
              <w:jc w:val="center"/>
              <w:rPr>
                <w:rFonts w:ascii="Times New Roman" w:hAnsi="Times New Roman" w:eastAsia="宋体" w:cs="Times New Roman"/>
                <w:b/>
                <w:kern w:val="0"/>
                <w:szCs w:val="21"/>
              </w:rPr>
            </w:pPr>
            <w:r>
              <w:rPr>
                <w:rFonts w:ascii="Times New Roman" w:hAnsi="Times New Roman" w:eastAsia="宋体" w:cs="Times New Roman"/>
                <w:b/>
                <w:kern w:val="0"/>
                <w:szCs w:val="21"/>
              </w:rPr>
              <w:t>监测项目</w:t>
            </w:r>
          </w:p>
        </w:tc>
        <w:tc>
          <w:tcPr>
            <w:tcW w:w="2056" w:type="dxa"/>
            <w:vMerge w:val="restart"/>
            <w:tcBorders>
              <w:tl2br w:val="nil"/>
              <w:tr2bl w:val="nil"/>
            </w:tcBorders>
            <w:vAlign w:val="center"/>
          </w:tcPr>
          <w:p>
            <w:pPr>
              <w:jc w:val="center"/>
              <w:rPr>
                <w:rFonts w:ascii="Times New Roman" w:hAnsi="Times New Roman" w:eastAsia="宋体" w:cs="Times New Roman"/>
                <w:b/>
                <w:kern w:val="0"/>
                <w:szCs w:val="21"/>
              </w:rPr>
            </w:pPr>
            <w:r>
              <w:rPr>
                <w:rFonts w:ascii="Times New Roman" w:hAnsi="Times New Roman" w:eastAsia="宋体" w:cs="Times New Roman"/>
                <w:b/>
                <w:kern w:val="0"/>
                <w:szCs w:val="21"/>
              </w:rPr>
              <w:t>监测点位</w:t>
            </w:r>
          </w:p>
        </w:tc>
        <w:tc>
          <w:tcPr>
            <w:tcW w:w="4065" w:type="dxa"/>
            <w:gridSpan w:val="5"/>
            <w:tcBorders>
              <w:tl2br w:val="nil"/>
              <w:tr2bl w:val="nil"/>
            </w:tcBorders>
            <w:vAlign w:val="center"/>
          </w:tcPr>
          <w:p>
            <w:pPr>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监测时间及监测结果</w:t>
            </w:r>
          </w:p>
        </w:tc>
        <w:tc>
          <w:tcPr>
            <w:tcW w:w="746" w:type="dxa"/>
            <w:vMerge w:val="restart"/>
            <w:tcBorders>
              <w:tl2br w:val="nil"/>
              <w:tr2bl w:val="nil"/>
            </w:tcBorders>
            <w:vAlign w:val="center"/>
          </w:tcPr>
          <w:p>
            <w:pPr>
              <w:jc w:val="center"/>
              <w:rPr>
                <w:rFonts w:ascii="Times New Roman" w:hAnsi="Times New Roman" w:eastAsia="宋体" w:cs="Times New Roman"/>
                <w:b/>
                <w:kern w:val="0"/>
                <w:szCs w:val="21"/>
              </w:rPr>
            </w:pPr>
            <w:r>
              <w:rPr>
                <w:rFonts w:ascii="Times New Roman" w:hAnsi="Times New Roman" w:eastAsia="宋体" w:cs="Times New Roman"/>
                <w:b/>
                <w:kern w:val="0"/>
                <w:szCs w:val="21"/>
              </w:rPr>
              <w:t>评价结论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10" w:type="dxa"/>
            <w:vMerge w:val="continue"/>
            <w:tcBorders>
              <w:tl2br w:val="nil"/>
              <w:tr2bl w:val="nil"/>
            </w:tcBorders>
            <w:vAlign w:val="center"/>
          </w:tcPr>
          <w:p>
            <w:pPr>
              <w:jc w:val="center"/>
              <w:rPr>
                <w:rFonts w:ascii="Times New Roman" w:hAnsi="Times New Roman" w:eastAsia="宋体" w:cs="Times New Roman"/>
                <w:kern w:val="0"/>
                <w:szCs w:val="21"/>
              </w:rPr>
            </w:pPr>
          </w:p>
        </w:tc>
        <w:tc>
          <w:tcPr>
            <w:tcW w:w="2056" w:type="dxa"/>
            <w:vMerge w:val="continue"/>
            <w:tcBorders>
              <w:tl2br w:val="nil"/>
              <w:tr2bl w:val="nil"/>
            </w:tcBorders>
            <w:vAlign w:val="center"/>
          </w:tcPr>
          <w:p>
            <w:pPr>
              <w:jc w:val="center"/>
              <w:rPr>
                <w:rFonts w:ascii="Times New Roman" w:hAnsi="Times New Roman" w:eastAsia="宋体" w:cs="Times New Roman"/>
                <w:kern w:val="0"/>
                <w:szCs w:val="21"/>
              </w:rPr>
            </w:pPr>
          </w:p>
        </w:tc>
        <w:tc>
          <w:tcPr>
            <w:tcW w:w="2056" w:type="dxa"/>
            <w:gridSpan w:val="3"/>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2022.6.16</w:t>
            </w:r>
          </w:p>
        </w:tc>
        <w:tc>
          <w:tcPr>
            <w:tcW w:w="2009" w:type="dxa"/>
            <w:gridSpan w:val="2"/>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2022.6.17</w:t>
            </w:r>
          </w:p>
        </w:tc>
        <w:tc>
          <w:tcPr>
            <w:tcW w:w="746" w:type="dxa"/>
            <w:vMerge w:val="continue"/>
            <w:tcBorders>
              <w:tl2br w:val="nil"/>
              <w:tr2bl w:val="nil"/>
            </w:tcBorders>
            <w:vAlign w:val="center"/>
          </w:tcPr>
          <w:p>
            <w:pPr>
              <w:jc w:val="center"/>
              <w:rPr>
                <w:rFonts w:ascii="Times New Roman" w:hAnsi="Times New Roman" w:eastAsia="宋体"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10" w:type="dxa"/>
            <w:vMerge w:val="continue"/>
            <w:tcBorders>
              <w:tl2br w:val="nil"/>
              <w:tr2bl w:val="nil"/>
            </w:tcBorders>
            <w:vAlign w:val="center"/>
          </w:tcPr>
          <w:p>
            <w:pPr>
              <w:jc w:val="center"/>
              <w:rPr>
                <w:rFonts w:ascii="Times New Roman" w:hAnsi="Times New Roman" w:eastAsia="宋体" w:cs="Times New Roman"/>
                <w:kern w:val="0"/>
                <w:szCs w:val="21"/>
              </w:rPr>
            </w:pPr>
          </w:p>
        </w:tc>
        <w:tc>
          <w:tcPr>
            <w:tcW w:w="2056" w:type="dxa"/>
            <w:vMerge w:val="continue"/>
            <w:tcBorders>
              <w:tl2br w:val="nil"/>
              <w:tr2bl w:val="nil"/>
            </w:tcBorders>
            <w:vAlign w:val="center"/>
          </w:tcPr>
          <w:p>
            <w:pPr>
              <w:jc w:val="center"/>
              <w:rPr>
                <w:rFonts w:ascii="Times New Roman" w:hAnsi="Times New Roman" w:eastAsia="宋体" w:cs="Times New Roman"/>
                <w:kern w:val="0"/>
                <w:szCs w:val="21"/>
              </w:rPr>
            </w:pPr>
          </w:p>
        </w:tc>
        <w:tc>
          <w:tcPr>
            <w:tcW w:w="1016" w:type="dxa"/>
            <w:tcBorders>
              <w:tl2br w:val="nil"/>
              <w:tr2bl w:val="nil"/>
            </w:tcBorders>
            <w:vAlign w:val="center"/>
          </w:tcPr>
          <w:p>
            <w:pPr>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第一次</w:t>
            </w:r>
          </w:p>
        </w:tc>
        <w:tc>
          <w:tcPr>
            <w:tcW w:w="1016" w:type="dxa"/>
            <w:tcBorders>
              <w:tl2br w:val="nil"/>
              <w:tr2bl w:val="nil"/>
            </w:tcBorders>
            <w:vAlign w:val="center"/>
          </w:tcPr>
          <w:p>
            <w:pPr>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第二次</w:t>
            </w:r>
          </w:p>
        </w:tc>
        <w:tc>
          <w:tcPr>
            <w:tcW w:w="1016" w:type="dxa"/>
            <w:gridSpan w:val="2"/>
            <w:tcBorders>
              <w:tl2br w:val="nil"/>
              <w:tr2bl w:val="nil"/>
            </w:tcBorders>
            <w:vAlign w:val="center"/>
          </w:tcPr>
          <w:p>
            <w:pPr>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第一次</w:t>
            </w:r>
          </w:p>
        </w:tc>
        <w:tc>
          <w:tcPr>
            <w:tcW w:w="1017" w:type="dxa"/>
            <w:tcBorders>
              <w:tl2br w:val="nil"/>
              <w:tr2bl w:val="nil"/>
            </w:tcBorders>
            <w:vAlign w:val="center"/>
          </w:tcPr>
          <w:p>
            <w:pPr>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第二次</w:t>
            </w:r>
          </w:p>
        </w:tc>
        <w:tc>
          <w:tcPr>
            <w:tcW w:w="746" w:type="dxa"/>
            <w:vMerge w:val="continue"/>
            <w:tcBorders>
              <w:tl2br w:val="nil"/>
              <w:tr2bl w:val="nil"/>
            </w:tcBorders>
            <w:vAlign w:val="center"/>
          </w:tcPr>
          <w:p>
            <w:pPr>
              <w:jc w:val="center"/>
              <w:rPr>
                <w:rFonts w:ascii="Times New Roman" w:hAnsi="Times New Roman" w:eastAsia="宋体"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10" w:type="dxa"/>
            <w:tcBorders>
              <w:tl2br w:val="nil"/>
              <w:tr2bl w:val="nil"/>
            </w:tcBorders>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pH</w:t>
            </w:r>
          </w:p>
        </w:tc>
        <w:tc>
          <w:tcPr>
            <w:tcW w:w="2056" w:type="dxa"/>
            <w:vMerge w:val="restart"/>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露天矿生产废石场下游自建监测井</w:t>
            </w:r>
          </w:p>
        </w:tc>
        <w:tc>
          <w:tcPr>
            <w:tcW w:w="1016"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6.9</w:t>
            </w:r>
          </w:p>
        </w:tc>
        <w:tc>
          <w:tcPr>
            <w:tcW w:w="1016"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6.9</w:t>
            </w:r>
          </w:p>
        </w:tc>
        <w:tc>
          <w:tcPr>
            <w:tcW w:w="1016" w:type="dxa"/>
            <w:gridSpan w:val="2"/>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6.9</w:t>
            </w:r>
          </w:p>
        </w:tc>
        <w:tc>
          <w:tcPr>
            <w:tcW w:w="1017"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6.9</w:t>
            </w:r>
          </w:p>
        </w:tc>
        <w:tc>
          <w:tcPr>
            <w:tcW w:w="746"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10"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氨氮（mg/L)</w:t>
            </w:r>
          </w:p>
        </w:tc>
        <w:tc>
          <w:tcPr>
            <w:tcW w:w="2056" w:type="dxa"/>
            <w:vMerge w:val="continue"/>
            <w:tcBorders>
              <w:tl2br w:val="nil"/>
              <w:tr2bl w:val="nil"/>
            </w:tcBorders>
            <w:vAlign w:val="center"/>
          </w:tcPr>
          <w:p>
            <w:pPr>
              <w:jc w:val="center"/>
              <w:rPr>
                <w:rFonts w:ascii="Times New Roman" w:hAnsi="Times New Roman" w:eastAsia="宋体" w:cs="Times New Roman"/>
                <w:kern w:val="0"/>
                <w:szCs w:val="21"/>
              </w:rPr>
            </w:pPr>
          </w:p>
        </w:tc>
        <w:tc>
          <w:tcPr>
            <w:tcW w:w="1016"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0.142</w:t>
            </w:r>
          </w:p>
        </w:tc>
        <w:tc>
          <w:tcPr>
            <w:tcW w:w="1016"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0.161</w:t>
            </w:r>
          </w:p>
        </w:tc>
        <w:tc>
          <w:tcPr>
            <w:tcW w:w="1016" w:type="dxa"/>
            <w:gridSpan w:val="2"/>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0.161</w:t>
            </w:r>
          </w:p>
        </w:tc>
        <w:tc>
          <w:tcPr>
            <w:tcW w:w="1017"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0.185</w:t>
            </w:r>
          </w:p>
        </w:tc>
        <w:tc>
          <w:tcPr>
            <w:tcW w:w="746"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10"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耗氧量（mg/L)</w:t>
            </w:r>
          </w:p>
        </w:tc>
        <w:tc>
          <w:tcPr>
            <w:tcW w:w="2056" w:type="dxa"/>
            <w:vMerge w:val="continue"/>
            <w:tcBorders>
              <w:tl2br w:val="nil"/>
              <w:tr2bl w:val="nil"/>
            </w:tcBorders>
            <w:vAlign w:val="center"/>
          </w:tcPr>
          <w:p>
            <w:pPr>
              <w:jc w:val="center"/>
              <w:rPr>
                <w:rFonts w:ascii="Times New Roman" w:hAnsi="Times New Roman" w:eastAsia="宋体" w:cs="Times New Roman"/>
                <w:kern w:val="0"/>
                <w:szCs w:val="21"/>
              </w:rPr>
            </w:pPr>
          </w:p>
        </w:tc>
        <w:tc>
          <w:tcPr>
            <w:tcW w:w="1016"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2.48</w:t>
            </w:r>
          </w:p>
        </w:tc>
        <w:tc>
          <w:tcPr>
            <w:tcW w:w="1016"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2.52</w:t>
            </w:r>
          </w:p>
        </w:tc>
        <w:tc>
          <w:tcPr>
            <w:tcW w:w="1016" w:type="dxa"/>
            <w:gridSpan w:val="2"/>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2.42</w:t>
            </w:r>
          </w:p>
        </w:tc>
        <w:tc>
          <w:tcPr>
            <w:tcW w:w="1017"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2.44</w:t>
            </w:r>
          </w:p>
        </w:tc>
        <w:tc>
          <w:tcPr>
            <w:tcW w:w="746"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10"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color w:val="000000"/>
                <w:kern w:val="0"/>
                <w:szCs w:val="21"/>
              </w:rPr>
              <w:t>铅（μg/L）</w:t>
            </w:r>
          </w:p>
        </w:tc>
        <w:tc>
          <w:tcPr>
            <w:tcW w:w="2056" w:type="dxa"/>
            <w:vMerge w:val="continue"/>
            <w:tcBorders>
              <w:tl2br w:val="nil"/>
              <w:tr2bl w:val="nil"/>
            </w:tcBorders>
            <w:vAlign w:val="center"/>
          </w:tcPr>
          <w:p>
            <w:pPr>
              <w:jc w:val="center"/>
              <w:rPr>
                <w:rFonts w:ascii="Times New Roman" w:hAnsi="Times New Roman" w:eastAsia="宋体" w:cs="Times New Roman"/>
                <w:kern w:val="0"/>
                <w:szCs w:val="21"/>
              </w:rPr>
            </w:pPr>
          </w:p>
        </w:tc>
        <w:tc>
          <w:tcPr>
            <w:tcW w:w="1016"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1</w:t>
            </w:r>
          </w:p>
        </w:tc>
        <w:tc>
          <w:tcPr>
            <w:tcW w:w="1016"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1</w:t>
            </w:r>
          </w:p>
        </w:tc>
        <w:tc>
          <w:tcPr>
            <w:tcW w:w="1016" w:type="dxa"/>
            <w:gridSpan w:val="2"/>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&lt;1</w:t>
            </w:r>
          </w:p>
        </w:tc>
        <w:tc>
          <w:tcPr>
            <w:tcW w:w="1017"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&lt;1</w:t>
            </w:r>
          </w:p>
        </w:tc>
        <w:tc>
          <w:tcPr>
            <w:tcW w:w="746"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10"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color w:val="000000"/>
                <w:kern w:val="0"/>
                <w:szCs w:val="21"/>
              </w:rPr>
              <w:t>铜（μg/L）</w:t>
            </w:r>
          </w:p>
        </w:tc>
        <w:tc>
          <w:tcPr>
            <w:tcW w:w="2056" w:type="dxa"/>
            <w:vMerge w:val="continue"/>
            <w:tcBorders>
              <w:tl2br w:val="nil"/>
              <w:tr2bl w:val="nil"/>
            </w:tcBorders>
            <w:vAlign w:val="center"/>
          </w:tcPr>
          <w:p>
            <w:pPr>
              <w:jc w:val="center"/>
              <w:rPr>
                <w:rFonts w:ascii="Times New Roman" w:hAnsi="Times New Roman" w:eastAsia="宋体" w:cs="Times New Roman"/>
                <w:kern w:val="0"/>
                <w:szCs w:val="21"/>
              </w:rPr>
            </w:pPr>
          </w:p>
        </w:tc>
        <w:tc>
          <w:tcPr>
            <w:tcW w:w="1016"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&lt;1</w:t>
            </w:r>
          </w:p>
        </w:tc>
        <w:tc>
          <w:tcPr>
            <w:tcW w:w="1016"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&lt;1</w:t>
            </w:r>
          </w:p>
        </w:tc>
        <w:tc>
          <w:tcPr>
            <w:tcW w:w="1016" w:type="dxa"/>
            <w:gridSpan w:val="2"/>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&lt;1</w:t>
            </w:r>
          </w:p>
        </w:tc>
        <w:tc>
          <w:tcPr>
            <w:tcW w:w="1017"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&lt;1</w:t>
            </w:r>
          </w:p>
        </w:tc>
        <w:tc>
          <w:tcPr>
            <w:tcW w:w="746"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10"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color w:val="000000"/>
                <w:kern w:val="0"/>
                <w:szCs w:val="21"/>
              </w:rPr>
              <w:t>镉（μg/L）</w:t>
            </w:r>
          </w:p>
        </w:tc>
        <w:tc>
          <w:tcPr>
            <w:tcW w:w="2056" w:type="dxa"/>
            <w:vMerge w:val="continue"/>
            <w:tcBorders>
              <w:tl2br w:val="nil"/>
              <w:tr2bl w:val="nil"/>
            </w:tcBorders>
            <w:vAlign w:val="center"/>
          </w:tcPr>
          <w:p>
            <w:pPr>
              <w:jc w:val="center"/>
              <w:rPr>
                <w:rFonts w:ascii="Times New Roman" w:hAnsi="Times New Roman" w:eastAsia="宋体" w:cs="Times New Roman"/>
                <w:kern w:val="0"/>
                <w:szCs w:val="21"/>
              </w:rPr>
            </w:pPr>
          </w:p>
        </w:tc>
        <w:tc>
          <w:tcPr>
            <w:tcW w:w="1016"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&lt;0.1</w:t>
            </w:r>
          </w:p>
        </w:tc>
        <w:tc>
          <w:tcPr>
            <w:tcW w:w="1016"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&lt;0.1</w:t>
            </w:r>
          </w:p>
        </w:tc>
        <w:tc>
          <w:tcPr>
            <w:tcW w:w="1016" w:type="dxa"/>
            <w:gridSpan w:val="2"/>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&lt;0.1</w:t>
            </w:r>
          </w:p>
        </w:tc>
        <w:tc>
          <w:tcPr>
            <w:tcW w:w="1017"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&lt;0.1</w:t>
            </w:r>
          </w:p>
        </w:tc>
        <w:tc>
          <w:tcPr>
            <w:tcW w:w="746"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10"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六价铬（mg/L)</w:t>
            </w:r>
          </w:p>
        </w:tc>
        <w:tc>
          <w:tcPr>
            <w:tcW w:w="2056" w:type="dxa"/>
            <w:vMerge w:val="continue"/>
            <w:tcBorders>
              <w:tl2br w:val="nil"/>
              <w:tr2bl w:val="nil"/>
            </w:tcBorders>
            <w:vAlign w:val="center"/>
          </w:tcPr>
          <w:p>
            <w:pPr>
              <w:jc w:val="center"/>
              <w:rPr>
                <w:rFonts w:ascii="Times New Roman" w:hAnsi="Times New Roman" w:eastAsia="宋体" w:cs="Times New Roman"/>
                <w:kern w:val="0"/>
                <w:szCs w:val="21"/>
              </w:rPr>
            </w:pPr>
          </w:p>
        </w:tc>
        <w:tc>
          <w:tcPr>
            <w:tcW w:w="1016"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0.01</w:t>
            </w:r>
          </w:p>
        </w:tc>
        <w:tc>
          <w:tcPr>
            <w:tcW w:w="1016"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0.01</w:t>
            </w:r>
          </w:p>
        </w:tc>
        <w:tc>
          <w:tcPr>
            <w:tcW w:w="1016" w:type="dxa"/>
            <w:gridSpan w:val="2"/>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0.01</w:t>
            </w:r>
          </w:p>
        </w:tc>
        <w:tc>
          <w:tcPr>
            <w:tcW w:w="1017"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w:t>
            </w:r>
          </w:p>
        </w:tc>
        <w:tc>
          <w:tcPr>
            <w:tcW w:w="746"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10"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锂（mg/L）</w:t>
            </w:r>
          </w:p>
        </w:tc>
        <w:tc>
          <w:tcPr>
            <w:tcW w:w="2056" w:type="dxa"/>
            <w:vMerge w:val="continue"/>
            <w:tcBorders>
              <w:tl2br w:val="nil"/>
              <w:tr2bl w:val="nil"/>
            </w:tcBorders>
            <w:vAlign w:val="center"/>
          </w:tcPr>
          <w:p>
            <w:pPr>
              <w:jc w:val="center"/>
              <w:rPr>
                <w:rFonts w:ascii="Times New Roman" w:hAnsi="Times New Roman" w:eastAsia="宋体" w:cs="Times New Roman"/>
                <w:kern w:val="0"/>
                <w:szCs w:val="21"/>
              </w:rPr>
            </w:pPr>
          </w:p>
        </w:tc>
        <w:tc>
          <w:tcPr>
            <w:tcW w:w="1016"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7.71*10</w:t>
            </w:r>
            <w:r>
              <w:rPr>
                <w:rFonts w:ascii="Times New Roman" w:hAnsi="Times New Roman" w:eastAsia="宋体" w:cs="Times New Roman"/>
                <w:kern w:val="0"/>
                <w:szCs w:val="21"/>
                <w:vertAlign w:val="superscript"/>
              </w:rPr>
              <w:t>-3</w:t>
            </w:r>
          </w:p>
        </w:tc>
        <w:tc>
          <w:tcPr>
            <w:tcW w:w="1016"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7.45*10</w:t>
            </w:r>
            <w:r>
              <w:rPr>
                <w:rFonts w:ascii="Times New Roman" w:hAnsi="Times New Roman" w:eastAsia="宋体" w:cs="Times New Roman"/>
                <w:kern w:val="0"/>
                <w:szCs w:val="21"/>
                <w:vertAlign w:val="superscript"/>
              </w:rPr>
              <w:t>-3</w:t>
            </w:r>
          </w:p>
        </w:tc>
        <w:tc>
          <w:tcPr>
            <w:tcW w:w="1016" w:type="dxa"/>
            <w:gridSpan w:val="2"/>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9.91*10</w:t>
            </w:r>
            <w:r>
              <w:rPr>
                <w:rFonts w:ascii="Times New Roman" w:hAnsi="Times New Roman" w:eastAsia="宋体" w:cs="Times New Roman"/>
                <w:kern w:val="0"/>
                <w:szCs w:val="21"/>
                <w:vertAlign w:val="superscript"/>
              </w:rPr>
              <w:t>-3</w:t>
            </w:r>
          </w:p>
        </w:tc>
        <w:tc>
          <w:tcPr>
            <w:tcW w:w="1017"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5.60*10</w:t>
            </w:r>
            <w:r>
              <w:rPr>
                <w:rFonts w:ascii="Times New Roman" w:hAnsi="Times New Roman" w:eastAsia="宋体" w:cs="Times New Roman"/>
                <w:kern w:val="0"/>
                <w:szCs w:val="21"/>
                <w:vertAlign w:val="superscript"/>
              </w:rPr>
              <w:t>-3</w:t>
            </w:r>
          </w:p>
        </w:tc>
        <w:tc>
          <w:tcPr>
            <w:tcW w:w="746"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10"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氟化物（mg/L)</w:t>
            </w:r>
          </w:p>
        </w:tc>
        <w:tc>
          <w:tcPr>
            <w:tcW w:w="2056" w:type="dxa"/>
            <w:vMerge w:val="continue"/>
            <w:tcBorders>
              <w:tl2br w:val="nil"/>
              <w:tr2bl w:val="nil"/>
            </w:tcBorders>
            <w:vAlign w:val="center"/>
          </w:tcPr>
          <w:p>
            <w:pPr>
              <w:jc w:val="center"/>
              <w:rPr>
                <w:rFonts w:ascii="Times New Roman" w:hAnsi="Times New Roman" w:eastAsia="宋体" w:cs="Times New Roman"/>
                <w:kern w:val="0"/>
                <w:szCs w:val="21"/>
              </w:rPr>
            </w:pPr>
          </w:p>
        </w:tc>
        <w:tc>
          <w:tcPr>
            <w:tcW w:w="1016"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0.254</w:t>
            </w:r>
          </w:p>
        </w:tc>
        <w:tc>
          <w:tcPr>
            <w:tcW w:w="1016"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0.201</w:t>
            </w:r>
          </w:p>
        </w:tc>
        <w:tc>
          <w:tcPr>
            <w:tcW w:w="1016" w:type="dxa"/>
            <w:gridSpan w:val="2"/>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0.263</w:t>
            </w:r>
          </w:p>
        </w:tc>
        <w:tc>
          <w:tcPr>
            <w:tcW w:w="1017"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0.234</w:t>
            </w:r>
          </w:p>
        </w:tc>
        <w:tc>
          <w:tcPr>
            <w:tcW w:w="746"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10"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锌（mg/L)</w:t>
            </w:r>
          </w:p>
        </w:tc>
        <w:tc>
          <w:tcPr>
            <w:tcW w:w="2056" w:type="dxa"/>
            <w:vMerge w:val="continue"/>
            <w:tcBorders>
              <w:tl2br w:val="nil"/>
              <w:tr2bl w:val="nil"/>
            </w:tcBorders>
            <w:vAlign w:val="center"/>
          </w:tcPr>
          <w:p>
            <w:pPr>
              <w:jc w:val="center"/>
              <w:rPr>
                <w:rFonts w:ascii="Times New Roman" w:hAnsi="Times New Roman" w:eastAsia="宋体" w:cs="Times New Roman"/>
                <w:kern w:val="0"/>
                <w:szCs w:val="21"/>
              </w:rPr>
            </w:pPr>
          </w:p>
        </w:tc>
        <w:tc>
          <w:tcPr>
            <w:tcW w:w="1016"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&lt;0.05</w:t>
            </w:r>
          </w:p>
        </w:tc>
        <w:tc>
          <w:tcPr>
            <w:tcW w:w="1016"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&lt;0.05</w:t>
            </w:r>
          </w:p>
        </w:tc>
        <w:tc>
          <w:tcPr>
            <w:tcW w:w="1016" w:type="dxa"/>
            <w:gridSpan w:val="2"/>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&lt;0.05</w:t>
            </w:r>
          </w:p>
        </w:tc>
        <w:tc>
          <w:tcPr>
            <w:tcW w:w="1017"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&lt;0.05</w:t>
            </w:r>
          </w:p>
        </w:tc>
        <w:tc>
          <w:tcPr>
            <w:tcW w:w="746"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10"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color w:val="000000"/>
                <w:kern w:val="0"/>
                <w:szCs w:val="21"/>
              </w:rPr>
              <w:t>砷（μg/L）</w:t>
            </w:r>
          </w:p>
        </w:tc>
        <w:tc>
          <w:tcPr>
            <w:tcW w:w="2056" w:type="dxa"/>
            <w:vMerge w:val="continue"/>
            <w:tcBorders>
              <w:tl2br w:val="nil"/>
              <w:tr2bl w:val="nil"/>
            </w:tcBorders>
            <w:vAlign w:val="center"/>
          </w:tcPr>
          <w:p>
            <w:pPr>
              <w:jc w:val="center"/>
              <w:rPr>
                <w:rFonts w:ascii="Times New Roman" w:hAnsi="Times New Roman" w:eastAsia="宋体" w:cs="Times New Roman"/>
                <w:kern w:val="0"/>
                <w:szCs w:val="21"/>
              </w:rPr>
            </w:pPr>
          </w:p>
        </w:tc>
        <w:tc>
          <w:tcPr>
            <w:tcW w:w="1016"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&lt;0.3</w:t>
            </w:r>
          </w:p>
        </w:tc>
        <w:tc>
          <w:tcPr>
            <w:tcW w:w="1016"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&lt;0.3</w:t>
            </w:r>
          </w:p>
        </w:tc>
        <w:tc>
          <w:tcPr>
            <w:tcW w:w="1016" w:type="dxa"/>
            <w:gridSpan w:val="2"/>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&lt;0.3</w:t>
            </w:r>
          </w:p>
        </w:tc>
        <w:tc>
          <w:tcPr>
            <w:tcW w:w="1017"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&lt;0.3</w:t>
            </w:r>
          </w:p>
        </w:tc>
        <w:tc>
          <w:tcPr>
            <w:tcW w:w="746"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10" w:type="dxa"/>
            <w:tcBorders>
              <w:bottom w:val="single" w:color="auto" w:sz="4" w:space="0"/>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color w:val="000000"/>
                <w:kern w:val="0"/>
                <w:szCs w:val="21"/>
              </w:rPr>
              <w:t>汞（μg/L）</w:t>
            </w:r>
          </w:p>
        </w:tc>
        <w:tc>
          <w:tcPr>
            <w:tcW w:w="2056" w:type="dxa"/>
            <w:vMerge w:val="continue"/>
            <w:tcBorders>
              <w:bottom w:val="single" w:color="auto" w:sz="4" w:space="0"/>
              <w:tl2br w:val="nil"/>
              <w:tr2bl w:val="nil"/>
            </w:tcBorders>
            <w:vAlign w:val="center"/>
          </w:tcPr>
          <w:p>
            <w:pPr>
              <w:jc w:val="center"/>
              <w:rPr>
                <w:rFonts w:ascii="Times New Roman" w:hAnsi="Times New Roman" w:eastAsia="宋体" w:cs="Times New Roman"/>
                <w:kern w:val="0"/>
                <w:szCs w:val="21"/>
              </w:rPr>
            </w:pPr>
          </w:p>
        </w:tc>
        <w:tc>
          <w:tcPr>
            <w:tcW w:w="1016" w:type="dxa"/>
            <w:tcBorders>
              <w:bottom w:val="single" w:color="auto" w:sz="4" w:space="0"/>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&lt;0.04</w:t>
            </w:r>
          </w:p>
        </w:tc>
        <w:tc>
          <w:tcPr>
            <w:tcW w:w="1016" w:type="dxa"/>
            <w:tcBorders>
              <w:bottom w:val="single" w:color="auto" w:sz="4" w:space="0"/>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&lt;0.04</w:t>
            </w:r>
          </w:p>
        </w:tc>
        <w:tc>
          <w:tcPr>
            <w:tcW w:w="1016" w:type="dxa"/>
            <w:gridSpan w:val="2"/>
            <w:tcBorders>
              <w:bottom w:val="single" w:color="auto" w:sz="4" w:space="0"/>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&lt;0.04</w:t>
            </w:r>
          </w:p>
        </w:tc>
        <w:tc>
          <w:tcPr>
            <w:tcW w:w="1017" w:type="dxa"/>
            <w:tcBorders>
              <w:bottom w:val="single" w:color="auto" w:sz="4" w:space="0"/>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&lt;0.04</w:t>
            </w:r>
          </w:p>
        </w:tc>
        <w:tc>
          <w:tcPr>
            <w:tcW w:w="746" w:type="dxa"/>
            <w:tcBorders>
              <w:bottom w:val="single" w:color="auto" w:sz="4" w:space="0"/>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10" w:type="dxa"/>
            <w:tcBorders>
              <w:top w:val="single" w:color="auto" w:sz="4" w:space="0"/>
              <w:bottom w:val="single" w:color="auto" w:sz="4" w:space="0"/>
            </w:tcBorders>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pH</w:t>
            </w:r>
          </w:p>
        </w:tc>
        <w:tc>
          <w:tcPr>
            <w:tcW w:w="2056" w:type="dxa"/>
            <w:vMerge w:val="restart"/>
            <w:tcBorders>
              <w:top w:val="single" w:color="auto" w:sz="4" w:space="0"/>
              <w:bottom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露天矿基建废石场下游自建监测井</w:t>
            </w:r>
          </w:p>
        </w:tc>
        <w:tc>
          <w:tcPr>
            <w:tcW w:w="1016" w:type="dxa"/>
            <w:tcBorders>
              <w:top w:val="single" w:color="auto" w:sz="4" w:space="0"/>
              <w:bottom w:val="single" w:color="auto" w:sz="4" w:space="0"/>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6.9</w:t>
            </w:r>
          </w:p>
        </w:tc>
        <w:tc>
          <w:tcPr>
            <w:tcW w:w="1016" w:type="dxa"/>
            <w:tcBorders>
              <w:top w:val="single" w:color="auto" w:sz="4" w:space="0"/>
              <w:bottom w:val="single" w:color="auto" w:sz="4" w:space="0"/>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6.9</w:t>
            </w:r>
          </w:p>
        </w:tc>
        <w:tc>
          <w:tcPr>
            <w:tcW w:w="1016" w:type="dxa"/>
            <w:gridSpan w:val="2"/>
            <w:tcBorders>
              <w:top w:val="single" w:color="auto" w:sz="4" w:space="0"/>
              <w:bottom w:val="single" w:color="auto" w:sz="4" w:space="0"/>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6.9</w:t>
            </w:r>
          </w:p>
        </w:tc>
        <w:tc>
          <w:tcPr>
            <w:tcW w:w="1017" w:type="dxa"/>
            <w:tcBorders>
              <w:top w:val="single" w:color="auto" w:sz="4" w:space="0"/>
              <w:bottom w:val="single" w:color="auto" w:sz="4" w:space="0"/>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6.9</w:t>
            </w:r>
          </w:p>
        </w:tc>
        <w:tc>
          <w:tcPr>
            <w:tcW w:w="746" w:type="dxa"/>
            <w:tcBorders>
              <w:top w:val="single" w:color="auto" w:sz="4" w:space="0"/>
              <w:bottom w:val="single" w:color="auto" w:sz="4" w:space="0"/>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10" w:type="dxa"/>
            <w:tcBorders>
              <w:top w:val="single" w:color="auto" w:sz="4" w:space="0"/>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氨氮（mg/L)</w:t>
            </w:r>
          </w:p>
        </w:tc>
        <w:tc>
          <w:tcPr>
            <w:tcW w:w="2056" w:type="dxa"/>
            <w:vMerge w:val="continue"/>
            <w:tcBorders>
              <w:top w:val="nil"/>
              <w:bottom w:val="single" w:color="000000" w:sz="12" w:space="0"/>
              <w:tl2br w:val="nil"/>
              <w:tr2bl w:val="nil"/>
            </w:tcBorders>
            <w:vAlign w:val="center"/>
          </w:tcPr>
          <w:p>
            <w:pPr>
              <w:jc w:val="center"/>
              <w:rPr>
                <w:rFonts w:ascii="Times New Roman" w:hAnsi="Times New Roman" w:eastAsia="宋体" w:cs="Times New Roman"/>
                <w:kern w:val="0"/>
                <w:szCs w:val="21"/>
              </w:rPr>
            </w:pPr>
          </w:p>
        </w:tc>
        <w:tc>
          <w:tcPr>
            <w:tcW w:w="1016" w:type="dxa"/>
            <w:tcBorders>
              <w:top w:val="single" w:color="auto" w:sz="4" w:space="0"/>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0.15</w:t>
            </w:r>
          </w:p>
        </w:tc>
        <w:tc>
          <w:tcPr>
            <w:tcW w:w="1016" w:type="dxa"/>
            <w:tcBorders>
              <w:top w:val="single" w:color="auto" w:sz="4" w:space="0"/>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0.143</w:t>
            </w:r>
          </w:p>
        </w:tc>
        <w:tc>
          <w:tcPr>
            <w:tcW w:w="1016" w:type="dxa"/>
            <w:gridSpan w:val="2"/>
            <w:tcBorders>
              <w:top w:val="single" w:color="auto" w:sz="4" w:space="0"/>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0.175</w:t>
            </w:r>
          </w:p>
        </w:tc>
        <w:tc>
          <w:tcPr>
            <w:tcW w:w="1017" w:type="dxa"/>
            <w:tcBorders>
              <w:top w:val="single" w:color="auto" w:sz="4" w:space="0"/>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0.152</w:t>
            </w:r>
          </w:p>
        </w:tc>
        <w:tc>
          <w:tcPr>
            <w:tcW w:w="746" w:type="dxa"/>
            <w:tcBorders>
              <w:top w:val="single" w:color="auto" w:sz="4" w:space="0"/>
              <w:tl2br w:val="nil"/>
              <w:tr2bl w:val="nil"/>
            </w:tcBorders>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10"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耗氧量（mg/L)</w:t>
            </w:r>
          </w:p>
        </w:tc>
        <w:tc>
          <w:tcPr>
            <w:tcW w:w="2056" w:type="dxa"/>
            <w:vMerge w:val="continue"/>
            <w:tcBorders>
              <w:top w:val="single" w:color="000000" w:sz="12" w:space="0"/>
              <w:bottom w:val="single" w:color="000000" w:sz="12" w:space="0"/>
              <w:tl2br w:val="nil"/>
              <w:tr2bl w:val="nil"/>
            </w:tcBorders>
            <w:vAlign w:val="center"/>
          </w:tcPr>
          <w:p>
            <w:pPr>
              <w:jc w:val="center"/>
              <w:rPr>
                <w:rFonts w:ascii="Times New Roman" w:hAnsi="Times New Roman" w:eastAsia="宋体" w:cs="Times New Roman"/>
                <w:kern w:val="0"/>
                <w:szCs w:val="21"/>
              </w:rPr>
            </w:pPr>
          </w:p>
        </w:tc>
        <w:tc>
          <w:tcPr>
            <w:tcW w:w="1016"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2.67</w:t>
            </w:r>
          </w:p>
        </w:tc>
        <w:tc>
          <w:tcPr>
            <w:tcW w:w="1016"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2.68</w:t>
            </w:r>
          </w:p>
        </w:tc>
        <w:tc>
          <w:tcPr>
            <w:tcW w:w="1016" w:type="dxa"/>
            <w:gridSpan w:val="2"/>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2.55</w:t>
            </w:r>
          </w:p>
        </w:tc>
        <w:tc>
          <w:tcPr>
            <w:tcW w:w="1017"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2.58</w:t>
            </w:r>
          </w:p>
        </w:tc>
        <w:tc>
          <w:tcPr>
            <w:tcW w:w="746" w:type="dxa"/>
            <w:tcBorders>
              <w:tl2br w:val="nil"/>
              <w:tr2bl w:val="nil"/>
            </w:tcBorders>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10"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color w:val="000000"/>
                <w:kern w:val="0"/>
                <w:szCs w:val="21"/>
              </w:rPr>
              <w:t>铅（μg/L）</w:t>
            </w:r>
          </w:p>
        </w:tc>
        <w:tc>
          <w:tcPr>
            <w:tcW w:w="2056" w:type="dxa"/>
            <w:vMerge w:val="continue"/>
            <w:tcBorders>
              <w:top w:val="single" w:color="000000" w:sz="12" w:space="0"/>
              <w:bottom w:val="single" w:color="000000" w:sz="12" w:space="0"/>
              <w:tl2br w:val="nil"/>
              <w:tr2bl w:val="nil"/>
            </w:tcBorders>
            <w:vAlign w:val="center"/>
          </w:tcPr>
          <w:p>
            <w:pPr>
              <w:jc w:val="center"/>
              <w:rPr>
                <w:rFonts w:ascii="Times New Roman" w:hAnsi="Times New Roman" w:eastAsia="宋体" w:cs="Times New Roman"/>
                <w:kern w:val="0"/>
                <w:szCs w:val="21"/>
              </w:rPr>
            </w:pPr>
          </w:p>
        </w:tc>
        <w:tc>
          <w:tcPr>
            <w:tcW w:w="1016"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&lt;1</w:t>
            </w:r>
          </w:p>
        </w:tc>
        <w:tc>
          <w:tcPr>
            <w:tcW w:w="1016"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&lt;1</w:t>
            </w:r>
          </w:p>
        </w:tc>
        <w:tc>
          <w:tcPr>
            <w:tcW w:w="1016" w:type="dxa"/>
            <w:gridSpan w:val="2"/>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&lt;1</w:t>
            </w:r>
          </w:p>
        </w:tc>
        <w:tc>
          <w:tcPr>
            <w:tcW w:w="1017"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&lt;1</w:t>
            </w:r>
          </w:p>
        </w:tc>
        <w:tc>
          <w:tcPr>
            <w:tcW w:w="746" w:type="dxa"/>
            <w:tcBorders>
              <w:tl2br w:val="nil"/>
              <w:tr2bl w:val="nil"/>
            </w:tcBorders>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10"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color w:val="000000"/>
                <w:kern w:val="0"/>
                <w:szCs w:val="21"/>
              </w:rPr>
              <w:t>铜（μg/L）</w:t>
            </w:r>
          </w:p>
        </w:tc>
        <w:tc>
          <w:tcPr>
            <w:tcW w:w="2056" w:type="dxa"/>
            <w:vMerge w:val="continue"/>
            <w:tcBorders>
              <w:top w:val="single" w:color="000000" w:sz="12" w:space="0"/>
              <w:bottom w:val="single" w:color="000000" w:sz="12" w:space="0"/>
              <w:tl2br w:val="nil"/>
              <w:tr2bl w:val="nil"/>
            </w:tcBorders>
            <w:vAlign w:val="center"/>
          </w:tcPr>
          <w:p>
            <w:pPr>
              <w:jc w:val="center"/>
              <w:rPr>
                <w:rFonts w:ascii="Times New Roman" w:hAnsi="Times New Roman" w:eastAsia="宋体" w:cs="Times New Roman"/>
                <w:kern w:val="0"/>
                <w:szCs w:val="21"/>
              </w:rPr>
            </w:pPr>
          </w:p>
        </w:tc>
        <w:tc>
          <w:tcPr>
            <w:tcW w:w="1016"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&lt;1</w:t>
            </w:r>
          </w:p>
        </w:tc>
        <w:tc>
          <w:tcPr>
            <w:tcW w:w="1016"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&lt;1</w:t>
            </w:r>
          </w:p>
        </w:tc>
        <w:tc>
          <w:tcPr>
            <w:tcW w:w="1016" w:type="dxa"/>
            <w:gridSpan w:val="2"/>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&lt;1</w:t>
            </w:r>
          </w:p>
        </w:tc>
        <w:tc>
          <w:tcPr>
            <w:tcW w:w="1017"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&lt;1</w:t>
            </w:r>
          </w:p>
        </w:tc>
        <w:tc>
          <w:tcPr>
            <w:tcW w:w="746" w:type="dxa"/>
            <w:tcBorders>
              <w:tl2br w:val="nil"/>
              <w:tr2bl w:val="nil"/>
            </w:tcBorders>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10"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color w:val="000000"/>
                <w:kern w:val="0"/>
                <w:szCs w:val="21"/>
              </w:rPr>
              <w:t>镉（μg/L）</w:t>
            </w:r>
          </w:p>
        </w:tc>
        <w:tc>
          <w:tcPr>
            <w:tcW w:w="2056" w:type="dxa"/>
            <w:vMerge w:val="continue"/>
            <w:tcBorders>
              <w:top w:val="single" w:color="000000" w:sz="12" w:space="0"/>
              <w:bottom w:val="single" w:color="000000" w:sz="12" w:space="0"/>
              <w:tl2br w:val="nil"/>
              <w:tr2bl w:val="nil"/>
            </w:tcBorders>
            <w:vAlign w:val="center"/>
          </w:tcPr>
          <w:p>
            <w:pPr>
              <w:jc w:val="center"/>
              <w:rPr>
                <w:rFonts w:ascii="Times New Roman" w:hAnsi="Times New Roman" w:eastAsia="宋体" w:cs="Times New Roman"/>
                <w:kern w:val="0"/>
                <w:szCs w:val="21"/>
              </w:rPr>
            </w:pPr>
          </w:p>
        </w:tc>
        <w:tc>
          <w:tcPr>
            <w:tcW w:w="1016"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&lt;0.1</w:t>
            </w:r>
          </w:p>
        </w:tc>
        <w:tc>
          <w:tcPr>
            <w:tcW w:w="1016"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&lt;0.1</w:t>
            </w:r>
          </w:p>
        </w:tc>
        <w:tc>
          <w:tcPr>
            <w:tcW w:w="1016" w:type="dxa"/>
            <w:gridSpan w:val="2"/>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&lt;0.1</w:t>
            </w:r>
          </w:p>
        </w:tc>
        <w:tc>
          <w:tcPr>
            <w:tcW w:w="1017"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&lt;0.1</w:t>
            </w:r>
          </w:p>
        </w:tc>
        <w:tc>
          <w:tcPr>
            <w:tcW w:w="746" w:type="dxa"/>
            <w:tcBorders>
              <w:tl2br w:val="nil"/>
              <w:tr2bl w:val="nil"/>
            </w:tcBorders>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10"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六价铬（mg/L)</w:t>
            </w:r>
          </w:p>
        </w:tc>
        <w:tc>
          <w:tcPr>
            <w:tcW w:w="2056" w:type="dxa"/>
            <w:vMerge w:val="continue"/>
            <w:tcBorders>
              <w:top w:val="single" w:color="000000" w:sz="12" w:space="0"/>
              <w:bottom w:val="single" w:color="000000" w:sz="12" w:space="0"/>
              <w:tl2br w:val="nil"/>
              <w:tr2bl w:val="nil"/>
            </w:tcBorders>
            <w:vAlign w:val="center"/>
          </w:tcPr>
          <w:p>
            <w:pPr>
              <w:jc w:val="center"/>
              <w:rPr>
                <w:rFonts w:ascii="Times New Roman" w:hAnsi="Times New Roman" w:eastAsia="宋体" w:cs="Times New Roman"/>
                <w:kern w:val="0"/>
                <w:szCs w:val="21"/>
              </w:rPr>
            </w:pPr>
          </w:p>
        </w:tc>
        <w:tc>
          <w:tcPr>
            <w:tcW w:w="1016"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0.007</w:t>
            </w:r>
          </w:p>
        </w:tc>
        <w:tc>
          <w:tcPr>
            <w:tcW w:w="1016"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0.004</w:t>
            </w:r>
          </w:p>
        </w:tc>
        <w:tc>
          <w:tcPr>
            <w:tcW w:w="1016" w:type="dxa"/>
            <w:gridSpan w:val="2"/>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0.005</w:t>
            </w:r>
          </w:p>
        </w:tc>
        <w:tc>
          <w:tcPr>
            <w:tcW w:w="1017"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0.004</w:t>
            </w:r>
          </w:p>
        </w:tc>
        <w:tc>
          <w:tcPr>
            <w:tcW w:w="746" w:type="dxa"/>
            <w:tcBorders>
              <w:tl2br w:val="nil"/>
              <w:tr2bl w:val="nil"/>
            </w:tcBorders>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10"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锂（mg/L）</w:t>
            </w:r>
          </w:p>
        </w:tc>
        <w:tc>
          <w:tcPr>
            <w:tcW w:w="2056" w:type="dxa"/>
            <w:vMerge w:val="continue"/>
            <w:tcBorders>
              <w:top w:val="single" w:color="000000" w:sz="12" w:space="0"/>
              <w:bottom w:val="single" w:color="000000" w:sz="12" w:space="0"/>
              <w:tl2br w:val="nil"/>
              <w:tr2bl w:val="nil"/>
            </w:tcBorders>
            <w:vAlign w:val="center"/>
          </w:tcPr>
          <w:p>
            <w:pPr>
              <w:jc w:val="center"/>
              <w:rPr>
                <w:rFonts w:ascii="Times New Roman" w:hAnsi="Times New Roman" w:eastAsia="宋体" w:cs="Times New Roman"/>
                <w:kern w:val="0"/>
                <w:szCs w:val="21"/>
              </w:rPr>
            </w:pPr>
          </w:p>
        </w:tc>
        <w:tc>
          <w:tcPr>
            <w:tcW w:w="1016"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7.65*10</w:t>
            </w:r>
            <w:r>
              <w:rPr>
                <w:rFonts w:ascii="Times New Roman" w:hAnsi="Times New Roman" w:eastAsia="宋体" w:cs="Times New Roman"/>
                <w:kern w:val="0"/>
                <w:szCs w:val="21"/>
                <w:vertAlign w:val="superscript"/>
              </w:rPr>
              <w:t>-3</w:t>
            </w:r>
          </w:p>
        </w:tc>
        <w:tc>
          <w:tcPr>
            <w:tcW w:w="1016"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7.91*10</w:t>
            </w:r>
            <w:r>
              <w:rPr>
                <w:rFonts w:ascii="Times New Roman" w:hAnsi="Times New Roman" w:eastAsia="宋体" w:cs="Times New Roman"/>
                <w:kern w:val="0"/>
                <w:szCs w:val="21"/>
                <w:vertAlign w:val="superscript"/>
              </w:rPr>
              <w:t>-3</w:t>
            </w:r>
          </w:p>
        </w:tc>
        <w:tc>
          <w:tcPr>
            <w:tcW w:w="1016" w:type="dxa"/>
            <w:gridSpan w:val="2"/>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8.78*10</w:t>
            </w:r>
            <w:r>
              <w:rPr>
                <w:rFonts w:ascii="Times New Roman" w:hAnsi="Times New Roman" w:eastAsia="宋体" w:cs="Times New Roman"/>
                <w:kern w:val="0"/>
                <w:szCs w:val="21"/>
                <w:vertAlign w:val="superscript"/>
              </w:rPr>
              <w:t>-3</w:t>
            </w:r>
          </w:p>
        </w:tc>
        <w:tc>
          <w:tcPr>
            <w:tcW w:w="1017"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7.58*10</w:t>
            </w:r>
            <w:r>
              <w:rPr>
                <w:rFonts w:ascii="Times New Roman" w:hAnsi="Times New Roman" w:eastAsia="宋体" w:cs="Times New Roman"/>
                <w:kern w:val="0"/>
                <w:szCs w:val="21"/>
                <w:vertAlign w:val="superscript"/>
              </w:rPr>
              <w:t>-3</w:t>
            </w:r>
          </w:p>
        </w:tc>
        <w:tc>
          <w:tcPr>
            <w:tcW w:w="746"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10"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氟化物（mg/L)</w:t>
            </w:r>
          </w:p>
        </w:tc>
        <w:tc>
          <w:tcPr>
            <w:tcW w:w="2056" w:type="dxa"/>
            <w:vMerge w:val="continue"/>
            <w:tcBorders>
              <w:top w:val="single" w:color="000000" w:sz="12" w:space="0"/>
              <w:bottom w:val="single" w:color="000000" w:sz="12" w:space="0"/>
              <w:tl2br w:val="nil"/>
              <w:tr2bl w:val="nil"/>
            </w:tcBorders>
            <w:vAlign w:val="center"/>
          </w:tcPr>
          <w:p>
            <w:pPr>
              <w:jc w:val="center"/>
              <w:rPr>
                <w:rFonts w:ascii="Times New Roman" w:hAnsi="Times New Roman" w:eastAsia="宋体" w:cs="Times New Roman"/>
                <w:kern w:val="0"/>
                <w:szCs w:val="21"/>
              </w:rPr>
            </w:pPr>
          </w:p>
        </w:tc>
        <w:tc>
          <w:tcPr>
            <w:tcW w:w="1016"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0.268</w:t>
            </w:r>
          </w:p>
        </w:tc>
        <w:tc>
          <w:tcPr>
            <w:tcW w:w="1016"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0.283</w:t>
            </w:r>
          </w:p>
        </w:tc>
        <w:tc>
          <w:tcPr>
            <w:tcW w:w="1016" w:type="dxa"/>
            <w:gridSpan w:val="2"/>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0.252</w:t>
            </w:r>
          </w:p>
        </w:tc>
        <w:tc>
          <w:tcPr>
            <w:tcW w:w="1017"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0.212</w:t>
            </w:r>
          </w:p>
        </w:tc>
        <w:tc>
          <w:tcPr>
            <w:tcW w:w="746" w:type="dxa"/>
            <w:tcBorders>
              <w:tl2br w:val="nil"/>
              <w:tr2bl w:val="nil"/>
            </w:tcBorders>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10"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锌（mg/L)</w:t>
            </w:r>
          </w:p>
        </w:tc>
        <w:tc>
          <w:tcPr>
            <w:tcW w:w="2056" w:type="dxa"/>
            <w:vMerge w:val="continue"/>
            <w:tcBorders>
              <w:top w:val="single" w:color="000000" w:sz="12" w:space="0"/>
              <w:bottom w:val="single" w:color="000000" w:sz="12" w:space="0"/>
              <w:tl2br w:val="nil"/>
              <w:tr2bl w:val="nil"/>
            </w:tcBorders>
            <w:vAlign w:val="center"/>
          </w:tcPr>
          <w:p>
            <w:pPr>
              <w:jc w:val="center"/>
              <w:rPr>
                <w:rFonts w:ascii="Times New Roman" w:hAnsi="Times New Roman" w:eastAsia="宋体" w:cs="Times New Roman"/>
                <w:kern w:val="0"/>
                <w:szCs w:val="21"/>
              </w:rPr>
            </w:pPr>
          </w:p>
        </w:tc>
        <w:tc>
          <w:tcPr>
            <w:tcW w:w="1016"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&lt;0.05</w:t>
            </w:r>
          </w:p>
        </w:tc>
        <w:tc>
          <w:tcPr>
            <w:tcW w:w="1016"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&lt;0.05</w:t>
            </w:r>
          </w:p>
        </w:tc>
        <w:tc>
          <w:tcPr>
            <w:tcW w:w="1016" w:type="dxa"/>
            <w:gridSpan w:val="2"/>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&lt;0.05</w:t>
            </w:r>
          </w:p>
        </w:tc>
        <w:tc>
          <w:tcPr>
            <w:tcW w:w="1017"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&lt;0.05</w:t>
            </w:r>
          </w:p>
        </w:tc>
        <w:tc>
          <w:tcPr>
            <w:tcW w:w="746" w:type="dxa"/>
            <w:tcBorders>
              <w:tl2br w:val="nil"/>
              <w:tr2bl w:val="nil"/>
            </w:tcBorders>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10" w:type="dxa"/>
            <w:tcBorders>
              <w:bottom w:val="single" w:color="auto" w:sz="4" w:space="0"/>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color w:val="000000"/>
                <w:kern w:val="0"/>
                <w:szCs w:val="21"/>
              </w:rPr>
              <w:t>砷（μg/L）</w:t>
            </w:r>
          </w:p>
        </w:tc>
        <w:tc>
          <w:tcPr>
            <w:tcW w:w="2056" w:type="dxa"/>
            <w:vMerge w:val="continue"/>
            <w:tcBorders>
              <w:top w:val="single" w:color="000000" w:sz="12" w:space="0"/>
              <w:bottom w:val="single" w:color="auto" w:sz="4" w:space="0"/>
              <w:tl2br w:val="nil"/>
              <w:tr2bl w:val="nil"/>
            </w:tcBorders>
            <w:vAlign w:val="center"/>
          </w:tcPr>
          <w:p>
            <w:pPr>
              <w:jc w:val="center"/>
              <w:rPr>
                <w:rFonts w:ascii="Times New Roman" w:hAnsi="Times New Roman" w:eastAsia="宋体" w:cs="Times New Roman"/>
                <w:kern w:val="0"/>
                <w:szCs w:val="21"/>
              </w:rPr>
            </w:pPr>
          </w:p>
        </w:tc>
        <w:tc>
          <w:tcPr>
            <w:tcW w:w="1016" w:type="dxa"/>
            <w:tcBorders>
              <w:bottom w:val="single" w:color="auto" w:sz="4" w:space="0"/>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&lt;0.3</w:t>
            </w:r>
          </w:p>
        </w:tc>
        <w:tc>
          <w:tcPr>
            <w:tcW w:w="1016" w:type="dxa"/>
            <w:tcBorders>
              <w:bottom w:val="single" w:color="auto" w:sz="4" w:space="0"/>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&lt;0.3</w:t>
            </w:r>
          </w:p>
        </w:tc>
        <w:tc>
          <w:tcPr>
            <w:tcW w:w="1016" w:type="dxa"/>
            <w:gridSpan w:val="2"/>
            <w:tcBorders>
              <w:bottom w:val="single" w:color="auto" w:sz="4" w:space="0"/>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&lt;0.3</w:t>
            </w:r>
          </w:p>
        </w:tc>
        <w:tc>
          <w:tcPr>
            <w:tcW w:w="1017" w:type="dxa"/>
            <w:tcBorders>
              <w:bottom w:val="single" w:color="auto" w:sz="4" w:space="0"/>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&lt;0.3</w:t>
            </w:r>
          </w:p>
        </w:tc>
        <w:tc>
          <w:tcPr>
            <w:tcW w:w="746" w:type="dxa"/>
            <w:tcBorders>
              <w:bottom w:val="single" w:color="auto" w:sz="4" w:space="0"/>
              <w:tl2br w:val="nil"/>
              <w:tr2bl w:val="nil"/>
            </w:tcBorders>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10" w:type="dxa"/>
            <w:tcBorders>
              <w:top w:val="single" w:color="auto" w:sz="4" w:space="0"/>
              <w:bottom w:val="single" w:color="auto" w:sz="4" w:space="0"/>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color w:val="000000"/>
                <w:kern w:val="0"/>
                <w:szCs w:val="21"/>
              </w:rPr>
              <w:t>汞（μg/L）</w:t>
            </w:r>
          </w:p>
        </w:tc>
        <w:tc>
          <w:tcPr>
            <w:tcW w:w="2056" w:type="dxa"/>
            <w:vMerge w:val="continue"/>
            <w:tcBorders>
              <w:top w:val="single" w:color="auto" w:sz="4" w:space="0"/>
              <w:bottom w:val="single" w:color="auto" w:sz="4" w:space="0"/>
            </w:tcBorders>
            <w:vAlign w:val="center"/>
          </w:tcPr>
          <w:p>
            <w:pPr>
              <w:jc w:val="center"/>
              <w:rPr>
                <w:rFonts w:ascii="Times New Roman" w:hAnsi="Times New Roman" w:eastAsia="宋体" w:cs="Times New Roman"/>
                <w:kern w:val="0"/>
                <w:szCs w:val="21"/>
              </w:rPr>
            </w:pPr>
          </w:p>
        </w:tc>
        <w:tc>
          <w:tcPr>
            <w:tcW w:w="1016" w:type="dxa"/>
            <w:tcBorders>
              <w:top w:val="single" w:color="auto" w:sz="4" w:space="0"/>
              <w:bottom w:val="single" w:color="auto" w:sz="4" w:space="0"/>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&lt;0.04</w:t>
            </w:r>
          </w:p>
        </w:tc>
        <w:tc>
          <w:tcPr>
            <w:tcW w:w="1016" w:type="dxa"/>
            <w:tcBorders>
              <w:top w:val="single" w:color="auto" w:sz="4" w:space="0"/>
              <w:bottom w:val="single" w:color="auto" w:sz="4" w:space="0"/>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&lt;0.04</w:t>
            </w:r>
          </w:p>
        </w:tc>
        <w:tc>
          <w:tcPr>
            <w:tcW w:w="1016" w:type="dxa"/>
            <w:gridSpan w:val="2"/>
            <w:tcBorders>
              <w:top w:val="single" w:color="auto" w:sz="4" w:space="0"/>
              <w:bottom w:val="single" w:color="auto" w:sz="4" w:space="0"/>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&lt;0.04</w:t>
            </w:r>
          </w:p>
        </w:tc>
        <w:tc>
          <w:tcPr>
            <w:tcW w:w="1017" w:type="dxa"/>
            <w:tcBorders>
              <w:top w:val="single" w:color="auto" w:sz="4" w:space="0"/>
              <w:bottom w:val="single" w:color="auto" w:sz="4" w:space="0"/>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&lt;0.04</w:t>
            </w:r>
          </w:p>
        </w:tc>
        <w:tc>
          <w:tcPr>
            <w:tcW w:w="746" w:type="dxa"/>
            <w:tcBorders>
              <w:top w:val="single" w:color="auto" w:sz="4" w:space="0"/>
              <w:bottom w:val="single" w:color="auto" w:sz="4" w:space="0"/>
            </w:tcBorders>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10" w:type="dxa"/>
            <w:tcBorders>
              <w:top w:val="single" w:color="auto" w:sz="4" w:space="0"/>
              <w:bottom w:val="single" w:color="auto" w:sz="4" w:space="0"/>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石油类（mg/L）</w:t>
            </w:r>
          </w:p>
        </w:tc>
        <w:tc>
          <w:tcPr>
            <w:tcW w:w="2056" w:type="dxa"/>
            <w:vMerge w:val="continue"/>
            <w:tcBorders>
              <w:top w:val="single" w:color="auto" w:sz="4" w:space="0"/>
              <w:bottom w:val="single" w:color="auto" w:sz="4" w:space="0"/>
            </w:tcBorders>
            <w:vAlign w:val="center"/>
          </w:tcPr>
          <w:p>
            <w:pPr>
              <w:jc w:val="center"/>
              <w:rPr>
                <w:rFonts w:ascii="Times New Roman" w:hAnsi="Times New Roman" w:eastAsia="宋体" w:cs="Times New Roman"/>
                <w:kern w:val="0"/>
                <w:szCs w:val="21"/>
              </w:rPr>
            </w:pPr>
          </w:p>
        </w:tc>
        <w:tc>
          <w:tcPr>
            <w:tcW w:w="1016" w:type="dxa"/>
            <w:tcBorders>
              <w:top w:val="single" w:color="auto" w:sz="4" w:space="0"/>
              <w:bottom w:val="single" w:color="auto" w:sz="4" w:space="0"/>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0.02</w:t>
            </w:r>
          </w:p>
        </w:tc>
        <w:tc>
          <w:tcPr>
            <w:tcW w:w="1016" w:type="dxa"/>
            <w:tcBorders>
              <w:top w:val="single" w:color="auto" w:sz="4" w:space="0"/>
              <w:bottom w:val="single" w:color="auto" w:sz="4" w:space="0"/>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0.02</w:t>
            </w:r>
          </w:p>
        </w:tc>
        <w:tc>
          <w:tcPr>
            <w:tcW w:w="1016" w:type="dxa"/>
            <w:gridSpan w:val="2"/>
            <w:tcBorders>
              <w:top w:val="single" w:color="auto" w:sz="4" w:space="0"/>
              <w:bottom w:val="single" w:color="auto" w:sz="4" w:space="0"/>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0.02</w:t>
            </w:r>
          </w:p>
        </w:tc>
        <w:tc>
          <w:tcPr>
            <w:tcW w:w="1017" w:type="dxa"/>
            <w:tcBorders>
              <w:top w:val="single" w:color="auto" w:sz="4" w:space="0"/>
              <w:bottom w:val="single" w:color="auto" w:sz="4" w:space="0"/>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0.03</w:t>
            </w:r>
          </w:p>
        </w:tc>
        <w:tc>
          <w:tcPr>
            <w:tcW w:w="746" w:type="dxa"/>
            <w:tcBorders>
              <w:top w:val="single" w:color="auto" w:sz="4" w:space="0"/>
              <w:bottom w:val="single" w:color="auto" w:sz="4" w:space="0"/>
            </w:tcBorders>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10" w:type="dxa"/>
            <w:tcBorders>
              <w:top w:val="single" w:color="auto" w:sz="4" w:space="0"/>
              <w:bottom w:val="single" w:color="auto" w:sz="4" w:space="0"/>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color w:val="000000"/>
                <w:kern w:val="0"/>
                <w:szCs w:val="21"/>
              </w:rPr>
              <w:t>pH</w:t>
            </w:r>
          </w:p>
        </w:tc>
        <w:tc>
          <w:tcPr>
            <w:tcW w:w="2056" w:type="dxa"/>
            <w:vMerge w:val="restart"/>
            <w:tcBorders>
              <w:top w:val="single" w:color="auto" w:sz="4" w:space="0"/>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露天矿生产废石场下游泉点</w:t>
            </w:r>
          </w:p>
        </w:tc>
        <w:tc>
          <w:tcPr>
            <w:tcW w:w="1016" w:type="dxa"/>
            <w:tcBorders>
              <w:top w:val="single" w:color="auto" w:sz="4" w:space="0"/>
              <w:bottom w:val="single" w:color="auto" w:sz="4" w:space="0"/>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7.1</w:t>
            </w:r>
          </w:p>
        </w:tc>
        <w:tc>
          <w:tcPr>
            <w:tcW w:w="1016" w:type="dxa"/>
            <w:tcBorders>
              <w:top w:val="single" w:color="auto" w:sz="4" w:space="0"/>
              <w:bottom w:val="single" w:color="auto" w:sz="4" w:space="0"/>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7.1</w:t>
            </w:r>
          </w:p>
        </w:tc>
        <w:tc>
          <w:tcPr>
            <w:tcW w:w="1016" w:type="dxa"/>
            <w:gridSpan w:val="2"/>
            <w:tcBorders>
              <w:top w:val="single" w:color="auto" w:sz="4" w:space="0"/>
              <w:bottom w:val="single" w:color="auto" w:sz="4" w:space="0"/>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7.2</w:t>
            </w:r>
          </w:p>
        </w:tc>
        <w:tc>
          <w:tcPr>
            <w:tcW w:w="1017" w:type="dxa"/>
            <w:tcBorders>
              <w:top w:val="single" w:color="auto" w:sz="4" w:space="0"/>
              <w:bottom w:val="single" w:color="auto" w:sz="4" w:space="0"/>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7.2</w:t>
            </w:r>
          </w:p>
        </w:tc>
        <w:tc>
          <w:tcPr>
            <w:tcW w:w="746" w:type="dxa"/>
            <w:tcBorders>
              <w:top w:val="single" w:color="auto" w:sz="4" w:space="0"/>
              <w:bottom w:val="single" w:color="auto" w:sz="4" w:space="0"/>
            </w:tcBorders>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10" w:type="dxa"/>
            <w:tcBorders>
              <w:top w:val="single" w:color="auto" w:sz="4" w:space="0"/>
              <w:bottom w:val="single" w:color="auto" w:sz="4" w:space="0"/>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氨氮（mg/L)</w:t>
            </w:r>
          </w:p>
        </w:tc>
        <w:tc>
          <w:tcPr>
            <w:tcW w:w="2056" w:type="dxa"/>
            <w:vMerge w:val="continue"/>
            <w:vAlign w:val="center"/>
          </w:tcPr>
          <w:p>
            <w:pPr>
              <w:jc w:val="center"/>
              <w:rPr>
                <w:rFonts w:ascii="Times New Roman" w:hAnsi="Times New Roman" w:eastAsia="宋体" w:cs="Times New Roman"/>
                <w:kern w:val="0"/>
                <w:szCs w:val="21"/>
              </w:rPr>
            </w:pPr>
          </w:p>
        </w:tc>
        <w:tc>
          <w:tcPr>
            <w:tcW w:w="1016" w:type="dxa"/>
            <w:tcBorders>
              <w:top w:val="single" w:color="auto" w:sz="4" w:space="0"/>
              <w:bottom w:val="single" w:color="auto" w:sz="4" w:space="0"/>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0.048</w:t>
            </w:r>
          </w:p>
        </w:tc>
        <w:tc>
          <w:tcPr>
            <w:tcW w:w="1016" w:type="dxa"/>
            <w:tcBorders>
              <w:top w:val="single" w:color="auto" w:sz="4" w:space="0"/>
              <w:bottom w:val="single" w:color="auto" w:sz="4" w:space="0"/>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0.057</w:t>
            </w:r>
          </w:p>
        </w:tc>
        <w:tc>
          <w:tcPr>
            <w:tcW w:w="1016" w:type="dxa"/>
            <w:gridSpan w:val="2"/>
            <w:tcBorders>
              <w:top w:val="single" w:color="auto" w:sz="4" w:space="0"/>
              <w:bottom w:val="single" w:color="auto" w:sz="4" w:space="0"/>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0.048</w:t>
            </w:r>
          </w:p>
        </w:tc>
        <w:tc>
          <w:tcPr>
            <w:tcW w:w="1017" w:type="dxa"/>
            <w:tcBorders>
              <w:top w:val="single" w:color="auto" w:sz="4" w:space="0"/>
              <w:bottom w:val="single" w:color="auto" w:sz="4" w:space="0"/>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0.054</w:t>
            </w:r>
          </w:p>
        </w:tc>
        <w:tc>
          <w:tcPr>
            <w:tcW w:w="746" w:type="dxa"/>
            <w:tcBorders>
              <w:top w:val="single" w:color="auto" w:sz="4" w:space="0"/>
              <w:bottom w:val="single" w:color="auto" w:sz="4" w:space="0"/>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10" w:type="dxa"/>
            <w:tcBorders>
              <w:top w:val="single" w:color="auto" w:sz="4" w:space="0"/>
              <w:bottom w:val="single" w:color="auto" w:sz="4" w:space="0"/>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耗氧量（mg/L)</w:t>
            </w:r>
          </w:p>
        </w:tc>
        <w:tc>
          <w:tcPr>
            <w:tcW w:w="2056" w:type="dxa"/>
            <w:vMerge w:val="continue"/>
            <w:vAlign w:val="center"/>
          </w:tcPr>
          <w:p>
            <w:pPr>
              <w:jc w:val="center"/>
              <w:rPr>
                <w:rFonts w:ascii="Times New Roman" w:hAnsi="Times New Roman" w:eastAsia="宋体" w:cs="Times New Roman"/>
                <w:kern w:val="0"/>
                <w:szCs w:val="21"/>
              </w:rPr>
            </w:pPr>
          </w:p>
        </w:tc>
        <w:tc>
          <w:tcPr>
            <w:tcW w:w="1016" w:type="dxa"/>
            <w:tcBorders>
              <w:top w:val="single" w:color="auto" w:sz="4" w:space="0"/>
              <w:bottom w:val="single" w:color="auto" w:sz="4" w:space="0"/>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1.38</w:t>
            </w:r>
          </w:p>
        </w:tc>
        <w:tc>
          <w:tcPr>
            <w:tcW w:w="1016" w:type="dxa"/>
            <w:tcBorders>
              <w:top w:val="single" w:color="auto" w:sz="4" w:space="0"/>
              <w:bottom w:val="single" w:color="auto" w:sz="4" w:space="0"/>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1.42</w:t>
            </w:r>
          </w:p>
        </w:tc>
        <w:tc>
          <w:tcPr>
            <w:tcW w:w="1016" w:type="dxa"/>
            <w:gridSpan w:val="2"/>
            <w:tcBorders>
              <w:top w:val="single" w:color="auto" w:sz="4" w:space="0"/>
              <w:bottom w:val="single" w:color="auto" w:sz="4" w:space="0"/>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1.45</w:t>
            </w:r>
          </w:p>
        </w:tc>
        <w:tc>
          <w:tcPr>
            <w:tcW w:w="1017" w:type="dxa"/>
            <w:tcBorders>
              <w:top w:val="single" w:color="auto" w:sz="4" w:space="0"/>
              <w:bottom w:val="single" w:color="auto" w:sz="4" w:space="0"/>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1.48</w:t>
            </w:r>
          </w:p>
        </w:tc>
        <w:tc>
          <w:tcPr>
            <w:tcW w:w="746" w:type="dxa"/>
            <w:tcBorders>
              <w:top w:val="single" w:color="auto" w:sz="4" w:space="0"/>
              <w:bottom w:val="single" w:color="auto" w:sz="4" w:space="0"/>
            </w:tcBorders>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10" w:type="dxa"/>
            <w:tcBorders>
              <w:top w:val="single" w:color="auto" w:sz="4" w:space="0"/>
              <w:bottom w:val="single" w:color="auto" w:sz="4" w:space="0"/>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color w:val="000000"/>
                <w:kern w:val="0"/>
                <w:szCs w:val="21"/>
              </w:rPr>
              <w:t>铅（μg/L）</w:t>
            </w:r>
          </w:p>
        </w:tc>
        <w:tc>
          <w:tcPr>
            <w:tcW w:w="2056" w:type="dxa"/>
            <w:vMerge w:val="continue"/>
            <w:vAlign w:val="center"/>
          </w:tcPr>
          <w:p>
            <w:pPr>
              <w:jc w:val="center"/>
              <w:rPr>
                <w:rFonts w:ascii="Times New Roman" w:hAnsi="Times New Roman" w:eastAsia="宋体" w:cs="Times New Roman"/>
                <w:kern w:val="0"/>
                <w:szCs w:val="21"/>
              </w:rPr>
            </w:pPr>
          </w:p>
        </w:tc>
        <w:tc>
          <w:tcPr>
            <w:tcW w:w="1016" w:type="dxa"/>
            <w:tcBorders>
              <w:top w:val="single" w:color="auto" w:sz="4" w:space="0"/>
              <w:bottom w:val="single" w:color="auto" w:sz="4" w:space="0"/>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&lt;1</w:t>
            </w:r>
          </w:p>
        </w:tc>
        <w:tc>
          <w:tcPr>
            <w:tcW w:w="1016" w:type="dxa"/>
            <w:tcBorders>
              <w:top w:val="single" w:color="auto" w:sz="4" w:space="0"/>
              <w:bottom w:val="single" w:color="auto" w:sz="4" w:space="0"/>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&lt;1</w:t>
            </w:r>
          </w:p>
        </w:tc>
        <w:tc>
          <w:tcPr>
            <w:tcW w:w="1016" w:type="dxa"/>
            <w:gridSpan w:val="2"/>
            <w:tcBorders>
              <w:top w:val="single" w:color="auto" w:sz="4" w:space="0"/>
              <w:bottom w:val="single" w:color="auto" w:sz="4" w:space="0"/>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&lt;1</w:t>
            </w:r>
          </w:p>
        </w:tc>
        <w:tc>
          <w:tcPr>
            <w:tcW w:w="1017" w:type="dxa"/>
            <w:tcBorders>
              <w:top w:val="single" w:color="auto" w:sz="4" w:space="0"/>
              <w:bottom w:val="single" w:color="auto" w:sz="4" w:space="0"/>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&lt;1</w:t>
            </w:r>
          </w:p>
        </w:tc>
        <w:tc>
          <w:tcPr>
            <w:tcW w:w="746" w:type="dxa"/>
            <w:tcBorders>
              <w:top w:val="single" w:color="auto" w:sz="4" w:space="0"/>
              <w:bottom w:val="single" w:color="auto" w:sz="4" w:space="0"/>
            </w:tcBorders>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10" w:type="dxa"/>
            <w:tcBorders>
              <w:top w:val="single" w:color="auto" w:sz="4" w:space="0"/>
              <w:bottom w:val="single" w:color="auto" w:sz="4" w:space="0"/>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color w:val="000000"/>
                <w:kern w:val="0"/>
                <w:szCs w:val="21"/>
              </w:rPr>
              <w:t>铜（μg/L）</w:t>
            </w:r>
          </w:p>
        </w:tc>
        <w:tc>
          <w:tcPr>
            <w:tcW w:w="2056" w:type="dxa"/>
            <w:vMerge w:val="continue"/>
            <w:vAlign w:val="center"/>
          </w:tcPr>
          <w:p>
            <w:pPr>
              <w:jc w:val="center"/>
              <w:rPr>
                <w:rFonts w:ascii="Times New Roman" w:hAnsi="Times New Roman" w:eastAsia="宋体" w:cs="Times New Roman"/>
                <w:kern w:val="0"/>
                <w:szCs w:val="21"/>
              </w:rPr>
            </w:pPr>
          </w:p>
        </w:tc>
        <w:tc>
          <w:tcPr>
            <w:tcW w:w="1016" w:type="dxa"/>
            <w:tcBorders>
              <w:top w:val="single" w:color="auto" w:sz="4" w:space="0"/>
              <w:bottom w:val="single" w:color="auto" w:sz="4" w:space="0"/>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&lt;1</w:t>
            </w:r>
          </w:p>
        </w:tc>
        <w:tc>
          <w:tcPr>
            <w:tcW w:w="1016" w:type="dxa"/>
            <w:tcBorders>
              <w:top w:val="single" w:color="auto" w:sz="4" w:space="0"/>
              <w:bottom w:val="single" w:color="auto" w:sz="4" w:space="0"/>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&lt;1</w:t>
            </w:r>
          </w:p>
        </w:tc>
        <w:tc>
          <w:tcPr>
            <w:tcW w:w="1016" w:type="dxa"/>
            <w:gridSpan w:val="2"/>
            <w:tcBorders>
              <w:top w:val="single" w:color="auto" w:sz="4" w:space="0"/>
              <w:bottom w:val="single" w:color="auto" w:sz="4" w:space="0"/>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&lt;1</w:t>
            </w:r>
          </w:p>
        </w:tc>
        <w:tc>
          <w:tcPr>
            <w:tcW w:w="1017" w:type="dxa"/>
            <w:tcBorders>
              <w:top w:val="single" w:color="auto" w:sz="4" w:space="0"/>
              <w:bottom w:val="single" w:color="auto" w:sz="4" w:space="0"/>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&lt;1</w:t>
            </w:r>
          </w:p>
        </w:tc>
        <w:tc>
          <w:tcPr>
            <w:tcW w:w="746" w:type="dxa"/>
            <w:tcBorders>
              <w:top w:val="single" w:color="auto" w:sz="4" w:space="0"/>
              <w:bottom w:val="single" w:color="auto" w:sz="4" w:space="0"/>
            </w:tcBorders>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10" w:type="dxa"/>
            <w:tcBorders>
              <w:top w:val="single" w:color="auto" w:sz="4" w:space="0"/>
              <w:bottom w:val="single" w:color="auto" w:sz="4" w:space="0"/>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color w:val="000000"/>
                <w:kern w:val="0"/>
                <w:szCs w:val="21"/>
              </w:rPr>
              <w:t>镉（μg/L）</w:t>
            </w:r>
          </w:p>
        </w:tc>
        <w:tc>
          <w:tcPr>
            <w:tcW w:w="2056" w:type="dxa"/>
            <w:vMerge w:val="continue"/>
            <w:vAlign w:val="center"/>
          </w:tcPr>
          <w:p>
            <w:pPr>
              <w:jc w:val="center"/>
              <w:rPr>
                <w:rFonts w:ascii="Times New Roman" w:hAnsi="Times New Roman" w:eastAsia="宋体" w:cs="Times New Roman"/>
                <w:kern w:val="0"/>
                <w:szCs w:val="21"/>
              </w:rPr>
            </w:pPr>
          </w:p>
        </w:tc>
        <w:tc>
          <w:tcPr>
            <w:tcW w:w="1016" w:type="dxa"/>
            <w:tcBorders>
              <w:top w:val="single" w:color="auto" w:sz="4" w:space="0"/>
              <w:bottom w:val="single" w:color="auto" w:sz="4" w:space="0"/>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0.1</w:t>
            </w:r>
          </w:p>
        </w:tc>
        <w:tc>
          <w:tcPr>
            <w:tcW w:w="1016" w:type="dxa"/>
            <w:tcBorders>
              <w:top w:val="single" w:color="auto" w:sz="4" w:space="0"/>
              <w:bottom w:val="single" w:color="auto" w:sz="4" w:space="0"/>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0.2</w:t>
            </w:r>
          </w:p>
        </w:tc>
        <w:tc>
          <w:tcPr>
            <w:tcW w:w="1016" w:type="dxa"/>
            <w:gridSpan w:val="2"/>
            <w:tcBorders>
              <w:top w:val="single" w:color="auto" w:sz="4" w:space="0"/>
              <w:bottom w:val="single" w:color="auto" w:sz="4" w:space="0"/>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&lt;0.1</w:t>
            </w:r>
          </w:p>
        </w:tc>
        <w:tc>
          <w:tcPr>
            <w:tcW w:w="1017" w:type="dxa"/>
            <w:tcBorders>
              <w:top w:val="single" w:color="auto" w:sz="4" w:space="0"/>
              <w:bottom w:val="single" w:color="auto" w:sz="4" w:space="0"/>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&lt;0.1</w:t>
            </w:r>
          </w:p>
        </w:tc>
        <w:tc>
          <w:tcPr>
            <w:tcW w:w="746" w:type="dxa"/>
            <w:tcBorders>
              <w:top w:val="single" w:color="auto" w:sz="4" w:space="0"/>
              <w:bottom w:val="single" w:color="auto" w:sz="4" w:space="0"/>
            </w:tcBorders>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10" w:type="dxa"/>
            <w:tcBorders>
              <w:top w:val="single" w:color="auto" w:sz="4" w:space="0"/>
              <w:bottom w:val="single" w:color="auto" w:sz="4" w:space="0"/>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六价铬（mg/L)</w:t>
            </w:r>
          </w:p>
        </w:tc>
        <w:tc>
          <w:tcPr>
            <w:tcW w:w="2056" w:type="dxa"/>
            <w:vMerge w:val="continue"/>
            <w:vAlign w:val="center"/>
          </w:tcPr>
          <w:p>
            <w:pPr>
              <w:jc w:val="center"/>
              <w:rPr>
                <w:rFonts w:ascii="Times New Roman" w:hAnsi="Times New Roman" w:eastAsia="宋体" w:cs="Times New Roman"/>
                <w:kern w:val="0"/>
                <w:szCs w:val="21"/>
              </w:rPr>
            </w:pPr>
          </w:p>
        </w:tc>
        <w:tc>
          <w:tcPr>
            <w:tcW w:w="1016" w:type="dxa"/>
            <w:tcBorders>
              <w:top w:val="single" w:color="auto" w:sz="4" w:space="0"/>
              <w:bottom w:val="single" w:color="auto" w:sz="4" w:space="0"/>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0.005</w:t>
            </w:r>
          </w:p>
        </w:tc>
        <w:tc>
          <w:tcPr>
            <w:tcW w:w="1016" w:type="dxa"/>
            <w:tcBorders>
              <w:top w:val="single" w:color="auto" w:sz="4" w:space="0"/>
              <w:bottom w:val="single" w:color="auto" w:sz="4" w:space="0"/>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0.006</w:t>
            </w:r>
          </w:p>
        </w:tc>
        <w:tc>
          <w:tcPr>
            <w:tcW w:w="1016" w:type="dxa"/>
            <w:gridSpan w:val="2"/>
            <w:tcBorders>
              <w:top w:val="single" w:color="auto" w:sz="4" w:space="0"/>
              <w:bottom w:val="single" w:color="auto" w:sz="4" w:space="0"/>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0.005</w:t>
            </w:r>
          </w:p>
        </w:tc>
        <w:tc>
          <w:tcPr>
            <w:tcW w:w="1017" w:type="dxa"/>
            <w:tcBorders>
              <w:top w:val="single" w:color="auto" w:sz="4" w:space="0"/>
              <w:bottom w:val="single" w:color="auto" w:sz="4" w:space="0"/>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0.004</w:t>
            </w:r>
          </w:p>
        </w:tc>
        <w:tc>
          <w:tcPr>
            <w:tcW w:w="746" w:type="dxa"/>
            <w:tcBorders>
              <w:top w:val="single" w:color="auto" w:sz="4" w:space="0"/>
              <w:bottom w:val="single" w:color="auto" w:sz="4" w:space="0"/>
            </w:tcBorders>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10" w:type="dxa"/>
            <w:tcBorders>
              <w:top w:val="single" w:color="auto" w:sz="4" w:space="0"/>
              <w:bottom w:val="single" w:color="auto" w:sz="4" w:space="0"/>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锂（mg/L）</w:t>
            </w:r>
          </w:p>
        </w:tc>
        <w:tc>
          <w:tcPr>
            <w:tcW w:w="2056" w:type="dxa"/>
            <w:vMerge w:val="continue"/>
            <w:vAlign w:val="center"/>
          </w:tcPr>
          <w:p>
            <w:pPr>
              <w:jc w:val="center"/>
              <w:rPr>
                <w:rFonts w:ascii="Times New Roman" w:hAnsi="Times New Roman" w:eastAsia="宋体" w:cs="Times New Roman"/>
                <w:kern w:val="0"/>
                <w:szCs w:val="21"/>
              </w:rPr>
            </w:pPr>
          </w:p>
        </w:tc>
        <w:tc>
          <w:tcPr>
            <w:tcW w:w="1016" w:type="dxa"/>
            <w:tcBorders>
              <w:top w:val="single" w:color="auto" w:sz="4" w:space="0"/>
              <w:bottom w:val="single" w:color="auto" w:sz="4" w:space="0"/>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8.88*10</w:t>
            </w:r>
            <w:r>
              <w:rPr>
                <w:rFonts w:ascii="Times New Roman" w:hAnsi="Times New Roman" w:eastAsia="宋体" w:cs="Times New Roman"/>
                <w:kern w:val="0"/>
                <w:szCs w:val="21"/>
                <w:vertAlign w:val="superscript"/>
              </w:rPr>
              <w:t>-3</w:t>
            </w:r>
          </w:p>
        </w:tc>
        <w:tc>
          <w:tcPr>
            <w:tcW w:w="1016" w:type="dxa"/>
            <w:tcBorders>
              <w:top w:val="single" w:color="auto" w:sz="4" w:space="0"/>
              <w:bottom w:val="single" w:color="auto" w:sz="4" w:space="0"/>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7.85*10</w:t>
            </w:r>
            <w:r>
              <w:rPr>
                <w:rFonts w:ascii="Times New Roman" w:hAnsi="Times New Roman" w:eastAsia="宋体" w:cs="Times New Roman"/>
                <w:kern w:val="0"/>
                <w:szCs w:val="21"/>
                <w:vertAlign w:val="superscript"/>
              </w:rPr>
              <w:t>-3</w:t>
            </w:r>
          </w:p>
        </w:tc>
        <w:tc>
          <w:tcPr>
            <w:tcW w:w="1016" w:type="dxa"/>
            <w:gridSpan w:val="2"/>
            <w:tcBorders>
              <w:top w:val="single" w:color="auto" w:sz="4" w:space="0"/>
              <w:bottom w:val="single" w:color="auto" w:sz="4" w:space="0"/>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7.77*10</w:t>
            </w:r>
            <w:r>
              <w:rPr>
                <w:rFonts w:ascii="Times New Roman" w:hAnsi="Times New Roman" w:eastAsia="宋体" w:cs="Times New Roman"/>
                <w:kern w:val="0"/>
                <w:szCs w:val="21"/>
                <w:vertAlign w:val="superscript"/>
              </w:rPr>
              <w:t>-3</w:t>
            </w:r>
          </w:p>
        </w:tc>
        <w:tc>
          <w:tcPr>
            <w:tcW w:w="1017" w:type="dxa"/>
            <w:tcBorders>
              <w:top w:val="single" w:color="auto" w:sz="4" w:space="0"/>
              <w:bottom w:val="single" w:color="auto" w:sz="4" w:space="0"/>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8.49*10</w:t>
            </w:r>
            <w:r>
              <w:rPr>
                <w:rFonts w:ascii="Times New Roman" w:hAnsi="Times New Roman" w:eastAsia="宋体" w:cs="Times New Roman"/>
                <w:kern w:val="0"/>
                <w:szCs w:val="21"/>
                <w:vertAlign w:val="superscript"/>
              </w:rPr>
              <w:t>-3</w:t>
            </w:r>
          </w:p>
        </w:tc>
        <w:tc>
          <w:tcPr>
            <w:tcW w:w="746" w:type="dxa"/>
            <w:tcBorders>
              <w:top w:val="single" w:color="auto" w:sz="4" w:space="0"/>
              <w:bottom w:val="single" w:color="auto" w:sz="4" w:space="0"/>
            </w:tcBorders>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10" w:type="dxa"/>
            <w:tcBorders>
              <w:top w:val="single" w:color="auto" w:sz="4" w:space="0"/>
              <w:bottom w:val="single" w:color="auto" w:sz="4" w:space="0"/>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氟化物（mg/L)</w:t>
            </w:r>
          </w:p>
        </w:tc>
        <w:tc>
          <w:tcPr>
            <w:tcW w:w="2056" w:type="dxa"/>
            <w:vMerge w:val="continue"/>
            <w:vAlign w:val="center"/>
          </w:tcPr>
          <w:p>
            <w:pPr>
              <w:jc w:val="center"/>
              <w:rPr>
                <w:rFonts w:ascii="Times New Roman" w:hAnsi="Times New Roman" w:eastAsia="宋体" w:cs="Times New Roman"/>
                <w:kern w:val="0"/>
                <w:szCs w:val="21"/>
              </w:rPr>
            </w:pPr>
          </w:p>
        </w:tc>
        <w:tc>
          <w:tcPr>
            <w:tcW w:w="1016" w:type="dxa"/>
            <w:tcBorders>
              <w:top w:val="single" w:color="auto" w:sz="4" w:space="0"/>
              <w:bottom w:val="single" w:color="auto" w:sz="4" w:space="0"/>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0.308</w:t>
            </w:r>
          </w:p>
        </w:tc>
        <w:tc>
          <w:tcPr>
            <w:tcW w:w="1016" w:type="dxa"/>
            <w:tcBorders>
              <w:top w:val="single" w:color="auto" w:sz="4" w:space="0"/>
              <w:bottom w:val="single" w:color="auto" w:sz="4" w:space="0"/>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0.307</w:t>
            </w:r>
          </w:p>
        </w:tc>
        <w:tc>
          <w:tcPr>
            <w:tcW w:w="1016" w:type="dxa"/>
            <w:gridSpan w:val="2"/>
            <w:tcBorders>
              <w:top w:val="single" w:color="auto" w:sz="4" w:space="0"/>
              <w:bottom w:val="single" w:color="auto" w:sz="4" w:space="0"/>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0.317</w:t>
            </w:r>
          </w:p>
        </w:tc>
        <w:tc>
          <w:tcPr>
            <w:tcW w:w="1017" w:type="dxa"/>
            <w:tcBorders>
              <w:top w:val="single" w:color="auto" w:sz="4" w:space="0"/>
              <w:bottom w:val="single" w:color="auto" w:sz="4" w:space="0"/>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0.242</w:t>
            </w:r>
          </w:p>
        </w:tc>
        <w:tc>
          <w:tcPr>
            <w:tcW w:w="746" w:type="dxa"/>
            <w:tcBorders>
              <w:top w:val="single" w:color="auto" w:sz="4" w:space="0"/>
              <w:bottom w:val="single" w:color="auto" w:sz="4" w:space="0"/>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10" w:type="dxa"/>
            <w:tcBorders>
              <w:top w:val="single" w:color="auto" w:sz="4" w:space="0"/>
              <w:bottom w:val="single" w:color="auto" w:sz="4" w:space="0"/>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锌（mg/L)</w:t>
            </w:r>
          </w:p>
        </w:tc>
        <w:tc>
          <w:tcPr>
            <w:tcW w:w="2056" w:type="dxa"/>
            <w:vMerge w:val="continue"/>
            <w:vAlign w:val="center"/>
          </w:tcPr>
          <w:p>
            <w:pPr>
              <w:jc w:val="center"/>
              <w:rPr>
                <w:rFonts w:ascii="Times New Roman" w:hAnsi="Times New Roman" w:eastAsia="宋体" w:cs="Times New Roman"/>
                <w:kern w:val="0"/>
                <w:szCs w:val="21"/>
              </w:rPr>
            </w:pPr>
          </w:p>
        </w:tc>
        <w:tc>
          <w:tcPr>
            <w:tcW w:w="1016" w:type="dxa"/>
            <w:tcBorders>
              <w:top w:val="single" w:color="auto" w:sz="4" w:space="0"/>
              <w:bottom w:val="single" w:color="auto" w:sz="4" w:space="0"/>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&lt;0.05</w:t>
            </w:r>
          </w:p>
        </w:tc>
        <w:tc>
          <w:tcPr>
            <w:tcW w:w="1016" w:type="dxa"/>
            <w:tcBorders>
              <w:top w:val="single" w:color="auto" w:sz="4" w:space="0"/>
              <w:bottom w:val="single" w:color="auto" w:sz="4" w:space="0"/>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&lt;0.05</w:t>
            </w:r>
          </w:p>
        </w:tc>
        <w:tc>
          <w:tcPr>
            <w:tcW w:w="1016" w:type="dxa"/>
            <w:gridSpan w:val="2"/>
            <w:tcBorders>
              <w:top w:val="single" w:color="auto" w:sz="4" w:space="0"/>
              <w:bottom w:val="single" w:color="auto" w:sz="4" w:space="0"/>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&lt;0.05</w:t>
            </w:r>
          </w:p>
        </w:tc>
        <w:tc>
          <w:tcPr>
            <w:tcW w:w="1017" w:type="dxa"/>
            <w:tcBorders>
              <w:top w:val="single" w:color="auto" w:sz="4" w:space="0"/>
              <w:bottom w:val="single" w:color="auto" w:sz="4" w:space="0"/>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&lt;0.05</w:t>
            </w:r>
          </w:p>
        </w:tc>
        <w:tc>
          <w:tcPr>
            <w:tcW w:w="746" w:type="dxa"/>
            <w:tcBorders>
              <w:top w:val="single" w:color="auto" w:sz="4" w:space="0"/>
              <w:bottom w:val="single" w:color="auto" w:sz="4" w:space="0"/>
            </w:tcBorders>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10" w:type="dxa"/>
            <w:tcBorders>
              <w:top w:val="single" w:color="auto" w:sz="4" w:space="0"/>
              <w:bottom w:val="single" w:color="auto" w:sz="4" w:space="0"/>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color w:val="000000"/>
                <w:kern w:val="0"/>
                <w:szCs w:val="21"/>
              </w:rPr>
              <w:t>砷（μg/L）</w:t>
            </w:r>
          </w:p>
        </w:tc>
        <w:tc>
          <w:tcPr>
            <w:tcW w:w="2056" w:type="dxa"/>
            <w:vMerge w:val="continue"/>
            <w:vAlign w:val="center"/>
          </w:tcPr>
          <w:p>
            <w:pPr>
              <w:jc w:val="center"/>
              <w:rPr>
                <w:rFonts w:ascii="Times New Roman" w:hAnsi="Times New Roman" w:eastAsia="宋体" w:cs="Times New Roman"/>
                <w:kern w:val="0"/>
                <w:szCs w:val="21"/>
              </w:rPr>
            </w:pPr>
          </w:p>
        </w:tc>
        <w:tc>
          <w:tcPr>
            <w:tcW w:w="1016" w:type="dxa"/>
            <w:tcBorders>
              <w:top w:val="single" w:color="auto" w:sz="4" w:space="0"/>
              <w:bottom w:val="single" w:color="auto" w:sz="4" w:space="0"/>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&lt;0.3</w:t>
            </w:r>
          </w:p>
        </w:tc>
        <w:tc>
          <w:tcPr>
            <w:tcW w:w="1016" w:type="dxa"/>
            <w:tcBorders>
              <w:top w:val="single" w:color="auto" w:sz="4" w:space="0"/>
              <w:bottom w:val="single" w:color="auto" w:sz="4" w:space="0"/>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&lt;0.3</w:t>
            </w:r>
          </w:p>
        </w:tc>
        <w:tc>
          <w:tcPr>
            <w:tcW w:w="1016" w:type="dxa"/>
            <w:gridSpan w:val="2"/>
            <w:tcBorders>
              <w:top w:val="single" w:color="auto" w:sz="4" w:space="0"/>
              <w:bottom w:val="single" w:color="auto" w:sz="4" w:space="0"/>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&lt;0.3</w:t>
            </w:r>
          </w:p>
        </w:tc>
        <w:tc>
          <w:tcPr>
            <w:tcW w:w="1017" w:type="dxa"/>
            <w:tcBorders>
              <w:top w:val="single" w:color="auto" w:sz="4" w:space="0"/>
              <w:bottom w:val="single" w:color="auto" w:sz="4" w:space="0"/>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&lt;0.3</w:t>
            </w:r>
          </w:p>
        </w:tc>
        <w:tc>
          <w:tcPr>
            <w:tcW w:w="746" w:type="dxa"/>
            <w:tcBorders>
              <w:top w:val="single" w:color="auto" w:sz="4" w:space="0"/>
              <w:bottom w:val="single" w:color="auto" w:sz="4" w:space="0"/>
            </w:tcBorders>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10" w:type="dxa"/>
            <w:tcBorders>
              <w:top w:val="single" w:color="auto" w:sz="4" w:space="0"/>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color w:val="000000"/>
                <w:kern w:val="0"/>
                <w:szCs w:val="21"/>
              </w:rPr>
              <w:t>汞（μg/L）</w:t>
            </w:r>
          </w:p>
        </w:tc>
        <w:tc>
          <w:tcPr>
            <w:tcW w:w="2056" w:type="dxa"/>
            <w:vMerge w:val="continue"/>
            <w:tcBorders>
              <w:bottom w:val="single" w:color="000000" w:sz="12" w:space="0"/>
              <w:tl2br w:val="nil"/>
              <w:tr2bl w:val="nil"/>
            </w:tcBorders>
            <w:vAlign w:val="center"/>
          </w:tcPr>
          <w:p>
            <w:pPr>
              <w:jc w:val="center"/>
              <w:rPr>
                <w:rFonts w:ascii="Times New Roman" w:hAnsi="Times New Roman" w:eastAsia="宋体" w:cs="Times New Roman"/>
                <w:kern w:val="0"/>
                <w:szCs w:val="21"/>
              </w:rPr>
            </w:pPr>
          </w:p>
        </w:tc>
        <w:tc>
          <w:tcPr>
            <w:tcW w:w="1016" w:type="dxa"/>
            <w:tcBorders>
              <w:top w:val="single" w:color="auto" w:sz="4" w:space="0"/>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&lt;0.04</w:t>
            </w:r>
          </w:p>
        </w:tc>
        <w:tc>
          <w:tcPr>
            <w:tcW w:w="1016"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&lt;0.04</w:t>
            </w:r>
          </w:p>
        </w:tc>
        <w:tc>
          <w:tcPr>
            <w:tcW w:w="1016" w:type="dxa"/>
            <w:gridSpan w:val="2"/>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&lt;0.04</w:t>
            </w:r>
          </w:p>
        </w:tc>
        <w:tc>
          <w:tcPr>
            <w:tcW w:w="1017"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&lt;0.04</w:t>
            </w:r>
          </w:p>
        </w:tc>
        <w:tc>
          <w:tcPr>
            <w:tcW w:w="746" w:type="dxa"/>
            <w:tcBorders>
              <w:tl2br w:val="nil"/>
              <w:tr2bl w:val="nil"/>
            </w:tcBorders>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达标</w:t>
            </w:r>
          </w:p>
        </w:tc>
      </w:tr>
    </w:tbl>
    <w:p>
      <w:pPr>
        <w:spacing w:line="360" w:lineRule="auto"/>
        <w:ind w:firstLine="241" w:firstLineChars="100"/>
        <w:rPr>
          <w:rFonts w:ascii="Times New Roman" w:hAnsi="Times New Roman" w:cs="Times New Roman"/>
          <w:b/>
          <w:color w:val="000000" w:themeColor="text1"/>
          <w:sz w:val="24"/>
          <w:szCs w:val="24"/>
          <w14:textFill>
            <w14:solidFill>
              <w14:schemeClr w14:val="tx1"/>
            </w14:solidFill>
          </w14:textFill>
        </w:rPr>
      </w:pPr>
      <w:r>
        <w:rPr>
          <w:rFonts w:hint="eastAsia" w:ascii="Times New Roman" w:hAnsi="Times New Roman" w:cs="Times New Roman"/>
          <w:b/>
          <w:color w:val="000000" w:themeColor="text1"/>
          <w:sz w:val="24"/>
          <w:szCs w:val="24"/>
          <w14:textFill>
            <w14:solidFill>
              <w14:schemeClr w14:val="tx1"/>
            </w14:solidFill>
          </w14:textFill>
        </w:rPr>
        <w:t>5</w:t>
      </w:r>
      <w:r>
        <w:rPr>
          <w:rFonts w:ascii="Times New Roman" w:hAnsi="Times New Roman" w:cs="Times New Roman"/>
          <w:b/>
          <w:color w:val="000000" w:themeColor="text1"/>
          <w:sz w:val="24"/>
          <w:szCs w:val="24"/>
          <w14:textFill>
            <w14:solidFill>
              <w14:schemeClr w14:val="tx1"/>
            </w14:solidFill>
          </w14:textFill>
        </w:rPr>
        <w:t>.2.3.4 水环境影响调查结论</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调试期地下水监测及评价结果表明，项目区域业隆沟地下水水质监测数据均能满足《地下水质量标准》（GB/T1484-2017）中三类标准要求。</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调查结果表明，本项目水环境保护工作落实良好，项目建设和运营对周边地下水水环境质量影响较小。</w:t>
      </w:r>
    </w:p>
    <w:p>
      <w:pPr>
        <w:pStyle w:val="3"/>
        <w:rPr>
          <w:color w:val="000000" w:themeColor="text1"/>
          <w14:textFill>
            <w14:solidFill>
              <w14:schemeClr w14:val="tx1"/>
            </w14:solidFill>
          </w14:textFill>
        </w:rPr>
      </w:pPr>
      <w:bookmarkStart w:id="25" w:name="_Toc62202389"/>
      <w:r>
        <w:rPr>
          <w:rFonts w:hint="eastAsia"/>
          <w:color w:val="000000" w:themeColor="text1"/>
          <w14:textFill>
            <w14:solidFill>
              <w14:schemeClr w14:val="tx1"/>
            </w14:solidFill>
          </w14:textFill>
        </w:rPr>
        <w:t>5</w:t>
      </w:r>
      <w:r>
        <w:rPr>
          <w:color w:val="000000" w:themeColor="text1"/>
          <w14:textFill>
            <w14:solidFill>
              <w14:schemeClr w14:val="tx1"/>
            </w14:solidFill>
          </w14:textFill>
        </w:rPr>
        <w:t>.3 环境空气影响调查</w:t>
      </w:r>
      <w:bookmarkEnd w:id="25"/>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.1 施工期</w:t>
      </w:r>
      <w:r>
        <w:rPr>
          <w:color w:val="000000" w:themeColor="text1"/>
          <w14:textFill>
            <w14:solidFill>
              <w14:schemeClr w14:val="tx1"/>
            </w14:solidFill>
          </w14:textFill>
        </w:rPr>
        <w:t>环境空气影响调查</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施工对大气环境产生的影响主要来自施工粉尘和交通运输的燃油废气和扬尘等。</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本项目在施工过程中采取了多项减缓措施：</w:t>
      </w:r>
    </w:p>
    <w:p>
      <w:pPr>
        <w:numPr>
          <w:ilvl w:val="0"/>
          <w:numId w:val="3"/>
        </w:num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项目配备洒水车，在各工区、施工公路等地，非雨日每日洒水降尘，缩短粉尘污染的影响时段，缩小污染范围。</w:t>
      </w:r>
    </w:p>
    <w:p>
      <w:pPr>
        <w:numPr>
          <w:ilvl w:val="0"/>
          <w:numId w:val="3"/>
        </w:num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选用符合国家有关卫生标准的施工机械和运输工具，使其排放的废气达到有关标准。</w:t>
      </w:r>
    </w:p>
    <w:p>
      <w:pPr>
        <w:numPr>
          <w:ilvl w:val="0"/>
          <w:numId w:val="3"/>
        </w:num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对公路进行定期养护、维护、清扫，保持道路运行正常。结合水保措施，在公路两旁特别是有居民敏感点处进行绿化，栽种树木，降低粉尘的污染。</w:t>
      </w:r>
    </w:p>
    <w:p>
      <w:pPr>
        <w:numPr>
          <w:ilvl w:val="0"/>
          <w:numId w:val="3"/>
        </w:num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施工期，同时加强施工人员个人防护，佩戴防尘口罩等个人防护用品。</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通过上述措施，有效地保护了周边环境空气质量，减轻了工程建设对环境空气的影响。根据对当地居民的走访问询结果表明，在施工期未造成大气污染现象，也无扰民纠纷和投诉现象发生。</w: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.3.2 </w:t>
      </w:r>
      <w:r>
        <w:rPr>
          <w:rFonts w:hint="eastAsia"/>
          <w:color w:val="000000" w:themeColor="text1"/>
          <w14:textFill>
            <w14:solidFill>
              <w14:schemeClr w14:val="tx1"/>
            </w14:solidFill>
          </w14:textFill>
        </w:rPr>
        <w:t>调试</w:t>
      </w:r>
      <w:r>
        <w:rPr>
          <w:color w:val="000000" w:themeColor="text1"/>
          <w14:textFill>
            <w14:solidFill>
              <w14:schemeClr w14:val="tx1"/>
            </w14:solidFill>
          </w14:textFill>
        </w:rPr>
        <w:t>期环境空气影响调查</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根据</w:t>
      </w:r>
      <w:r>
        <w:rPr>
          <w:rFonts w:ascii="Times New Roman" w:hAnsi="Times New Roman" w:cs="Times New Roman"/>
          <w:color w:val="000000" w:themeColor="text1"/>
          <w:sz w:val="24"/>
          <w:szCs w:val="24"/>
          <w14:textFill>
            <w14:solidFill>
              <w14:schemeClr w14:val="tx1"/>
            </w14:solidFill>
          </w14:textFill>
        </w:rPr>
        <w:t>环境影响评价报告</w:t>
      </w:r>
      <w:r>
        <w:rPr>
          <w:rFonts w:hint="eastAsia" w:ascii="Times New Roman" w:hAnsi="Times New Roman" w:cs="Times New Roman"/>
          <w:color w:val="000000" w:themeColor="text1"/>
          <w:sz w:val="24"/>
          <w:szCs w:val="24"/>
          <w14:textFill>
            <w14:solidFill>
              <w14:schemeClr w14:val="tx1"/>
            </w14:solidFill>
          </w14:textFill>
        </w:rPr>
        <w:t>文件</w:t>
      </w:r>
      <w:r>
        <w:rPr>
          <w:rFonts w:ascii="Times New Roman" w:hAnsi="Times New Roman" w:cs="Times New Roman"/>
          <w:color w:val="000000" w:themeColor="text1"/>
          <w:sz w:val="24"/>
          <w:szCs w:val="24"/>
          <w14:textFill>
            <w14:solidFill>
              <w14:schemeClr w14:val="tx1"/>
            </w14:solidFill>
          </w14:textFill>
        </w:rPr>
        <w:t>中的要求，设置</w:t>
      </w:r>
      <w:r>
        <w:rPr>
          <w:rFonts w:hint="eastAsia" w:ascii="Times New Roman" w:hAnsi="Times New Roman" w:cs="Times New Roman"/>
          <w:color w:val="000000" w:themeColor="text1"/>
          <w:sz w:val="24"/>
          <w:szCs w:val="24"/>
          <w14:textFill>
            <w14:solidFill>
              <w14:schemeClr w14:val="tx1"/>
            </w14:solidFill>
          </w14:textFill>
        </w:rPr>
        <w:t>露天采区</w:t>
      </w:r>
      <w:r>
        <w:rPr>
          <w:rFonts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露天矿生产废石场</w:t>
      </w:r>
      <w:r>
        <w:rPr>
          <w:rFonts w:ascii="Times New Roman" w:hAnsi="Times New Roman" w:cs="Times New Roman"/>
          <w:color w:val="000000" w:themeColor="text1"/>
          <w:sz w:val="24"/>
          <w:szCs w:val="24"/>
          <w14:textFill>
            <w14:solidFill>
              <w14:schemeClr w14:val="tx1"/>
            </w14:solidFill>
          </w14:textFill>
        </w:rPr>
        <w:t>等</w:t>
      </w:r>
      <w:r>
        <w:rPr>
          <w:rFonts w:hint="eastAsia" w:ascii="Times New Roman" w:hAnsi="Times New Roman" w:cs="Times New Roman"/>
          <w:color w:val="000000" w:themeColor="text1"/>
          <w:sz w:val="24"/>
          <w:szCs w:val="24"/>
          <w14:textFill>
            <w14:solidFill>
              <w14:schemeClr w14:val="tx1"/>
            </w14:solidFill>
          </w14:textFill>
        </w:rPr>
        <w:t>位置</w:t>
      </w:r>
      <w:r>
        <w:rPr>
          <w:rFonts w:ascii="Times New Roman" w:hAnsi="Times New Roman" w:cs="Times New Roman"/>
          <w:color w:val="000000" w:themeColor="text1"/>
          <w:sz w:val="24"/>
          <w:szCs w:val="24"/>
          <w14:textFill>
            <w14:solidFill>
              <w14:schemeClr w14:val="tx1"/>
            </w14:solidFill>
          </w14:textFill>
        </w:rPr>
        <w:t>的监测点。</w:t>
      </w:r>
      <w:r>
        <w:rPr>
          <w:rFonts w:hint="eastAsia" w:ascii="Times New Roman" w:hAnsi="Times New Roman" w:cs="Times New Roman"/>
          <w:color w:val="000000" w:themeColor="text1"/>
          <w:sz w:val="24"/>
          <w:szCs w:val="24"/>
          <w14:textFill>
            <w14:solidFill>
              <w14:schemeClr w14:val="tx1"/>
            </w14:solidFill>
          </w14:textFill>
        </w:rPr>
        <w:t>具体监测布点及监测结果见下表。</w:t>
      </w:r>
    </w:p>
    <w:p>
      <w:pPr>
        <w:rPr>
          <w:rFonts w:hint="eastAsia"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br w:type="page"/>
      </w:r>
    </w:p>
    <w:p>
      <w:pPr>
        <w:spacing w:line="360" w:lineRule="auto"/>
        <w:jc w:val="center"/>
        <w:rPr>
          <w:rFonts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表5</w:t>
      </w:r>
      <w:r>
        <w:rPr>
          <w:rFonts w:ascii="Times New Roman" w:hAnsi="Times New Roman" w:cs="Times New Roman"/>
          <w:b/>
          <w:color w:val="000000" w:themeColor="text1"/>
          <w:szCs w:val="21"/>
          <w14:textFill>
            <w14:solidFill>
              <w14:schemeClr w14:val="tx1"/>
            </w14:solidFill>
          </w14:textFill>
        </w:rPr>
        <w:t>.3</w:t>
      </w:r>
      <w:r>
        <w:rPr>
          <w:rFonts w:hint="eastAsia" w:ascii="Times New Roman" w:hAnsi="Times New Roman" w:cs="Times New Roman"/>
          <w:b/>
          <w:color w:val="000000" w:themeColor="text1"/>
          <w:szCs w:val="21"/>
          <w14:textFill>
            <w14:solidFill>
              <w14:schemeClr w14:val="tx1"/>
            </w14:solidFill>
          </w14:textFill>
        </w:rPr>
        <w:t>-</w:t>
      </w:r>
      <w:r>
        <w:rPr>
          <w:rFonts w:ascii="Times New Roman" w:hAnsi="Times New Roman" w:cs="Times New Roman"/>
          <w:b/>
          <w:color w:val="000000" w:themeColor="text1"/>
          <w:szCs w:val="21"/>
          <w14:textFill>
            <w14:solidFill>
              <w14:schemeClr w14:val="tx1"/>
            </w14:solidFill>
          </w14:textFill>
        </w:rPr>
        <w:t xml:space="preserve">1  </w:t>
      </w:r>
      <w:r>
        <w:rPr>
          <w:rFonts w:hint="eastAsia" w:ascii="Times New Roman" w:hAnsi="Times New Roman" w:cs="Times New Roman"/>
          <w:b/>
          <w:color w:val="000000" w:themeColor="text1"/>
          <w:szCs w:val="21"/>
          <w14:textFill>
            <w14:solidFill>
              <w14:schemeClr w14:val="tx1"/>
            </w14:solidFill>
          </w14:textFill>
        </w:rPr>
        <w:t>环境空气质量监测布点表</w:t>
      </w:r>
    </w:p>
    <w:tbl>
      <w:tblPr>
        <w:tblStyle w:val="28"/>
        <w:tblW w:w="907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51"/>
        <w:gridCol w:w="724"/>
        <w:gridCol w:w="3403"/>
        <w:gridCol w:w="567"/>
        <w:gridCol w:w="567"/>
        <w:gridCol w:w="992"/>
        <w:gridCol w:w="1134"/>
        <w:gridCol w:w="11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551" w:type="dxa"/>
            <w:tcMar>
              <w:top w:w="15" w:type="dxa"/>
              <w:left w:w="15" w:type="dxa"/>
              <w:bottom w:w="15" w:type="dxa"/>
              <w:right w:w="15" w:type="dxa"/>
            </w:tcMar>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类别</w:t>
            </w:r>
          </w:p>
        </w:tc>
        <w:tc>
          <w:tcPr>
            <w:tcW w:w="724" w:type="dxa"/>
            <w:tcMar>
              <w:top w:w="15" w:type="dxa"/>
              <w:left w:w="15" w:type="dxa"/>
              <w:bottom w:w="15" w:type="dxa"/>
              <w:right w:w="15" w:type="dxa"/>
            </w:tcMar>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项目</w:t>
            </w:r>
          </w:p>
        </w:tc>
        <w:tc>
          <w:tcPr>
            <w:tcW w:w="3403" w:type="dxa"/>
            <w:tcMar>
              <w:top w:w="15" w:type="dxa"/>
              <w:left w:w="15" w:type="dxa"/>
              <w:bottom w:w="15" w:type="dxa"/>
              <w:right w:w="15" w:type="dxa"/>
            </w:tcMar>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点位</w:t>
            </w:r>
          </w:p>
        </w:tc>
        <w:tc>
          <w:tcPr>
            <w:tcW w:w="567" w:type="dxa"/>
            <w:tcMar>
              <w:top w:w="15" w:type="dxa"/>
              <w:left w:w="15" w:type="dxa"/>
              <w:bottom w:w="15" w:type="dxa"/>
              <w:right w:w="15" w:type="dxa"/>
            </w:tcMar>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天数</w:t>
            </w:r>
          </w:p>
        </w:tc>
        <w:tc>
          <w:tcPr>
            <w:tcW w:w="567" w:type="dxa"/>
            <w:tcMar>
              <w:top w:w="15" w:type="dxa"/>
              <w:left w:w="15" w:type="dxa"/>
              <w:bottom w:w="15" w:type="dxa"/>
              <w:right w:w="15" w:type="dxa"/>
            </w:tcMar>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频次</w:t>
            </w:r>
          </w:p>
        </w:tc>
        <w:tc>
          <w:tcPr>
            <w:tcW w:w="992" w:type="dxa"/>
            <w:tcMar>
              <w:top w:w="15" w:type="dxa"/>
              <w:left w:w="15" w:type="dxa"/>
              <w:bottom w:w="15" w:type="dxa"/>
              <w:right w:w="15" w:type="dxa"/>
            </w:tcMar>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监测方法</w:t>
            </w:r>
          </w:p>
        </w:tc>
        <w:tc>
          <w:tcPr>
            <w:tcW w:w="1134" w:type="dxa"/>
            <w:tcMar>
              <w:top w:w="15" w:type="dxa"/>
              <w:left w:w="15" w:type="dxa"/>
              <w:bottom w:w="15" w:type="dxa"/>
              <w:right w:w="15" w:type="dxa"/>
            </w:tcMar>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评价标准</w:t>
            </w:r>
          </w:p>
        </w:tc>
        <w:tc>
          <w:tcPr>
            <w:tcW w:w="1134" w:type="dxa"/>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环评要求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70" w:hRule="atLeast"/>
          <w:jc w:val="center"/>
        </w:trPr>
        <w:tc>
          <w:tcPr>
            <w:tcW w:w="551" w:type="dxa"/>
            <w:tcMar>
              <w:top w:w="15" w:type="dxa"/>
              <w:left w:w="15" w:type="dxa"/>
              <w:bottom w:w="15" w:type="dxa"/>
              <w:right w:w="15" w:type="dxa"/>
            </w:tcMar>
            <w:vAlign w:val="center"/>
          </w:tcPr>
          <w:p>
            <w:pPr>
              <w:widowControl/>
              <w:jc w:val="center"/>
              <w:textAlignment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废气</w:t>
            </w:r>
          </w:p>
        </w:tc>
        <w:tc>
          <w:tcPr>
            <w:tcW w:w="724" w:type="dxa"/>
            <w:tcMar>
              <w:top w:w="15" w:type="dxa"/>
              <w:left w:w="15" w:type="dxa"/>
              <w:bottom w:w="15" w:type="dxa"/>
              <w:right w:w="15" w:type="dxa"/>
            </w:tcMar>
            <w:vAlign w:val="center"/>
          </w:tcPr>
          <w:p>
            <w:pPr>
              <w:widowControl/>
              <w:jc w:val="center"/>
              <w:textAlignment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TSP（无组织）</w:t>
            </w:r>
          </w:p>
          <w:p>
            <w:pPr>
              <w:widowControl/>
              <w:jc w:val="center"/>
              <w:textAlignment w:val="center"/>
              <w:rPr>
                <w:rFonts w:ascii="Times New Roman" w:hAnsi="Times New Roman" w:cs="Times New Roman"/>
                <w:color w:val="000000" w:themeColor="text1"/>
                <w:kern w:val="0"/>
                <w:szCs w:val="21"/>
                <w:lang w:bidi="ar"/>
                <w14:textFill>
                  <w14:solidFill>
                    <w14:schemeClr w14:val="tx1"/>
                  </w14:solidFill>
                </w14:textFill>
              </w:rPr>
            </w:pPr>
          </w:p>
        </w:tc>
        <w:tc>
          <w:tcPr>
            <w:tcW w:w="3403" w:type="dxa"/>
            <w:tcMar>
              <w:top w:w="15" w:type="dxa"/>
              <w:left w:w="15" w:type="dxa"/>
              <w:bottom w:w="15" w:type="dxa"/>
              <w:right w:w="15" w:type="dxa"/>
            </w:tcMar>
            <w:vAlign w:val="center"/>
          </w:tcPr>
          <w:p>
            <w:pPr>
              <w:widowControl/>
              <w:jc w:val="left"/>
              <w:textAlignment w:val="center"/>
              <w:rPr>
                <w:rFonts w:ascii="Times New Roman" w:hAnsi="Times New Roman" w:cs="Times New Roman"/>
                <w:color w:val="000000" w:themeColor="text1"/>
                <w:kern w:val="0"/>
                <w:szCs w:val="21"/>
                <w:lang w:bidi="ar"/>
                <w14:textFill>
                  <w14:solidFill>
                    <w14:schemeClr w14:val="tx1"/>
                  </w14:solidFill>
                </w14:textFill>
              </w:rPr>
            </w:pPr>
            <w:r>
              <w:rPr>
                <w:rFonts w:hint="eastAsia" w:ascii="Times New Roman" w:hAnsi="Times New Roman" w:cs="Times New Roman"/>
                <w:color w:val="000000" w:themeColor="text1"/>
                <w:kern w:val="0"/>
                <w:szCs w:val="21"/>
                <w:lang w:bidi="ar"/>
                <w14:textFill>
                  <w14:solidFill>
                    <w14:schemeClr w14:val="tx1"/>
                  </w14:solidFill>
                </w14:textFill>
              </w:rPr>
              <w:t>1.露天采区边界外50m处（下风向）</w:t>
            </w:r>
          </w:p>
          <w:p>
            <w:pPr>
              <w:widowControl/>
              <w:jc w:val="left"/>
              <w:textAlignment w:val="center"/>
              <w:rPr>
                <w:rFonts w:ascii="Times New Roman" w:hAnsi="Times New Roman" w:cs="Times New Roman"/>
                <w:color w:val="000000" w:themeColor="text1"/>
                <w:kern w:val="0"/>
                <w:szCs w:val="21"/>
                <w:lang w:bidi="ar"/>
                <w14:textFill>
                  <w14:solidFill>
                    <w14:schemeClr w14:val="tx1"/>
                  </w14:solidFill>
                </w14:textFill>
              </w:rPr>
            </w:pPr>
            <w:r>
              <w:rPr>
                <w:rFonts w:hint="eastAsia" w:ascii="Times New Roman" w:hAnsi="Times New Roman" w:cs="Times New Roman"/>
                <w:color w:val="000000" w:themeColor="text1"/>
                <w:kern w:val="0"/>
                <w:szCs w:val="21"/>
                <w:lang w:bidi="ar"/>
                <w14:textFill>
                  <w14:solidFill>
                    <w14:schemeClr w14:val="tx1"/>
                  </w14:solidFill>
                </w14:textFill>
              </w:rPr>
              <w:t>2.露天矿生产废石场边界外50m处（下风向）</w:t>
            </w:r>
          </w:p>
        </w:tc>
        <w:tc>
          <w:tcPr>
            <w:tcW w:w="567" w:type="dxa"/>
            <w:tcMar>
              <w:top w:w="15" w:type="dxa"/>
              <w:left w:w="15" w:type="dxa"/>
              <w:bottom w:w="15" w:type="dxa"/>
              <w:right w:w="15" w:type="dxa"/>
            </w:tcMar>
            <w:vAlign w:val="center"/>
          </w:tcPr>
          <w:p>
            <w:pPr>
              <w:widowControl/>
              <w:jc w:val="center"/>
              <w:textAlignment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2</w:t>
            </w:r>
          </w:p>
          <w:p>
            <w:pPr>
              <w:widowControl/>
              <w:jc w:val="center"/>
              <w:textAlignment w:val="center"/>
              <w:rPr>
                <w:rFonts w:ascii="Times New Roman" w:hAnsi="Times New Roman" w:cs="Times New Roman"/>
                <w:color w:val="000000" w:themeColor="text1"/>
                <w:kern w:val="0"/>
                <w:szCs w:val="21"/>
                <w:lang w:bidi="ar"/>
                <w14:textFill>
                  <w14:solidFill>
                    <w14:schemeClr w14:val="tx1"/>
                  </w14:solidFill>
                </w14:textFill>
              </w:rPr>
            </w:pPr>
          </w:p>
        </w:tc>
        <w:tc>
          <w:tcPr>
            <w:tcW w:w="567" w:type="dxa"/>
            <w:tcMar>
              <w:top w:w="15" w:type="dxa"/>
              <w:left w:w="15" w:type="dxa"/>
              <w:bottom w:w="15" w:type="dxa"/>
              <w:right w:w="15" w:type="dxa"/>
            </w:tcMar>
            <w:vAlign w:val="center"/>
          </w:tcPr>
          <w:p>
            <w:pPr>
              <w:widowControl/>
              <w:jc w:val="center"/>
              <w:textAlignment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3</w:t>
            </w:r>
          </w:p>
          <w:p>
            <w:pPr>
              <w:widowControl/>
              <w:jc w:val="center"/>
              <w:textAlignment w:val="center"/>
              <w:rPr>
                <w:rFonts w:ascii="Times New Roman" w:hAnsi="Times New Roman" w:cs="Times New Roman"/>
                <w:color w:val="000000" w:themeColor="text1"/>
                <w:kern w:val="0"/>
                <w:szCs w:val="21"/>
                <w:lang w:bidi="ar"/>
                <w14:textFill>
                  <w14:solidFill>
                    <w14:schemeClr w14:val="tx1"/>
                  </w14:solidFill>
                </w14:textFill>
              </w:rPr>
            </w:pPr>
          </w:p>
        </w:tc>
        <w:tc>
          <w:tcPr>
            <w:tcW w:w="992" w:type="dxa"/>
            <w:tcMar>
              <w:top w:w="15" w:type="dxa"/>
              <w:left w:w="15" w:type="dxa"/>
              <w:bottom w:w="15" w:type="dxa"/>
              <w:right w:w="15" w:type="dxa"/>
            </w:tcMar>
            <w:vAlign w:val="center"/>
          </w:tcPr>
          <w:p>
            <w:pPr>
              <w:widowControl/>
              <w:jc w:val="center"/>
              <w:textAlignment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《大气污染物综合排放标准》（GB16297-1996）</w:t>
            </w:r>
          </w:p>
        </w:tc>
        <w:tc>
          <w:tcPr>
            <w:tcW w:w="1134" w:type="dxa"/>
            <w:tcMar>
              <w:top w:w="15" w:type="dxa"/>
              <w:left w:w="15" w:type="dxa"/>
              <w:bottom w:w="15" w:type="dxa"/>
              <w:right w:w="15" w:type="dxa"/>
            </w:tcMar>
            <w:vAlign w:val="center"/>
          </w:tcPr>
          <w:p>
            <w:pPr>
              <w:widowControl/>
              <w:jc w:val="center"/>
              <w:textAlignment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《大气污染物综合排放标准》（GB16297-1996）表2中二级标准</w:t>
            </w:r>
          </w:p>
        </w:tc>
        <w:tc>
          <w:tcPr>
            <w:tcW w:w="1134" w:type="dxa"/>
            <w:vAlign w:val="center"/>
          </w:tcPr>
          <w:p>
            <w:pPr>
              <w:widowControl/>
              <w:jc w:val="center"/>
              <w:textAlignment w:val="center"/>
              <w:rPr>
                <w:rFonts w:ascii="Times New Roman" w:hAnsi="Times New Roman" w:cs="Times New Roman"/>
                <w:color w:val="000000" w:themeColor="text1"/>
                <w:kern w:val="0"/>
                <w:szCs w:val="21"/>
                <w:lang w:bidi="ar"/>
                <w14:textFill>
                  <w14:solidFill>
                    <w14:schemeClr w14:val="tx1"/>
                  </w14:solidFill>
                </w14:textFill>
              </w:rPr>
            </w:pPr>
            <w:r>
              <w:rPr>
                <w:rFonts w:hint="eastAsia" w:ascii="Times New Roman" w:hAnsi="Times New Roman" w:cs="Times New Roman"/>
                <w:color w:val="000000" w:themeColor="text1"/>
                <w:kern w:val="0"/>
                <w:szCs w:val="21"/>
                <w:lang w:bidi="ar"/>
                <w14:textFill>
                  <w14:solidFill>
                    <w14:schemeClr w14:val="tx1"/>
                  </w14:solidFill>
                </w14:textFill>
              </w:rPr>
              <w:t>与</w:t>
            </w:r>
            <w:r>
              <w:rPr>
                <w:rFonts w:ascii="Times New Roman" w:hAnsi="Times New Roman" w:cs="Times New Roman"/>
                <w:color w:val="000000" w:themeColor="text1"/>
                <w:kern w:val="0"/>
                <w:szCs w:val="21"/>
                <w:lang w:bidi="ar"/>
                <w14:textFill>
                  <w14:solidFill>
                    <w14:schemeClr w14:val="tx1"/>
                  </w14:solidFill>
                </w14:textFill>
              </w:rPr>
              <w:t>环评阶段要求一致。</w:t>
            </w:r>
          </w:p>
        </w:tc>
      </w:tr>
    </w:tbl>
    <w:p>
      <w:pPr>
        <w:spacing w:before="100" w:beforeAutospacing="1" w:line="360" w:lineRule="auto"/>
        <w:jc w:val="center"/>
        <w:rPr>
          <w:rFonts w:ascii="Times New Roman" w:hAnsi="Times New Roman" w:cs="Times New Roman"/>
          <w:b/>
          <w:color w:val="000000" w:themeColor="text1"/>
          <w:szCs w:val="24"/>
          <w14:textFill>
            <w14:solidFill>
              <w14:schemeClr w14:val="tx1"/>
            </w14:solidFill>
          </w14:textFill>
        </w:rPr>
      </w:pPr>
      <w:r>
        <w:rPr>
          <w:rFonts w:hint="eastAsia" w:ascii="Times New Roman" w:hAnsi="Times New Roman" w:cs="Times New Roman"/>
          <w:b/>
          <w:color w:val="000000" w:themeColor="text1"/>
          <w:szCs w:val="24"/>
          <w14:textFill>
            <w14:solidFill>
              <w14:schemeClr w14:val="tx1"/>
            </w14:solidFill>
          </w14:textFill>
        </w:rPr>
        <w:t>表5</w:t>
      </w:r>
      <w:r>
        <w:rPr>
          <w:rFonts w:ascii="Times New Roman" w:hAnsi="Times New Roman" w:cs="Times New Roman"/>
          <w:b/>
          <w:color w:val="000000" w:themeColor="text1"/>
          <w:szCs w:val="24"/>
          <w14:textFill>
            <w14:solidFill>
              <w14:schemeClr w14:val="tx1"/>
            </w14:solidFill>
          </w14:textFill>
        </w:rPr>
        <w:t xml:space="preserve">.3-2  </w:t>
      </w:r>
      <w:r>
        <w:rPr>
          <w:rFonts w:hint="eastAsia" w:ascii="Times New Roman" w:hAnsi="Times New Roman" w:cs="Times New Roman"/>
          <w:b/>
          <w:color w:val="000000" w:themeColor="text1"/>
          <w:szCs w:val="24"/>
          <w14:textFill>
            <w14:solidFill>
              <w14:schemeClr w14:val="tx1"/>
            </w14:solidFill>
          </w14:textFill>
        </w:rPr>
        <w:t>环境空气质量监测结果</w:t>
      </w:r>
    </w:p>
    <w:tbl>
      <w:tblPr>
        <w:tblStyle w:val="29"/>
        <w:tblW w:w="935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0"/>
        <w:gridCol w:w="1253"/>
        <w:gridCol w:w="513"/>
        <w:gridCol w:w="1158"/>
        <w:gridCol w:w="2483"/>
        <w:gridCol w:w="32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700" w:type="dxa"/>
            <w:vAlign w:val="center"/>
          </w:tcPr>
          <w:p>
            <w:pPr>
              <w:jc w:val="center"/>
              <w:rPr>
                <w:rFonts w:ascii="Times New Roman" w:hAnsi="Times New Roman" w:eastAsia="宋体" w:cs="Times New Roman"/>
                <w:b/>
                <w:color w:val="000000" w:themeColor="text1"/>
                <w:kern w:val="0"/>
                <w:szCs w:val="21"/>
                <w14:textFill>
                  <w14:solidFill>
                    <w14:schemeClr w14:val="tx1"/>
                  </w14:solidFill>
                </w14:textFill>
              </w:rPr>
            </w:pPr>
            <w:r>
              <w:rPr>
                <w:rFonts w:hint="eastAsia" w:ascii="Times New Roman" w:hAnsi="Times New Roman" w:eastAsia="宋体" w:cs="Times New Roman"/>
                <w:b/>
                <w:color w:val="000000" w:themeColor="text1"/>
                <w:kern w:val="0"/>
                <w:szCs w:val="21"/>
                <w14:textFill>
                  <w14:solidFill>
                    <w14:schemeClr w14:val="tx1"/>
                  </w14:solidFill>
                </w14:textFill>
              </w:rPr>
              <w:t>项目</w:t>
            </w:r>
          </w:p>
        </w:tc>
        <w:tc>
          <w:tcPr>
            <w:tcW w:w="1766" w:type="dxa"/>
            <w:gridSpan w:val="2"/>
            <w:vAlign w:val="center"/>
          </w:tcPr>
          <w:p>
            <w:pPr>
              <w:jc w:val="center"/>
              <w:rPr>
                <w:rFonts w:ascii="Times New Roman" w:hAnsi="Times New Roman" w:eastAsia="宋体" w:cs="Times New Roman"/>
                <w:b/>
                <w:color w:val="000000" w:themeColor="text1"/>
                <w:kern w:val="0"/>
                <w:szCs w:val="21"/>
                <w14:textFill>
                  <w14:solidFill>
                    <w14:schemeClr w14:val="tx1"/>
                  </w14:solidFill>
                </w14:textFill>
              </w:rPr>
            </w:pPr>
            <w:r>
              <w:rPr>
                <w:rFonts w:hint="eastAsia" w:ascii="Times New Roman" w:hAnsi="Times New Roman" w:eastAsia="宋体" w:cs="Times New Roman"/>
                <w:b/>
                <w:color w:val="000000" w:themeColor="text1"/>
                <w:kern w:val="0"/>
                <w:szCs w:val="21"/>
                <w14:textFill>
                  <w14:solidFill>
                    <w14:schemeClr w14:val="tx1"/>
                  </w14:solidFill>
                </w14:textFill>
              </w:rPr>
              <w:t>检测时间和频次</w:t>
            </w:r>
          </w:p>
        </w:tc>
        <w:tc>
          <w:tcPr>
            <w:tcW w:w="1158" w:type="dxa"/>
            <w:vMerge w:val="restart"/>
            <w:vAlign w:val="center"/>
          </w:tcPr>
          <w:p>
            <w:pPr>
              <w:jc w:val="center"/>
              <w:rPr>
                <w:rFonts w:ascii="Times New Roman" w:hAnsi="Times New Roman" w:eastAsia="宋体" w:cs="Times New Roman"/>
                <w:b/>
                <w:color w:val="000000" w:themeColor="text1"/>
                <w:kern w:val="0"/>
                <w:szCs w:val="21"/>
                <w14:textFill>
                  <w14:solidFill>
                    <w14:schemeClr w14:val="tx1"/>
                  </w14:solidFill>
                </w14:textFill>
              </w:rPr>
            </w:pPr>
            <w:r>
              <w:rPr>
                <w:rFonts w:hint="eastAsia" w:ascii="Times New Roman" w:hAnsi="Times New Roman" w:eastAsia="宋体" w:cs="Times New Roman"/>
                <w:b/>
                <w:color w:val="000000" w:themeColor="text1"/>
                <w:kern w:val="0"/>
                <w:szCs w:val="21"/>
                <w14:textFill>
                  <w14:solidFill>
                    <w14:schemeClr w14:val="tx1"/>
                  </w14:solidFill>
                </w14:textFill>
              </w:rPr>
              <w:t>监测指标</w:t>
            </w:r>
          </w:p>
        </w:tc>
        <w:tc>
          <w:tcPr>
            <w:tcW w:w="5732" w:type="dxa"/>
            <w:gridSpan w:val="2"/>
            <w:vAlign w:val="center"/>
          </w:tcPr>
          <w:p>
            <w:pPr>
              <w:jc w:val="center"/>
              <w:rPr>
                <w:rFonts w:ascii="Times New Roman" w:hAnsi="Times New Roman" w:eastAsia="宋体" w:cs="Times New Roman"/>
                <w:b/>
                <w:color w:val="000000" w:themeColor="text1"/>
                <w:kern w:val="0"/>
                <w:szCs w:val="21"/>
                <w14:textFill>
                  <w14:solidFill>
                    <w14:schemeClr w14:val="tx1"/>
                  </w14:solidFill>
                </w14:textFill>
              </w:rPr>
            </w:pPr>
            <w:r>
              <w:rPr>
                <w:rFonts w:hint="eastAsia" w:ascii="Times New Roman" w:hAnsi="Times New Roman" w:eastAsia="宋体" w:cs="Times New Roman"/>
                <w:b/>
                <w:color w:val="000000" w:themeColor="text1"/>
                <w:kern w:val="0"/>
                <w:szCs w:val="21"/>
                <w14:textFill>
                  <w14:solidFill>
                    <w14:schemeClr w14:val="tx1"/>
                  </w14:solidFill>
                </w14:textFill>
              </w:rPr>
              <w:t>监测值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2466" w:type="dxa"/>
            <w:gridSpan w:val="3"/>
            <w:vAlign w:val="center"/>
          </w:tcPr>
          <w:p>
            <w:pPr>
              <w:jc w:val="center"/>
              <w:rPr>
                <w:rFonts w:ascii="Times New Roman" w:hAnsi="Times New Roman" w:eastAsia="宋体" w:cs="Times New Roman"/>
                <w:b/>
                <w:color w:val="000000" w:themeColor="text1"/>
                <w:kern w:val="0"/>
                <w:szCs w:val="21"/>
                <w14:textFill>
                  <w14:solidFill>
                    <w14:schemeClr w14:val="tx1"/>
                  </w14:solidFill>
                </w14:textFill>
              </w:rPr>
            </w:pPr>
            <w:r>
              <w:rPr>
                <w:rFonts w:hint="eastAsia" w:ascii="Times New Roman" w:hAnsi="Times New Roman" w:eastAsia="宋体" w:cs="Times New Roman"/>
                <w:b/>
                <w:color w:val="000000" w:themeColor="text1"/>
                <w:kern w:val="0"/>
                <w:szCs w:val="21"/>
                <w14:textFill>
                  <w14:solidFill>
                    <w14:schemeClr w14:val="tx1"/>
                  </w14:solidFill>
                </w14:textFill>
              </w:rPr>
              <w:t>无组织排放</w:t>
            </w:r>
          </w:p>
        </w:tc>
        <w:tc>
          <w:tcPr>
            <w:tcW w:w="1158" w:type="dxa"/>
            <w:vMerge w:val="continue"/>
            <w:vAlign w:val="center"/>
          </w:tcPr>
          <w:p>
            <w:pPr>
              <w:jc w:val="center"/>
              <w:rPr>
                <w:rFonts w:ascii="Times New Roman" w:hAnsi="Times New Roman" w:eastAsia="宋体" w:cs="Times New Roman"/>
                <w:b/>
                <w:color w:val="000000" w:themeColor="text1"/>
                <w:kern w:val="0"/>
                <w:szCs w:val="21"/>
                <w14:textFill>
                  <w14:solidFill>
                    <w14:schemeClr w14:val="tx1"/>
                  </w14:solidFill>
                </w14:textFill>
              </w:rPr>
            </w:pPr>
          </w:p>
        </w:tc>
        <w:tc>
          <w:tcPr>
            <w:tcW w:w="2483" w:type="dxa"/>
            <w:vAlign w:val="center"/>
          </w:tcPr>
          <w:p>
            <w:pPr>
              <w:jc w:val="center"/>
              <w:rPr>
                <w:rFonts w:ascii="Times New Roman" w:hAnsi="Times New Roman" w:eastAsia="宋体" w:cs="Times New Roman"/>
                <w:b/>
                <w:color w:val="000000" w:themeColor="text1"/>
                <w:kern w:val="0"/>
                <w:szCs w:val="21"/>
                <w14:textFill>
                  <w14:solidFill>
                    <w14:schemeClr w14:val="tx1"/>
                  </w14:solidFill>
                </w14:textFill>
              </w:rPr>
            </w:pPr>
            <w:r>
              <w:rPr>
                <w:rFonts w:hint="eastAsia" w:ascii="Times New Roman" w:hAnsi="Times New Roman" w:eastAsia="宋体" w:cs="Times New Roman"/>
                <w:b/>
                <w:color w:val="000000" w:themeColor="text1"/>
                <w:kern w:val="0"/>
                <w:szCs w:val="21"/>
                <w14:textFill>
                  <w14:solidFill>
                    <w14:schemeClr w14:val="tx1"/>
                  </w14:solidFill>
                </w14:textFill>
              </w:rPr>
              <w:t>露天采区边界外50m处</w:t>
            </w:r>
          </w:p>
        </w:tc>
        <w:tc>
          <w:tcPr>
            <w:tcW w:w="3249" w:type="dxa"/>
            <w:vAlign w:val="center"/>
          </w:tcPr>
          <w:p>
            <w:pPr>
              <w:jc w:val="center"/>
              <w:rPr>
                <w:rFonts w:ascii="Times New Roman" w:hAnsi="Times New Roman" w:eastAsia="宋体" w:cs="Times New Roman"/>
                <w:b/>
                <w:color w:val="000000" w:themeColor="text1"/>
                <w:kern w:val="0"/>
                <w:szCs w:val="21"/>
                <w14:textFill>
                  <w14:solidFill>
                    <w14:schemeClr w14:val="tx1"/>
                  </w14:solidFill>
                </w14:textFill>
              </w:rPr>
            </w:pPr>
            <w:r>
              <w:rPr>
                <w:rFonts w:hint="eastAsia" w:ascii="Times New Roman" w:hAnsi="Times New Roman" w:eastAsia="宋体" w:cs="Times New Roman"/>
                <w:b/>
                <w:color w:val="000000" w:themeColor="text1"/>
                <w:kern w:val="0"/>
                <w:szCs w:val="21"/>
                <w14:textFill>
                  <w14:solidFill>
                    <w14:schemeClr w14:val="tx1"/>
                  </w14:solidFill>
                </w14:textFill>
              </w:rPr>
              <w:t>露天矿生产废石场边界外50m处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700" w:type="dxa"/>
            <w:vMerge w:val="restart"/>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无组织排放TSP</w:t>
            </w:r>
          </w:p>
        </w:tc>
        <w:tc>
          <w:tcPr>
            <w:tcW w:w="1253" w:type="dxa"/>
            <w:vMerge w:val="restart"/>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2022.6.16</w:t>
            </w:r>
          </w:p>
        </w:tc>
        <w:tc>
          <w:tcPr>
            <w:tcW w:w="513" w:type="dxa"/>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1</w:t>
            </w:r>
          </w:p>
        </w:tc>
        <w:tc>
          <w:tcPr>
            <w:tcW w:w="1158" w:type="dxa"/>
            <w:vMerge w:val="restart"/>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排放浓度（mg/m</w:t>
            </w:r>
            <w:r>
              <w:rPr>
                <w:rFonts w:ascii="Times New Roman" w:hAnsi="Times New Roman" w:eastAsia="宋体" w:cs="Times New Roman"/>
                <w:color w:val="000000" w:themeColor="text1"/>
                <w:kern w:val="0"/>
                <w:szCs w:val="21"/>
                <w:vertAlign w:val="superscript"/>
                <w14:textFill>
                  <w14:solidFill>
                    <w14:schemeClr w14:val="tx1"/>
                  </w14:solidFill>
                </w14:textFill>
              </w:rPr>
              <w:t>3</w:t>
            </w:r>
            <w:r>
              <w:rPr>
                <w:rFonts w:hint="eastAsia" w:ascii="Times New Roman" w:hAnsi="Times New Roman" w:eastAsia="宋体" w:cs="Times New Roman"/>
                <w:color w:val="000000" w:themeColor="text1"/>
                <w:kern w:val="0"/>
                <w:szCs w:val="21"/>
                <w14:textFill>
                  <w14:solidFill>
                    <w14:schemeClr w14:val="tx1"/>
                  </w14:solidFill>
                </w14:textFill>
              </w:rPr>
              <w:t>）</w:t>
            </w:r>
          </w:p>
        </w:tc>
        <w:tc>
          <w:tcPr>
            <w:tcW w:w="2483" w:type="dxa"/>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0.273</w:t>
            </w:r>
          </w:p>
        </w:tc>
        <w:tc>
          <w:tcPr>
            <w:tcW w:w="3249" w:type="dxa"/>
            <w:vAlign w:val="center"/>
          </w:tcPr>
          <w:p>
            <w:pPr>
              <w:jc w:val="center"/>
              <w:rPr>
                <w:rFonts w:ascii="Times New Roman" w:hAnsi="Times New Roman" w:eastAsia="宋体" w:cs="Times New Roman"/>
                <w:bCs/>
                <w:color w:val="000000" w:themeColor="text1"/>
                <w:kern w:val="0"/>
                <w:szCs w:val="21"/>
                <w14:textFill>
                  <w14:solidFill>
                    <w14:schemeClr w14:val="tx1"/>
                  </w14:solidFill>
                </w14:textFill>
              </w:rPr>
            </w:pPr>
            <w:r>
              <w:rPr>
                <w:rFonts w:hint="eastAsia" w:ascii="Times New Roman" w:hAnsi="Times New Roman" w:eastAsia="宋体" w:cs="Times New Roman"/>
                <w:bCs/>
                <w:color w:val="000000" w:themeColor="text1"/>
                <w:kern w:val="0"/>
                <w:szCs w:val="21"/>
                <w14:textFill>
                  <w14:solidFill>
                    <w14:schemeClr w14:val="tx1"/>
                  </w14:solidFill>
                </w14:textFill>
              </w:rPr>
              <w:t>0.218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700" w:type="dxa"/>
            <w:vMerge w:val="continue"/>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p>
        </w:tc>
        <w:tc>
          <w:tcPr>
            <w:tcW w:w="1253" w:type="dxa"/>
            <w:vMerge w:val="continue"/>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p>
        </w:tc>
        <w:tc>
          <w:tcPr>
            <w:tcW w:w="513" w:type="dxa"/>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2</w:t>
            </w:r>
          </w:p>
        </w:tc>
        <w:tc>
          <w:tcPr>
            <w:tcW w:w="1158" w:type="dxa"/>
            <w:vMerge w:val="continue"/>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p>
        </w:tc>
        <w:tc>
          <w:tcPr>
            <w:tcW w:w="2483" w:type="dxa"/>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0.294</w:t>
            </w:r>
          </w:p>
        </w:tc>
        <w:tc>
          <w:tcPr>
            <w:tcW w:w="3249" w:type="dxa"/>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0.202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700" w:type="dxa"/>
            <w:vMerge w:val="continue"/>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p>
        </w:tc>
        <w:tc>
          <w:tcPr>
            <w:tcW w:w="1253" w:type="dxa"/>
            <w:vMerge w:val="continue"/>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p>
        </w:tc>
        <w:tc>
          <w:tcPr>
            <w:tcW w:w="513" w:type="dxa"/>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3</w:t>
            </w:r>
          </w:p>
        </w:tc>
        <w:tc>
          <w:tcPr>
            <w:tcW w:w="1158" w:type="dxa"/>
            <w:vMerge w:val="continue"/>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p>
        </w:tc>
        <w:tc>
          <w:tcPr>
            <w:tcW w:w="2483" w:type="dxa"/>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0.255</w:t>
            </w:r>
          </w:p>
        </w:tc>
        <w:tc>
          <w:tcPr>
            <w:tcW w:w="3249" w:type="dxa"/>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0.205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700" w:type="dxa"/>
            <w:vMerge w:val="continue"/>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p>
        </w:tc>
        <w:tc>
          <w:tcPr>
            <w:tcW w:w="1253" w:type="dxa"/>
            <w:vMerge w:val="restart"/>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2022.6.17</w:t>
            </w:r>
          </w:p>
        </w:tc>
        <w:tc>
          <w:tcPr>
            <w:tcW w:w="513" w:type="dxa"/>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1</w:t>
            </w:r>
          </w:p>
        </w:tc>
        <w:tc>
          <w:tcPr>
            <w:tcW w:w="1158" w:type="dxa"/>
            <w:vMerge w:val="continue"/>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p>
        </w:tc>
        <w:tc>
          <w:tcPr>
            <w:tcW w:w="2483" w:type="dxa"/>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0.233</w:t>
            </w:r>
          </w:p>
        </w:tc>
        <w:tc>
          <w:tcPr>
            <w:tcW w:w="3249" w:type="dxa"/>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0.215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700" w:type="dxa"/>
            <w:vMerge w:val="continue"/>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p>
        </w:tc>
        <w:tc>
          <w:tcPr>
            <w:tcW w:w="1253" w:type="dxa"/>
            <w:vMerge w:val="continue"/>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p>
        </w:tc>
        <w:tc>
          <w:tcPr>
            <w:tcW w:w="513" w:type="dxa"/>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2</w:t>
            </w:r>
          </w:p>
        </w:tc>
        <w:tc>
          <w:tcPr>
            <w:tcW w:w="1158" w:type="dxa"/>
            <w:vMerge w:val="continue"/>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p>
        </w:tc>
        <w:tc>
          <w:tcPr>
            <w:tcW w:w="2483" w:type="dxa"/>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0.255</w:t>
            </w:r>
          </w:p>
        </w:tc>
        <w:tc>
          <w:tcPr>
            <w:tcW w:w="3249" w:type="dxa"/>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0.182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700" w:type="dxa"/>
            <w:vMerge w:val="continue"/>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p>
        </w:tc>
        <w:tc>
          <w:tcPr>
            <w:tcW w:w="1253" w:type="dxa"/>
            <w:vMerge w:val="continue"/>
            <w:tcBorders>
              <w:bottom w:val="single" w:color="000000" w:sz="4" w:space="0"/>
            </w:tcBorders>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p>
        </w:tc>
        <w:tc>
          <w:tcPr>
            <w:tcW w:w="513" w:type="dxa"/>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3</w:t>
            </w:r>
          </w:p>
        </w:tc>
        <w:tc>
          <w:tcPr>
            <w:tcW w:w="1158" w:type="dxa"/>
            <w:vMerge w:val="continue"/>
            <w:tcBorders>
              <w:bottom w:val="single" w:color="000000" w:sz="4" w:space="0"/>
            </w:tcBorders>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p>
        </w:tc>
        <w:tc>
          <w:tcPr>
            <w:tcW w:w="2483" w:type="dxa"/>
            <w:tcBorders>
              <w:bottom w:val="single" w:color="000000" w:sz="4" w:space="0"/>
            </w:tcBorders>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0.275</w:t>
            </w:r>
          </w:p>
        </w:tc>
        <w:tc>
          <w:tcPr>
            <w:tcW w:w="3249" w:type="dxa"/>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0.220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700" w:type="dxa"/>
            <w:vMerge w:val="continue"/>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p>
        </w:tc>
        <w:tc>
          <w:tcPr>
            <w:tcW w:w="2924" w:type="dxa"/>
            <w:gridSpan w:val="3"/>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达标情况</w:t>
            </w:r>
          </w:p>
        </w:tc>
        <w:tc>
          <w:tcPr>
            <w:tcW w:w="2483" w:type="dxa"/>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达标</w:t>
            </w:r>
          </w:p>
        </w:tc>
        <w:tc>
          <w:tcPr>
            <w:tcW w:w="3249" w:type="dxa"/>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达标</w:t>
            </w:r>
          </w:p>
        </w:tc>
      </w:tr>
    </w:tbl>
    <w:p>
      <w:pPr>
        <w:spacing w:before="100" w:beforeAutospacing="1"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根据监测结果，本次监测期间，露天采区、露天矿生产废石场排放浓度满足《大气污染物综合排放标准》（GB16297-1996）表2中二级标准的浓度限值，未出现粉尘超标的情况。</w: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.3.3 环境空气影响调查结论</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本工程在施工建设过程中，基本落实了环评报告书提出的各项大气环境保护措施，有效减轻了工程建设对环境空气的影响。</w:t>
      </w:r>
    </w:p>
    <w:p>
      <w:pPr>
        <w:pStyle w:val="3"/>
        <w:rPr>
          <w:color w:val="000000" w:themeColor="text1"/>
          <w14:textFill>
            <w14:solidFill>
              <w14:schemeClr w14:val="tx1"/>
            </w14:solidFill>
          </w14:textFill>
        </w:rPr>
      </w:pPr>
      <w:bookmarkStart w:id="26" w:name="_Toc62202390"/>
      <w:r>
        <w:rPr>
          <w:rFonts w:hint="eastAsia"/>
          <w:color w:val="000000" w:themeColor="text1"/>
          <w14:textFill>
            <w14:solidFill>
              <w14:schemeClr w14:val="tx1"/>
            </w14:solidFill>
          </w14:textFill>
        </w:rPr>
        <w:t>5</w:t>
      </w:r>
      <w:r>
        <w:rPr>
          <w:color w:val="000000" w:themeColor="text1"/>
          <w14:textFill>
            <w14:solidFill>
              <w14:schemeClr w14:val="tx1"/>
            </w14:solidFill>
          </w14:textFill>
        </w:rPr>
        <w:t>.4 声环境影响调查</w:t>
      </w:r>
      <w:bookmarkEnd w:id="26"/>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.4.1 施工期声环境影响调查</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本项目在施工过程中采取了多项减缓措施：</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（1）施工单位已经选用符合国家有关标准的施工机具，尽量选用低噪声的施工机械或工艺，从根本上降低噪声源强；</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（2）加强设备的维护和保养，保持机械润滑，降低运行噪声；</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（3）振动较大的机械设备应使用减振机座降低噪声；</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4</w:t>
      </w:r>
      <w:r>
        <w:rPr>
          <w:rFonts w:hint="eastAsia" w:ascii="Times New Roman" w:hAnsi="Times New Roman" w:cs="Times New Roman"/>
          <w:color w:val="000000" w:themeColor="text1"/>
          <w:sz w:val="24"/>
          <w:szCs w:val="24"/>
          <w14:textFill>
            <w14:solidFill>
              <w14:schemeClr w14:val="tx1"/>
            </w14:solidFill>
          </w14:textFill>
        </w:rPr>
        <w:t>）高噪声环境的施工人员应佩带防噪声耳塞、耳罩或防噪声头盔。</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5</w:t>
      </w:r>
      <w:r>
        <w:rPr>
          <w:rFonts w:hint="eastAsia" w:ascii="Times New Roman" w:hAnsi="Times New Roman" w:cs="Times New Roman"/>
          <w:color w:val="000000" w:themeColor="text1"/>
          <w:sz w:val="24"/>
          <w:szCs w:val="24"/>
          <w14:textFill>
            <w14:solidFill>
              <w14:schemeClr w14:val="tx1"/>
            </w14:solidFill>
          </w14:textFill>
        </w:rPr>
        <w:t>）针对交通运输噪声：要求施工单位做好车辆维护保养工作，且车辆行驶在居民聚居点时减速慢行，禁止鸣笛。通过优化施工作业方式，减少夜间施工区域外运输工作。</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本项目施工期间，建设单位采取了有效的防治噪声污染的措施，公众参与调查结果显示，工程施工期未发生严重的噪声扰民事件。</w: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.4.2 </w:t>
      </w:r>
      <w:r>
        <w:rPr>
          <w:rFonts w:hint="eastAsia"/>
          <w:color w:val="000000" w:themeColor="text1"/>
          <w14:textFill>
            <w14:solidFill>
              <w14:schemeClr w14:val="tx1"/>
            </w14:solidFill>
          </w14:textFill>
        </w:rPr>
        <w:t>调试</w:t>
      </w:r>
      <w:r>
        <w:rPr>
          <w:color w:val="000000" w:themeColor="text1"/>
          <w14:textFill>
            <w14:solidFill>
              <w14:schemeClr w14:val="tx1"/>
            </w14:solidFill>
          </w14:textFill>
        </w:rPr>
        <w:t>期声环境影响调查</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露天采区噪声源主要是施工机械和爆破作业。矿山机械设备选型时，选用高效低噪的机械设备，并且做好机械设备的维护保养工作，使设备处于良好的运行工况。优化爆破作业，采用微差爆破，并严格控制爆破时间，减少对周边环境的影响。为了减少噪声对工作人员的影响，该操作人员均配备了耳塞。</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根据对当地居民的走访问询结果表明，在调试期未造成噪声污染现象，也无扰民纠纷和投诉现象发生。</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验收调查期间</w:t>
      </w: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根据现场勘查情况</w:t>
      </w:r>
      <w:r>
        <w:rPr>
          <w:rFonts w:hint="eastAsia" w:ascii="Times New Roman" w:hAnsi="Times New Roman" w:cs="Times New Roman"/>
          <w:color w:val="000000" w:themeColor="text1"/>
          <w:sz w:val="24"/>
          <w:szCs w:val="24"/>
          <w14:textFill>
            <w14:solidFill>
              <w14:schemeClr w14:val="tx1"/>
            </w14:solidFill>
          </w14:textFill>
        </w:rPr>
        <w:t>，监测点位表如下。</w:t>
      </w:r>
    </w:p>
    <w:p>
      <w:pPr>
        <w:spacing w:line="360" w:lineRule="auto"/>
        <w:jc w:val="center"/>
        <w:rPr>
          <w:rFonts w:ascii="Times New Roman" w:hAnsi="Times New Roman" w:cs="Times New Roman"/>
          <w:b/>
          <w:color w:val="000000" w:themeColor="text1"/>
          <w:szCs w:val="24"/>
          <w14:textFill>
            <w14:solidFill>
              <w14:schemeClr w14:val="tx1"/>
            </w14:solidFill>
          </w14:textFill>
        </w:rPr>
      </w:pPr>
      <w:r>
        <w:rPr>
          <w:rFonts w:hint="eastAsia" w:ascii="Times New Roman" w:hAnsi="Times New Roman" w:cs="Times New Roman"/>
          <w:b/>
          <w:color w:val="000000" w:themeColor="text1"/>
          <w:szCs w:val="24"/>
          <w14:textFill>
            <w14:solidFill>
              <w14:schemeClr w14:val="tx1"/>
            </w14:solidFill>
          </w14:textFill>
        </w:rPr>
        <w:t>表</w:t>
      </w:r>
      <w:r>
        <w:rPr>
          <w:rFonts w:ascii="Times New Roman" w:hAnsi="Times New Roman" w:cs="Times New Roman"/>
          <w:b/>
          <w:color w:val="000000" w:themeColor="text1"/>
          <w:szCs w:val="24"/>
          <w14:textFill>
            <w14:solidFill>
              <w14:schemeClr w14:val="tx1"/>
            </w14:solidFill>
          </w14:textFill>
        </w:rPr>
        <w:t>5.4</w:t>
      </w:r>
      <w:r>
        <w:rPr>
          <w:rFonts w:hint="eastAsia" w:ascii="Times New Roman" w:hAnsi="Times New Roman" w:cs="Times New Roman"/>
          <w:b/>
          <w:color w:val="000000" w:themeColor="text1"/>
          <w:szCs w:val="24"/>
          <w14:textFill>
            <w14:solidFill>
              <w14:schemeClr w14:val="tx1"/>
            </w14:solidFill>
          </w14:textFill>
        </w:rPr>
        <w:t>-</w:t>
      </w:r>
      <w:r>
        <w:rPr>
          <w:rFonts w:ascii="Times New Roman" w:hAnsi="Times New Roman" w:cs="Times New Roman"/>
          <w:b/>
          <w:color w:val="000000" w:themeColor="text1"/>
          <w:szCs w:val="24"/>
          <w14:textFill>
            <w14:solidFill>
              <w14:schemeClr w14:val="tx1"/>
            </w14:solidFill>
          </w14:textFill>
        </w:rPr>
        <w:t xml:space="preserve">1  </w:t>
      </w:r>
      <w:r>
        <w:rPr>
          <w:rFonts w:hint="eastAsia" w:ascii="Times New Roman" w:hAnsi="Times New Roman" w:cs="Times New Roman"/>
          <w:b/>
          <w:color w:val="000000" w:themeColor="text1"/>
          <w:szCs w:val="24"/>
          <w14:textFill>
            <w14:solidFill>
              <w14:schemeClr w14:val="tx1"/>
            </w14:solidFill>
          </w14:textFill>
        </w:rPr>
        <w:t>监测布点表</w:t>
      </w:r>
    </w:p>
    <w:tbl>
      <w:tblPr>
        <w:tblStyle w:val="28"/>
        <w:tblW w:w="850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135"/>
        <w:gridCol w:w="708"/>
        <w:gridCol w:w="709"/>
        <w:gridCol w:w="567"/>
        <w:gridCol w:w="567"/>
        <w:gridCol w:w="1417"/>
        <w:gridCol w:w="1559"/>
        <w:gridCol w:w="11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709" w:type="dxa"/>
            <w:tcMar>
              <w:top w:w="15" w:type="dxa"/>
              <w:left w:w="15" w:type="dxa"/>
              <w:bottom w:w="15" w:type="dxa"/>
              <w:right w:w="15"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类别</w:t>
            </w:r>
          </w:p>
        </w:tc>
        <w:tc>
          <w:tcPr>
            <w:tcW w:w="1135" w:type="dxa"/>
            <w:tcMar>
              <w:top w:w="15" w:type="dxa"/>
              <w:left w:w="15" w:type="dxa"/>
              <w:bottom w:w="15" w:type="dxa"/>
              <w:right w:w="15"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项目</w:t>
            </w:r>
          </w:p>
        </w:tc>
        <w:tc>
          <w:tcPr>
            <w:tcW w:w="708" w:type="dxa"/>
            <w:tcMar>
              <w:top w:w="15" w:type="dxa"/>
              <w:left w:w="15" w:type="dxa"/>
              <w:bottom w:w="15" w:type="dxa"/>
              <w:right w:w="15"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点位</w:t>
            </w:r>
          </w:p>
        </w:tc>
        <w:tc>
          <w:tcPr>
            <w:tcW w:w="709" w:type="dxa"/>
            <w:tcMar>
              <w:top w:w="15" w:type="dxa"/>
              <w:left w:w="15" w:type="dxa"/>
              <w:bottom w:w="15" w:type="dxa"/>
              <w:right w:w="15"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点位数</w:t>
            </w:r>
          </w:p>
        </w:tc>
        <w:tc>
          <w:tcPr>
            <w:tcW w:w="567" w:type="dxa"/>
            <w:tcMar>
              <w:top w:w="15" w:type="dxa"/>
              <w:left w:w="15" w:type="dxa"/>
              <w:bottom w:w="15" w:type="dxa"/>
              <w:right w:w="15"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天数</w:t>
            </w:r>
          </w:p>
        </w:tc>
        <w:tc>
          <w:tcPr>
            <w:tcW w:w="567" w:type="dxa"/>
            <w:tcMar>
              <w:top w:w="15" w:type="dxa"/>
              <w:left w:w="15" w:type="dxa"/>
              <w:bottom w:w="15" w:type="dxa"/>
              <w:right w:w="15"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频次</w:t>
            </w:r>
          </w:p>
        </w:tc>
        <w:tc>
          <w:tcPr>
            <w:tcW w:w="1417" w:type="dxa"/>
            <w:tcMar>
              <w:top w:w="15" w:type="dxa"/>
              <w:left w:w="15" w:type="dxa"/>
              <w:bottom w:w="15" w:type="dxa"/>
              <w:right w:w="15" w:type="dxa"/>
            </w:tcMar>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监测方法</w:t>
            </w:r>
          </w:p>
        </w:tc>
        <w:tc>
          <w:tcPr>
            <w:tcW w:w="1559" w:type="dxa"/>
            <w:tcMar>
              <w:top w:w="15" w:type="dxa"/>
              <w:left w:w="15" w:type="dxa"/>
              <w:bottom w:w="15" w:type="dxa"/>
              <w:right w:w="15" w:type="dxa"/>
            </w:tcMar>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评价标准</w:t>
            </w:r>
          </w:p>
        </w:tc>
        <w:tc>
          <w:tcPr>
            <w:tcW w:w="1134" w:type="dxa"/>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环评要求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42" w:hRule="atLeast"/>
          <w:jc w:val="center"/>
        </w:trPr>
        <w:tc>
          <w:tcPr>
            <w:tcW w:w="709" w:type="dxa"/>
            <w:tcMar>
              <w:top w:w="15" w:type="dxa"/>
              <w:left w:w="15" w:type="dxa"/>
              <w:bottom w:w="15" w:type="dxa"/>
              <w:right w:w="15" w:type="dxa"/>
            </w:tcMar>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噪声</w:t>
            </w:r>
          </w:p>
        </w:tc>
        <w:tc>
          <w:tcPr>
            <w:tcW w:w="1135" w:type="dxa"/>
            <w:tcMar>
              <w:top w:w="15" w:type="dxa"/>
              <w:left w:w="15" w:type="dxa"/>
              <w:bottom w:w="15" w:type="dxa"/>
              <w:right w:w="15" w:type="dxa"/>
            </w:tcMar>
            <w:vAlign w:val="center"/>
          </w:tcPr>
          <w:p>
            <w:pPr>
              <w:widowControl/>
              <w:jc w:val="center"/>
              <w:textAlignment w:val="center"/>
              <w:rPr>
                <w:rFonts w:hint="eastAsia" w:ascii="Times New Roman" w:hAnsi="Times New Roman" w:cs="Times New Roman" w:eastAsiaTheme="minorEastAsia"/>
                <w:color w:val="000000" w:themeColor="text1"/>
                <w:kern w:val="0"/>
                <w:szCs w:val="21"/>
                <w:lang w:eastAsia="zh-CN"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工业企业厂界环境噪声</w:t>
            </w:r>
          </w:p>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（昼夜）</w:t>
            </w:r>
          </w:p>
        </w:tc>
        <w:tc>
          <w:tcPr>
            <w:tcW w:w="708" w:type="dxa"/>
            <w:tcMar>
              <w:top w:w="15" w:type="dxa"/>
              <w:left w:w="15" w:type="dxa"/>
              <w:bottom w:w="15" w:type="dxa"/>
              <w:right w:w="15" w:type="dxa"/>
            </w:tcMar>
            <w:vAlign w:val="center"/>
          </w:tcPr>
          <w:p>
            <w:pPr>
              <w:widowControl/>
              <w:jc w:val="left"/>
              <w:textAlignment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kern w:val="0"/>
                <w:szCs w:val="21"/>
                <w:lang w:bidi="ar"/>
                <w14:textFill>
                  <w14:solidFill>
                    <w14:schemeClr w14:val="tx1"/>
                  </w14:solidFill>
                </w14:textFill>
              </w:rPr>
              <w:t>露天采区厂界外1m处</w:t>
            </w:r>
          </w:p>
        </w:tc>
        <w:tc>
          <w:tcPr>
            <w:tcW w:w="709" w:type="dxa"/>
            <w:tcMar>
              <w:top w:w="15" w:type="dxa"/>
              <w:left w:w="15" w:type="dxa"/>
              <w:bottom w:w="15" w:type="dxa"/>
              <w:right w:w="15" w:type="dxa"/>
            </w:tcMar>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4</w:t>
            </w:r>
          </w:p>
        </w:tc>
        <w:tc>
          <w:tcPr>
            <w:tcW w:w="567" w:type="dxa"/>
            <w:tcMar>
              <w:top w:w="15" w:type="dxa"/>
              <w:left w:w="15" w:type="dxa"/>
              <w:bottom w:w="15" w:type="dxa"/>
              <w:right w:w="15" w:type="dxa"/>
            </w:tcMar>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w:t>
            </w:r>
          </w:p>
        </w:tc>
        <w:tc>
          <w:tcPr>
            <w:tcW w:w="567" w:type="dxa"/>
            <w:tcMar>
              <w:top w:w="15" w:type="dxa"/>
              <w:left w:w="15" w:type="dxa"/>
              <w:bottom w:w="15" w:type="dxa"/>
              <w:right w:w="15" w:type="dxa"/>
            </w:tcMar>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昼夜各1次</w:t>
            </w:r>
          </w:p>
        </w:tc>
        <w:tc>
          <w:tcPr>
            <w:tcW w:w="1417" w:type="dxa"/>
            <w:tcMar>
              <w:top w:w="15" w:type="dxa"/>
              <w:left w:w="15" w:type="dxa"/>
              <w:bottom w:w="15" w:type="dxa"/>
              <w:right w:w="15" w:type="dxa"/>
            </w:tcMar>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《工业企业厂界环境噪声排放标准》（GB12348-2008）</w:t>
            </w:r>
          </w:p>
        </w:tc>
        <w:tc>
          <w:tcPr>
            <w:tcW w:w="1559" w:type="dxa"/>
            <w:tcMar>
              <w:top w:w="15" w:type="dxa"/>
              <w:left w:w="15" w:type="dxa"/>
              <w:bottom w:w="15" w:type="dxa"/>
              <w:right w:w="15" w:type="dxa"/>
            </w:tcMar>
            <w:vAlign w:val="center"/>
          </w:tcPr>
          <w:p>
            <w:pPr>
              <w:widowControl/>
              <w:jc w:val="center"/>
              <w:textAlignment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《工业企业厂界环境噪声排放标准》（GB12348-2008）的2类标准</w:t>
            </w:r>
          </w:p>
        </w:tc>
        <w:tc>
          <w:tcPr>
            <w:tcW w:w="1134" w:type="dxa"/>
            <w:vAlign w:val="center"/>
          </w:tcPr>
          <w:p>
            <w:pPr>
              <w:widowControl/>
              <w:jc w:val="center"/>
              <w:textAlignment w:val="center"/>
              <w:rPr>
                <w:rFonts w:ascii="Times New Roman" w:hAnsi="Times New Roman" w:cs="Times New Roman"/>
                <w:color w:val="000000" w:themeColor="text1"/>
                <w:kern w:val="0"/>
                <w:szCs w:val="21"/>
                <w:lang w:bidi="ar"/>
                <w14:textFill>
                  <w14:solidFill>
                    <w14:schemeClr w14:val="tx1"/>
                  </w14:solidFill>
                </w14:textFill>
              </w:rPr>
            </w:pPr>
            <w:r>
              <w:rPr>
                <w:rFonts w:hint="eastAsia" w:ascii="Times New Roman" w:hAnsi="Times New Roman" w:cs="Times New Roman"/>
                <w:color w:val="000000" w:themeColor="text1"/>
                <w:kern w:val="0"/>
                <w:szCs w:val="21"/>
                <w:lang w:bidi="ar"/>
                <w14:textFill>
                  <w14:solidFill>
                    <w14:schemeClr w14:val="tx1"/>
                  </w14:solidFill>
                </w14:textFill>
              </w:rPr>
              <w:t>与环评</w:t>
            </w:r>
            <w:r>
              <w:rPr>
                <w:rFonts w:ascii="Times New Roman" w:hAnsi="Times New Roman" w:cs="Times New Roman"/>
                <w:color w:val="000000" w:themeColor="text1"/>
                <w:kern w:val="0"/>
                <w:szCs w:val="21"/>
                <w:lang w:bidi="ar"/>
                <w14:textFill>
                  <w14:solidFill>
                    <w14:schemeClr w14:val="tx1"/>
                  </w14:solidFill>
                </w14:textFill>
              </w:rPr>
              <w:t>阶段要求一致。</w:t>
            </w:r>
          </w:p>
        </w:tc>
      </w:tr>
    </w:tbl>
    <w:p>
      <w:pPr>
        <w:spacing w:before="100" w:beforeAutospacing="1" w:line="360" w:lineRule="auto"/>
        <w:jc w:val="center"/>
        <w:rPr>
          <w:rFonts w:ascii="Times New Roman" w:hAnsi="Times New Roman" w:cs="Times New Roman"/>
          <w:b/>
          <w:color w:val="000000" w:themeColor="text1"/>
          <w:szCs w:val="24"/>
          <w14:textFill>
            <w14:solidFill>
              <w14:schemeClr w14:val="tx1"/>
            </w14:solidFill>
          </w14:textFill>
        </w:rPr>
      </w:pPr>
      <w:r>
        <w:rPr>
          <w:rFonts w:hint="eastAsia" w:ascii="Times New Roman" w:hAnsi="Times New Roman" w:cs="Times New Roman"/>
          <w:b/>
          <w:color w:val="000000" w:themeColor="text1"/>
          <w:szCs w:val="24"/>
          <w14:textFill>
            <w14:solidFill>
              <w14:schemeClr w14:val="tx1"/>
            </w14:solidFill>
          </w14:textFill>
        </w:rPr>
        <w:t>表5</w:t>
      </w:r>
      <w:r>
        <w:rPr>
          <w:rFonts w:ascii="Times New Roman" w:hAnsi="Times New Roman" w:cs="Times New Roman"/>
          <w:b/>
          <w:color w:val="000000" w:themeColor="text1"/>
          <w:szCs w:val="24"/>
          <w14:textFill>
            <w14:solidFill>
              <w14:schemeClr w14:val="tx1"/>
            </w14:solidFill>
          </w14:textFill>
        </w:rPr>
        <w:t>.4</w:t>
      </w:r>
      <w:r>
        <w:rPr>
          <w:rFonts w:hint="eastAsia" w:ascii="Times New Roman" w:hAnsi="Times New Roman" w:cs="Times New Roman"/>
          <w:b/>
          <w:color w:val="000000" w:themeColor="text1"/>
          <w:szCs w:val="24"/>
          <w14:textFill>
            <w14:solidFill>
              <w14:schemeClr w14:val="tx1"/>
            </w14:solidFill>
          </w14:textFill>
        </w:rPr>
        <w:t>-</w:t>
      </w:r>
      <w:r>
        <w:rPr>
          <w:rFonts w:ascii="Times New Roman" w:hAnsi="Times New Roman" w:cs="Times New Roman"/>
          <w:b/>
          <w:color w:val="000000" w:themeColor="text1"/>
          <w:szCs w:val="24"/>
          <w14:textFill>
            <w14:solidFill>
              <w14:schemeClr w14:val="tx1"/>
            </w14:solidFill>
          </w14:textFill>
        </w:rPr>
        <w:t xml:space="preserve">2  </w:t>
      </w:r>
      <w:r>
        <w:rPr>
          <w:rFonts w:hint="eastAsia" w:ascii="Times New Roman" w:hAnsi="Times New Roman" w:cs="Times New Roman"/>
          <w:b/>
          <w:color w:val="000000" w:themeColor="text1"/>
          <w:szCs w:val="24"/>
          <w14:textFill>
            <w14:solidFill>
              <w14:schemeClr w14:val="tx1"/>
            </w14:solidFill>
          </w14:textFill>
        </w:rPr>
        <w:t>监测结果</w:t>
      </w:r>
    </w:p>
    <w:tbl>
      <w:tblPr>
        <w:tblStyle w:val="29"/>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43"/>
        <w:gridCol w:w="1216"/>
        <w:gridCol w:w="1446"/>
        <w:gridCol w:w="1476"/>
        <w:gridCol w:w="1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43" w:type="dxa"/>
            <w:tcBorders>
              <w:top w:val="single" w:color="auto" w:sz="12" w:space="0"/>
              <w:left w:val="nil"/>
              <w:bottom w:val="single" w:color="auto" w:sz="12" w:space="0"/>
            </w:tcBorders>
            <w:vAlign w:val="center"/>
          </w:tcPr>
          <w:p>
            <w:pPr>
              <w:jc w:val="center"/>
              <w:rPr>
                <w:rFonts w:ascii="Times New Roman" w:hAnsi="Times New Roman" w:cs="Times New Roman"/>
                <w:b/>
                <w:bCs/>
                <w:kern w:val="0"/>
                <w:szCs w:val="21"/>
              </w:rPr>
            </w:pPr>
            <w:r>
              <w:rPr>
                <w:rFonts w:ascii="Times New Roman" w:hAnsi="Times New Roman" w:cs="Times New Roman"/>
                <w:b/>
                <w:bCs/>
                <w:kern w:val="0"/>
                <w:szCs w:val="21"/>
              </w:rPr>
              <w:t>检测点位</w:t>
            </w:r>
          </w:p>
        </w:tc>
        <w:tc>
          <w:tcPr>
            <w:tcW w:w="2662" w:type="dxa"/>
            <w:gridSpan w:val="2"/>
            <w:tcBorders>
              <w:top w:val="single" w:color="auto" w:sz="12" w:space="0"/>
              <w:left w:val="single" w:color="auto" w:sz="4" w:space="0"/>
              <w:bottom w:val="single" w:color="auto" w:sz="12" w:space="0"/>
              <w:right w:val="single" w:color="000000" w:sz="4" w:space="0"/>
            </w:tcBorders>
            <w:vAlign w:val="center"/>
          </w:tcPr>
          <w:p>
            <w:pPr>
              <w:jc w:val="center"/>
              <w:rPr>
                <w:rFonts w:ascii="Times New Roman" w:hAnsi="Times New Roman" w:cs="Times New Roman"/>
                <w:b/>
                <w:bCs/>
                <w:kern w:val="0"/>
                <w:szCs w:val="21"/>
              </w:rPr>
            </w:pPr>
            <w:r>
              <w:rPr>
                <w:rFonts w:ascii="Times New Roman" w:hAnsi="Times New Roman" w:cs="Times New Roman"/>
                <w:b/>
                <w:bCs/>
                <w:kern w:val="0"/>
                <w:szCs w:val="21"/>
              </w:rPr>
              <w:t>检测时间</w:t>
            </w:r>
          </w:p>
        </w:tc>
        <w:tc>
          <w:tcPr>
            <w:tcW w:w="1476" w:type="dxa"/>
            <w:tcBorders>
              <w:top w:val="single" w:color="auto" w:sz="12" w:space="0"/>
              <w:left w:val="single" w:color="000000" w:sz="4" w:space="0"/>
              <w:bottom w:val="single" w:color="auto" w:sz="12" w:space="0"/>
              <w:right w:val="nil"/>
            </w:tcBorders>
            <w:vAlign w:val="center"/>
          </w:tcPr>
          <w:p>
            <w:pPr>
              <w:jc w:val="center"/>
              <w:rPr>
                <w:rFonts w:ascii="Times New Roman" w:hAnsi="Times New Roman" w:cs="Times New Roman"/>
                <w:b/>
                <w:bCs/>
                <w:kern w:val="0"/>
                <w:szCs w:val="21"/>
              </w:rPr>
            </w:pPr>
            <w:r>
              <w:rPr>
                <w:rFonts w:ascii="Times New Roman" w:hAnsi="Times New Roman" w:cs="Times New Roman"/>
                <w:b/>
                <w:bCs/>
                <w:kern w:val="0"/>
                <w:szCs w:val="21"/>
              </w:rPr>
              <w:t>检测结果L</w:t>
            </w:r>
            <w:r>
              <w:rPr>
                <w:rFonts w:ascii="Times New Roman" w:hAnsi="Times New Roman" w:cs="Times New Roman"/>
                <w:b/>
                <w:bCs/>
                <w:kern w:val="0"/>
                <w:szCs w:val="21"/>
                <w:vertAlign w:val="subscript"/>
              </w:rPr>
              <w:t>eq</w:t>
            </w:r>
          </w:p>
        </w:tc>
        <w:tc>
          <w:tcPr>
            <w:tcW w:w="1219" w:type="dxa"/>
            <w:tcBorders>
              <w:top w:val="single" w:color="auto" w:sz="12" w:space="0"/>
              <w:left w:val="single" w:color="000000" w:sz="4" w:space="0"/>
              <w:bottom w:val="single" w:color="auto" w:sz="12" w:space="0"/>
              <w:right w:val="nil"/>
            </w:tcBorders>
            <w:vAlign w:val="center"/>
          </w:tcPr>
          <w:p>
            <w:pPr>
              <w:jc w:val="center"/>
              <w:rPr>
                <w:rFonts w:ascii="Times New Roman" w:hAnsi="Times New Roman" w:cs="Times New Roman"/>
                <w:b/>
                <w:bCs/>
                <w:kern w:val="0"/>
                <w:szCs w:val="21"/>
              </w:rPr>
            </w:pPr>
            <w:r>
              <w:rPr>
                <w:rFonts w:ascii="Times New Roman" w:hAnsi="Times New Roman" w:cs="Times New Roman"/>
                <w:b/>
                <w:bCs/>
                <w:kern w:val="0"/>
                <w:szCs w:val="21"/>
              </w:rPr>
              <w:t>评价结论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43" w:type="dxa"/>
            <w:tcBorders>
              <w:top w:val="single" w:color="auto" w:sz="12" w:space="0"/>
              <w:left w:val="nil"/>
            </w:tcBorders>
            <w:vAlign w:val="center"/>
          </w:tcPr>
          <w:p>
            <w:pPr>
              <w:jc w:val="center"/>
              <w:rPr>
                <w:rFonts w:ascii="Times New Roman" w:hAnsi="Times New Roman" w:cs="Times New Roman"/>
                <w:kern w:val="0"/>
                <w:szCs w:val="21"/>
              </w:rPr>
            </w:pPr>
            <w:r>
              <w:rPr>
                <w:rFonts w:hint="eastAsia" w:ascii="Times New Roman" w:hAnsi="Times New Roman" w:cs="Times New Roman"/>
                <w:kern w:val="0"/>
                <w:szCs w:val="21"/>
              </w:rPr>
              <w:t>露天采矿区北侧厂界外1m</w:t>
            </w:r>
          </w:p>
        </w:tc>
        <w:tc>
          <w:tcPr>
            <w:tcW w:w="1216" w:type="dxa"/>
            <w:vMerge w:val="restart"/>
            <w:tcBorders>
              <w:top w:val="single" w:color="auto" w:sz="12" w:space="0"/>
              <w:left w:val="single" w:color="auto" w:sz="4" w:space="0"/>
              <w:right w:val="single" w:color="auto" w:sz="4" w:space="0"/>
            </w:tcBorders>
            <w:vAlign w:val="center"/>
          </w:tcPr>
          <w:p>
            <w:pPr>
              <w:jc w:val="center"/>
              <w:rPr>
                <w:rFonts w:ascii="Times New Roman" w:hAnsi="Times New Roman" w:cs="Times New Roman"/>
                <w:kern w:val="0"/>
                <w:szCs w:val="21"/>
              </w:rPr>
            </w:pPr>
            <w:r>
              <w:rPr>
                <w:rFonts w:hint="eastAsia" w:ascii="Times New Roman" w:hAnsi="Times New Roman" w:cs="Times New Roman"/>
                <w:kern w:val="0"/>
                <w:szCs w:val="21"/>
              </w:rPr>
              <w:t>2022.6.16</w:t>
            </w:r>
          </w:p>
        </w:tc>
        <w:tc>
          <w:tcPr>
            <w:tcW w:w="1446" w:type="dxa"/>
            <w:tcBorders>
              <w:top w:val="single" w:color="auto" w:sz="12"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Cs w:val="21"/>
              </w:rPr>
            </w:pPr>
            <w:r>
              <w:rPr>
                <w:rFonts w:hint="eastAsia" w:ascii="Times New Roman" w:hAnsi="Times New Roman" w:cs="Times New Roman"/>
                <w:kern w:val="0"/>
                <w:szCs w:val="21"/>
              </w:rPr>
              <w:t>12:48--12:58</w:t>
            </w:r>
          </w:p>
        </w:tc>
        <w:tc>
          <w:tcPr>
            <w:tcW w:w="1476" w:type="dxa"/>
            <w:tcBorders>
              <w:top w:val="single" w:color="auto" w:sz="12" w:space="0"/>
              <w:left w:val="single" w:color="auto" w:sz="4" w:space="0"/>
              <w:bottom w:val="single" w:color="auto" w:sz="4" w:space="0"/>
              <w:right w:val="nil"/>
            </w:tcBorders>
            <w:vAlign w:val="center"/>
          </w:tcPr>
          <w:p>
            <w:pPr>
              <w:jc w:val="center"/>
              <w:rPr>
                <w:rFonts w:ascii="Times New Roman" w:hAnsi="Times New Roman" w:cs="Times New Roman"/>
                <w:kern w:val="0"/>
                <w:szCs w:val="21"/>
              </w:rPr>
            </w:pPr>
            <w:r>
              <w:rPr>
                <w:rFonts w:hint="eastAsia" w:ascii="Times New Roman" w:hAnsi="Times New Roman" w:cs="Times New Roman"/>
                <w:kern w:val="0"/>
                <w:szCs w:val="21"/>
              </w:rPr>
              <w:t>55</w:t>
            </w:r>
          </w:p>
        </w:tc>
        <w:tc>
          <w:tcPr>
            <w:tcW w:w="1219" w:type="dxa"/>
            <w:tcBorders>
              <w:top w:val="single" w:color="auto" w:sz="12" w:space="0"/>
              <w:left w:val="single" w:color="auto" w:sz="4" w:space="0"/>
              <w:bottom w:val="single" w:color="auto" w:sz="4" w:space="0"/>
              <w:right w:val="nil"/>
            </w:tcBorders>
            <w:vAlign w:val="center"/>
          </w:tcPr>
          <w:p>
            <w:pPr>
              <w:jc w:val="center"/>
              <w:rPr>
                <w:rFonts w:ascii="Times New Roman" w:hAnsi="Times New Roman" w:cs="Times New Roman"/>
                <w:kern w:val="0"/>
                <w:szCs w:val="21"/>
              </w:rPr>
            </w:pPr>
            <w:r>
              <w:rPr>
                <w:rFonts w:ascii="Times New Roman" w:hAnsi="Times New Roman" w:cs="Times New Roman"/>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43" w:type="dxa"/>
            <w:tcBorders>
              <w:left w:val="nil"/>
            </w:tcBorders>
            <w:vAlign w:val="center"/>
          </w:tcPr>
          <w:p>
            <w:pPr>
              <w:jc w:val="center"/>
              <w:rPr>
                <w:rFonts w:ascii="Times New Roman" w:hAnsi="Times New Roman" w:cs="Times New Roman"/>
                <w:kern w:val="0"/>
                <w:szCs w:val="21"/>
              </w:rPr>
            </w:pPr>
            <w:r>
              <w:rPr>
                <w:rFonts w:hint="eastAsia" w:ascii="Times New Roman" w:hAnsi="Times New Roman" w:cs="Times New Roman"/>
                <w:kern w:val="0"/>
                <w:szCs w:val="21"/>
              </w:rPr>
              <w:t>露天采矿区东侧厂界外1m</w:t>
            </w:r>
          </w:p>
        </w:tc>
        <w:tc>
          <w:tcPr>
            <w:tcW w:w="1216" w:type="dxa"/>
            <w:vMerge w:val="continue"/>
            <w:tcBorders>
              <w:left w:val="single" w:color="auto" w:sz="4" w:space="0"/>
              <w:right w:val="single" w:color="auto" w:sz="4" w:space="0"/>
            </w:tcBorders>
            <w:vAlign w:val="center"/>
          </w:tcPr>
          <w:p>
            <w:pPr>
              <w:jc w:val="center"/>
              <w:rPr>
                <w:rFonts w:ascii="Times New Roman" w:hAnsi="Times New Roman" w:cs="Times New Roman"/>
                <w:kern w:val="0"/>
                <w:szCs w:val="21"/>
              </w:rPr>
            </w:pPr>
          </w:p>
        </w:tc>
        <w:tc>
          <w:tcPr>
            <w:tcW w:w="144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Cs w:val="21"/>
              </w:rPr>
            </w:pPr>
            <w:r>
              <w:rPr>
                <w:rFonts w:hint="eastAsia" w:ascii="Times New Roman" w:hAnsi="Times New Roman" w:cs="Times New Roman"/>
                <w:kern w:val="0"/>
                <w:szCs w:val="21"/>
              </w:rPr>
              <w:t>10:28--10:38</w:t>
            </w:r>
          </w:p>
        </w:tc>
        <w:tc>
          <w:tcPr>
            <w:tcW w:w="1476" w:type="dxa"/>
            <w:tcBorders>
              <w:top w:val="single" w:color="auto" w:sz="4" w:space="0"/>
              <w:left w:val="single" w:color="auto" w:sz="4" w:space="0"/>
              <w:bottom w:val="single" w:color="auto" w:sz="4" w:space="0"/>
              <w:right w:val="nil"/>
            </w:tcBorders>
            <w:vAlign w:val="center"/>
          </w:tcPr>
          <w:p>
            <w:pPr>
              <w:jc w:val="center"/>
              <w:rPr>
                <w:rFonts w:ascii="Times New Roman" w:hAnsi="Times New Roman" w:cs="Times New Roman"/>
                <w:kern w:val="0"/>
                <w:szCs w:val="21"/>
              </w:rPr>
            </w:pPr>
            <w:r>
              <w:rPr>
                <w:rFonts w:hint="eastAsia" w:ascii="Times New Roman" w:hAnsi="Times New Roman" w:cs="Times New Roman"/>
                <w:kern w:val="0"/>
                <w:szCs w:val="21"/>
              </w:rPr>
              <w:t>46</w:t>
            </w:r>
          </w:p>
        </w:tc>
        <w:tc>
          <w:tcPr>
            <w:tcW w:w="1219" w:type="dxa"/>
            <w:tcBorders>
              <w:top w:val="single" w:color="auto" w:sz="4" w:space="0"/>
              <w:left w:val="single" w:color="auto" w:sz="4" w:space="0"/>
              <w:bottom w:val="single" w:color="auto" w:sz="4" w:space="0"/>
              <w:right w:val="nil"/>
            </w:tcBorders>
            <w:vAlign w:val="center"/>
          </w:tcPr>
          <w:p>
            <w:pPr>
              <w:jc w:val="center"/>
              <w:rPr>
                <w:rFonts w:ascii="Times New Roman" w:hAnsi="Times New Roman" w:cs="Times New Roman"/>
                <w:kern w:val="0"/>
                <w:szCs w:val="21"/>
              </w:rPr>
            </w:pPr>
            <w:r>
              <w:rPr>
                <w:rFonts w:ascii="Times New Roman" w:hAnsi="Times New Roman" w:cs="Times New Roman"/>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43" w:type="dxa"/>
            <w:tcBorders>
              <w:left w:val="nil"/>
            </w:tcBorders>
            <w:vAlign w:val="center"/>
          </w:tcPr>
          <w:p>
            <w:pPr>
              <w:jc w:val="center"/>
              <w:rPr>
                <w:rFonts w:ascii="Times New Roman" w:hAnsi="Times New Roman" w:cs="Times New Roman"/>
                <w:kern w:val="0"/>
                <w:szCs w:val="21"/>
              </w:rPr>
            </w:pPr>
            <w:r>
              <w:rPr>
                <w:rFonts w:hint="eastAsia" w:ascii="Times New Roman" w:hAnsi="Times New Roman" w:cs="Times New Roman"/>
                <w:kern w:val="0"/>
                <w:szCs w:val="21"/>
              </w:rPr>
              <w:t>露天采矿区南侧厂界外1m</w:t>
            </w:r>
          </w:p>
        </w:tc>
        <w:tc>
          <w:tcPr>
            <w:tcW w:w="1216" w:type="dxa"/>
            <w:vMerge w:val="continue"/>
            <w:tcBorders>
              <w:left w:val="single" w:color="auto" w:sz="4" w:space="0"/>
              <w:right w:val="single" w:color="auto" w:sz="4" w:space="0"/>
            </w:tcBorders>
            <w:vAlign w:val="center"/>
          </w:tcPr>
          <w:p>
            <w:pPr>
              <w:jc w:val="center"/>
              <w:rPr>
                <w:rFonts w:ascii="Times New Roman" w:hAnsi="Times New Roman" w:cs="Times New Roman"/>
                <w:kern w:val="0"/>
                <w:szCs w:val="21"/>
              </w:rPr>
            </w:pPr>
          </w:p>
        </w:tc>
        <w:tc>
          <w:tcPr>
            <w:tcW w:w="144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Cs w:val="21"/>
              </w:rPr>
            </w:pPr>
            <w:r>
              <w:rPr>
                <w:rFonts w:hint="eastAsia" w:ascii="Times New Roman" w:hAnsi="Times New Roman" w:cs="Times New Roman"/>
                <w:kern w:val="0"/>
                <w:szCs w:val="21"/>
              </w:rPr>
              <w:t>10:10--10:20</w:t>
            </w:r>
          </w:p>
        </w:tc>
        <w:tc>
          <w:tcPr>
            <w:tcW w:w="1476" w:type="dxa"/>
            <w:tcBorders>
              <w:top w:val="single" w:color="auto" w:sz="4" w:space="0"/>
              <w:left w:val="single" w:color="auto" w:sz="4" w:space="0"/>
              <w:bottom w:val="single" w:color="auto" w:sz="4" w:space="0"/>
              <w:right w:val="nil"/>
            </w:tcBorders>
            <w:vAlign w:val="center"/>
          </w:tcPr>
          <w:p>
            <w:pPr>
              <w:jc w:val="center"/>
              <w:rPr>
                <w:rFonts w:ascii="Times New Roman" w:hAnsi="Times New Roman" w:cs="Times New Roman"/>
                <w:kern w:val="0"/>
                <w:szCs w:val="21"/>
              </w:rPr>
            </w:pPr>
            <w:r>
              <w:rPr>
                <w:rFonts w:hint="eastAsia" w:ascii="Times New Roman" w:hAnsi="Times New Roman" w:cs="Times New Roman"/>
                <w:kern w:val="0"/>
                <w:szCs w:val="21"/>
              </w:rPr>
              <w:t>41</w:t>
            </w:r>
          </w:p>
        </w:tc>
        <w:tc>
          <w:tcPr>
            <w:tcW w:w="1219" w:type="dxa"/>
            <w:tcBorders>
              <w:top w:val="single" w:color="auto" w:sz="4" w:space="0"/>
              <w:left w:val="single" w:color="auto" w:sz="4" w:space="0"/>
              <w:bottom w:val="single" w:color="auto" w:sz="4" w:space="0"/>
              <w:right w:val="nil"/>
            </w:tcBorders>
            <w:vAlign w:val="center"/>
          </w:tcPr>
          <w:p>
            <w:pPr>
              <w:jc w:val="center"/>
              <w:rPr>
                <w:rFonts w:ascii="Times New Roman" w:hAnsi="Times New Roman" w:cs="Times New Roman"/>
                <w:kern w:val="0"/>
                <w:szCs w:val="21"/>
              </w:rPr>
            </w:pPr>
            <w:r>
              <w:rPr>
                <w:rFonts w:ascii="Times New Roman" w:hAnsi="Times New Roman" w:cs="Times New Roman"/>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43" w:type="dxa"/>
            <w:tcBorders>
              <w:left w:val="nil"/>
            </w:tcBorders>
            <w:vAlign w:val="center"/>
          </w:tcPr>
          <w:p>
            <w:pPr>
              <w:jc w:val="center"/>
              <w:rPr>
                <w:rFonts w:ascii="Times New Roman" w:hAnsi="Times New Roman" w:cs="Times New Roman"/>
                <w:kern w:val="0"/>
                <w:szCs w:val="21"/>
              </w:rPr>
            </w:pPr>
            <w:r>
              <w:rPr>
                <w:rFonts w:hint="eastAsia" w:ascii="Times New Roman" w:hAnsi="Times New Roman" w:cs="Times New Roman"/>
                <w:kern w:val="0"/>
                <w:szCs w:val="21"/>
              </w:rPr>
              <w:t>露天采矿区西侧厂界外1m</w:t>
            </w:r>
          </w:p>
        </w:tc>
        <w:tc>
          <w:tcPr>
            <w:tcW w:w="1216" w:type="dxa"/>
            <w:vMerge w:val="continue"/>
            <w:tcBorders>
              <w:left w:val="single" w:color="auto" w:sz="4" w:space="0"/>
              <w:right w:val="single" w:color="auto" w:sz="4" w:space="0"/>
            </w:tcBorders>
            <w:vAlign w:val="center"/>
          </w:tcPr>
          <w:p>
            <w:pPr>
              <w:jc w:val="center"/>
              <w:rPr>
                <w:rFonts w:ascii="Times New Roman" w:hAnsi="Times New Roman" w:cs="Times New Roman"/>
                <w:kern w:val="0"/>
                <w:szCs w:val="21"/>
              </w:rPr>
            </w:pPr>
          </w:p>
        </w:tc>
        <w:tc>
          <w:tcPr>
            <w:tcW w:w="144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Cs w:val="21"/>
              </w:rPr>
            </w:pPr>
            <w:r>
              <w:rPr>
                <w:rFonts w:hint="eastAsia" w:ascii="Times New Roman" w:hAnsi="Times New Roman" w:cs="Times New Roman"/>
                <w:kern w:val="0"/>
                <w:szCs w:val="21"/>
              </w:rPr>
              <w:t>13:06--13:16</w:t>
            </w:r>
          </w:p>
        </w:tc>
        <w:tc>
          <w:tcPr>
            <w:tcW w:w="1476" w:type="dxa"/>
            <w:tcBorders>
              <w:top w:val="single" w:color="auto" w:sz="4" w:space="0"/>
              <w:left w:val="single" w:color="auto" w:sz="4" w:space="0"/>
              <w:bottom w:val="single" w:color="auto" w:sz="4" w:space="0"/>
              <w:right w:val="nil"/>
            </w:tcBorders>
            <w:vAlign w:val="center"/>
          </w:tcPr>
          <w:p>
            <w:pPr>
              <w:jc w:val="center"/>
              <w:rPr>
                <w:rFonts w:ascii="Times New Roman" w:hAnsi="Times New Roman" w:cs="Times New Roman"/>
                <w:kern w:val="0"/>
                <w:szCs w:val="21"/>
              </w:rPr>
            </w:pPr>
            <w:r>
              <w:rPr>
                <w:rFonts w:hint="eastAsia" w:ascii="Times New Roman" w:hAnsi="Times New Roman" w:cs="Times New Roman"/>
                <w:kern w:val="0"/>
                <w:szCs w:val="21"/>
              </w:rPr>
              <w:t>53</w:t>
            </w:r>
          </w:p>
        </w:tc>
        <w:tc>
          <w:tcPr>
            <w:tcW w:w="1219" w:type="dxa"/>
            <w:tcBorders>
              <w:top w:val="single" w:color="auto" w:sz="4" w:space="0"/>
              <w:left w:val="single" w:color="auto" w:sz="4" w:space="0"/>
              <w:bottom w:val="single" w:color="auto" w:sz="4" w:space="0"/>
              <w:right w:val="nil"/>
            </w:tcBorders>
            <w:vAlign w:val="center"/>
          </w:tcPr>
          <w:p>
            <w:pPr>
              <w:jc w:val="center"/>
              <w:rPr>
                <w:rFonts w:ascii="Times New Roman" w:hAnsi="Times New Roman" w:cs="Times New Roman"/>
                <w:kern w:val="0"/>
                <w:szCs w:val="21"/>
              </w:rPr>
            </w:pPr>
            <w:r>
              <w:rPr>
                <w:rFonts w:ascii="Times New Roman" w:hAnsi="Times New Roman" w:cs="Times New Roman"/>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43" w:type="dxa"/>
            <w:tcBorders>
              <w:left w:val="nil"/>
            </w:tcBorders>
            <w:vAlign w:val="center"/>
          </w:tcPr>
          <w:p>
            <w:pPr>
              <w:jc w:val="center"/>
              <w:rPr>
                <w:rFonts w:ascii="Times New Roman" w:hAnsi="Times New Roman" w:cs="Times New Roman"/>
                <w:kern w:val="0"/>
                <w:szCs w:val="21"/>
              </w:rPr>
            </w:pPr>
            <w:r>
              <w:rPr>
                <w:rFonts w:hint="eastAsia" w:ascii="Times New Roman" w:hAnsi="Times New Roman" w:cs="Times New Roman"/>
                <w:kern w:val="0"/>
                <w:szCs w:val="21"/>
              </w:rPr>
              <w:t>露天采矿区北侧厂界外1m</w:t>
            </w:r>
          </w:p>
        </w:tc>
        <w:tc>
          <w:tcPr>
            <w:tcW w:w="1216" w:type="dxa"/>
            <w:vMerge w:val="continue"/>
            <w:tcBorders>
              <w:left w:val="single" w:color="auto" w:sz="4" w:space="0"/>
              <w:right w:val="single" w:color="auto" w:sz="4" w:space="0"/>
            </w:tcBorders>
            <w:vAlign w:val="center"/>
          </w:tcPr>
          <w:p>
            <w:pPr>
              <w:jc w:val="center"/>
              <w:rPr>
                <w:rFonts w:ascii="Times New Roman" w:hAnsi="Times New Roman" w:cs="Times New Roman"/>
                <w:kern w:val="0"/>
                <w:szCs w:val="21"/>
              </w:rPr>
            </w:pPr>
          </w:p>
        </w:tc>
        <w:tc>
          <w:tcPr>
            <w:tcW w:w="144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Cs w:val="21"/>
              </w:rPr>
            </w:pPr>
            <w:r>
              <w:rPr>
                <w:rFonts w:hint="eastAsia" w:ascii="Times New Roman" w:hAnsi="Times New Roman" w:cs="Times New Roman"/>
                <w:kern w:val="0"/>
                <w:szCs w:val="21"/>
              </w:rPr>
              <w:t>22:45--22:55</w:t>
            </w:r>
          </w:p>
        </w:tc>
        <w:tc>
          <w:tcPr>
            <w:tcW w:w="1476" w:type="dxa"/>
            <w:tcBorders>
              <w:top w:val="single" w:color="auto" w:sz="4" w:space="0"/>
              <w:left w:val="single" w:color="auto" w:sz="4" w:space="0"/>
              <w:bottom w:val="single" w:color="auto" w:sz="4" w:space="0"/>
              <w:right w:val="nil"/>
            </w:tcBorders>
            <w:vAlign w:val="center"/>
          </w:tcPr>
          <w:p>
            <w:pPr>
              <w:jc w:val="center"/>
              <w:rPr>
                <w:rFonts w:ascii="Times New Roman" w:hAnsi="Times New Roman" w:cs="Times New Roman"/>
                <w:kern w:val="0"/>
                <w:szCs w:val="21"/>
              </w:rPr>
            </w:pPr>
            <w:r>
              <w:rPr>
                <w:rFonts w:hint="eastAsia" w:ascii="Times New Roman" w:hAnsi="Times New Roman" w:cs="Times New Roman"/>
                <w:kern w:val="0"/>
                <w:szCs w:val="21"/>
              </w:rPr>
              <w:t>44</w:t>
            </w:r>
          </w:p>
        </w:tc>
        <w:tc>
          <w:tcPr>
            <w:tcW w:w="1219" w:type="dxa"/>
            <w:tcBorders>
              <w:top w:val="single" w:color="auto" w:sz="4" w:space="0"/>
              <w:left w:val="single" w:color="auto" w:sz="4" w:space="0"/>
              <w:bottom w:val="single" w:color="auto" w:sz="4" w:space="0"/>
              <w:right w:val="nil"/>
            </w:tcBorders>
            <w:vAlign w:val="center"/>
          </w:tcPr>
          <w:p>
            <w:pPr>
              <w:jc w:val="center"/>
              <w:rPr>
                <w:rFonts w:ascii="Times New Roman" w:hAnsi="Times New Roman" w:cs="Times New Roman"/>
                <w:kern w:val="0"/>
                <w:szCs w:val="21"/>
              </w:rPr>
            </w:pPr>
            <w:r>
              <w:rPr>
                <w:rFonts w:ascii="Times New Roman" w:hAnsi="Times New Roman" w:cs="Times New Roman"/>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43" w:type="dxa"/>
            <w:tcBorders>
              <w:left w:val="nil"/>
            </w:tcBorders>
            <w:vAlign w:val="center"/>
          </w:tcPr>
          <w:p>
            <w:pPr>
              <w:jc w:val="center"/>
              <w:rPr>
                <w:rFonts w:ascii="Times New Roman" w:hAnsi="Times New Roman" w:cs="Times New Roman"/>
                <w:kern w:val="0"/>
                <w:szCs w:val="21"/>
              </w:rPr>
            </w:pPr>
            <w:r>
              <w:rPr>
                <w:rFonts w:hint="eastAsia" w:ascii="Times New Roman" w:hAnsi="Times New Roman" w:cs="Times New Roman"/>
                <w:kern w:val="0"/>
                <w:szCs w:val="21"/>
              </w:rPr>
              <w:t>露天采矿区东侧厂界外1m</w:t>
            </w:r>
          </w:p>
        </w:tc>
        <w:tc>
          <w:tcPr>
            <w:tcW w:w="1216" w:type="dxa"/>
            <w:vMerge w:val="continue"/>
            <w:tcBorders>
              <w:left w:val="single" w:color="auto" w:sz="4" w:space="0"/>
              <w:right w:val="single" w:color="auto" w:sz="4" w:space="0"/>
            </w:tcBorders>
            <w:vAlign w:val="center"/>
          </w:tcPr>
          <w:p>
            <w:pPr>
              <w:jc w:val="center"/>
              <w:rPr>
                <w:rFonts w:ascii="Times New Roman" w:hAnsi="Times New Roman" w:cs="Times New Roman"/>
                <w:kern w:val="0"/>
                <w:szCs w:val="21"/>
              </w:rPr>
            </w:pPr>
          </w:p>
        </w:tc>
        <w:tc>
          <w:tcPr>
            <w:tcW w:w="144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Cs w:val="21"/>
              </w:rPr>
            </w:pPr>
            <w:r>
              <w:rPr>
                <w:rFonts w:hint="eastAsia" w:ascii="Times New Roman" w:hAnsi="Times New Roman" w:cs="Times New Roman"/>
                <w:kern w:val="0"/>
                <w:szCs w:val="21"/>
              </w:rPr>
              <w:t>22:19--22:29</w:t>
            </w:r>
          </w:p>
        </w:tc>
        <w:tc>
          <w:tcPr>
            <w:tcW w:w="1476" w:type="dxa"/>
            <w:tcBorders>
              <w:top w:val="single" w:color="auto" w:sz="4" w:space="0"/>
              <w:left w:val="single" w:color="auto" w:sz="4" w:space="0"/>
              <w:bottom w:val="single" w:color="auto" w:sz="4" w:space="0"/>
              <w:right w:val="nil"/>
            </w:tcBorders>
            <w:vAlign w:val="center"/>
          </w:tcPr>
          <w:p>
            <w:pPr>
              <w:jc w:val="center"/>
              <w:rPr>
                <w:rFonts w:ascii="Times New Roman" w:hAnsi="Times New Roman" w:cs="Times New Roman"/>
                <w:kern w:val="0"/>
                <w:szCs w:val="21"/>
              </w:rPr>
            </w:pPr>
            <w:r>
              <w:rPr>
                <w:rFonts w:hint="eastAsia" w:ascii="Times New Roman" w:hAnsi="Times New Roman" w:cs="Times New Roman"/>
                <w:kern w:val="0"/>
                <w:szCs w:val="21"/>
              </w:rPr>
              <w:t>45</w:t>
            </w:r>
          </w:p>
        </w:tc>
        <w:tc>
          <w:tcPr>
            <w:tcW w:w="1219" w:type="dxa"/>
            <w:tcBorders>
              <w:top w:val="single" w:color="auto" w:sz="4" w:space="0"/>
              <w:left w:val="single" w:color="auto" w:sz="4" w:space="0"/>
              <w:bottom w:val="single" w:color="auto" w:sz="4" w:space="0"/>
              <w:right w:val="nil"/>
            </w:tcBorders>
            <w:vAlign w:val="center"/>
          </w:tcPr>
          <w:p>
            <w:pPr>
              <w:jc w:val="center"/>
              <w:rPr>
                <w:rFonts w:ascii="Times New Roman" w:hAnsi="Times New Roman" w:cs="Times New Roman"/>
                <w:kern w:val="0"/>
                <w:szCs w:val="21"/>
              </w:rPr>
            </w:pPr>
            <w:r>
              <w:rPr>
                <w:rFonts w:ascii="Times New Roman" w:hAnsi="Times New Roman" w:cs="Times New Roman"/>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43" w:type="dxa"/>
            <w:tcBorders>
              <w:left w:val="nil"/>
            </w:tcBorders>
            <w:vAlign w:val="center"/>
          </w:tcPr>
          <w:p>
            <w:pPr>
              <w:jc w:val="center"/>
              <w:rPr>
                <w:rFonts w:ascii="Times New Roman" w:hAnsi="Times New Roman" w:cs="Times New Roman"/>
                <w:kern w:val="0"/>
                <w:szCs w:val="21"/>
              </w:rPr>
            </w:pPr>
            <w:r>
              <w:rPr>
                <w:rFonts w:hint="eastAsia" w:ascii="Times New Roman" w:hAnsi="Times New Roman" w:cs="Times New Roman"/>
                <w:kern w:val="0"/>
                <w:szCs w:val="21"/>
              </w:rPr>
              <w:t>露天采矿区南侧厂界外1m</w:t>
            </w:r>
          </w:p>
        </w:tc>
        <w:tc>
          <w:tcPr>
            <w:tcW w:w="1216" w:type="dxa"/>
            <w:vMerge w:val="continue"/>
            <w:tcBorders>
              <w:left w:val="single" w:color="auto" w:sz="4" w:space="0"/>
              <w:right w:val="single" w:color="auto" w:sz="4" w:space="0"/>
            </w:tcBorders>
            <w:vAlign w:val="center"/>
          </w:tcPr>
          <w:p>
            <w:pPr>
              <w:jc w:val="center"/>
              <w:rPr>
                <w:rFonts w:ascii="Times New Roman" w:hAnsi="Times New Roman" w:cs="Times New Roman"/>
                <w:kern w:val="0"/>
                <w:szCs w:val="21"/>
              </w:rPr>
            </w:pPr>
          </w:p>
        </w:tc>
        <w:tc>
          <w:tcPr>
            <w:tcW w:w="144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Cs w:val="21"/>
              </w:rPr>
            </w:pPr>
            <w:r>
              <w:rPr>
                <w:rFonts w:hint="eastAsia" w:ascii="Times New Roman" w:hAnsi="Times New Roman" w:cs="Times New Roman"/>
                <w:kern w:val="0"/>
                <w:szCs w:val="21"/>
              </w:rPr>
              <w:t>22:00--22:10</w:t>
            </w:r>
          </w:p>
        </w:tc>
        <w:tc>
          <w:tcPr>
            <w:tcW w:w="1476" w:type="dxa"/>
            <w:tcBorders>
              <w:top w:val="single" w:color="auto" w:sz="4" w:space="0"/>
              <w:left w:val="single" w:color="auto" w:sz="4" w:space="0"/>
              <w:bottom w:val="single" w:color="auto" w:sz="4" w:space="0"/>
              <w:right w:val="nil"/>
            </w:tcBorders>
            <w:vAlign w:val="center"/>
          </w:tcPr>
          <w:p>
            <w:pPr>
              <w:jc w:val="center"/>
              <w:rPr>
                <w:rFonts w:ascii="Times New Roman" w:hAnsi="Times New Roman" w:cs="Times New Roman"/>
                <w:kern w:val="0"/>
                <w:szCs w:val="21"/>
              </w:rPr>
            </w:pPr>
            <w:r>
              <w:rPr>
                <w:rFonts w:hint="eastAsia" w:ascii="Times New Roman" w:hAnsi="Times New Roman" w:cs="Times New Roman"/>
                <w:kern w:val="0"/>
                <w:szCs w:val="21"/>
              </w:rPr>
              <w:t>45</w:t>
            </w:r>
          </w:p>
        </w:tc>
        <w:tc>
          <w:tcPr>
            <w:tcW w:w="1219" w:type="dxa"/>
            <w:tcBorders>
              <w:top w:val="single" w:color="auto" w:sz="4" w:space="0"/>
              <w:left w:val="single" w:color="auto" w:sz="4" w:space="0"/>
              <w:bottom w:val="single" w:color="auto" w:sz="4" w:space="0"/>
              <w:right w:val="nil"/>
            </w:tcBorders>
            <w:vAlign w:val="center"/>
          </w:tcPr>
          <w:p>
            <w:pPr>
              <w:jc w:val="center"/>
              <w:rPr>
                <w:rFonts w:ascii="Times New Roman" w:hAnsi="Times New Roman" w:cs="Times New Roman"/>
                <w:kern w:val="0"/>
                <w:szCs w:val="21"/>
              </w:rPr>
            </w:pPr>
            <w:r>
              <w:rPr>
                <w:rFonts w:ascii="Times New Roman" w:hAnsi="Times New Roman" w:cs="Times New Roman"/>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43" w:type="dxa"/>
            <w:tcBorders>
              <w:left w:val="nil"/>
            </w:tcBorders>
            <w:vAlign w:val="center"/>
          </w:tcPr>
          <w:p>
            <w:pPr>
              <w:jc w:val="center"/>
              <w:rPr>
                <w:rFonts w:ascii="Times New Roman" w:hAnsi="Times New Roman" w:cs="Times New Roman"/>
                <w:kern w:val="0"/>
                <w:szCs w:val="21"/>
              </w:rPr>
            </w:pPr>
            <w:r>
              <w:rPr>
                <w:rFonts w:hint="eastAsia" w:ascii="Times New Roman" w:hAnsi="Times New Roman" w:cs="Times New Roman"/>
                <w:kern w:val="0"/>
                <w:szCs w:val="21"/>
              </w:rPr>
              <w:t>露天采矿区西侧厂界外1m</w:t>
            </w:r>
          </w:p>
        </w:tc>
        <w:tc>
          <w:tcPr>
            <w:tcW w:w="1216" w:type="dxa"/>
            <w:vMerge w:val="continue"/>
            <w:tcBorders>
              <w:left w:val="single" w:color="auto" w:sz="4" w:space="0"/>
              <w:right w:val="single" w:color="auto" w:sz="4" w:space="0"/>
            </w:tcBorders>
            <w:vAlign w:val="center"/>
          </w:tcPr>
          <w:p>
            <w:pPr>
              <w:jc w:val="center"/>
              <w:rPr>
                <w:rFonts w:ascii="Times New Roman" w:hAnsi="Times New Roman" w:cs="Times New Roman"/>
                <w:kern w:val="0"/>
                <w:szCs w:val="21"/>
              </w:rPr>
            </w:pPr>
          </w:p>
        </w:tc>
        <w:tc>
          <w:tcPr>
            <w:tcW w:w="144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Cs w:val="21"/>
              </w:rPr>
            </w:pPr>
            <w:r>
              <w:rPr>
                <w:rFonts w:hint="eastAsia" w:ascii="Times New Roman" w:hAnsi="Times New Roman" w:cs="Times New Roman"/>
                <w:kern w:val="0"/>
                <w:szCs w:val="21"/>
              </w:rPr>
              <w:t>23:05--23:15</w:t>
            </w:r>
          </w:p>
        </w:tc>
        <w:tc>
          <w:tcPr>
            <w:tcW w:w="1476" w:type="dxa"/>
            <w:tcBorders>
              <w:top w:val="single" w:color="auto" w:sz="4" w:space="0"/>
              <w:left w:val="single" w:color="auto" w:sz="4" w:space="0"/>
              <w:bottom w:val="single" w:color="auto" w:sz="4" w:space="0"/>
              <w:right w:val="nil"/>
            </w:tcBorders>
            <w:vAlign w:val="center"/>
          </w:tcPr>
          <w:p>
            <w:pPr>
              <w:jc w:val="center"/>
              <w:rPr>
                <w:rFonts w:ascii="Times New Roman" w:hAnsi="Times New Roman" w:cs="Times New Roman"/>
                <w:kern w:val="0"/>
                <w:szCs w:val="21"/>
              </w:rPr>
            </w:pPr>
            <w:r>
              <w:rPr>
                <w:rFonts w:hint="eastAsia" w:ascii="Times New Roman" w:hAnsi="Times New Roman" w:cs="Times New Roman"/>
                <w:kern w:val="0"/>
                <w:szCs w:val="21"/>
              </w:rPr>
              <w:t>45</w:t>
            </w:r>
          </w:p>
        </w:tc>
        <w:tc>
          <w:tcPr>
            <w:tcW w:w="1219" w:type="dxa"/>
            <w:tcBorders>
              <w:top w:val="single" w:color="auto" w:sz="4" w:space="0"/>
              <w:left w:val="single" w:color="auto" w:sz="4" w:space="0"/>
              <w:bottom w:val="single" w:color="auto" w:sz="4" w:space="0"/>
              <w:right w:val="nil"/>
            </w:tcBorders>
            <w:vAlign w:val="center"/>
          </w:tcPr>
          <w:p>
            <w:pPr>
              <w:jc w:val="center"/>
              <w:rPr>
                <w:rFonts w:ascii="Times New Roman" w:hAnsi="Times New Roman" w:cs="Times New Roman"/>
                <w:kern w:val="0"/>
                <w:szCs w:val="21"/>
              </w:rPr>
            </w:pPr>
            <w:r>
              <w:rPr>
                <w:rFonts w:ascii="Times New Roman" w:hAnsi="Times New Roman" w:cs="Times New Roman"/>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43" w:type="dxa"/>
            <w:tcBorders>
              <w:left w:val="nil"/>
            </w:tcBorders>
            <w:vAlign w:val="center"/>
          </w:tcPr>
          <w:p>
            <w:pPr>
              <w:jc w:val="center"/>
              <w:rPr>
                <w:rFonts w:ascii="Times New Roman" w:hAnsi="Times New Roman" w:cs="Times New Roman"/>
                <w:kern w:val="0"/>
                <w:szCs w:val="21"/>
              </w:rPr>
            </w:pPr>
            <w:r>
              <w:rPr>
                <w:rFonts w:hint="eastAsia" w:ascii="Times New Roman" w:hAnsi="Times New Roman" w:cs="Times New Roman"/>
                <w:kern w:val="0"/>
                <w:szCs w:val="21"/>
              </w:rPr>
              <w:t>露天采区厂界北侧1m处</w:t>
            </w:r>
          </w:p>
        </w:tc>
        <w:tc>
          <w:tcPr>
            <w:tcW w:w="1216"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cs="Times New Roman"/>
                <w:kern w:val="0"/>
                <w:szCs w:val="21"/>
              </w:rPr>
            </w:pPr>
            <w:r>
              <w:rPr>
                <w:rFonts w:hint="eastAsia" w:ascii="Times New Roman" w:hAnsi="Times New Roman" w:cs="Times New Roman"/>
                <w:kern w:val="0"/>
                <w:szCs w:val="21"/>
              </w:rPr>
              <w:t>2022.6.17</w:t>
            </w:r>
          </w:p>
        </w:tc>
        <w:tc>
          <w:tcPr>
            <w:tcW w:w="144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Cs w:val="21"/>
              </w:rPr>
            </w:pPr>
            <w:r>
              <w:rPr>
                <w:rFonts w:hint="eastAsia" w:ascii="Times New Roman" w:hAnsi="Times New Roman" w:cs="Times New Roman"/>
                <w:kern w:val="0"/>
                <w:szCs w:val="21"/>
              </w:rPr>
              <w:t>14:12--14:22</w:t>
            </w:r>
          </w:p>
        </w:tc>
        <w:tc>
          <w:tcPr>
            <w:tcW w:w="1476" w:type="dxa"/>
            <w:tcBorders>
              <w:top w:val="single" w:color="auto" w:sz="4" w:space="0"/>
              <w:left w:val="single" w:color="auto" w:sz="4" w:space="0"/>
              <w:bottom w:val="single" w:color="auto" w:sz="4" w:space="0"/>
              <w:right w:val="nil"/>
            </w:tcBorders>
            <w:vAlign w:val="center"/>
          </w:tcPr>
          <w:p>
            <w:pPr>
              <w:jc w:val="center"/>
              <w:rPr>
                <w:rFonts w:ascii="Times New Roman" w:hAnsi="Times New Roman" w:cs="Times New Roman"/>
                <w:kern w:val="0"/>
                <w:szCs w:val="21"/>
              </w:rPr>
            </w:pPr>
            <w:r>
              <w:rPr>
                <w:rFonts w:hint="eastAsia" w:ascii="Times New Roman" w:hAnsi="Times New Roman" w:cs="Times New Roman"/>
                <w:kern w:val="0"/>
                <w:szCs w:val="21"/>
              </w:rPr>
              <w:t>56</w:t>
            </w:r>
          </w:p>
        </w:tc>
        <w:tc>
          <w:tcPr>
            <w:tcW w:w="1219" w:type="dxa"/>
            <w:tcBorders>
              <w:top w:val="single" w:color="auto" w:sz="4" w:space="0"/>
              <w:left w:val="single" w:color="auto" w:sz="4" w:space="0"/>
              <w:bottom w:val="single" w:color="auto" w:sz="4" w:space="0"/>
              <w:right w:val="nil"/>
            </w:tcBorders>
            <w:vAlign w:val="center"/>
          </w:tcPr>
          <w:p>
            <w:pPr>
              <w:jc w:val="center"/>
              <w:rPr>
                <w:rFonts w:ascii="Times New Roman" w:hAnsi="Times New Roman" w:cs="Times New Roman"/>
                <w:kern w:val="0"/>
                <w:szCs w:val="21"/>
              </w:rPr>
            </w:pPr>
            <w:r>
              <w:rPr>
                <w:rFonts w:ascii="Times New Roman" w:hAnsi="Times New Roman" w:cs="Times New Roman"/>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43" w:type="dxa"/>
            <w:tcBorders>
              <w:left w:val="nil"/>
            </w:tcBorders>
            <w:vAlign w:val="center"/>
          </w:tcPr>
          <w:p>
            <w:pPr>
              <w:jc w:val="center"/>
              <w:rPr>
                <w:rFonts w:ascii="Times New Roman" w:hAnsi="Times New Roman" w:cs="Times New Roman"/>
                <w:kern w:val="0"/>
                <w:szCs w:val="21"/>
              </w:rPr>
            </w:pPr>
            <w:r>
              <w:rPr>
                <w:rFonts w:hint="eastAsia" w:ascii="Times New Roman" w:hAnsi="Times New Roman" w:cs="Times New Roman"/>
                <w:kern w:val="0"/>
                <w:szCs w:val="21"/>
              </w:rPr>
              <w:t>露天采区厂界东侧1m处</w:t>
            </w:r>
          </w:p>
        </w:tc>
        <w:tc>
          <w:tcPr>
            <w:tcW w:w="1216" w:type="dxa"/>
            <w:vMerge w:val="continue"/>
            <w:tcBorders>
              <w:left w:val="single" w:color="auto" w:sz="4" w:space="0"/>
              <w:right w:val="single" w:color="auto" w:sz="4" w:space="0"/>
            </w:tcBorders>
            <w:vAlign w:val="center"/>
          </w:tcPr>
          <w:p>
            <w:pPr>
              <w:jc w:val="center"/>
              <w:rPr>
                <w:rFonts w:ascii="Times New Roman" w:hAnsi="Times New Roman" w:cs="Times New Roman"/>
                <w:kern w:val="0"/>
                <w:szCs w:val="21"/>
              </w:rPr>
            </w:pPr>
          </w:p>
        </w:tc>
        <w:tc>
          <w:tcPr>
            <w:tcW w:w="144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Cs w:val="21"/>
              </w:rPr>
            </w:pPr>
            <w:r>
              <w:rPr>
                <w:rFonts w:hint="eastAsia" w:ascii="Times New Roman" w:hAnsi="Times New Roman" w:cs="Times New Roman"/>
                <w:kern w:val="0"/>
                <w:szCs w:val="21"/>
              </w:rPr>
              <w:t>10:18--10:28</w:t>
            </w:r>
          </w:p>
        </w:tc>
        <w:tc>
          <w:tcPr>
            <w:tcW w:w="1476" w:type="dxa"/>
            <w:tcBorders>
              <w:top w:val="single" w:color="auto" w:sz="4" w:space="0"/>
              <w:left w:val="single" w:color="auto" w:sz="4" w:space="0"/>
              <w:bottom w:val="single" w:color="auto" w:sz="4" w:space="0"/>
              <w:right w:val="nil"/>
            </w:tcBorders>
            <w:vAlign w:val="center"/>
          </w:tcPr>
          <w:p>
            <w:pPr>
              <w:jc w:val="center"/>
              <w:rPr>
                <w:rFonts w:ascii="Times New Roman" w:hAnsi="Times New Roman" w:cs="Times New Roman"/>
                <w:kern w:val="0"/>
                <w:szCs w:val="21"/>
              </w:rPr>
            </w:pPr>
            <w:r>
              <w:rPr>
                <w:rFonts w:hint="eastAsia" w:ascii="Times New Roman" w:hAnsi="Times New Roman" w:cs="Times New Roman"/>
                <w:kern w:val="0"/>
                <w:szCs w:val="21"/>
              </w:rPr>
              <w:t>45</w:t>
            </w:r>
          </w:p>
        </w:tc>
        <w:tc>
          <w:tcPr>
            <w:tcW w:w="1219" w:type="dxa"/>
            <w:tcBorders>
              <w:top w:val="single" w:color="auto" w:sz="4" w:space="0"/>
              <w:left w:val="single" w:color="auto" w:sz="4" w:space="0"/>
              <w:bottom w:val="single" w:color="auto" w:sz="4" w:space="0"/>
              <w:right w:val="nil"/>
            </w:tcBorders>
            <w:vAlign w:val="center"/>
          </w:tcPr>
          <w:p>
            <w:pPr>
              <w:jc w:val="center"/>
              <w:rPr>
                <w:rFonts w:ascii="Times New Roman" w:hAnsi="Times New Roman" w:cs="Times New Roman"/>
                <w:kern w:val="0"/>
                <w:szCs w:val="21"/>
              </w:rPr>
            </w:pPr>
            <w:r>
              <w:rPr>
                <w:rFonts w:ascii="Times New Roman" w:hAnsi="Times New Roman" w:cs="Times New Roman"/>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43" w:type="dxa"/>
            <w:tcBorders>
              <w:left w:val="nil"/>
            </w:tcBorders>
            <w:vAlign w:val="center"/>
          </w:tcPr>
          <w:p>
            <w:pPr>
              <w:jc w:val="center"/>
              <w:rPr>
                <w:rFonts w:ascii="Times New Roman" w:hAnsi="Times New Roman" w:cs="Times New Roman"/>
                <w:kern w:val="0"/>
                <w:szCs w:val="21"/>
              </w:rPr>
            </w:pPr>
            <w:r>
              <w:rPr>
                <w:rFonts w:hint="eastAsia" w:ascii="Times New Roman" w:hAnsi="Times New Roman" w:cs="Times New Roman"/>
                <w:kern w:val="0"/>
                <w:szCs w:val="21"/>
              </w:rPr>
              <w:t>露天采区厂界南侧1m处</w:t>
            </w:r>
          </w:p>
        </w:tc>
        <w:tc>
          <w:tcPr>
            <w:tcW w:w="1216" w:type="dxa"/>
            <w:vMerge w:val="continue"/>
            <w:tcBorders>
              <w:left w:val="single" w:color="auto" w:sz="4" w:space="0"/>
              <w:right w:val="single" w:color="auto" w:sz="4" w:space="0"/>
            </w:tcBorders>
            <w:vAlign w:val="center"/>
          </w:tcPr>
          <w:p>
            <w:pPr>
              <w:jc w:val="center"/>
              <w:rPr>
                <w:rFonts w:ascii="Times New Roman" w:hAnsi="Times New Roman" w:cs="Times New Roman"/>
                <w:kern w:val="0"/>
                <w:szCs w:val="21"/>
              </w:rPr>
            </w:pPr>
          </w:p>
        </w:tc>
        <w:tc>
          <w:tcPr>
            <w:tcW w:w="144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Cs w:val="21"/>
              </w:rPr>
            </w:pPr>
            <w:r>
              <w:rPr>
                <w:rFonts w:hint="eastAsia" w:ascii="Times New Roman" w:hAnsi="Times New Roman" w:cs="Times New Roman"/>
                <w:kern w:val="0"/>
                <w:szCs w:val="21"/>
              </w:rPr>
              <w:t>10:00--10:10</w:t>
            </w:r>
          </w:p>
        </w:tc>
        <w:tc>
          <w:tcPr>
            <w:tcW w:w="1476" w:type="dxa"/>
            <w:tcBorders>
              <w:top w:val="single" w:color="auto" w:sz="4" w:space="0"/>
              <w:left w:val="single" w:color="auto" w:sz="4" w:space="0"/>
              <w:bottom w:val="single" w:color="auto" w:sz="4" w:space="0"/>
              <w:right w:val="nil"/>
            </w:tcBorders>
            <w:vAlign w:val="center"/>
          </w:tcPr>
          <w:p>
            <w:pPr>
              <w:jc w:val="center"/>
              <w:rPr>
                <w:rFonts w:ascii="Times New Roman" w:hAnsi="Times New Roman" w:cs="Times New Roman"/>
                <w:kern w:val="0"/>
                <w:szCs w:val="21"/>
              </w:rPr>
            </w:pPr>
            <w:r>
              <w:rPr>
                <w:rFonts w:hint="eastAsia" w:ascii="Times New Roman" w:hAnsi="Times New Roman" w:cs="Times New Roman"/>
                <w:kern w:val="0"/>
                <w:szCs w:val="21"/>
              </w:rPr>
              <w:t>42</w:t>
            </w:r>
          </w:p>
        </w:tc>
        <w:tc>
          <w:tcPr>
            <w:tcW w:w="1219" w:type="dxa"/>
            <w:tcBorders>
              <w:top w:val="single" w:color="auto" w:sz="4" w:space="0"/>
              <w:left w:val="single" w:color="auto" w:sz="4" w:space="0"/>
              <w:bottom w:val="single" w:color="auto" w:sz="4" w:space="0"/>
              <w:right w:val="nil"/>
            </w:tcBorders>
            <w:vAlign w:val="center"/>
          </w:tcPr>
          <w:p>
            <w:pPr>
              <w:jc w:val="center"/>
              <w:rPr>
                <w:rFonts w:ascii="Times New Roman" w:hAnsi="Times New Roman" w:cs="Times New Roman"/>
                <w:kern w:val="0"/>
                <w:szCs w:val="21"/>
              </w:rPr>
            </w:pPr>
            <w:r>
              <w:rPr>
                <w:rFonts w:ascii="Times New Roman" w:hAnsi="Times New Roman" w:cs="Times New Roman"/>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43" w:type="dxa"/>
            <w:tcBorders>
              <w:left w:val="nil"/>
            </w:tcBorders>
            <w:vAlign w:val="center"/>
          </w:tcPr>
          <w:p>
            <w:pPr>
              <w:jc w:val="center"/>
              <w:rPr>
                <w:rFonts w:ascii="Times New Roman" w:hAnsi="Times New Roman" w:cs="Times New Roman"/>
                <w:kern w:val="0"/>
                <w:szCs w:val="21"/>
              </w:rPr>
            </w:pPr>
            <w:r>
              <w:rPr>
                <w:rFonts w:hint="eastAsia" w:ascii="Times New Roman" w:hAnsi="Times New Roman" w:cs="Times New Roman"/>
                <w:kern w:val="0"/>
                <w:szCs w:val="21"/>
              </w:rPr>
              <w:t>露天采区厂界西侧1m处</w:t>
            </w:r>
          </w:p>
        </w:tc>
        <w:tc>
          <w:tcPr>
            <w:tcW w:w="1216" w:type="dxa"/>
            <w:vMerge w:val="continue"/>
            <w:tcBorders>
              <w:left w:val="single" w:color="auto" w:sz="4" w:space="0"/>
              <w:right w:val="single" w:color="auto" w:sz="4" w:space="0"/>
            </w:tcBorders>
            <w:vAlign w:val="center"/>
          </w:tcPr>
          <w:p>
            <w:pPr>
              <w:jc w:val="center"/>
              <w:rPr>
                <w:rFonts w:ascii="Times New Roman" w:hAnsi="Times New Roman" w:cs="Times New Roman"/>
                <w:kern w:val="0"/>
                <w:szCs w:val="21"/>
              </w:rPr>
            </w:pPr>
          </w:p>
        </w:tc>
        <w:tc>
          <w:tcPr>
            <w:tcW w:w="144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Cs w:val="21"/>
              </w:rPr>
            </w:pPr>
            <w:r>
              <w:rPr>
                <w:rFonts w:hint="eastAsia" w:ascii="Times New Roman" w:hAnsi="Times New Roman" w:cs="Times New Roman"/>
                <w:kern w:val="0"/>
                <w:szCs w:val="21"/>
              </w:rPr>
              <w:t>14:40--14:50</w:t>
            </w:r>
          </w:p>
        </w:tc>
        <w:tc>
          <w:tcPr>
            <w:tcW w:w="1476" w:type="dxa"/>
            <w:tcBorders>
              <w:top w:val="single" w:color="auto" w:sz="4" w:space="0"/>
              <w:left w:val="single" w:color="auto" w:sz="4" w:space="0"/>
              <w:bottom w:val="single" w:color="auto" w:sz="4" w:space="0"/>
              <w:right w:val="nil"/>
            </w:tcBorders>
            <w:vAlign w:val="center"/>
          </w:tcPr>
          <w:p>
            <w:pPr>
              <w:jc w:val="center"/>
              <w:rPr>
                <w:rFonts w:ascii="Times New Roman" w:hAnsi="Times New Roman" w:cs="Times New Roman"/>
                <w:kern w:val="0"/>
                <w:szCs w:val="21"/>
              </w:rPr>
            </w:pPr>
            <w:r>
              <w:rPr>
                <w:rFonts w:hint="eastAsia" w:ascii="Times New Roman" w:hAnsi="Times New Roman" w:cs="Times New Roman"/>
                <w:kern w:val="0"/>
                <w:szCs w:val="21"/>
              </w:rPr>
              <w:t>53</w:t>
            </w:r>
          </w:p>
        </w:tc>
        <w:tc>
          <w:tcPr>
            <w:tcW w:w="1219" w:type="dxa"/>
            <w:tcBorders>
              <w:top w:val="single" w:color="auto" w:sz="4" w:space="0"/>
              <w:left w:val="single" w:color="auto" w:sz="4" w:space="0"/>
              <w:bottom w:val="single" w:color="auto" w:sz="4" w:space="0"/>
              <w:right w:val="nil"/>
            </w:tcBorders>
            <w:vAlign w:val="center"/>
          </w:tcPr>
          <w:p>
            <w:pPr>
              <w:jc w:val="center"/>
              <w:rPr>
                <w:rFonts w:ascii="Times New Roman" w:hAnsi="Times New Roman" w:cs="Times New Roman"/>
                <w:kern w:val="0"/>
                <w:szCs w:val="21"/>
              </w:rPr>
            </w:pPr>
            <w:r>
              <w:rPr>
                <w:rFonts w:ascii="Times New Roman" w:hAnsi="Times New Roman" w:cs="Times New Roman"/>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43" w:type="dxa"/>
            <w:tcBorders>
              <w:left w:val="nil"/>
            </w:tcBorders>
            <w:vAlign w:val="center"/>
          </w:tcPr>
          <w:p>
            <w:pPr>
              <w:jc w:val="center"/>
              <w:rPr>
                <w:rFonts w:ascii="Times New Roman" w:hAnsi="Times New Roman" w:cs="Times New Roman"/>
                <w:kern w:val="0"/>
                <w:szCs w:val="21"/>
              </w:rPr>
            </w:pPr>
            <w:r>
              <w:rPr>
                <w:rFonts w:hint="eastAsia" w:ascii="Times New Roman" w:hAnsi="Times New Roman" w:cs="Times New Roman"/>
                <w:kern w:val="0"/>
                <w:szCs w:val="21"/>
              </w:rPr>
              <w:t>露天采区厂界北侧1m处</w:t>
            </w:r>
          </w:p>
        </w:tc>
        <w:tc>
          <w:tcPr>
            <w:tcW w:w="1216" w:type="dxa"/>
            <w:vMerge w:val="continue"/>
            <w:tcBorders>
              <w:left w:val="single" w:color="auto" w:sz="4" w:space="0"/>
              <w:right w:val="single" w:color="auto" w:sz="4" w:space="0"/>
            </w:tcBorders>
            <w:vAlign w:val="center"/>
          </w:tcPr>
          <w:p>
            <w:pPr>
              <w:jc w:val="center"/>
              <w:rPr>
                <w:rFonts w:ascii="Times New Roman" w:hAnsi="Times New Roman" w:cs="Times New Roman"/>
                <w:kern w:val="0"/>
                <w:szCs w:val="21"/>
              </w:rPr>
            </w:pPr>
          </w:p>
        </w:tc>
        <w:tc>
          <w:tcPr>
            <w:tcW w:w="144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Cs w:val="21"/>
              </w:rPr>
            </w:pPr>
            <w:r>
              <w:rPr>
                <w:rFonts w:hint="eastAsia" w:ascii="Times New Roman" w:hAnsi="Times New Roman" w:cs="Times New Roman"/>
                <w:kern w:val="0"/>
                <w:szCs w:val="21"/>
              </w:rPr>
              <w:t>22:56--23:06</w:t>
            </w:r>
          </w:p>
        </w:tc>
        <w:tc>
          <w:tcPr>
            <w:tcW w:w="1476" w:type="dxa"/>
            <w:tcBorders>
              <w:top w:val="single" w:color="auto" w:sz="4" w:space="0"/>
              <w:left w:val="single" w:color="auto" w:sz="4" w:space="0"/>
              <w:bottom w:val="single" w:color="auto" w:sz="4" w:space="0"/>
              <w:right w:val="nil"/>
            </w:tcBorders>
            <w:vAlign w:val="center"/>
          </w:tcPr>
          <w:p>
            <w:pPr>
              <w:jc w:val="center"/>
              <w:rPr>
                <w:rFonts w:ascii="Times New Roman" w:hAnsi="Times New Roman" w:cs="Times New Roman"/>
                <w:kern w:val="0"/>
                <w:szCs w:val="21"/>
              </w:rPr>
            </w:pPr>
            <w:r>
              <w:rPr>
                <w:rFonts w:hint="eastAsia" w:ascii="Times New Roman" w:hAnsi="Times New Roman" w:cs="Times New Roman"/>
                <w:kern w:val="0"/>
                <w:szCs w:val="21"/>
              </w:rPr>
              <w:t>45</w:t>
            </w:r>
          </w:p>
        </w:tc>
        <w:tc>
          <w:tcPr>
            <w:tcW w:w="1219" w:type="dxa"/>
            <w:tcBorders>
              <w:top w:val="single" w:color="auto" w:sz="4" w:space="0"/>
              <w:left w:val="single" w:color="auto" w:sz="4" w:space="0"/>
              <w:bottom w:val="single" w:color="auto" w:sz="4" w:space="0"/>
              <w:right w:val="nil"/>
            </w:tcBorders>
            <w:vAlign w:val="center"/>
          </w:tcPr>
          <w:p>
            <w:pPr>
              <w:jc w:val="center"/>
              <w:rPr>
                <w:rFonts w:ascii="Times New Roman" w:hAnsi="Times New Roman" w:cs="Times New Roman"/>
                <w:kern w:val="0"/>
                <w:szCs w:val="21"/>
              </w:rPr>
            </w:pPr>
            <w:r>
              <w:rPr>
                <w:rFonts w:ascii="Times New Roman" w:hAnsi="Times New Roman" w:cs="Times New Roman"/>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43" w:type="dxa"/>
            <w:tcBorders>
              <w:left w:val="nil"/>
            </w:tcBorders>
            <w:vAlign w:val="center"/>
          </w:tcPr>
          <w:p>
            <w:pPr>
              <w:jc w:val="center"/>
              <w:rPr>
                <w:rFonts w:ascii="Times New Roman" w:hAnsi="Times New Roman" w:cs="Times New Roman"/>
                <w:kern w:val="0"/>
                <w:szCs w:val="21"/>
              </w:rPr>
            </w:pPr>
            <w:r>
              <w:rPr>
                <w:rFonts w:hint="eastAsia" w:ascii="Times New Roman" w:hAnsi="Times New Roman" w:cs="Times New Roman"/>
                <w:kern w:val="0"/>
                <w:szCs w:val="21"/>
              </w:rPr>
              <w:t>露天采区厂界东侧1m处</w:t>
            </w:r>
          </w:p>
        </w:tc>
        <w:tc>
          <w:tcPr>
            <w:tcW w:w="1216" w:type="dxa"/>
            <w:vMerge w:val="continue"/>
            <w:tcBorders>
              <w:left w:val="single" w:color="auto" w:sz="4" w:space="0"/>
              <w:right w:val="single" w:color="auto" w:sz="4" w:space="0"/>
            </w:tcBorders>
            <w:vAlign w:val="center"/>
          </w:tcPr>
          <w:p>
            <w:pPr>
              <w:jc w:val="center"/>
              <w:rPr>
                <w:rFonts w:ascii="Times New Roman" w:hAnsi="Times New Roman" w:cs="Times New Roman"/>
                <w:kern w:val="0"/>
                <w:szCs w:val="21"/>
              </w:rPr>
            </w:pPr>
          </w:p>
        </w:tc>
        <w:tc>
          <w:tcPr>
            <w:tcW w:w="144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Cs w:val="21"/>
              </w:rPr>
            </w:pPr>
            <w:r>
              <w:rPr>
                <w:rFonts w:hint="eastAsia" w:ascii="Times New Roman" w:hAnsi="Times New Roman" w:cs="Times New Roman"/>
                <w:kern w:val="0"/>
                <w:szCs w:val="21"/>
              </w:rPr>
              <w:t>22:20--22:30</w:t>
            </w:r>
          </w:p>
        </w:tc>
        <w:tc>
          <w:tcPr>
            <w:tcW w:w="1476" w:type="dxa"/>
            <w:tcBorders>
              <w:top w:val="single" w:color="auto" w:sz="4" w:space="0"/>
              <w:left w:val="single" w:color="auto" w:sz="4" w:space="0"/>
              <w:bottom w:val="single" w:color="auto" w:sz="4" w:space="0"/>
              <w:right w:val="nil"/>
            </w:tcBorders>
            <w:vAlign w:val="center"/>
          </w:tcPr>
          <w:p>
            <w:pPr>
              <w:jc w:val="center"/>
              <w:rPr>
                <w:rFonts w:ascii="Times New Roman" w:hAnsi="Times New Roman" w:cs="Times New Roman"/>
                <w:kern w:val="0"/>
                <w:szCs w:val="21"/>
              </w:rPr>
            </w:pPr>
            <w:r>
              <w:rPr>
                <w:rFonts w:hint="eastAsia" w:ascii="Times New Roman" w:hAnsi="Times New Roman" w:cs="Times New Roman"/>
                <w:kern w:val="0"/>
                <w:szCs w:val="21"/>
              </w:rPr>
              <w:t>46</w:t>
            </w:r>
          </w:p>
        </w:tc>
        <w:tc>
          <w:tcPr>
            <w:tcW w:w="1219" w:type="dxa"/>
            <w:tcBorders>
              <w:top w:val="single" w:color="auto" w:sz="4" w:space="0"/>
              <w:left w:val="single" w:color="auto" w:sz="4" w:space="0"/>
              <w:bottom w:val="single" w:color="auto" w:sz="4" w:space="0"/>
              <w:right w:val="nil"/>
            </w:tcBorders>
            <w:vAlign w:val="center"/>
          </w:tcPr>
          <w:p>
            <w:pPr>
              <w:jc w:val="center"/>
              <w:rPr>
                <w:rFonts w:ascii="Times New Roman" w:hAnsi="Times New Roman" w:cs="Times New Roman"/>
                <w:kern w:val="0"/>
                <w:szCs w:val="21"/>
              </w:rPr>
            </w:pPr>
            <w:r>
              <w:rPr>
                <w:rFonts w:ascii="Times New Roman" w:hAnsi="Times New Roman" w:cs="Times New Roman"/>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43" w:type="dxa"/>
            <w:tcBorders>
              <w:left w:val="nil"/>
            </w:tcBorders>
            <w:vAlign w:val="center"/>
          </w:tcPr>
          <w:p>
            <w:pPr>
              <w:jc w:val="center"/>
              <w:rPr>
                <w:rFonts w:ascii="Times New Roman" w:hAnsi="Times New Roman" w:cs="Times New Roman"/>
                <w:kern w:val="0"/>
                <w:szCs w:val="21"/>
              </w:rPr>
            </w:pPr>
            <w:r>
              <w:rPr>
                <w:rFonts w:hint="eastAsia" w:ascii="Times New Roman" w:hAnsi="Times New Roman" w:cs="Times New Roman"/>
                <w:kern w:val="0"/>
                <w:szCs w:val="21"/>
              </w:rPr>
              <w:t>露天采区厂界南侧1m处</w:t>
            </w:r>
          </w:p>
        </w:tc>
        <w:tc>
          <w:tcPr>
            <w:tcW w:w="1216" w:type="dxa"/>
            <w:vMerge w:val="continue"/>
            <w:tcBorders>
              <w:left w:val="single" w:color="auto" w:sz="4" w:space="0"/>
              <w:right w:val="single" w:color="auto" w:sz="4" w:space="0"/>
            </w:tcBorders>
            <w:vAlign w:val="center"/>
          </w:tcPr>
          <w:p>
            <w:pPr>
              <w:jc w:val="center"/>
              <w:rPr>
                <w:rFonts w:ascii="Times New Roman" w:hAnsi="Times New Roman" w:cs="Times New Roman"/>
                <w:kern w:val="0"/>
                <w:szCs w:val="21"/>
              </w:rPr>
            </w:pPr>
          </w:p>
        </w:tc>
        <w:tc>
          <w:tcPr>
            <w:tcW w:w="144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Cs w:val="21"/>
              </w:rPr>
            </w:pPr>
            <w:r>
              <w:rPr>
                <w:rFonts w:hint="eastAsia" w:ascii="Times New Roman" w:hAnsi="Times New Roman" w:cs="Times New Roman"/>
                <w:kern w:val="0"/>
                <w:szCs w:val="21"/>
              </w:rPr>
              <w:t>22:00--22:10</w:t>
            </w:r>
          </w:p>
        </w:tc>
        <w:tc>
          <w:tcPr>
            <w:tcW w:w="1476" w:type="dxa"/>
            <w:tcBorders>
              <w:top w:val="single" w:color="auto" w:sz="4" w:space="0"/>
              <w:left w:val="single" w:color="auto" w:sz="4" w:space="0"/>
              <w:bottom w:val="single" w:color="auto" w:sz="4" w:space="0"/>
              <w:right w:val="nil"/>
            </w:tcBorders>
            <w:vAlign w:val="center"/>
          </w:tcPr>
          <w:p>
            <w:pPr>
              <w:jc w:val="center"/>
              <w:rPr>
                <w:rFonts w:ascii="Times New Roman" w:hAnsi="Times New Roman" w:cs="Times New Roman"/>
                <w:kern w:val="0"/>
                <w:szCs w:val="21"/>
              </w:rPr>
            </w:pPr>
            <w:r>
              <w:rPr>
                <w:rFonts w:hint="eastAsia" w:ascii="Times New Roman" w:hAnsi="Times New Roman" w:cs="Times New Roman"/>
                <w:kern w:val="0"/>
                <w:szCs w:val="21"/>
              </w:rPr>
              <w:t>45</w:t>
            </w:r>
          </w:p>
        </w:tc>
        <w:tc>
          <w:tcPr>
            <w:tcW w:w="1219" w:type="dxa"/>
            <w:tcBorders>
              <w:top w:val="single" w:color="auto" w:sz="4" w:space="0"/>
              <w:left w:val="single" w:color="auto" w:sz="4" w:space="0"/>
              <w:bottom w:val="single" w:color="auto" w:sz="4" w:space="0"/>
              <w:right w:val="nil"/>
            </w:tcBorders>
            <w:vAlign w:val="center"/>
          </w:tcPr>
          <w:p>
            <w:pPr>
              <w:jc w:val="center"/>
              <w:rPr>
                <w:rFonts w:ascii="Times New Roman" w:hAnsi="Times New Roman" w:cs="Times New Roman"/>
                <w:kern w:val="0"/>
                <w:szCs w:val="21"/>
              </w:rPr>
            </w:pPr>
            <w:r>
              <w:rPr>
                <w:rFonts w:ascii="Times New Roman" w:hAnsi="Times New Roman" w:cs="Times New Roman"/>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43" w:type="dxa"/>
            <w:tcBorders>
              <w:left w:val="nil"/>
              <w:bottom w:val="single" w:color="auto" w:sz="12" w:space="0"/>
            </w:tcBorders>
            <w:vAlign w:val="center"/>
          </w:tcPr>
          <w:p>
            <w:pPr>
              <w:jc w:val="center"/>
              <w:rPr>
                <w:rFonts w:ascii="Times New Roman" w:hAnsi="Times New Roman" w:cs="Times New Roman"/>
                <w:kern w:val="0"/>
                <w:szCs w:val="21"/>
              </w:rPr>
            </w:pPr>
            <w:r>
              <w:rPr>
                <w:rFonts w:hint="eastAsia" w:ascii="Times New Roman" w:hAnsi="Times New Roman" w:cs="Times New Roman"/>
                <w:kern w:val="0"/>
                <w:szCs w:val="21"/>
              </w:rPr>
              <w:t>露天采区厂界西侧1m处</w:t>
            </w:r>
          </w:p>
        </w:tc>
        <w:tc>
          <w:tcPr>
            <w:tcW w:w="1216" w:type="dxa"/>
            <w:vMerge w:val="continue"/>
            <w:tcBorders>
              <w:left w:val="single" w:color="auto" w:sz="4" w:space="0"/>
              <w:bottom w:val="single" w:color="auto" w:sz="12" w:space="0"/>
              <w:right w:val="single" w:color="auto" w:sz="4" w:space="0"/>
            </w:tcBorders>
            <w:vAlign w:val="center"/>
          </w:tcPr>
          <w:p>
            <w:pPr>
              <w:jc w:val="center"/>
              <w:rPr>
                <w:rFonts w:ascii="Times New Roman" w:hAnsi="Times New Roman" w:cs="Times New Roman"/>
                <w:kern w:val="0"/>
                <w:szCs w:val="21"/>
              </w:rPr>
            </w:pPr>
          </w:p>
        </w:tc>
        <w:tc>
          <w:tcPr>
            <w:tcW w:w="1446" w:type="dxa"/>
            <w:tcBorders>
              <w:top w:val="single" w:color="auto" w:sz="4" w:space="0"/>
              <w:left w:val="single" w:color="auto" w:sz="4" w:space="0"/>
              <w:bottom w:val="single" w:color="auto" w:sz="12" w:space="0"/>
              <w:right w:val="single" w:color="auto" w:sz="4" w:space="0"/>
            </w:tcBorders>
            <w:vAlign w:val="center"/>
          </w:tcPr>
          <w:p>
            <w:pPr>
              <w:jc w:val="center"/>
              <w:rPr>
                <w:rFonts w:ascii="Times New Roman" w:hAnsi="Times New Roman" w:cs="Times New Roman"/>
                <w:kern w:val="0"/>
                <w:szCs w:val="21"/>
              </w:rPr>
            </w:pPr>
            <w:r>
              <w:rPr>
                <w:rFonts w:hint="eastAsia" w:ascii="Times New Roman" w:hAnsi="Times New Roman" w:cs="Times New Roman"/>
                <w:kern w:val="0"/>
                <w:szCs w:val="21"/>
              </w:rPr>
              <w:t>23:17--23:27</w:t>
            </w:r>
          </w:p>
        </w:tc>
        <w:tc>
          <w:tcPr>
            <w:tcW w:w="1476" w:type="dxa"/>
            <w:tcBorders>
              <w:top w:val="single" w:color="auto" w:sz="4" w:space="0"/>
              <w:left w:val="single" w:color="auto" w:sz="4" w:space="0"/>
              <w:bottom w:val="single" w:color="auto" w:sz="12" w:space="0"/>
              <w:right w:val="nil"/>
            </w:tcBorders>
            <w:vAlign w:val="center"/>
          </w:tcPr>
          <w:p>
            <w:pPr>
              <w:jc w:val="center"/>
              <w:rPr>
                <w:rFonts w:ascii="Times New Roman" w:hAnsi="Times New Roman" w:cs="Times New Roman"/>
                <w:kern w:val="0"/>
                <w:szCs w:val="21"/>
              </w:rPr>
            </w:pPr>
            <w:r>
              <w:rPr>
                <w:rFonts w:hint="eastAsia" w:ascii="Times New Roman" w:hAnsi="Times New Roman" w:cs="Times New Roman"/>
                <w:kern w:val="0"/>
                <w:szCs w:val="21"/>
              </w:rPr>
              <w:t>45</w:t>
            </w:r>
          </w:p>
        </w:tc>
        <w:tc>
          <w:tcPr>
            <w:tcW w:w="1219" w:type="dxa"/>
            <w:tcBorders>
              <w:top w:val="single" w:color="auto" w:sz="4" w:space="0"/>
              <w:left w:val="single" w:color="auto" w:sz="4" w:space="0"/>
              <w:bottom w:val="single" w:color="auto" w:sz="12" w:space="0"/>
              <w:right w:val="nil"/>
            </w:tcBorders>
            <w:vAlign w:val="center"/>
          </w:tcPr>
          <w:p>
            <w:pPr>
              <w:jc w:val="center"/>
              <w:rPr>
                <w:rFonts w:ascii="Times New Roman" w:hAnsi="Times New Roman" w:cs="Times New Roman"/>
                <w:kern w:val="0"/>
                <w:szCs w:val="21"/>
              </w:rPr>
            </w:pPr>
            <w:r>
              <w:rPr>
                <w:rFonts w:ascii="Times New Roman" w:hAnsi="Times New Roman" w:cs="Times New Roman"/>
                <w:kern w:val="0"/>
                <w:szCs w:val="21"/>
              </w:rPr>
              <w:t>达标</w:t>
            </w:r>
          </w:p>
        </w:tc>
      </w:tr>
    </w:tbl>
    <w:p>
      <w:pPr>
        <w:spacing w:before="100" w:beforeAutospacing="1"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根据监测资料和实地调查结果，工程运行对附近环境明感点以及区域声环境不造成影响，区域声环境质量没有变化。</w:t>
      </w:r>
      <w:r>
        <w:rPr>
          <w:rFonts w:hint="eastAsia" w:ascii="Times New Roman" w:hAnsi="Times New Roman" w:cs="Times New Roman"/>
          <w:color w:val="000000" w:themeColor="text1"/>
          <w:sz w:val="24"/>
          <w:szCs w:val="24"/>
          <w14:textFill>
            <w14:solidFill>
              <w14:schemeClr w14:val="tx1"/>
            </w14:solidFill>
          </w14:textFill>
        </w:rPr>
        <w:t>项目</w:t>
      </w:r>
      <w:r>
        <w:rPr>
          <w:rFonts w:ascii="Times New Roman" w:hAnsi="Times New Roman" w:cs="Times New Roman"/>
          <w:color w:val="000000" w:themeColor="text1"/>
          <w:sz w:val="24"/>
          <w:szCs w:val="24"/>
          <w14:textFill>
            <w14:solidFill>
              <w14:schemeClr w14:val="tx1"/>
            </w14:solidFill>
          </w14:textFill>
        </w:rPr>
        <w:t>运行噪声未对周围声环境质量带来显著不利影响。</w: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.4.3 声环境影响调查结论</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（1）本项目施工期间，建设单位采取了有效的防治噪声污染的措施，未发生严重的噪声扰民事件。</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（2）工程运行对区域声环境影响较小，区域声环境质量满足《声环境质量标准》</w:t>
      </w:r>
      <w:r>
        <w:rPr>
          <w:rFonts w:hint="eastAsia" w:ascii="Times New Roman" w:hAnsi="Times New Roman" w:cs="Times New Roman"/>
          <w:color w:val="000000" w:themeColor="text1"/>
          <w:sz w:val="24"/>
          <w:szCs w:val="24"/>
          <w:lang w:val="en-US" w:eastAsia="zh-CN"/>
          <w14:textFill>
            <w14:solidFill>
              <w14:schemeClr w14:val="tx1"/>
            </w14:solidFill>
          </w14:textFill>
        </w:rPr>
        <w:t>2</w:t>
      </w:r>
      <w:r>
        <w:rPr>
          <w:rFonts w:hint="eastAsia" w:ascii="Times New Roman" w:hAnsi="Times New Roman" w:cs="Times New Roman"/>
          <w:color w:val="000000" w:themeColor="text1"/>
          <w:sz w:val="24"/>
          <w:szCs w:val="24"/>
          <w14:textFill>
            <w14:solidFill>
              <w14:schemeClr w14:val="tx1"/>
            </w14:solidFill>
          </w14:textFill>
        </w:rPr>
        <w:t>类标准。</w:t>
      </w:r>
    </w:p>
    <w:p>
      <w:pPr>
        <w:pStyle w:val="3"/>
        <w:rPr>
          <w:color w:val="000000" w:themeColor="text1"/>
          <w14:textFill>
            <w14:solidFill>
              <w14:schemeClr w14:val="tx1"/>
            </w14:solidFill>
          </w14:textFill>
        </w:rPr>
      </w:pPr>
      <w:bookmarkStart w:id="27" w:name="_Toc62202391"/>
      <w:r>
        <w:rPr>
          <w:rFonts w:hint="eastAsia"/>
          <w:color w:val="000000" w:themeColor="text1"/>
          <w14:textFill>
            <w14:solidFill>
              <w14:schemeClr w14:val="tx1"/>
            </w14:solidFill>
          </w14:textFill>
        </w:rPr>
        <w:t>5</w:t>
      </w:r>
      <w:r>
        <w:rPr>
          <w:color w:val="000000" w:themeColor="text1"/>
          <w14:textFill>
            <w14:solidFill>
              <w14:schemeClr w14:val="tx1"/>
            </w14:solidFill>
          </w14:textFill>
        </w:rPr>
        <w:t>.5 固体废弃物环境影响调查</w:t>
      </w:r>
      <w:bookmarkEnd w:id="27"/>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.5.1 施工期固体废弃物环境影响调查</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工程建设期产生的固体废弃物主要包括工程弃渣和施工人员生活垃圾，生活垃圾通过与当地乡政府签订协议由当地乡政府处理，未对周围环境造成不良影响。</w:t>
      </w:r>
    </w:p>
    <w:p>
      <w:pPr>
        <w:spacing w:line="360" w:lineRule="auto"/>
        <w:ind w:firstLine="480" w:firstLineChars="200"/>
        <w:rPr>
          <w:rFonts w:hint="eastAsia" w:ascii="Times New Roman" w:hAnsi="Times New Roman" w:cs="Times New Roman"/>
          <w:color w:val="000000" w:themeColor="text1"/>
          <w:sz w:val="24"/>
          <w:szCs w:val="24"/>
          <w:lang w:eastAsia="zh-CN"/>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项目验收内容施工结束后，</w:t>
      </w:r>
      <w:r>
        <w:rPr>
          <w:rFonts w:hint="eastAsia" w:ascii="Times New Roman" w:hAnsi="Times New Roman" w:cs="Times New Roman"/>
          <w:color w:val="000000" w:themeColor="text1"/>
          <w:sz w:val="24"/>
          <w:szCs w:val="24"/>
          <w:lang w:eastAsia="zh-CN"/>
          <w14:textFill>
            <w14:solidFill>
              <w14:schemeClr w14:val="tx1"/>
            </w14:solidFill>
          </w14:textFill>
        </w:rPr>
        <w:t>露采区配套废石场将继续使用</w:t>
      </w:r>
      <w:r>
        <w:rPr>
          <w:rStyle w:val="33"/>
          <w:rFonts w:hint="eastAsia"/>
          <w:lang w:eastAsia="zh-CN"/>
        </w:rPr>
        <w:t>，</w:t>
      </w:r>
      <w:r>
        <w:rPr>
          <w:rFonts w:hint="eastAsia" w:ascii="Times New Roman" w:hAnsi="Times New Roman" w:cs="Times New Roman"/>
          <w:color w:val="000000" w:themeColor="text1"/>
          <w:sz w:val="24"/>
          <w:szCs w:val="24"/>
          <w:lang w:eastAsia="zh-CN"/>
          <w14:textFill>
            <w14:solidFill>
              <w14:schemeClr w14:val="tx1"/>
            </w14:solidFill>
          </w14:textFill>
        </w:rPr>
        <w:t>对周边环境影响将持续至露采区封场。</w: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.5.2 </w:t>
      </w:r>
      <w:r>
        <w:rPr>
          <w:rFonts w:hint="eastAsia"/>
          <w:color w:val="000000" w:themeColor="text1"/>
          <w14:textFill>
            <w14:solidFill>
              <w14:schemeClr w14:val="tx1"/>
            </w14:solidFill>
          </w14:textFill>
        </w:rPr>
        <w:t>调试</w:t>
      </w:r>
      <w:r>
        <w:rPr>
          <w:color w:val="000000" w:themeColor="text1"/>
          <w14:textFill>
            <w14:solidFill>
              <w14:schemeClr w14:val="tx1"/>
            </w14:solidFill>
          </w14:textFill>
        </w:rPr>
        <w:t>期固体废弃物环境影响调查</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工程竣工验收期产生的固体废弃物主要为采矿废石、生活垃圾以及机械保养产生的废油等。</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露天采区基建废石运往露天矿基建废石场堆存，生产废石运往露天矿生产废石场堆存。生活垃圾通过现场设置的固定垃圾箱进行收集。现场调查可见，建设单位负责与县环卫局联系协调垃圾处理事宜，委托</w:t>
      </w:r>
      <w:r>
        <w:rPr>
          <w:rFonts w:ascii="Times New Roman" w:hAnsi="Times New Roman" w:cs="Times New Roman"/>
          <w:color w:val="000000" w:themeColor="text1"/>
          <w:sz w:val="24"/>
          <w:szCs w:val="24"/>
          <w14:textFill>
            <w14:solidFill>
              <w14:schemeClr w14:val="tx1"/>
            </w14:solidFill>
          </w14:textFill>
        </w:rPr>
        <w:t>当地</w:t>
      </w:r>
      <w:r>
        <w:rPr>
          <w:rFonts w:hint="eastAsia" w:ascii="Times New Roman" w:hAnsi="Times New Roman" w:cs="Times New Roman"/>
          <w:color w:val="000000" w:themeColor="text1"/>
          <w:sz w:val="24"/>
          <w:szCs w:val="24"/>
          <w14:textFill>
            <w14:solidFill>
              <w14:schemeClr w14:val="tx1"/>
            </w14:solidFill>
          </w14:textFill>
        </w:rPr>
        <w:t>环卫部门运输至垃圾处理站。金川奥伊诺矿业公司已与四川正洁科技有限责任公司完成危废处置协议的签订。</w:t>
      </w:r>
    </w:p>
    <w:p>
      <w:pPr>
        <w:pStyle w:val="3"/>
        <w:rPr>
          <w:color w:val="000000" w:themeColor="text1"/>
          <w14:textFill>
            <w14:solidFill>
              <w14:schemeClr w14:val="tx1"/>
            </w14:solidFill>
          </w14:textFill>
        </w:rPr>
      </w:pPr>
      <w:bookmarkStart w:id="28" w:name="_Toc62202392"/>
      <w:r>
        <w:rPr>
          <w:rFonts w:hint="eastAsia"/>
          <w:color w:val="000000" w:themeColor="text1"/>
          <w14:textFill>
            <w14:solidFill>
              <w14:schemeClr w14:val="tx1"/>
            </w14:solidFill>
          </w14:textFill>
        </w:rPr>
        <w:t>5</w:t>
      </w:r>
      <w:r>
        <w:rPr>
          <w:color w:val="000000" w:themeColor="text1"/>
          <w14:textFill>
            <w14:solidFill>
              <w14:schemeClr w14:val="tx1"/>
            </w14:solidFill>
          </w14:textFill>
        </w:rPr>
        <w:t>.6 社会环境影响调查</w:t>
      </w:r>
      <w:bookmarkEnd w:id="28"/>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.6.1 人群健康影响调查</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经调查，项目区施工期间传染病发病率无明显的变化，由此可表明工程施工对当地人群健康未带来不利影响。</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据调查，在工程施工期间，施工人员中各类疾病中呼吸道疾病（主要是上呼吸道感染）人数最多，占总发病数的一半以上，其次为消化道疾病、外伤以及皮肤和五官科疾病，其余疾病发病率极低。由此可见，外来施工人员主要因为不适应当地的气候条件而导致呼吸道疾病发生率较高。</w: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.2 移民</w:t>
      </w:r>
      <w:r>
        <w:rPr>
          <w:color w:val="000000" w:themeColor="text1"/>
          <w14:textFill>
            <w14:solidFill>
              <w14:schemeClr w14:val="tx1"/>
            </w14:solidFill>
          </w14:textFill>
        </w:rPr>
        <w:t>安置影响调查</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本项目不涉及移民安置。</w: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.6.3 文物古迹影响调查</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项目施工区域未发现文物古迹。</w: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.6.4 社会环境影响调查结论</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w:t>
      </w:r>
      <w:r>
        <w:rPr>
          <w:rFonts w:hint="eastAsia" w:ascii="Times New Roman" w:hAnsi="Times New Roman" w:cs="Times New Roman"/>
          <w:color w:val="000000" w:themeColor="text1"/>
          <w:sz w:val="24"/>
          <w:szCs w:val="24"/>
          <w14:textFill>
            <w14:solidFill>
              <w14:schemeClr w14:val="tx1"/>
            </w14:solidFill>
          </w14:textFill>
        </w:rPr>
        <w:t>、工程施工未对当地人群健康未带来不利影响。施工期人群健康措施已经落实，施工人员健康状况良好。</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w:t>
      </w:r>
      <w:r>
        <w:rPr>
          <w:rFonts w:hint="eastAsia" w:ascii="Times New Roman" w:hAnsi="Times New Roman" w:cs="Times New Roman"/>
          <w:color w:val="000000" w:themeColor="text1"/>
          <w:sz w:val="24"/>
          <w:szCs w:val="24"/>
          <w14:textFill>
            <w14:solidFill>
              <w14:schemeClr w14:val="tx1"/>
            </w14:solidFill>
          </w14:textFill>
        </w:rPr>
        <w:t>、项目不涉及拆迁安置，也未发现文物古迹。</w:t>
      </w:r>
    </w:p>
    <w:p>
      <w:pPr>
        <w:pStyle w:val="3"/>
        <w:rPr>
          <w:color w:val="000000" w:themeColor="text1"/>
          <w14:textFill>
            <w14:solidFill>
              <w14:schemeClr w14:val="tx1"/>
            </w14:solidFill>
          </w14:textFill>
        </w:rPr>
      </w:pPr>
      <w:bookmarkStart w:id="29" w:name="_Toc62202393"/>
      <w:r>
        <w:rPr>
          <w:rFonts w:hint="eastAsia"/>
          <w:color w:val="000000" w:themeColor="text1"/>
          <w14:textFill>
            <w14:solidFill>
              <w14:schemeClr w14:val="tx1"/>
            </w14:solidFill>
          </w14:textFill>
        </w:rPr>
        <w:t>5</w:t>
      </w:r>
      <w:r>
        <w:rPr>
          <w:color w:val="000000" w:themeColor="text1"/>
          <w14:textFill>
            <w14:solidFill>
              <w14:schemeClr w14:val="tx1"/>
            </w14:solidFill>
          </w14:textFill>
        </w:rPr>
        <w:t>.7 环境影响调查结论</w:t>
      </w:r>
      <w:bookmarkEnd w:id="29"/>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通过实地调查了解，本工程在施工期、调试期产生的实际环境影响与环境影响报告书中所预测的结果较为接近。由于建设、施工、运行管理单位及当地有关部门对工程建设期的生态环境保护给予了足够的重视，采取的措施得当、有效，工程实际环境影响比预测结果有所减轻。</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sectPr>
          <w:footerReference r:id="rId8" w:type="default"/>
          <w:pgSz w:w="11907" w:h="16840"/>
          <w:pgMar w:top="1531" w:right="1418" w:bottom="1531" w:left="1418" w:header="720" w:footer="720" w:gutter="0"/>
          <w:cols w:space="720" w:num="1"/>
          <w:docGrid w:linePitch="326" w:charSpace="0"/>
        </w:sectPr>
      </w:pPr>
    </w:p>
    <w:p>
      <w:pPr>
        <w:pStyle w:val="2"/>
        <w:rPr>
          <w:color w:val="000000" w:themeColor="text1"/>
          <w14:textFill>
            <w14:solidFill>
              <w14:schemeClr w14:val="tx1"/>
            </w14:solidFill>
          </w14:textFill>
        </w:rPr>
      </w:pPr>
      <w:bookmarkStart w:id="30" w:name="_Toc62202394"/>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 风险事故防范及应急措施调查</w:t>
      </w:r>
      <w:bookmarkEnd w:id="30"/>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金川奥伊诺矿业有限公司针对本项目施工和运行专门制定了《金川奥伊诺矿业有限公司业隆沟锂辉石矿采选尾工程突发环境事件应急预案》、《金川奥伊诺矿业有限公司业隆沟锂辉石矿采选尾工程环境及资源调查报告》、《金川奥伊诺矿业有限公司业隆沟锂辉石矿采选尾工程站环境风险评估报告》等，并完成了备案工作。</w:t>
      </w:r>
    </w:p>
    <w:p>
      <w:pPr>
        <w:pStyle w:val="3"/>
        <w:rPr>
          <w:color w:val="000000" w:themeColor="text1"/>
          <w14:textFill>
            <w14:solidFill>
              <w14:schemeClr w14:val="tx1"/>
            </w14:solidFill>
          </w14:textFill>
        </w:rPr>
      </w:pPr>
      <w:bookmarkStart w:id="31" w:name="_Toc62202395"/>
      <w:r>
        <w:rPr>
          <w:color w:val="000000" w:themeColor="text1"/>
          <w14:textFill>
            <w14:solidFill>
              <w14:schemeClr w14:val="tx1"/>
            </w14:solidFill>
          </w14:textFill>
        </w:rPr>
        <w:t>6.1 风险事故类型及应急措施调查</w:t>
      </w:r>
      <w:bookmarkEnd w:id="31"/>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.1.1 施工期风险事故类型及应急措施调查</w:t>
      </w:r>
    </w:p>
    <w:p>
      <w:pPr>
        <w:spacing w:line="360" w:lineRule="auto"/>
        <w:rPr>
          <w:rFonts w:ascii="Times New Roman" w:hAnsi="Times New Roman" w:cs="Times New Roman"/>
          <w:b/>
          <w:color w:val="000000" w:themeColor="text1"/>
          <w:sz w:val="24"/>
          <w:szCs w:val="24"/>
          <w14:textFill>
            <w14:solidFill>
              <w14:schemeClr w14:val="tx1"/>
            </w14:solidFill>
          </w14:textFill>
        </w:rPr>
      </w:pPr>
      <w:r>
        <w:rPr>
          <w:rFonts w:hint="eastAsia" w:ascii="Times New Roman" w:hAnsi="Times New Roman" w:cs="Times New Roman"/>
          <w:b/>
          <w:color w:val="000000" w:themeColor="text1"/>
          <w:sz w:val="24"/>
          <w:szCs w:val="24"/>
          <w14:textFill>
            <w14:solidFill>
              <w14:schemeClr w14:val="tx1"/>
            </w14:solidFill>
          </w14:textFill>
        </w:rPr>
        <w:t>6</w:t>
      </w:r>
      <w:r>
        <w:rPr>
          <w:rFonts w:ascii="Times New Roman" w:hAnsi="Times New Roman" w:cs="Times New Roman"/>
          <w:b/>
          <w:color w:val="000000" w:themeColor="text1"/>
          <w:sz w:val="24"/>
          <w:szCs w:val="24"/>
          <w14:textFill>
            <w14:solidFill>
              <w14:schemeClr w14:val="tx1"/>
            </w14:solidFill>
          </w14:textFill>
        </w:rPr>
        <w:t>.1.1.1 施工期燃油风险及应急措施调查</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工程施工油库主要是暂存施工机械所有的柴油、汽油及润滑油等，风险类型为泄漏、火灾和爆炸，危害因素主要为雷电、静电、电气火花、储罐腐蚀穿孔、阀门损坏、储罐冒罐等。工程设置有施工炸药库，其风险类型为爆炸，危害因素主要为雷电、静电、电气火花、人为因素等。</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油料的运输和储存均存在一定的环境风险。施工期业主在装运和发送燃油过程中严格遵循《危险化学品安全管理条例》，严格火源控制并配备了相应的消防器材，施工期未发生燃油风险事故。</w:t>
      </w:r>
    </w:p>
    <w:p>
      <w:pPr>
        <w:spacing w:line="360" w:lineRule="auto"/>
        <w:rPr>
          <w:rFonts w:ascii="Times New Roman" w:hAnsi="Times New Roman" w:cs="Times New Roman"/>
          <w:b/>
          <w:color w:val="000000" w:themeColor="text1"/>
          <w:sz w:val="24"/>
          <w:szCs w:val="24"/>
          <w14:textFill>
            <w14:solidFill>
              <w14:schemeClr w14:val="tx1"/>
            </w14:solidFill>
          </w14:textFill>
        </w:rPr>
      </w:pPr>
      <w:r>
        <w:rPr>
          <w:rFonts w:hint="eastAsia" w:ascii="Times New Roman" w:hAnsi="Times New Roman" w:cs="Times New Roman"/>
          <w:b/>
          <w:color w:val="000000" w:themeColor="text1"/>
          <w:sz w:val="24"/>
          <w:szCs w:val="24"/>
          <w14:textFill>
            <w14:solidFill>
              <w14:schemeClr w14:val="tx1"/>
            </w14:solidFill>
          </w14:textFill>
        </w:rPr>
        <w:t>6</w:t>
      </w:r>
      <w:r>
        <w:rPr>
          <w:rFonts w:ascii="Times New Roman" w:hAnsi="Times New Roman" w:cs="Times New Roman"/>
          <w:b/>
          <w:color w:val="000000" w:themeColor="text1"/>
          <w:sz w:val="24"/>
          <w:szCs w:val="24"/>
          <w14:textFill>
            <w14:solidFill>
              <w14:schemeClr w14:val="tx1"/>
            </w14:solidFill>
          </w14:textFill>
        </w:rPr>
        <w:t xml:space="preserve">.1.1.2 </w:t>
      </w:r>
      <w:r>
        <w:rPr>
          <w:rFonts w:hint="eastAsia" w:ascii="Times New Roman" w:hAnsi="Times New Roman" w:cs="Times New Roman"/>
          <w:b/>
          <w:color w:val="000000" w:themeColor="text1"/>
          <w:sz w:val="24"/>
          <w:szCs w:val="24"/>
          <w14:textFill>
            <w14:solidFill>
              <w14:schemeClr w14:val="tx1"/>
            </w14:solidFill>
          </w14:textFill>
        </w:rPr>
        <w:t>森林</w:t>
      </w:r>
      <w:r>
        <w:rPr>
          <w:rFonts w:ascii="Times New Roman" w:hAnsi="Times New Roman" w:cs="Times New Roman"/>
          <w:b/>
          <w:color w:val="000000" w:themeColor="text1"/>
          <w:sz w:val="24"/>
          <w:szCs w:val="24"/>
          <w14:textFill>
            <w14:solidFill>
              <w14:schemeClr w14:val="tx1"/>
            </w14:solidFill>
          </w14:textFill>
        </w:rPr>
        <w:t>火灾风险分析及应急措施调查</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工程施工期由于施工机械、燃油、电器以及施工人员增多，增加了火灾风险，将会对工程区内植被构成潜在威胁。</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本工程施工期建设单位及各施工单位均在施工区内建立了防火及火灾警报系统，严格执行野外用火的相关报批制度。除此之外，施工单位还不定期对施工人员进行防火宣传教育，并严格规范和限制施工人员的野外活动，严禁施工人员私自野外用火，作好吸烟和生活用火等火源管理，严格控制易燃易爆器材的使用，施工期未发生森林火灾事故。</w:t>
      </w:r>
    </w:p>
    <w:p>
      <w:pPr>
        <w:spacing w:line="360" w:lineRule="auto"/>
        <w:rPr>
          <w:rFonts w:ascii="Times New Roman" w:hAnsi="Times New Roman" w:cs="Times New Roman"/>
          <w:b/>
          <w:color w:val="000000" w:themeColor="text1"/>
          <w:sz w:val="24"/>
          <w:szCs w:val="24"/>
          <w14:textFill>
            <w14:solidFill>
              <w14:schemeClr w14:val="tx1"/>
            </w14:solidFill>
          </w14:textFill>
        </w:rPr>
      </w:pPr>
      <w:r>
        <w:rPr>
          <w:rFonts w:hint="eastAsia" w:ascii="Times New Roman" w:hAnsi="Times New Roman" w:cs="Times New Roman"/>
          <w:b/>
          <w:color w:val="000000" w:themeColor="text1"/>
          <w:sz w:val="24"/>
          <w:szCs w:val="24"/>
          <w14:textFill>
            <w14:solidFill>
              <w14:schemeClr w14:val="tx1"/>
            </w14:solidFill>
          </w14:textFill>
        </w:rPr>
        <w:t>6</w:t>
      </w:r>
      <w:r>
        <w:rPr>
          <w:rFonts w:ascii="Times New Roman" w:hAnsi="Times New Roman" w:cs="Times New Roman"/>
          <w:b/>
          <w:color w:val="000000" w:themeColor="text1"/>
          <w:sz w:val="24"/>
          <w:szCs w:val="24"/>
          <w14:textFill>
            <w14:solidFill>
              <w14:schemeClr w14:val="tx1"/>
            </w14:solidFill>
          </w14:textFill>
        </w:rPr>
        <w:t>.1.1.3 河流水质风险分析及应急措施调查</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建设单位对各参建单位在生产过程中贮存、运输、销毁废弃化学品、放射源等事故源进行调查，掌握各参建单位潜在事故源、环境污染物的产生、种类及分布情况，针对污染物的特点提出相应的应急措施。建立优先污染物的快速监测方法，购置优先污染物的快速监测设备，建立优先污染物的处置技术。</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按照突发事故严重性、紧急程度和可能波及的范围，对突发性环境污染事故的预警进行分级。根据事态的发展情况和采取措施的效果，预警可以升级、降级或解除。收集到的有关信息证明突发性环境污染事故即将发生或者发生的可能性增大时，按照相关应急预案执行。进入预警状态后，采取的措施：</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（1）立即启动相关应急预案。</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（2）发布预警公告。</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（3）转移、撤离或者疏散可能受到危害的人员，并进行妥善安置。</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（4）指令各环境应急救援队伍进入应急状态，公司移民环保部负责协调开展应急监测，随时掌握并报告事态进展情况。</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（5）针对突发事故可能造成的危害，封闭、隔离或者限制使用有关场所，中止可能导致危害扩大的行为和活动。</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（6）调集环境应急所需物资和设备，确保应急保障工作。</w: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.1.2 </w:t>
      </w:r>
      <w:r>
        <w:rPr>
          <w:rFonts w:hint="eastAsia"/>
          <w:color w:val="000000" w:themeColor="text1"/>
          <w14:textFill>
            <w14:solidFill>
              <w14:schemeClr w14:val="tx1"/>
            </w14:solidFill>
          </w14:textFill>
        </w:rPr>
        <w:t>调试期</w:t>
      </w:r>
      <w:r>
        <w:rPr>
          <w:color w:val="000000" w:themeColor="text1"/>
          <w14:textFill>
            <w14:solidFill>
              <w14:schemeClr w14:val="tx1"/>
            </w14:solidFill>
          </w14:textFill>
        </w:rPr>
        <w:t>环境风险分析及应急措施调查</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根据本工程的特点和调查分析，本工程运行时，主要存在危险品运输泄漏造成水体污染，以及因火灾造成大气污染，以及洪灾等环境风险事故。结合实际情况制定了《金川奥伊诺矿业有限公司业隆沟锂辉石矿采选尾工程突发环境事件应急预案》，预案针对不同工况分别从环境危险源分析、应急组织机构与职责、预警与响应、应急处置、后期处置、应急保障措施、应急培训与演练等方面建立环境事件风险防范体系，积极预防、及时控制、消除隐患，提高环境事件防范和处理能力，尽可能地避免或减少突发环境事件的发生，消除或减轻环境事件造成的中长期影响，最大程度保护公司及人民财产安全。</w:t>
      </w:r>
    </w:p>
    <w:p>
      <w:pPr>
        <w:pStyle w:val="3"/>
        <w:rPr>
          <w:color w:val="000000" w:themeColor="text1"/>
          <w14:textFill>
            <w14:solidFill>
              <w14:schemeClr w14:val="tx1"/>
            </w14:solidFill>
          </w14:textFill>
        </w:rPr>
      </w:pPr>
      <w:bookmarkStart w:id="32" w:name="_Toc62202396"/>
      <w:r>
        <w:rPr>
          <w:rFonts w:hint="eastAsia"/>
          <w:color w:val="000000" w:themeColor="text1"/>
          <w14:textFill>
            <w14:solidFill>
              <w14:schemeClr w14:val="tx1"/>
            </w14:solidFill>
          </w14:textFill>
        </w:rPr>
        <w:t>6</w:t>
      </w:r>
      <w:r>
        <w:rPr>
          <w:color w:val="000000" w:themeColor="text1"/>
          <w14:textFill>
            <w14:solidFill>
              <w14:schemeClr w14:val="tx1"/>
            </w14:solidFill>
          </w14:textFill>
        </w:rPr>
        <w:t>.2 环境风险事故防范与应急管理机构及制度调查</w:t>
      </w:r>
      <w:bookmarkEnd w:id="32"/>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金川奥伊诺矿业有限公司针对本项目施工和运行专门制定了《金川奥伊诺矿业有限公司业隆沟锂辉石矿采选尾工程突发环境事件应急预案》、《金川奥伊诺矿业有限公司业隆沟锂辉石矿采选尾工程环境及资源调查报告》、《金川奥伊诺矿业有限公司业隆沟锂辉石矿采选尾工程站环境风险评估报告》。</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以上应急预案是针对紧急突发性事故制定的。依据《国家突发公共事件总体应急预案》《安全生产法》《建设工程安全生产管理条例》等国家法律法规及集团公司要求，结合项目建设实际情况编制。</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以上应急预案本着“预防与应急救援并重”的原则和“以人为本”的指导思想，对突发紧急事件进行及时、有效地处理，以保证水电工程建设者生命安全，保障水电工程顺利进行，尽最大努力避免和降低突发事件造成的损失。</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本项目在施工期对各施工单位开展了应急救援宣传和培训教育，使员工正确认识施工中的危险，增强防范意识和自我保护能力，以及规避风险避免事故伤害的能力。项目运行维护人员为环境突发事件常备应急队伍，应急领导小组统一指挥，公司不定期对应急人员进行培训。</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金川奥伊诺矿业有限公司专门成立了突发事故应急准备及响应领导管理小组、现场处理组、专业抢救组、警戒维护组、医疗救护组、交通运输组、后勤保障组、善后处理组、机动预备组等完善的组织机构，各组职责如下：</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1）领导管理小组：日常应组织组员演习，熟悉紧急事件发生时应做好的工作和程序。负责定期组织小组成员对办公区及施工现场环境管理应急及响应工作的实施情况进行检查。定期分析施工人员的思想状况，做到心中有数。事故发生后指挥员要沉着冷静、及时观察，掌握突发事故的动态。</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2）现场处理组：主要任务是传达落实领导指示，报告事故处理情况，协调有关单位参与救援工作，完成现场总指挥要求落实的各项任务，提出抢险抢修及避免事故扩大的临时应急方案和措施；指导应急方案和措施的实施及完善；负责绘制事故现场平面图，标明重点部位，向外部救援机构提供准确的抢险救援技术资料；负责应急过程的记录、应急结果的评估及复工方案。</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3）专业抢救组：主要任务是控制事故，实施抢险救援应急方案和措施，负责抢险救援现场的安全防护，防止次生事故的发生对事故现场人员和设备进行救治、如灭火、打捞、工程拆除、开辟通道、关闭有毒有害气源和泄露源等。负责寻找受害者并转移至安全地带等；抢险救援结束后，报告领导管理小组，并对结果进行复查和评估。</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（4）警戒维护组：在事故现场周围建立警戒区域实施交通管制，维护现场治安秩序；负责设置警戒区域，维护现场秩序，疏通道路，组织危险区人员撤离，劝说围观群众离开事故现场。</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5</w:t>
      </w:r>
      <w:r>
        <w:rPr>
          <w:rFonts w:hint="eastAsia" w:ascii="Times New Roman" w:hAnsi="Times New Roman" w:cs="Times New Roman"/>
          <w:color w:val="000000" w:themeColor="text1"/>
          <w:sz w:val="24"/>
          <w:szCs w:val="24"/>
          <w14:textFill>
            <w14:solidFill>
              <w14:schemeClr w14:val="tx1"/>
            </w14:solidFill>
          </w14:textFill>
        </w:rPr>
        <w:t>）医疗救护组：设置现场救护所；负责与外部医疗、公安、救援等机构的联系协调，在专业医护未到达前，对受害者进行必要的抢救护理（如：人工呼吸、包扎止血、防止受伤部位受污染等）。</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（6）交通运输组：提供必须的抢险救援物资及设备；保证现场救援人员必须的防护、救护用品及生活物质的供给；负责现场急需物资、装备、药品等的运送。</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7）后勤保障组：负责现场人员的食宿安排，保障抢险救援物资的供应，协助处理伤员的救护工作。负责收集、分析和传递现场信息，确保与总指挥或副总指挥、公司以及外部联系畅通；负责组织对事发现场的拍照、摄像工作。</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（8）善后处理组：负责伤亡人员的善后处理工作，对死难、受伤人员家属的安抚、慰问工作，做好群众的思想稳定工作，妥善处理善后事宜，消除各种不安全、不稳定因素。</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sectPr>
          <w:footerReference r:id="rId9" w:type="default"/>
          <w:pgSz w:w="11907" w:h="16840"/>
          <w:pgMar w:top="1531" w:right="1418" w:bottom="1531" w:left="1418" w:header="720" w:footer="720" w:gutter="0"/>
          <w:cols w:space="720" w:num="1"/>
          <w:docGrid w:linePitch="326" w:charSpace="0"/>
        </w:sectPr>
      </w:pPr>
    </w:p>
    <w:p>
      <w:pPr>
        <w:pStyle w:val="2"/>
        <w:rPr>
          <w:color w:val="000000" w:themeColor="text1"/>
          <w14:textFill>
            <w14:solidFill>
              <w14:schemeClr w14:val="tx1"/>
            </w14:solidFill>
          </w14:textFill>
        </w:rPr>
      </w:pPr>
      <w:bookmarkStart w:id="33" w:name="_Toc62202397"/>
      <w:r>
        <w:rPr>
          <w:rFonts w:hint="eastAsia"/>
          <w:color w:val="000000" w:themeColor="text1"/>
          <w14:textFill>
            <w14:solidFill>
              <w14:schemeClr w14:val="tx1"/>
            </w14:solidFill>
          </w14:textFill>
        </w:rPr>
        <w:t>7</w:t>
      </w:r>
      <w:r>
        <w:rPr>
          <w:color w:val="000000" w:themeColor="text1"/>
          <w14:textFill>
            <w14:solidFill>
              <w14:schemeClr w14:val="tx1"/>
            </w14:solidFill>
          </w14:textFill>
        </w:rPr>
        <w:t xml:space="preserve"> 环境管理调查及监测计划落实情况调查</w:t>
      </w:r>
      <w:bookmarkEnd w:id="33"/>
    </w:p>
    <w:p>
      <w:pPr>
        <w:pStyle w:val="3"/>
        <w:rPr>
          <w:color w:val="000000" w:themeColor="text1"/>
          <w14:textFill>
            <w14:solidFill>
              <w14:schemeClr w14:val="tx1"/>
            </w14:solidFill>
          </w14:textFill>
        </w:rPr>
      </w:pPr>
      <w:bookmarkStart w:id="34" w:name="_Toc62202398"/>
      <w:r>
        <w:rPr>
          <w:rFonts w:hint="eastAsia"/>
          <w:color w:val="000000" w:themeColor="text1"/>
          <w14:textFill>
            <w14:solidFill>
              <w14:schemeClr w14:val="tx1"/>
            </w14:solidFill>
          </w14:textFill>
        </w:rPr>
        <w:t>7</w:t>
      </w:r>
      <w:r>
        <w:rPr>
          <w:color w:val="000000" w:themeColor="text1"/>
          <w14:textFill>
            <w14:solidFill>
              <w14:schemeClr w14:val="tx1"/>
            </w14:solidFill>
          </w14:textFill>
        </w:rPr>
        <w:t>.1 环境管理机构调查</w:t>
      </w:r>
      <w:bookmarkEnd w:id="34"/>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本项目在施工期和运行以后的环境管理工作由金川奥伊诺矿业有限公司具体负责，公司建有完善的环境管理机构负责完成本工程环境管理工作，详见图7</w:t>
      </w:r>
      <w:r>
        <w:rPr>
          <w:rFonts w:ascii="Times New Roman" w:hAnsi="Times New Roman" w:cs="Times New Roman"/>
          <w:color w:val="000000" w:themeColor="text1"/>
          <w:sz w:val="24"/>
          <w:szCs w:val="24"/>
          <w14:textFill>
            <w14:solidFill>
              <w14:schemeClr w14:val="tx1"/>
            </w14:solidFill>
          </w14:textFill>
        </w:rPr>
        <w:t>.1</w:t>
      </w:r>
      <w:r>
        <w:rPr>
          <w:rFonts w:hint="eastAsia" w:ascii="Times New Roman" w:hAnsi="Times New Roman" w:cs="Times New Roman"/>
          <w:color w:val="000000" w:themeColor="text1"/>
          <w:sz w:val="24"/>
          <w:szCs w:val="24"/>
          <w14:textFill>
            <w14:solidFill>
              <w14:schemeClr w14:val="tx1"/>
            </w14:solidFill>
          </w14:textFill>
        </w:rPr>
        <w:t>-1。</w:t>
      </w:r>
    </w:p>
    <w:p>
      <w:pPr>
        <w:spacing w:line="300" w:lineRule="auto"/>
        <w:jc w:val="center"/>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1329055</wp:posOffset>
                </wp:positionH>
                <wp:positionV relativeFrom="paragraph">
                  <wp:posOffset>97155</wp:posOffset>
                </wp:positionV>
                <wp:extent cx="2555240" cy="297180"/>
                <wp:effectExtent l="0" t="0" r="16510" b="26670"/>
                <wp:wrapNone/>
                <wp:docPr id="48" name="文本框 48"/>
                <wp:cNvGraphicFramePr/>
                <a:graphic xmlns:a="http://schemas.openxmlformats.org/drawingml/2006/main">
                  <a:graphicData uri="http://schemas.microsoft.com/office/word/2010/wordprocessingShape">
                    <wps:wsp>
                      <wps:cNvSpPr txBox="1">
                        <a:spLocks noChangeArrowheads="1"/>
                      </wps:cNvSpPr>
                      <wps:spPr bwMode="auto">
                        <a:xfrm>
                          <a:off x="0" y="0"/>
                          <a:ext cx="2555240" cy="297180"/>
                        </a:xfrm>
                        <a:prstGeom prst="rect">
                          <a:avLst/>
                        </a:prstGeom>
                        <a:solidFill>
                          <a:srgbClr val="FFFFFF"/>
                        </a:solidFill>
                        <a:ln w="9525">
                          <a:solidFill>
                            <a:srgbClr val="000000"/>
                          </a:solidFill>
                          <a:miter lim="800000"/>
                        </a:ln>
                      </wps:spPr>
                      <wps:txbx>
                        <w:txbxContent>
                          <w:p>
                            <w:pPr>
                              <w:pStyle w:val="61"/>
                            </w:pPr>
                            <w:r>
                              <w:rPr>
                                <w:rFonts w:hint="eastAsia"/>
                              </w:rPr>
                              <w:t>金川奥伊诺矿业有限公司</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04.65pt;margin-top:7.65pt;height:23.4pt;width:201.2pt;z-index:251663360;mso-width-relative:page;mso-height-relative:page;" fillcolor="#FFFFFF" filled="t" stroked="t" coordsize="21600,21600" o:gfxdata="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ArBLuzYAAAACQEAAA8AAAAAAAAAAQAgAAAAIgAA&#10;AGRycy9kb3ducmV2LnhtbFBLAQIUABQAAAAIAIdO4kAzF041QQIAAIkEAAAOAAAAAAAAAAEAIAAA&#10;ACcBAABkcnMvZTJvRG9jLnhtbFBLBQYAAAAABgAGAFkBAADaBQAAAAA=&#10;">
                <v:fill on="t" focussize="0,0"/>
                <v:stroke color="#000000" miterlimit="8" joinstyle="miter"/>
                <v:imagedata o:title=""/>
                <o:lock v:ext="edit" aspectratio="f"/>
                <v:textbox>
                  <w:txbxContent>
                    <w:p>
                      <w:pPr>
                        <w:pStyle w:val="61"/>
                      </w:pPr>
                      <w:r>
                        <w:rPr>
                          <w:rFonts w:hint="eastAsia"/>
                        </w:rPr>
                        <w:t>金川奥伊诺矿业有限公司</w:t>
                      </w:r>
                    </w:p>
                  </w:txbxContent>
                </v:textbox>
              </v:shape>
            </w:pict>
          </mc:Fallback>
        </mc:AlternateContent>
      </w:r>
    </w:p>
    <w:p>
      <w:pPr>
        <w:spacing w:line="300" w:lineRule="auto"/>
        <w:jc w:val="center"/>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3030" distR="113030" simplePos="0" relativeHeight="251664384" behindDoc="0" locked="0" layoutInCell="1" allowOverlap="1">
                <wp:simplePos x="0" y="0"/>
                <wp:positionH relativeFrom="column">
                  <wp:posOffset>2616835</wp:posOffset>
                </wp:positionH>
                <wp:positionV relativeFrom="paragraph">
                  <wp:posOffset>190500</wp:posOffset>
                </wp:positionV>
                <wp:extent cx="0" cy="235585"/>
                <wp:effectExtent l="76200" t="0" r="57150" b="50165"/>
                <wp:wrapNone/>
                <wp:docPr id="47" name="直接连接符 47"/>
                <wp:cNvGraphicFramePr/>
                <a:graphic xmlns:a="http://schemas.openxmlformats.org/drawingml/2006/main">
                  <a:graphicData uri="http://schemas.microsoft.com/office/word/2010/wordprocessingShape">
                    <wps:wsp>
                      <wps:cNvCnPr>
                        <a:cxnSpLocks noChangeShapeType="1"/>
                      </wps:cNvCnPr>
                      <wps:spPr bwMode="auto">
                        <a:xfrm>
                          <a:off x="0" y="0"/>
                          <a:ext cx="0" cy="235612"/>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06.05pt;margin-top:15pt;height:18.55pt;width:0pt;z-index:251664384;mso-width-relative:page;mso-height-relative:page;" filled="f" stroked="t" coordsize="21600,21600" o:gfxdata="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qxuj22AAAAAkBAAAPAAAAAAAAAAEAIAAAACIAAABkcnMvZG93bnJl&#10;di54bWxQSwECFAAUAAAACACHTuJAmhqDOf0BAADZAwAADgAAAAAAAAABACAAAAAnAQAAZHJzL2Uy&#10;b0RvYy54bWxQSwUGAAAAAAYABgBZAQAAlgUAAAAA&#10;">
                <v:fill on="f" focussize="0,0"/>
                <v:stroke color="#000000" joinstyle="round" endarrow="block"/>
                <v:imagedata o:title=""/>
                <o:lock v:ext="edit" aspectratio="f"/>
              </v:line>
            </w:pict>
          </mc:Fallback>
        </mc:AlternateContent>
      </w:r>
    </w:p>
    <w:p>
      <w:pPr>
        <w:spacing w:line="300" w:lineRule="auto"/>
        <w:ind w:firstLine="2100" w:firstLineChars="1000"/>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3030" distR="113030" simplePos="0" relativeHeight="251669504" behindDoc="0" locked="0" layoutInCell="1" allowOverlap="1">
                <wp:simplePos x="0" y="0"/>
                <wp:positionH relativeFrom="column">
                  <wp:posOffset>4422775</wp:posOffset>
                </wp:positionH>
                <wp:positionV relativeFrom="paragraph">
                  <wp:posOffset>211455</wp:posOffset>
                </wp:positionV>
                <wp:extent cx="1270" cy="229870"/>
                <wp:effectExtent l="76200" t="0" r="74930" b="55880"/>
                <wp:wrapNone/>
                <wp:docPr id="46" name="直接连接符 46"/>
                <wp:cNvGraphicFramePr/>
                <a:graphic xmlns:a="http://schemas.openxmlformats.org/drawingml/2006/main">
                  <a:graphicData uri="http://schemas.microsoft.com/office/word/2010/wordprocessingShape">
                    <wps:wsp>
                      <wps:cNvCnPr>
                        <a:cxnSpLocks noChangeShapeType="1"/>
                      </wps:cNvCnPr>
                      <wps:spPr bwMode="auto">
                        <a:xfrm>
                          <a:off x="0" y="0"/>
                          <a:ext cx="1270" cy="230002"/>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348.25pt;margin-top:16.65pt;height:18.1pt;width:0.1pt;z-index:251669504;mso-width-relative:page;mso-height-relative:page;" filled="f" stroked="t" coordsize="21600,21600" o:gfxdata="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viXYXZAAAACQEAAA8AAAAAAAAAAQAgAAAAIgAAAGRycy9k&#10;b3ducmV2LnhtbFBLAQIUABQAAAAIAIdO4kB+9ZixAQIAANwDAAAOAAAAAAAAAAEAIAAAACgBAABk&#10;cnMvZTJvRG9jLnhtbFBLBQYAAAAABgAGAFkBAACbBQAAAAA=&#10;">
                <v:fill on="f" focussize="0,0"/>
                <v:stroke color="#000000" joinstyle="round" endarrow="block"/>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113030" distR="113030" simplePos="0" relativeHeight="251666432" behindDoc="0" locked="0" layoutInCell="1" allowOverlap="1">
                <wp:simplePos x="0" y="0"/>
                <wp:positionH relativeFrom="column">
                  <wp:posOffset>1068070</wp:posOffset>
                </wp:positionH>
                <wp:positionV relativeFrom="paragraph">
                  <wp:posOffset>211455</wp:posOffset>
                </wp:positionV>
                <wp:extent cx="0" cy="229870"/>
                <wp:effectExtent l="76200" t="0" r="57150" b="55880"/>
                <wp:wrapNone/>
                <wp:docPr id="44" name="直接连接符 44"/>
                <wp:cNvGraphicFramePr/>
                <a:graphic xmlns:a="http://schemas.openxmlformats.org/drawingml/2006/main">
                  <a:graphicData uri="http://schemas.microsoft.com/office/word/2010/wordprocessingShape">
                    <wps:wsp>
                      <wps:cNvCnPr>
                        <a:cxnSpLocks noChangeShapeType="1"/>
                      </wps:cNvCnPr>
                      <wps:spPr bwMode="auto">
                        <a:xfrm>
                          <a:off x="0" y="0"/>
                          <a:ext cx="0" cy="230002"/>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84.1pt;margin-top:16.65pt;height:18.1pt;width:0pt;z-index:251666432;mso-width-relative:page;mso-height-relative:page;" filled="f" stroked="t" coordsize="21600,21600" o:gfxdata="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ZTYO99kAAAAJAQAADwAAAAAAAAABACAAAAAiAAAAZHJzL2Rvd25y&#10;ZXYueG1sUEsBAhQAFAAAAAgAh07iQHL+Q/39AQAA2QMAAA4AAAAAAAAAAQAgAAAAKAEAAGRycy9l&#10;Mm9Eb2MueG1sUEsFBgAAAAAGAAYAWQEAAJcFAAAAAA==&#10;">
                <v:fill on="f" focussize="0,0"/>
                <v:stroke color="#000000" joinstyle="round" endarrow="block"/>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1066800</wp:posOffset>
                </wp:positionH>
                <wp:positionV relativeFrom="paragraph">
                  <wp:posOffset>210185</wp:posOffset>
                </wp:positionV>
                <wp:extent cx="3352800" cy="0"/>
                <wp:effectExtent l="0" t="0" r="19050" b="19050"/>
                <wp:wrapNone/>
                <wp:docPr id="45" name="直接连接符 45"/>
                <wp:cNvGraphicFramePr/>
                <a:graphic xmlns:a="http://schemas.openxmlformats.org/drawingml/2006/main">
                  <a:graphicData uri="http://schemas.microsoft.com/office/word/2010/wordprocessingShape">
                    <wps:wsp>
                      <wps:cNvCnPr>
                        <a:cxnSpLocks noChangeShapeType="1"/>
                      </wps:cNvCnPr>
                      <wps:spPr bwMode="auto">
                        <a:xfrm>
                          <a:off x="0" y="0"/>
                          <a:ext cx="33528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84pt;margin-top:16.55pt;height:0pt;width:264pt;z-index:251665408;mso-width-relative:page;mso-height-relative:page;" filled="f" stroked="t" coordsize="21600,21600" o:gfxdata="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gW/9JNUAAAAJ&#10;AQAADwAAAAAAAAABACAAAAAiAAAAZHJzL2Rvd25yZXYueG1sUEsBAhQAFAAAAAgAh07iQO2WxTzm&#10;AQAArAMAAA4AAAAAAAAAAQAgAAAAJAEAAGRycy9lMm9Eb2MueG1sUEsFBgAAAAAGAAYAWQEAAHwF&#10;AAAAAA==&#10;">
                <v:fill on="f" focussize="0,0"/>
                <v:stroke color="#000000" joinstyle="round"/>
                <v:imagedata o:title=""/>
                <o:lock v:ext="edit" aspectratio="f"/>
              </v:line>
            </w:pict>
          </mc:Fallback>
        </mc:AlternateContent>
      </w:r>
      <w:r>
        <w:rPr>
          <w:color w:val="000000" w:themeColor="text1"/>
          <w:szCs w:val="21"/>
          <w14:textFill>
            <w14:solidFill>
              <w14:schemeClr w14:val="tx1"/>
            </w14:solidFill>
          </w14:textFill>
        </w:rPr>
        <w:t xml:space="preserve">施工期 </w:t>
      </w:r>
      <w:r>
        <w:rPr>
          <w:color w:val="000000" w:themeColor="text1"/>
          <w14:textFill>
            <w14:solidFill>
              <w14:schemeClr w14:val="tx1"/>
            </w14:solidFill>
          </w14:textFill>
        </w:rPr>
        <w:t xml:space="preserve">                     </w:t>
      </w:r>
      <w:r>
        <w:rPr>
          <w:color w:val="000000" w:themeColor="text1"/>
          <w:szCs w:val="21"/>
          <w14:textFill>
            <w14:solidFill>
              <w14:schemeClr w14:val="tx1"/>
            </w14:solidFill>
          </w14:textFill>
        </w:rPr>
        <w:t xml:space="preserve"> </w:t>
      </w:r>
      <w:r>
        <w:rPr>
          <w:rFonts w:hint="eastAsia"/>
          <w:color w:val="000000" w:themeColor="text1"/>
          <w:szCs w:val="21"/>
          <w14:textFill>
            <w14:solidFill>
              <w14:schemeClr w14:val="tx1"/>
            </w14:solidFill>
          </w14:textFill>
        </w:rPr>
        <w:t>运营</w:t>
      </w:r>
      <w:r>
        <w:rPr>
          <w:color w:val="000000" w:themeColor="text1"/>
          <w:szCs w:val="21"/>
          <w14:textFill>
            <w14:solidFill>
              <w14:schemeClr w14:val="tx1"/>
            </w14:solidFill>
          </w14:textFill>
        </w:rPr>
        <w:t>期</w:t>
      </w:r>
    </w:p>
    <w:p>
      <w:pPr>
        <w:spacing w:line="300" w:lineRule="auto"/>
        <w:jc w:val="center"/>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74624" behindDoc="0" locked="0" layoutInCell="1" allowOverlap="1">
                <wp:simplePos x="0" y="0"/>
                <wp:positionH relativeFrom="column">
                  <wp:posOffset>76200</wp:posOffset>
                </wp:positionH>
                <wp:positionV relativeFrom="paragraph">
                  <wp:posOffset>224155</wp:posOffset>
                </wp:positionV>
                <wp:extent cx="1600200" cy="297180"/>
                <wp:effectExtent l="0" t="0" r="19050" b="26670"/>
                <wp:wrapNone/>
                <wp:docPr id="42" name="文本框 42"/>
                <wp:cNvGraphicFramePr/>
                <a:graphic xmlns:a="http://schemas.openxmlformats.org/drawingml/2006/main">
                  <a:graphicData uri="http://schemas.microsoft.com/office/word/2010/wordprocessingShape">
                    <wps:wsp>
                      <wps:cNvSpPr txBox="1">
                        <a:spLocks noChangeArrowheads="1"/>
                      </wps:cNvSpPr>
                      <wps:spPr bwMode="auto">
                        <a:xfrm>
                          <a:off x="0" y="0"/>
                          <a:ext cx="1600200" cy="297180"/>
                        </a:xfrm>
                        <a:prstGeom prst="rect">
                          <a:avLst/>
                        </a:prstGeom>
                        <a:solidFill>
                          <a:srgbClr val="FFFFFF"/>
                        </a:solidFill>
                        <a:ln w="9525">
                          <a:solidFill>
                            <a:srgbClr val="000000"/>
                          </a:solidFill>
                          <a:miter lim="800000"/>
                        </a:ln>
                      </wps:spPr>
                      <wps:txbx>
                        <w:txbxContent>
                          <w:p>
                            <w:pPr>
                              <w:pStyle w:val="61"/>
                            </w:pPr>
                            <w:r>
                              <w:rPr>
                                <w:rFonts w:hint="eastAsia"/>
                              </w:rPr>
                              <w:t>工程指挥部</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6pt;margin-top:17.65pt;height:23.4pt;width:126pt;z-index:251674624;mso-width-relative:page;mso-height-relative:page;" fillcolor="#FFFFFF" filled="t" stroked="t" coordsize="21600,21600" o:gfxdata="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vIQ4L1gAAAAgBAAAPAAAAAAAAAAEAIAAAACIAAABk&#10;cnMvZG93bnJldi54bWxQSwECFAAUAAAACACHTuJAW/gdHEECAACJBAAADgAAAAAAAAABACAAAAAl&#10;AQAAZHJzL2Uyb0RvYy54bWxQSwUGAAAAAAYABgBZAQAA2AUAAAAA&#10;">
                <v:fill on="t" focussize="0,0"/>
                <v:stroke color="#000000" miterlimit="8" joinstyle="miter"/>
                <v:imagedata o:title=""/>
                <o:lock v:ext="edit" aspectratio="f"/>
                <v:textbox>
                  <w:txbxContent>
                    <w:p>
                      <w:pPr>
                        <w:pStyle w:val="61"/>
                      </w:pPr>
                      <w:r>
                        <w:rPr>
                          <w:rFonts w:hint="eastAsia"/>
                        </w:rPr>
                        <w:t>工程指挥部</w:t>
                      </w:r>
                    </w:p>
                  </w:txbxContent>
                </v:textbox>
              </v:shape>
            </w:pict>
          </mc:Fallback>
        </mc:AlternateContent>
      </w:r>
    </w:p>
    <w:p>
      <w:pPr>
        <w:spacing w:line="300" w:lineRule="auto"/>
        <w:jc w:val="center"/>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71552" behindDoc="0" locked="0" layoutInCell="1" allowOverlap="1">
                <wp:simplePos x="0" y="0"/>
                <wp:positionH relativeFrom="column">
                  <wp:posOffset>3614420</wp:posOffset>
                </wp:positionH>
                <wp:positionV relativeFrom="paragraph">
                  <wp:posOffset>9525</wp:posOffset>
                </wp:positionV>
                <wp:extent cx="1647825" cy="297180"/>
                <wp:effectExtent l="0" t="0" r="28575" b="26670"/>
                <wp:wrapNone/>
                <wp:docPr id="43" name="文本框 43"/>
                <wp:cNvGraphicFramePr/>
                <a:graphic xmlns:a="http://schemas.openxmlformats.org/drawingml/2006/main">
                  <a:graphicData uri="http://schemas.microsoft.com/office/word/2010/wordprocessingShape">
                    <wps:wsp>
                      <wps:cNvSpPr txBox="1">
                        <a:spLocks noChangeArrowheads="1"/>
                      </wps:cNvSpPr>
                      <wps:spPr bwMode="auto">
                        <a:xfrm>
                          <a:off x="0" y="0"/>
                          <a:ext cx="1647825" cy="297180"/>
                        </a:xfrm>
                        <a:prstGeom prst="rect">
                          <a:avLst/>
                        </a:prstGeom>
                        <a:solidFill>
                          <a:srgbClr val="FFFFFF"/>
                        </a:solidFill>
                        <a:ln w="9525">
                          <a:solidFill>
                            <a:srgbClr val="000000"/>
                          </a:solidFill>
                          <a:miter lim="800000"/>
                        </a:ln>
                      </wps:spPr>
                      <wps:txbx>
                        <w:txbxContent>
                          <w:p>
                            <w:pPr>
                              <w:pStyle w:val="61"/>
                            </w:pPr>
                            <w:r>
                              <w:rPr>
                                <w:rFonts w:hint="eastAsia"/>
                              </w:rPr>
                              <w:t>环保第一责任人（总经理）</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84.6pt;margin-top:0.75pt;height:23.4pt;width:129.75pt;z-index:251671552;mso-width-relative:page;mso-height-relative:page;" fillcolor="#FFFFFF" filled="t" stroked="t" coordsize="21600,21600" o:gfxdata="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GPC9E7YAAAACAEAAA8AAAAAAAAAAQAgAAAAIgAA&#10;AGRycy9kb3ducmV2LnhtbFBLAQIUABQAAAAIAIdO4kBEs93fQQIAAIkEAAAOAAAAAAAAAAEAIAAA&#10;ACcBAABkcnMvZTJvRG9jLnhtbFBLBQYAAAAABgAGAFkBAADaBQAAAAA=&#10;">
                <v:fill on="t" focussize="0,0"/>
                <v:stroke color="#000000" miterlimit="8" joinstyle="miter"/>
                <v:imagedata o:title=""/>
                <o:lock v:ext="edit" aspectratio="f"/>
                <v:textbox>
                  <w:txbxContent>
                    <w:p>
                      <w:pPr>
                        <w:pStyle w:val="61"/>
                      </w:pPr>
                      <w:r>
                        <w:rPr>
                          <w:rFonts w:hint="eastAsia"/>
                        </w:rPr>
                        <w:t>环保第一责任人（总经理）</w:t>
                      </w:r>
                    </w:p>
                  </w:txbxContent>
                </v:textbox>
              </v:shape>
            </w:pict>
          </mc:Fallback>
        </mc:AlternateContent>
      </w:r>
    </w:p>
    <w:p>
      <w:pPr>
        <w:spacing w:line="300" w:lineRule="auto"/>
        <w:jc w:val="center"/>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3030" distR="113030" simplePos="0" relativeHeight="251667456" behindDoc="0" locked="0" layoutInCell="1" allowOverlap="1">
                <wp:simplePos x="0" y="0"/>
                <wp:positionH relativeFrom="column">
                  <wp:posOffset>989965</wp:posOffset>
                </wp:positionH>
                <wp:positionV relativeFrom="paragraph">
                  <wp:posOffset>8890</wp:posOffset>
                </wp:positionV>
                <wp:extent cx="0" cy="252730"/>
                <wp:effectExtent l="76200" t="0" r="57150" b="52705"/>
                <wp:wrapNone/>
                <wp:docPr id="40" name="直接连接符 40"/>
                <wp:cNvGraphicFramePr/>
                <a:graphic xmlns:a="http://schemas.openxmlformats.org/drawingml/2006/main">
                  <a:graphicData uri="http://schemas.microsoft.com/office/word/2010/wordprocessingShape">
                    <wps:wsp>
                      <wps:cNvCnPr>
                        <a:cxnSpLocks noChangeShapeType="1"/>
                      </wps:cNvCnPr>
                      <wps:spPr bwMode="auto">
                        <a:xfrm>
                          <a:off x="0" y="0"/>
                          <a:ext cx="0" cy="252442"/>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77.95pt;margin-top:0.7pt;height:19.9pt;width:0pt;z-index:251667456;mso-width-relative:page;mso-height-relative:page;" filled="f" stroked="t" coordsize="21600,21600" o:gfxdata="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Nuy0XXAAAACAEAAA8AAAAAAAAAAQAgAAAAIgAAAGRycy9kb3ducmV2&#10;LnhtbFBLAQIUABQAAAAIAIdO4kB5nMLm/QEAANkDAAAOAAAAAAAAAAEAIAAAACYBAABkcnMvZTJv&#10;RG9jLnhtbFBLBQYAAAAABgAGAFkBAACVBQAAAAA=&#10;">
                <v:fill on="f" focussize="0,0"/>
                <v:stroke color="#000000" joinstyle="round" endarrow="block"/>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113030" distR="113030" simplePos="0" relativeHeight="251668480" behindDoc="0" locked="0" layoutInCell="1" allowOverlap="1">
                <wp:simplePos x="0" y="0"/>
                <wp:positionH relativeFrom="column">
                  <wp:posOffset>4418965</wp:posOffset>
                </wp:positionH>
                <wp:positionV relativeFrom="paragraph">
                  <wp:posOffset>9525</wp:posOffset>
                </wp:positionV>
                <wp:extent cx="0" cy="297180"/>
                <wp:effectExtent l="76200" t="0" r="57150" b="64770"/>
                <wp:wrapNone/>
                <wp:docPr id="41" name="直接连接符 41"/>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347.95pt;margin-top:0.75pt;height:23.4pt;width:0pt;z-index:251668480;mso-width-relative:page;mso-height-relative:page;" filled="f" stroked="t" coordsize="21600,21600" o:gfxdata="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3nVejXAAAACAEAAA8AAAAAAAAAAQAgAAAAIgAAAGRycy9kb3ducmV2&#10;LnhtbFBLAQIUABQAAAAIAIdO4kCe3u1e/QEAANkDAAAOAAAAAAAAAAEAIAAAACYBAABkcnMvZTJv&#10;RG9jLnhtbFBLBQYAAAAABgAGAFkBAACVBQAAAAA=&#10;">
                <v:fill on="f" focussize="0,0"/>
                <v:stroke color="#000000" joinstyle="round" endarrow="block"/>
                <v:imagedata o:title=""/>
                <o:lock v:ext="edit" aspectratio="f"/>
              </v:line>
            </w:pict>
          </mc:Fallback>
        </mc:AlternateContent>
      </w:r>
    </w:p>
    <w:p>
      <w:pPr>
        <w:spacing w:line="300" w:lineRule="auto"/>
        <w:jc w:val="center"/>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column">
                  <wp:posOffset>3581400</wp:posOffset>
                </wp:positionH>
                <wp:positionV relativeFrom="paragraph">
                  <wp:posOffset>114935</wp:posOffset>
                </wp:positionV>
                <wp:extent cx="1447800" cy="297180"/>
                <wp:effectExtent l="0" t="0" r="19050" b="26670"/>
                <wp:wrapNone/>
                <wp:docPr id="39" name="文本框 39"/>
                <wp:cNvGraphicFramePr/>
                <a:graphic xmlns:a="http://schemas.openxmlformats.org/drawingml/2006/main">
                  <a:graphicData uri="http://schemas.microsoft.com/office/word/2010/wordprocessingShape">
                    <wps:wsp>
                      <wps:cNvSpPr txBox="1">
                        <a:spLocks noChangeArrowheads="1"/>
                      </wps:cNvSpPr>
                      <wps:spPr bwMode="auto">
                        <a:xfrm>
                          <a:off x="0" y="0"/>
                          <a:ext cx="1447800" cy="297180"/>
                        </a:xfrm>
                        <a:prstGeom prst="rect">
                          <a:avLst/>
                        </a:prstGeom>
                        <a:solidFill>
                          <a:srgbClr val="FFFFFF"/>
                        </a:solidFill>
                        <a:ln w="9525">
                          <a:solidFill>
                            <a:srgbClr val="000000"/>
                          </a:solidFill>
                          <a:miter lim="800000"/>
                        </a:ln>
                      </wps:spPr>
                      <wps:txbx>
                        <w:txbxContent>
                          <w:p>
                            <w:pPr>
                              <w:pStyle w:val="61"/>
                            </w:pPr>
                            <w:r>
                              <w:rPr>
                                <w:rFonts w:hint="eastAsia"/>
                              </w:rPr>
                              <w:t>专职环保工程师</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82pt;margin-top:9.05pt;height:23.4pt;width:114pt;z-index:251672576;mso-width-relative:page;mso-height-relative:page;" fillcolor="#FFFFFF" filled="t" stroked="t" coordsize="21600,21600" o:gfxdata="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C5aX3NgAAAAJAQAADwAAAAAAAAABACAAAAAi&#10;AAAAZHJzL2Rvd25yZXYueG1sUEsBAhQAFAAAAAgAh07iQEaAn1JDAgAAiQQAAA4AAAAAAAAAAQAg&#10;AAAAJwEAAGRycy9lMm9Eb2MueG1sUEsFBgAAAAAGAAYAWQEAANwFAAAAAA==&#10;">
                <v:fill on="t" focussize="0,0"/>
                <v:stroke color="#000000" miterlimit="8" joinstyle="miter"/>
                <v:imagedata o:title=""/>
                <o:lock v:ext="edit" aspectratio="f"/>
                <v:textbox>
                  <w:txbxContent>
                    <w:p>
                      <w:pPr>
                        <w:pStyle w:val="61"/>
                      </w:pPr>
                      <w:r>
                        <w:rPr>
                          <w:rFonts w:hint="eastAsia"/>
                        </w:rPr>
                        <w:t>专职环保工程师</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column">
                  <wp:posOffset>76200</wp:posOffset>
                </wp:positionH>
                <wp:positionV relativeFrom="paragraph">
                  <wp:posOffset>57785</wp:posOffset>
                </wp:positionV>
                <wp:extent cx="1524000" cy="297180"/>
                <wp:effectExtent l="0" t="0" r="19050" b="26670"/>
                <wp:wrapNone/>
                <wp:docPr id="38" name="文本框 38"/>
                <wp:cNvGraphicFramePr/>
                <a:graphic xmlns:a="http://schemas.openxmlformats.org/drawingml/2006/main">
                  <a:graphicData uri="http://schemas.microsoft.com/office/word/2010/wordprocessingShape">
                    <wps:wsp>
                      <wps:cNvSpPr txBox="1">
                        <a:spLocks noChangeArrowheads="1"/>
                      </wps:cNvSpPr>
                      <wps:spPr bwMode="auto">
                        <a:xfrm>
                          <a:off x="0" y="0"/>
                          <a:ext cx="1524000" cy="297180"/>
                        </a:xfrm>
                        <a:prstGeom prst="rect">
                          <a:avLst/>
                        </a:prstGeom>
                        <a:solidFill>
                          <a:srgbClr val="FFFFFF"/>
                        </a:solidFill>
                        <a:ln w="9525">
                          <a:solidFill>
                            <a:srgbClr val="000000"/>
                          </a:solidFill>
                          <a:miter lim="800000"/>
                        </a:ln>
                      </wps:spPr>
                      <wps:txbx>
                        <w:txbxContent>
                          <w:p>
                            <w:pPr>
                              <w:pStyle w:val="61"/>
                            </w:pPr>
                            <w:r>
                              <w:rPr>
                                <w:rFonts w:hint="eastAsia"/>
                              </w:rPr>
                              <w:t>环境保护管理领导小组</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6pt;margin-top:4.55pt;height:23.4pt;width:120pt;z-index:251670528;mso-width-relative:page;mso-height-relative:page;" fillcolor="#FFFFFF" filled="t" stroked="t" coordsize="21600,21600" o:gfxdata="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6ngZ09YAAAAHAQAADwAAAAAAAAABACAAAAAi&#10;AAAAZHJzL2Rvd25yZXYueG1sUEsBAhQAFAAAAAgAh07iQMMtS2RFAgAAiQQAAA4AAAAAAAAAAQAg&#10;AAAAJQEAAGRycy9lMm9Eb2MueG1sUEsFBgAAAAAGAAYAWQEAANwFAAAAAA==&#10;">
                <v:fill on="t" focussize="0,0"/>
                <v:stroke color="#000000" miterlimit="8" joinstyle="miter"/>
                <v:imagedata o:title=""/>
                <o:lock v:ext="edit" aspectratio="f"/>
                <v:textbox>
                  <w:txbxContent>
                    <w:p>
                      <w:pPr>
                        <w:pStyle w:val="61"/>
                      </w:pPr>
                      <w:r>
                        <w:rPr>
                          <w:rFonts w:hint="eastAsia"/>
                        </w:rPr>
                        <w:t>环境保护管理领导小组</w:t>
                      </w:r>
                    </w:p>
                  </w:txbxContent>
                </v:textbox>
              </v:shape>
            </w:pict>
          </mc:Fallback>
        </mc:AlternateContent>
      </w:r>
    </w:p>
    <w:p>
      <w:pPr>
        <w:spacing w:line="300" w:lineRule="auto"/>
        <w:jc w:val="center"/>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77696" behindDoc="0" locked="0" layoutInCell="1" allowOverlap="1">
                <wp:simplePos x="0" y="0"/>
                <wp:positionH relativeFrom="column">
                  <wp:posOffset>947420</wp:posOffset>
                </wp:positionH>
                <wp:positionV relativeFrom="paragraph">
                  <wp:posOffset>154940</wp:posOffset>
                </wp:positionV>
                <wp:extent cx="0" cy="101600"/>
                <wp:effectExtent l="76200" t="0" r="57150" b="50800"/>
                <wp:wrapNone/>
                <wp:docPr id="2" name="直接连接符 2"/>
                <wp:cNvGraphicFramePr/>
                <a:graphic xmlns:a="http://schemas.openxmlformats.org/drawingml/2006/main">
                  <a:graphicData uri="http://schemas.microsoft.com/office/word/2010/wordprocessingShape">
                    <wps:wsp>
                      <wps:cNvCnPr/>
                      <wps:spPr>
                        <a:xfrm>
                          <a:off x="0" y="0"/>
                          <a:ext cx="0" cy="101600"/>
                        </a:xfrm>
                        <a:prstGeom prst="line">
                          <a:avLst/>
                        </a:prstGeom>
                        <a:ln w="127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74.6pt;margin-top:12.2pt;height:8pt;width:0pt;z-index:251677696;mso-width-relative:page;mso-height-relative:page;" filled="f" stroked="t" coordsize="21600,21600" o:gfxdata="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bkIsN1wAAAAkBAAAPAAAAAAAAAAEAIAAAACIAAABk&#10;cnMvZG93bnJldi54bWxQSwECFAAUAAAACACHTuJANh48UQcCAAAJBAAADgAAAAAAAAABACAAAAAm&#10;AQAAZHJzL2Uyb0RvYy54bWxQSwUGAAAAAAYABgBZAQAAnwUAAAAA&#10;">
                <v:fill on="f" focussize="0,0"/>
                <v:stroke weight="1pt" color="#000000 [3213]" miterlimit="8" joinstyle="miter" endarrow="block"/>
                <v:imagedata o:title=""/>
                <o:lock v:ext="edit" aspectratio="f"/>
              </v:line>
            </w:pict>
          </mc:Fallback>
        </mc:AlternateContent>
      </w:r>
    </w:p>
    <w:p>
      <w:pPr>
        <w:spacing w:line="300" w:lineRule="auto"/>
        <w:jc w:val="center"/>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3030" distR="113030" simplePos="0" relativeHeight="251661312" behindDoc="0" locked="0" layoutInCell="1" allowOverlap="1">
                <wp:simplePos x="0" y="0"/>
                <wp:positionH relativeFrom="column">
                  <wp:posOffset>4428490</wp:posOffset>
                </wp:positionH>
                <wp:positionV relativeFrom="paragraph">
                  <wp:posOffset>10795</wp:posOffset>
                </wp:positionV>
                <wp:extent cx="0" cy="297180"/>
                <wp:effectExtent l="76200" t="0" r="57150" b="64770"/>
                <wp:wrapNone/>
                <wp:docPr id="37" name="直接连接符 37"/>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348.7pt;margin-top:0.85pt;height:23.4pt;width:0pt;z-index:251661312;mso-width-relative:page;mso-height-relative:page;" filled="f" stroked="t" coordsize="21600,21600" o:gfxdata="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PlMy9cAAAAIAQAADwAAAAAAAAABACAAAAAiAAAAZHJzL2Rvd25y&#10;ZXYueG1sUEsBAhQAFAAAAAgAh07iQM92XEn/AQAA2QMAAA4AAAAAAAAAAQAgAAAAJgEAAGRycy9l&#10;Mm9Eb2MueG1sUEsFBgAAAAAGAAYAWQEAAJcFAAAAAA==&#10;">
                <v:fill on="f" focussize="0,0"/>
                <v:stroke color="#000000" joinstyle="round" endarrow="block"/>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113030" distR="113030" simplePos="0" relativeHeight="251673600" behindDoc="0" locked="0" layoutInCell="1" allowOverlap="1">
                <wp:simplePos x="0" y="0"/>
                <wp:positionH relativeFrom="column">
                  <wp:posOffset>-71755</wp:posOffset>
                </wp:positionH>
                <wp:positionV relativeFrom="paragraph">
                  <wp:posOffset>53340</wp:posOffset>
                </wp:positionV>
                <wp:extent cx="0" cy="247650"/>
                <wp:effectExtent l="76200" t="0" r="57150" b="57150"/>
                <wp:wrapNone/>
                <wp:docPr id="34" name="直接连接符 34"/>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5.65pt;margin-top:4.2pt;height:19.5pt;width:0pt;z-index:251673600;mso-width-relative:page;mso-height-relative:page;" filled="f" stroked="t" coordsize="21600,21600" o:gfxdata="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f5i8mtcAAAAIAQAADwAAAAAAAAABACAAAAAiAAAAZHJzL2Rvd25y&#10;ZXYueG1sUEsBAhQAFAAAAAgAh07iQBfwUkX/AQAA2QMAAA4AAAAAAAAAAQAgAAAAJgEAAGRycy9l&#10;Mm9Eb2MueG1sUEsFBgAAAAAGAAYAWQEAAJcFAAAAAA==&#10;">
                <v:fill on="f" focussize="0,0"/>
                <v:stroke color="#000000" joinstyle="round" endarrow="block"/>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113030" distR="113030" simplePos="0" relativeHeight="251659264" behindDoc="0" locked="0" layoutInCell="1" allowOverlap="1">
                <wp:simplePos x="0" y="0"/>
                <wp:positionH relativeFrom="column">
                  <wp:posOffset>2280285</wp:posOffset>
                </wp:positionH>
                <wp:positionV relativeFrom="paragraph">
                  <wp:posOffset>53340</wp:posOffset>
                </wp:positionV>
                <wp:extent cx="9525" cy="247650"/>
                <wp:effectExtent l="38100" t="0" r="66675" b="57150"/>
                <wp:wrapNone/>
                <wp:docPr id="33" name="直接连接符 33"/>
                <wp:cNvGraphicFramePr/>
                <a:graphic xmlns:a="http://schemas.openxmlformats.org/drawingml/2006/main">
                  <a:graphicData uri="http://schemas.microsoft.com/office/word/2010/wordprocessingShape">
                    <wps:wsp>
                      <wps:cNvCnPr>
                        <a:cxnSpLocks noChangeShapeType="1"/>
                      </wps:cNvCnPr>
                      <wps:spPr bwMode="auto">
                        <a:xfrm>
                          <a:off x="0" y="0"/>
                          <a:ext cx="9525" cy="24765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179.55pt;margin-top:4.2pt;height:19.5pt;width:0.75pt;z-index:251659264;mso-width-relative:page;mso-height-relative:page;" filled="f" stroked="t" coordsize="21600,21600" o:gfxdata="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52JFC2gAAAAgBAAAPAAAAAAAAAAEAIAAAACIAAABkcnMvZG93&#10;bnJldi54bWxQSwECFAAUAAAACACHTuJA32azi/4BAADcAwAADgAAAAAAAAABACAAAAApAQAAZHJz&#10;L2Uyb0RvYy54bWxQSwUGAAAAAAYABgBZAQAAmQUAAAAA&#10;">
                <v:fill on="f" focussize="0,0"/>
                <v:stroke color="#000000" joinstyle="round" endarrow="block"/>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-76200</wp:posOffset>
                </wp:positionH>
                <wp:positionV relativeFrom="paragraph">
                  <wp:posOffset>48895</wp:posOffset>
                </wp:positionV>
                <wp:extent cx="2362200" cy="0"/>
                <wp:effectExtent l="0" t="0" r="19050" b="19050"/>
                <wp:wrapNone/>
                <wp:docPr id="32" name="直接连接符 32"/>
                <wp:cNvGraphicFramePr/>
                <a:graphic xmlns:a="http://schemas.openxmlformats.org/drawingml/2006/main">
                  <a:graphicData uri="http://schemas.microsoft.com/office/word/2010/wordprocessingShape">
                    <wps:wsp>
                      <wps:cNvCnPr>
                        <a:cxnSpLocks noChangeShapeType="1"/>
                      </wps:cNvCnPr>
                      <wps:spPr bwMode="auto">
                        <a:xfrm>
                          <a:off x="0" y="0"/>
                          <a:ext cx="23622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6pt;margin-top:3.85pt;height:0pt;width:186pt;z-index:251660288;mso-width-relative:page;mso-height-relative:page;" filled="f" stroked="t" coordsize="21600,21600" o:gfxdata="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Ni395vUAAAABwEA&#10;AA8AAAAAAAAAAQAgAAAAIgAAAGRycy9kb3ducmV2LnhtbFBLAQIUABQAAAAIAIdO4kC7hutJ5QEA&#10;AKwDAAAOAAAAAAAAAAEAIAAAACMBAABkcnMvZTJvRG9jLnhtbFBLBQYAAAAABgAGAFkBAAB6BQAA&#10;AAA=&#10;">
                <v:fill on="f" focussize="0,0"/>
                <v:stroke color="#000000" joinstyle="round"/>
                <v:imagedata o:title=""/>
                <o:lock v:ext="edit" aspectratio="f"/>
              </v:line>
            </w:pict>
          </mc:Fallback>
        </mc:AlternateContent>
      </w:r>
    </w:p>
    <w:p>
      <w:pPr>
        <w:spacing w:line="300" w:lineRule="auto"/>
        <w:jc w:val="center"/>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75648" behindDoc="0" locked="0" layoutInCell="1" allowOverlap="1">
                <wp:simplePos x="0" y="0"/>
                <wp:positionH relativeFrom="column">
                  <wp:posOffset>-514350</wp:posOffset>
                </wp:positionH>
                <wp:positionV relativeFrom="paragraph">
                  <wp:posOffset>97790</wp:posOffset>
                </wp:positionV>
                <wp:extent cx="914400" cy="510540"/>
                <wp:effectExtent l="5080" t="6985" r="13970" b="6350"/>
                <wp:wrapNone/>
                <wp:docPr id="29" name="文本框 29"/>
                <wp:cNvGraphicFramePr/>
                <a:graphic xmlns:a="http://schemas.openxmlformats.org/drawingml/2006/main">
                  <a:graphicData uri="http://schemas.microsoft.com/office/word/2010/wordprocessingShape">
                    <wps:wsp>
                      <wps:cNvSpPr txBox="1">
                        <a:spLocks noChangeArrowheads="1"/>
                      </wps:cNvSpPr>
                      <wps:spPr bwMode="auto">
                        <a:xfrm>
                          <a:off x="0" y="0"/>
                          <a:ext cx="914400" cy="510540"/>
                        </a:xfrm>
                        <a:prstGeom prst="rect">
                          <a:avLst/>
                        </a:prstGeom>
                        <a:solidFill>
                          <a:srgbClr val="FFFFFF"/>
                        </a:solidFill>
                        <a:ln w="9525">
                          <a:solidFill>
                            <a:srgbClr val="000000"/>
                          </a:solidFill>
                          <a:miter lim="800000"/>
                        </a:ln>
                      </wps:spPr>
                      <wps:txbx>
                        <w:txbxContent>
                          <w:p>
                            <w:pPr>
                              <w:pStyle w:val="61"/>
                            </w:pPr>
                            <w:r>
                              <w:rPr>
                                <w:rFonts w:hint="eastAsia"/>
                              </w:rPr>
                              <w:t>质量安全处</w:t>
                            </w:r>
                          </w:p>
                          <w:p>
                            <w:pPr>
                              <w:pStyle w:val="61"/>
                            </w:pPr>
                            <w:r>
                              <w:rPr>
                                <w:rFonts w:hint="eastAsia"/>
                              </w:rPr>
                              <w:t>(专职人员1名)</w:t>
                            </w:r>
                          </w:p>
                        </w:txbxContent>
                      </wps:txbx>
                      <wps:bodyPr rot="0" vert="horz" wrap="square" lIns="0" tIns="45720" rIns="0" bIns="45720" anchor="t" anchorCtr="0" upright="1">
                        <a:noAutofit/>
                      </wps:bodyPr>
                    </wps:wsp>
                  </a:graphicData>
                </a:graphic>
              </wp:anchor>
            </w:drawing>
          </mc:Choice>
          <mc:Fallback>
            <w:pict>
              <v:shape id="_x0000_s1026" o:spid="_x0000_s1026" o:spt="202" type="#_x0000_t202" style="position:absolute;left:0pt;margin-left:-40.5pt;margin-top:7.7pt;height:40.2pt;width:72pt;z-index:251675648;mso-width-relative:page;mso-height-relative:page;" fillcolor="#FFFFFF" filled="t" stroked="t" coordsize="21600,21600" o:gfxdata="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FkcwDrXAAAACAEAAA8AAAAAAAAAAQAgAAAAIgAAAGRycy9k&#10;b3ducmV2LnhtbFBLAQIUABQAAAAIAIdO4kBOiDpsPAIAAIAEAAAOAAAAAAAAAAEAIAAAACYBAABk&#10;cnMvZTJvRG9jLnhtbFBLBQYAAAAABgAGAFkBAADUBQAAAAA=&#10;">
                <v:fill on="t" focussize="0,0"/>
                <v:stroke color="#000000" miterlimit="8" joinstyle="miter"/>
                <v:imagedata o:title=""/>
                <o:lock v:ext="edit" aspectratio="f"/>
                <v:textbox inset="0mm,1.27mm,0mm,1.27mm">
                  <w:txbxContent>
                    <w:p>
                      <w:pPr>
                        <w:pStyle w:val="61"/>
                      </w:pPr>
                      <w:r>
                        <w:rPr>
                          <w:rFonts w:hint="eastAsia"/>
                        </w:rPr>
                        <w:t>质量安全处</w:t>
                      </w:r>
                    </w:p>
                    <w:p>
                      <w:pPr>
                        <w:pStyle w:val="61"/>
                      </w:pPr>
                      <w:r>
                        <w:rPr>
                          <w:rFonts w:hint="eastAsia"/>
                        </w:rPr>
                        <w:t>(专职人员1名)</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3647440</wp:posOffset>
                </wp:positionH>
                <wp:positionV relativeFrom="paragraph">
                  <wp:posOffset>101600</wp:posOffset>
                </wp:positionV>
                <wp:extent cx="1386205" cy="297180"/>
                <wp:effectExtent l="0" t="0" r="23495" b="26670"/>
                <wp:wrapNone/>
                <wp:docPr id="35" name="文本框 35"/>
                <wp:cNvGraphicFramePr/>
                <a:graphic xmlns:a="http://schemas.openxmlformats.org/drawingml/2006/main">
                  <a:graphicData uri="http://schemas.microsoft.com/office/word/2010/wordprocessingShape">
                    <wps:wsp>
                      <wps:cNvSpPr txBox="1">
                        <a:spLocks noChangeArrowheads="1"/>
                      </wps:cNvSpPr>
                      <wps:spPr bwMode="auto">
                        <a:xfrm>
                          <a:off x="0" y="0"/>
                          <a:ext cx="1386205" cy="297180"/>
                        </a:xfrm>
                        <a:prstGeom prst="rect">
                          <a:avLst/>
                        </a:prstGeom>
                        <a:solidFill>
                          <a:srgbClr val="FFFFFF"/>
                        </a:solidFill>
                        <a:ln w="9525">
                          <a:solidFill>
                            <a:srgbClr val="000000"/>
                          </a:solidFill>
                          <a:miter lim="800000"/>
                        </a:ln>
                      </wps:spPr>
                      <wps:txbx>
                        <w:txbxContent>
                          <w:p>
                            <w:pPr>
                              <w:pStyle w:val="61"/>
                            </w:pPr>
                            <w:r>
                              <w:rPr>
                                <w:rFonts w:hint="eastAsia"/>
                              </w:rPr>
                              <w:t>专职环保员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87.2pt;margin-top:8pt;height:23.4pt;width:109.15pt;z-index:251662336;mso-width-relative:page;mso-height-relative:page;" fillcolor="#FFFFFF" filled="t" stroked="t" coordsize="21600,21600" o:gfxdata="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wsP532AAAAAkBAAAPAAAAAAAAAAEAIAAAACIA&#10;AABkcnMvZG93bnJldi54bWxQSwECFAAUAAAACACHTuJAfZU4FEICAACJBAAADgAAAAAAAAABACAA&#10;AAAnAQAAZHJzL2Uyb0RvYy54bWxQSwUGAAAAAAYABgBZAQAA2wUAAAAA&#10;">
                <v:fill on="t" focussize="0,0"/>
                <v:stroke color="#000000" miterlimit="8" joinstyle="miter"/>
                <v:imagedata o:title=""/>
                <o:lock v:ext="edit" aspectratio="f"/>
                <v:textbox>
                  <w:txbxContent>
                    <w:p>
                      <w:pPr>
                        <w:pStyle w:val="61"/>
                      </w:pPr>
                      <w:r>
                        <w:rPr>
                          <w:rFonts w:hint="eastAsia"/>
                        </w:rPr>
                        <w:t>专职环保员</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76672" behindDoc="0" locked="0" layoutInCell="1" allowOverlap="1">
                <wp:simplePos x="0" y="0"/>
                <wp:positionH relativeFrom="column">
                  <wp:posOffset>1852930</wp:posOffset>
                </wp:positionH>
                <wp:positionV relativeFrom="paragraph">
                  <wp:posOffset>97790</wp:posOffset>
                </wp:positionV>
                <wp:extent cx="890270" cy="510540"/>
                <wp:effectExtent l="5080" t="6985" r="9525" b="6350"/>
                <wp:wrapNone/>
                <wp:docPr id="31" name="文本框 31"/>
                <wp:cNvGraphicFramePr/>
                <a:graphic xmlns:a="http://schemas.openxmlformats.org/drawingml/2006/main">
                  <a:graphicData uri="http://schemas.microsoft.com/office/word/2010/wordprocessingShape">
                    <wps:wsp>
                      <wps:cNvSpPr txBox="1">
                        <a:spLocks noChangeArrowheads="1"/>
                      </wps:cNvSpPr>
                      <wps:spPr bwMode="auto">
                        <a:xfrm>
                          <a:off x="0" y="0"/>
                          <a:ext cx="890270" cy="510540"/>
                        </a:xfrm>
                        <a:prstGeom prst="rect">
                          <a:avLst/>
                        </a:prstGeom>
                        <a:solidFill>
                          <a:srgbClr val="FFFFFF"/>
                        </a:solidFill>
                        <a:ln w="9525">
                          <a:solidFill>
                            <a:srgbClr val="000000"/>
                          </a:solidFill>
                          <a:miter lim="800000"/>
                        </a:ln>
                      </wps:spPr>
                      <wps:txbx>
                        <w:txbxContent>
                          <w:p>
                            <w:pPr>
                              <w:pStyle w:val="61"/>
                            </w:pPr>
                            <w:r>
                              <w:rPr>
                                <w:rFonts w:hint="eastAsia"/>
                              </w:rPr>
                              <w:t>环境监理部</w:t>
                            </w:r>
                          </w:p>
                          <w:p>
                            <w:pPr>
                              <w:pStyle w:val="61"/>
                            </w:pPr>
                            <w:r>
                              <w:rPr>
                                <w:rFonts w:hint="eastAsia"/>
                              </w:rPr>
                              <w:t>(专职人员</w:t>
                            </w:r>
                            <w:r>
                              <w:t>2</w:t>
                            </w:r>
                            <w:r>
                              <w:rPr>
                                <w:rFonts w:hint="eastAsia"/>
                              </w:rPr>
                              <w:t>名)</w:t>
                            </w:r>
                          </w:p>
                        </w:txbxContent>
                      </wps:txbx>
                      <wps:bodyPr rot="0" vert="horz" wrap="square" lIns="0" tIns="45720" rIns="0" bIns="45720" anchor="t" anchorCtr="0" upright="1">
                        <a:noAutofit/>
                      </wps:bodyPr>
                    </wps:wsp>
                  </a:graphicData>
                </a:graphic>
              </wp:anchor>
            </w:drawing>
          </mc:Choice>
          <mc:Fallback>
            <w:pict>
              <v:shape id="_x0000_s1026" o:spid="_x0000_s1026" o:spt="202" type="#_x0000_t202" style="position:absolute;left:0pt;margin-left:145.9pt;margin-top:7.7pt;height:40.2pt;width:70.1pt;z-index:251676672;mso-width-relative:page;mso-height-relative:page;" fillcolor="#FFFFFF" filled="t" stroked="t" coordsize="21600,21600" o:gfxdata="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eHhpM2QAAAAkBAAAPAAAAAAAAAAEAIAAAACIAAABk&#10;cnMvZG93bnJldi54bWxQSwECFAAUAAAACACHTuJAIuHfNz4CAACABAAADgAAAAAAAAABACAAAAAo&#10;AQAAZHJzL2Uyb0RvYy54bWxQSwUGAAAAAAYABgBZAQAA2AUAAAAA&#10;">
                <v:fill on="t" focussize="0,0"/>
                <v:stroke color="#000000" miterlimit="8" joinstyle="miter"/>
                <v:imagedata o:title=""/>
                <o:lock v:ext="edit" aspectratio="f"/>
                <v:textbox inset="0mm,1.27mm,0mm,1.27mm">
                  <w:txbxContent>
                    <w:p>
                      <w:pPr>
                        <w:pStyle w:val="61"/>
                      </w:pPr>
                      <w:r>
                        <w:rPr>
                          <w:rFonts w:hint="eastAsia"/>
                        </w:rPr>
                        <w:t>环境监理部</w:t>
                      </w:r>
                    </w:p>
                    <w:p>
                      <w:pPr>
                        <w:pStyle w:val="61"/>
                      </w:pPr>
                      <w:r>
                        <w:rPr>
                          <w:rFonts w:hint="eastAsia"/>
                        </w:rPr>
                        <w:t>(专职人员</w:t>
                      </w:r>
                      <w:r>
                        <w:t>2</w:t>
                      </w:r>
                      <w:r>
                        <w:rPr>
                          <w:rFonts w:hint="eastAsia"/>
                        </w:rPr>
                        <w:t>名)</w:t>
                      </w:r>
                    </w:p>
                  </w:txbxContent>
                </v:textbox>
              </v:shape>
            </w:pict>
          </mc:Fallback>
        </mc:AlternateContent>
      </w:r>
    </w:p>
    <w:p>
      <w:pPr>
        <w:spacing w:line="300" w:lineRule="auto"/>
        <w:jc w:val="center"/>
        <w:rPr>
          <w:color w:val="000000" w:themeColor="text1"/>
          <w14:textFill>
            <w14:solidFill>
              <w14:schemeClr w14:val="tx1"/>
            </w14:solidFill>
          </w14:textFill>
        </w:rPr>
      </w:pPr>
    </w:p>
    <w:p>
      <w:pPr>
        <w:spacing w:line="300" w:lineRule="auto"/>
        <w:jc w:val="center"/>
        <w:rPr>
          <w:color w:val="000000" w:themeColor="text1"/>
          <w14:textFill>
            <w14:solidFill>
              <w14:schemeClr w14:val="tx1"/>
            </w14:solidFill>
          </w14:textFill>
        </w:rPr>
      </w:pPr>
    </w:p>
    <w:p>
      <w:pPr>
        <w:spacing w:line="300" w:lineRule="auto"/>
        <w:jc w:val="center"/>
        <w:rPr>
          <w:color w:val="000000" w:themeColor="text1"/>
          <w14:textFill>
            <w14:solidFill>
              <w14:schemeClr w14:val="tx1"/>
            </w14:solidFill>
          </w14:textFill>
        </w:rPr>
      </w:pPr>
    </w:p>
    <w:p>
      <w:pPr>
        <w:spacing w:line="300" w:lineRule="auto"/>
        <w:jc w:val="center"/>
        <w:rPr>
          <w:rFonts w:ascii="Times New Roman" w:hAnsi="Times New Roman" w:cs="Times New Roman"/>
          <w:b/>
          <w:color w:val="000000" w:themeColor="text1"/>
          <w14:textFill>
            <w14:solidFill>
              <w14:schemeClr w14:val="tx1"/>
            </w14:solidFill>
          </w14:textFill>
        </w:rPr>
      </w:pPr>
      <w:r>
        <w:rPr>
          <w:rFonts w:ascii="Times New Roman" w:hAnsi="Times New Roman" w:cs="Times New Roman"/>
          <w:b/>
          <w:color w:val="000000" w:themeColor="text1"/>
          <w14:textFill>
            <w14:solidFill>
              <w14:schemeClr w14:val="tx1"/>
            </w14:solidFill>
          </w14:textFill>
        </w:rPr>
        <w:t>图7.1-1  环境管理组织机构图</w:t>
      </w:r>
    </w:p>
    <w:p>
      <w:pPr>
        <w:pStyle w:val="3"/>
        <w:rPr>
          <w:color w:val="000000" w:themeColor="text1"/>
          <w14:textFill>
            <w14:solidFill>
              <w14:schemeClr w14:val="tx1"/>
            </w14:solidFill>
          </w14:textFill>
        </w:rPr>
      </w:pPr>
      <w:bookmarkStart w:id="35" w:name="_Toc62202399"/>
      <w:r>
        <w:rPr>
          <w:rFonts w:hint="eastAsia"/>
          <w:color w:val="000000" w:themeColor="text1"/>
          <w14:textFill>
            <w14:solidFill>
              <w14:schemeClr w14:val="tx1"/>
            </w14:solidFill>
          </w14:textFill>
        </w:rPr>
        <w:t>7</w:t>
      </w:r>
      <w:r>
        <w:rPr>
          <w:color w:val="000000" w:themeColor="text1"/>
          <w14:textFill>
            <w14:solidFill>
              <w14:schemeClr w14:val="tx1"/>
            </w14:solidFill>
          </w14:textFill>
        </w:rPr>
        <w:t>.2 环境管理情况</w:t>
      </w:r>
      <w:bookmarkEnd w:id="35"/>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7</w:t>
      </w:r>
      <w:r>
        <w:rPr>
          <w:color w:val="000000" w:themeColor="text1"/>
          <w14:textFill>
            <w14:solidFill>
              <w14:schemeClr w14:val="tx1"/>
            </w14:solidFill>
          </w14:textFill>
        </w:rPr>
        <w:t>.2.1 施工期</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在工程建设过程中，建设单位统一制定了各项环境保护管理制度，并组织各参建单位认真贯彻落实各项标准与制度，保证了环保措施的落实。环境管理机构人员及工程监管人员应对施工活动进行全过程环境监督，通过严格检查确保施工中的每一道工序满足环保要求，使施工期环境保护措施得到全面落实。</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1、建立了完善的项目管理的组织体系，本工程的环境保护工作由金川奥伊诺矿业有限公司安全质量环保部负责管理，并由1名主任主管。</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2、坚持科学管理，提高管理水平。建设单位制定了多项制度，包括项目质量、安全、工期、技术、成本、文明施工、保卫、物资供应等各方面具体到各个岗位。</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3、制定环境保护及文明施工的管理办法，加强对全体施工人员的环境保护教育，增强环境保护的意识，在工作中严格按有关环境保护的法规及环境保护和文明施工管理办法执行，确保施工、生活不对周围的环境造成不利的影响。</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4、土石方工程施工中，严格控制其占地面积，开出的土、石不任意堆放，尽量减少对周围植被的破坏。</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5、基础施工后的弃方不乱堆乱放，按当地的要求及时妥善进行处理；对砂、石、水泥袋等杂物要及时清理干净，做到“工完、料尽、场地清。</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6、施工期未发生夜间施工，减少了施工噪音对周围居民的影响，未发生施工噪声扰民投诉现象。</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7、项目在开工建设前依法办理了项目核准，行政主管部门相关行政许可手续。</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8、建设单位在收到本项目环境影响评价批复后进行了备案，施工期接受了当地环境保护行政主管部门的环境保护监督检查工作，未发生环保投诉事件与环境污染事件。</w: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7</w:t>
      </w:r>
      <w:r>
        <w:rPr>
          <w:color w:val="000000" w:themeColor="text1"/>
          <w14:textFill>
            <w14:solidFill>
              <w14:schemeClr w14:val="tx1"/>
            </w14:solidFill>
          </w14:textFill>
        </w:rPr>
        <w:t xml:space="preserve">.2.2 </w:t>
      </w:r>
      <w:r>
        <w:rPr>
          <w:rFonts w:hint="eastAsia"/>
          <w:color w:val="000000" w:themeColor="text1"/>
          <w14:textFill>
            <w14:solidFill>
              <w14:schemeClr w14:val="tx1"/>
            </w14:solidFill>
          </w14:textFill>
        </w:rPr>
        <w:t>调试</w:t>
      </w:r>
      <w:r>
        <w:rPr>
          <w:color w:val="000000" w:themeColor="text1"/>
          <w14:textFill>
            <w14:solidFill>
              <w14:schemeClr w14:val="tx1"/>
            </w14:solidFill>
          </w14:textFill>
        </w:rPr>
        <w:t>期</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为了贯彻落实《建设项目环境保护管理条例》，加强本工程的环境保护工作的领导和管理，建设单位对环境保护工作非常重视，成立环保组织机构，设有专职环境保护人员负责环境管理工作，从管理上保证环境保护措施的有效实施。在调试期间实施以下环境管理的内容：</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1、贯彻执行国家和地方的各项环保方针、政策、法规和各项规章制度，制定和实施各项环境管理计划。</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2、建立工程档案系统，收集整理各工程设计资料、施工资料、项目环境影响评价文件及批复、工程立项资料、项目竣工验收资料等。</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3、建立巡查制度，不定期地巡查环境保护对象，保护生态环境不被破坏，保证生态保护与工程运行相协调。</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4、协调配合上级环保主管部门所进行的环境调查、生态调查等活动。</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5、配合有关部门积极妥善处理项目附近群众对项目投运后所产生的电磁环境、噪声等投诉。</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6、对项目运行的有关人员进行环境保护技术和政策方面的培训，加强环保宣传工作，增强环保管理的能力，减少运行产生的不利环境影响。具体的环保管理内容包括：《中华人民共和国环境保护法》、《建设项目环境保护管理条例》、《声环境质量标准》（GB 3096-2008）及其他有关的国家和地方的规定。</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7、按照该项目的批复要求，定期开展环保宣传工作，减少因不理解而导致的电磁环境、噪声等投诉。</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8、建设单位依法严格执行了环境保护“三同时”制度，项目调试完成后，组织开展项目竣工环境保护验收调查工作。</w:t>
      </w:r>
    </w:p>
    <w:p>
      <w:pPr>
        <w:spacing w:line="360" w:lineRule="auto"/>
        <w:jc w:val="center"/>
      </w:pPr>
      <w:r>
        <w:drawing>
          <wp:inline distT="0" distB="0" distL="0" distR="0">
            <wp:extent cx="2159635" cy="37719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160000" cy="3772538"/>
                    </a:xfrm>
                    <a:prstGeom prst="rect">
                      <a:avLst/>
                    </a:prstGeom>
                    <a:noFill/>
                    <a:ln>
                      <a:noFill/>
                    </a:ln>
                  </pic:spPr>
                </pic:pic>
              </a:graphicData>
            </a:graphic>
          </wp:inline>
        </w:drawing>
      </w:r>
      <w:r>
        <w:rPr>
          <w:rFonts w:hint="eastAsia"/>
        </w:rPr>
        <w:t xml:space="preserve"> </w:t>
      </w:r>
      <w:r>
        <w:t xml:space="preserve">   </w:t>
      </w:r>
      <w:r>
        <w:drawing>
          <wp:inline distT="0" distB="0" distL="0" distR="0">
            <wp:extent cx="2159635" cy="378142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160000" cy="3782064"/>
                    </a:xfrm>
                    <a:prstGeom prst="rect">
                      <a:avLst/>
                    </a:prstGeom>
                    <a:noFill/>
                    <a:ln>
                      <a:noFill/>
                    </a:ln>
                  </pic:spPr>
                </pic:pic>
              </a:graphicData>
            </a:graphic>
          </wp:inline>
        </w:drawing>
      </w:r>
    </w:p>
    <w:p>
      <w:pPr>
        <w:spacing w:line="360" w:lineRule="auto"/>
        <w:jc w:val="center"/>
        <w:rPr>
          <w:rFonts w:ascii="Times New Roman" w:hAnsi="Times New Roman" w:cs="Times New Roman"/>
          <w:b/>
          <w:color w:val="000000" w:themeColor="text1"/>
          <w:szCs w:val="24"/>
          <w14:textFill>
            <w14:solidFill>
              <w14:schemeClr w14:val="tx1"/>
            </w14:solidFill>
          </w14:textFill>
        </w:rPr>
      </w:pPr>
      <w:r>
        <w:rPr>
          <w:rFonts w:hint="eastAsia" w:ascii="Times New Roman" w:hAnsi="Times New Roman" w:cs="Times New Roman"/>
          <w:b/>
          <w:color w:val="000000" w:themeColor="text1"/>
          <w:szCs w:val="24"/>
          <w14:textFill>
            <w14:solidFill>
              <w14:schemeClr w14:val="tx1"/>
            </w14:solidFill>
          </w14:textFill>
        </w:rPr>
        <w:t>图7</w:t>
      </w:r>
      <w:r>
        <w:rPr>
          <w:rFonts w:ascii="Times New Roman" w:hAnsi="Times New Roman" w:cs="Times New Roman"/>
          <w:b/>
          <w:color w:val="000000" w:themeColor="text1"/>
          <w:szCs w:val="24"/>
          <w14:textFill>
            <w14:solidFill>
              <w14:schemeClr w14:val="tx1"/>
            </w14:solidFill>
          </w14:textFill>
        </w:rPr>
        <w:t xml:space="preserve">.2-1  </w:t>
      </w:r>
      <w:r>
        <w:rPr>
          <w:rFonts w:hint="eastAsia" w:ascii="Times New Roman" w:hAnsi="Times New Roman" w:cs="Times New Roman"/>
          <w:b/>
          <w:color w:val="000000" w:themeColor="text1"/>
          <w:szCs w:val="24"/>
          <w14:textFill>
            <w14:solidFill>
              <w14:schemeClr w14:val="tx1"/>
            </w14:solidFill>
          </w14:textFill>
        </w:rPr>
        <w:t>环保管理制度</w: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7</w:t>
      </w:r>
      <w:r>
        <w:rPr>
          <w:color w:val="000000" w:themeColor="text1"/>
          <w14:textFill>
            <w14:solidFill>
              <w14:schemeClr w14:val="tx1"/>
            </w14:solidFill>
          </w14:textFill>
        </w:rPr>
        <w:t>.2.3 环境保护档案管理制度</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经检查，与工程有关的环境保护及生态保护资料、档案均由公司档案室统一收存、管理，并按照《档案法》的有关规定，制定了完备的档案保管与库房管理制度、保密制度、借阅制度、更改制度及鉴定销毁制度。</w:t>
      </w:r>
    </w:p>
    <w:p>
      <w:pPr>
        <w:pStyle w:val="3"/>
        <w:rPr>
          <w:color w:val="000000" w:themeColor="text1"/>
          <w14:textFill>
            <w14:solidFill>
              <w14:schemeClr w14:val="tx1"/>
            </w14:solidFill>
          </w14:textFill>
        </w:rPr>
      </w:pPr>
      <w:bookmarkStart w:id="36" w:name="_Toc62202400"/>
      <w:r>
        <w:rPr>
          <w:rFonts w:hint="eastAsia"/>
          <w:color w:val="000000" w:themeColor="text1"/>
          <w14:textFill>
            <w14:solidFill>
              <w14:schemeClr w14:val="tx1"/>
            </w14:solidFill>
          </w14:textFill>
        </w:rPr>
        <w:t>7</w:t>
      </w:r>
      <w:r>
        <w:rPr>
          <w:color w:val="000000" w:themeColor="text1"/>
          <w14:textFill>
            <w14:solidFill>
              <w14:schemeClr w14:val="tx1"/>
            </w14:solidFill>
          </w14:textFill>
        </w:rPr>
        <w:t>.3 监测计划实施情况调查</w:t>
      </w:r>
      <w:bookmarkEnd w:id="36"/>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本项目未进行施工期环境质量监测；工程调试期，环保验收调查单位成都创境环保工程有限公司委托四川合力新创环境监测有限公司承担本工程竣工验收环境监测工作，验收监测报告见附件。各项监测工作按照批复的环境影响报告书要求得以进行。</w:t>
      </w:r>
    </w:p>
    <w:p>
      <w:pPr>
        <w:pStyle w:val="3"/>
        <w:rPr>
          <w:color w:val="000000" w:themeColor="text1"/>
          <w14:textFill>
            <w14:solidFill>
              <w14:schemeClr w14:val="tx1"/>
            </w14:solidFill>
          </w14:textFill>
        </w:rPr>
      </w:pPr>
      <w:bookmarkStart w:id="37" w:name="_Toc62202401"/>
      <w:r>
        <w:rPr>
          <w:rFonts w:hint="eastAsia"/>
          <w:color w:val="000000" w:themeColor="text1"/>
          <w14:textFill>
            <w14:solidFill>
              <w14:schemeClr w14:val="tx1"/>
            </w14:solidFill>
          </w14:textFill>
        </w:rPr>
        <w:t>7</w:t>
      </w:r>
      <w:r>
        <w:rPr>
          <w:color w:val="000000" w:themeColor="text1"/>
          <w14:textFill>
            <w14:solidFill>
              <w14:schemeClr w14:val="tx1"/>
            </w14:solidFill>
          </w14:textFill>
        </w:rPr>
        <w:t>.4 环境监理实施情况调查</w:t>
      </w:r>
      <w:bookmarkEnd w:id="37"/>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施工期，建设单位委托四川爱欧特环保科技有限公司开展了环境监理工作，并编写了《监理工作大纲》与《监理实施细则》等监理工作质量体系文件，为监理工作有序进行提供了依据。</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环境监理部针对工程建设过程中出现的环境问题进行专人跟踪监督、指导，确保在工程建设的同时，项目环境保护工作的顺利开展。在项目施工结束后，编制完成了《监理工作总结报告》，</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总结报告</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指出：</w:t>
      </w:r>
      <w:r>
        <w:rPr>
          <w:rFonts w:hint="eastAsia" w:ascii="Times New Roman" w:hAnsi="Times New Roman" w:cs="Times New Roman"/>
          <w:color w:val="000000" w:themeColor="text1"/>
          <w:sz w:val="24"/>
          <w:szCs w:val="24"/>
          <w14:textFill>
            <w14:solidFill>
              <w14:schemeClr w14:val="tx1"/>
            </w14:solidFill>
          </w14:textFill>
        </w:rPr>
        <w:t>金川奥伊诺矿业有限公司业隆沟锂辉石矿采选尾工程已完工程在建设过程中，主要环保措施与主体工程同时设计、同时施工井同时投入试运行。基本满足环境保护“三同时“要求。</w:t>
      </w:r>
      <w:r>
        <w:rPr>
          <w:rFonts w:hint="eastAsia" w:ascii="Times New Roman" w:hAnsi="Times New Roman" w:cs="Times New Roman"/>
          <w:color w:val="000000" w:themeColor="text1"/>
          <w:sz w:val="24"/>
          <w:szCs w:val="24"/>
          <w:lang w:val="en-US" w:eastAsia="zh-CN"/>
          <w14:textFill>
            <w14:solidFill>
              <w14:schemeClr w14:val="tx1"/>
            </w14:solidFill>
          </w14:textFill>
        </w:rPr>
        <w:t>按照</w:t>
      </w:r>
      <w:r>
        <w:rPr>
          <w:rFonts w:hint="eastAsia" w:ascii="Times New Roman" w:hAnsi="Times New Roman" w:cs="Times New Roman"/>
          <w:color w:val="000000" w:themeColor="text1"/>
          <w:sz w:val="24"/>
          <w:szCs w:val="24"/>
          <w14:textFill>
            <w14:solidFill>
              <w14:schemeClr w14:val="tx1"/>
            </w14:solidFill>
          </w14:textFill>
        </w:rPr>
        <w:t>施工期环境保护要求落实了施工期废水、废气、噪声、固体废物等污染防治措施，施工期及试运行期未发生环境污染及环保投诉事件。建设单位在工程实施中建立适应本项目特点的优良作业管理系统，并将“环保优先”的理念融入环境管理，高度重视与支持工程环境监理工作，积极落实环评及批复文件提出的各项环保措施。有效控制了各种开发运行活动对环境的破坏和影响。</w:t>
      </w:r>
    </w:p>
    <w:p>
      <w:pPr>
        <w:pStyle w:val="3"/>
        <w:rPr>
          <w:color w:val="000000" w:themeColor="text1"/>
          <w14:textFill>
            <w14:solidFill>
              <w14:schemeClr w14:val="tx1"/>
            </w14:solidFill>
          </w14:textFill>
        </w:rPr>
      </w:pPr>
      <w:bookmarkStart w:id="38" w:name="_Toc62202402"/>
      <w:r>
        <w:rPr>
          <w:rFonts w:hint="eastAsia"/>
          <w:color w:val="000000" w:themeColor="text1"/>
          <w14:textFill>
            <w14:solidFill>
              <w14:schemeClr w14:val="tx1"/>
            </w14:solidFill>
          </w14:textFill>
        </w:rPr>
        <w:t>7</w:t>
      </w:r>
      <w:r>
        <w:rPr>
          <w:color w:val="000000" w:themeColor="text1"/>
          <w14:textFill>
            <w14:solidFill>
              <w14:schemeClr w14:val="tx1"/>
            </w14:solidFill>
          </w14:textFill>
        </w:rPr>
        <w:t xml:space="preserve">.5 </w:t>
      </w:r>
      <w:r>
        <w:rPr>
          <w:rFonts w:hint="eastAsia"/>
          <w:color w:val="000000" w:themeColor="text1"/>
          <w14:textFill>
            <w14:solidFill>
              <w14:schemeClr w14:val="tx1"/>
            </w14:solidFill>
          </w14:textFill>
        </w:rPr>
        <w:t>“三同时”落实情况调查</w:t>
      </w:r>
      <w:bookmarkEnd w:id="38"/>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7</w:t>
      </w:r>
      <w:r>
        <w:rPr>
          <w:color w:val="000000" w:themeColor="text1"/>
          <w14:textFill>
            <w14:solidFill>
              <w14:schemeClr w14:val="tx1"/>
            </w14:solidFill>
          </w14:textFill>
        </w:rPr>
        <w:t>.5.1 工程前期</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金川奥伊诺矿业有限公司于2018年1月取得了四川省国土资源厅出具的业隆沟锂辉石矿划定矿区范围批复（川采矿区审字[2018]002号）。其矿区开采深度由4552m至3884m标高，矿区面积约4.37km</w:t>
      </w:r>
      <w:r>
        <w:rPr>
          <w:rFonts w:hint="eastAsia" w:ascii="Times New Roman" w:hAnsi="Times New Roman" w:cs="Times New Roman"/>
          <w:color w:val="000000" w:themeColor="text1"/>
          <w:sz w:val="24"/>
          <w:szCs w:val="24"/>
          <w:vertAlign w:val="superscript"/>
          <w14:textFill>
            <w14:solidFill>
              <w14:schemeClr w14:val="tx1"/>
            </w14:solidFill>
          </w14:textFill>
        </w:rPr>
        <w:t>2</w:t>
      </w:r>
      <w:r>
        <w:rPr>
          <w:rFonts w:hint="eastAsia" w:ascii="Times New Roman" w:hAnsi="Times New Roman" w:cs="Times New Roman"/>
          <w:color w:val="000000" w:themeColor="text1"/>
          <w:sz w:val="24"/>
          <w:szCs w:val="24"/>
          <w14:textFill>
            <w14:solidFill>
              <w14:schemeClr w14:val="tx1"/>
            </w14:solidFill>
          </w14:textFill>
        </w:rPr>
        <w:t>。同年3月，金川奥伊诺矿业有限公司上报的《业隆沟锂辉石矿矿产资源开发利用方案》经四川省国土资源厅以川国土资矿开备[2018]4号文备案，矿山及配套选厂生产规模均为40.5万t/a（1500t/d）。服务年限为基建期1年，生产期17年。露天矿开采方法为台阶纵向采矿法，地下开采方法为点柱式上向分层充填法、分段空场嗣后充填法等。</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2018年5月，中环联新（北京）环境保护有限公司编制完成了《金川奥伊诺矿业有限公司业隆沟锂辉石矿采选尾工程环境影响报告书（送审稿）》。2018年7月，四川省环保厅以川环审批〔2018〕103号《关于金川奥伊诺矿业有限公司业隆沟锂辉石矿采选尾工程环境影响报告书的批复》对本工程环境影响报告书进行了批复。</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环评和水保报告书对本工程兴建带来的有利和不利影响作了全面分析，并针对主要不利影响提出来了相应的预防和减免措施，如施工期采取将弃渣集中堆放并进行工程挡护和迹地绿化，及时处理废（污）水和固体废物，改进施工工艺并洒水等措施；调试期对生活污水和生活垃圾进行处理等，可使不利影响得到相当程度的减免。</w: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7</w:t>
      </w:r>
      <w:r>
        <w:rPr>
          <w:color w:val="000000" w:themeColor="text1"/>
          <w14:textFill>
            <w14:solidFill>
              <w14:schemeClr w14:val="tx1"/>
            </w14:solidFill>
          </w14:textFill>
        </w:rPr>
        <w:t>.5.2 施工期</w:t>
      </w:r>
    </w:p>
    <w:p>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项目</w:t>
      </w:r>
      <w:r>
        <w:rPr>
          <w:rFonts w:ascii="Times New Roman" w:hAnsi="Times New Roman" w:cs="Times New Roman"/>
          <w:color w:val="000000" w:themeColor="text1"/>
          <w:sz w:val="24"/>
          <w:szCs w:val="24"/>
          <w14:textFill>
            <w14:solidFill>
              <w14:schemeClr w14:val="tx1"/>
            </w14:solidFill>
          </w14:textFill>
        </w:rPr>
        <w:t>建设过程中，建设单位按照环境影响报告书和水土保持方案报告书的要求，并结合工程实际情况对噪声、环境空气、水环境、水土流失、水生和陆生生态等均做了一系列工作。</w:t>
      </w:r>
    </w:p>
    <w:p>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施工期主要环保工作如下：</w:t>
      </w:r>
      <w:r>
        <w:rPr>
          <w:rFonts w:hint="eastAsia" w:ascii="Times New Roman" w:hAnsi="Times New Roman" w:cs="Times New Roman"/>
          <w:color w:val="000000" w:themeColor="text1"/>
          <w:sz w:val="24"/>
          <w:szCs w:val="24"/>
          <w14:textFill>
            <w14:solidFill>
              <w14:schemeClr w14:val="tx1"/>
            </w14:solidFill>
          </w14:textFill>
        </w:rPr>
        <w:t>①</w:t>
      </w:r>
      <w:r>
        <w:rPr>
          <w:rFonts w:ascii="Times New Roman" w:hAnsi="Times New Roman" w:cs="Times New Roman"/>
          <w:color w:val="000000" w:themeColor="text1"/>
          <w:sz w:val="24"/>
          <w:szCs w:val="24"/>
          <w14:textFill>
            <w14:solidFill>
              <w14:schemeClr w14:val="tx1"/>
            </w14:solidFill>
          </w14:textFill>
        </w:rPr>
        <w:t>施工期生产废水和生活污水按照环评报告书所列措施进行处理，处理后综合利用。</w:t>
      </w:r>
      <w:r>
        <w:rPr>
          <w:rFonts w:hint="eastAsia" w:ascii="Times New Roman" w:hAnsi="Times New Roman" w:cs="Times New Roman"/>
          <w:color w:val="000000" w:themeColor="text1"/>
          <w:sz w:val="24"/>
          <w:szCs w:val="24"/>
          <w14:textFill>
            <w14:solidFill>
              <w14:schemeClr w14:val="tx1"/>
            </w14:solidFill>
          </w14:textFill>
        </w:rPr>
        <w:t>②</w:t>
      </w:r>
      <w:r>
        <w:rPr>
          <w:rFonts w:ascii="Times New Roman" w:hAnsi="Times New Roman" w:cs="Times New Roman"/>
          <w:color w:val="000000" w:themeColor="text1"/>
          <w:sz w:val="24"/>
          <w:szCs w:val="24"/>
          <w14:textFill>
            <w14:solidFill>
              <w14:schemeClr w14:val="tx1"/>
            </w14:solidFill>
          </w14:textFill>
        </w:rPr>
        <w:t>施工期洒水车降尘、路面清扫等除尘措施、禁止夜间爆破、禁止大声鸣笛、限制车速及道路维护等措施，减少对施工区施工人员及附近居民敏感点环境的影响。</w:t>
      </w:r>
      <w:r>
        <w:rPr>
          <w:rFonts w:hint="eastAsia" w:ascii="Times New Roman" w:hAnsi="Times New Roman" w:cs="Times New Roman"/>
          <w:color w:val="000000" w:themeColor="text1"/>
          <w:sz w:val="24"/>
          <w:szCs w:val="24"/>
          <w14:textFill>
            <w14:solidFill>
              <w14:schemeClr w14:val="tx1"/>
            </w14:solidFill>
          </w14:textFill>
        </w:rPr>
        <w:t>③</w:t>
      </w:r>
      <w:r>
        <w:rPr>
          <w:rFonts w:ascii="Times New Roman" w:hAnsi="Times New Roman" w:cs="Times New Roman"/>
          <w:color w:val="000000" w:themeColor="text1"/>
          <w:sz w:val="24"/>
          <w:szCs w:val="24"/>
          <w14:textFill>
            <w14:solidFill>
              <w14:schemeClr w14:val="tx1"/>
            </w14:solidFill>
          </w14:textFill>
        </w:rPr>
        <w:t>施工期生活垃圾集中收集后送往专门的填埋场进行处置。</w:t>
      </w:r>
      <w:r>
        <w:rPr>
          <w:rFonts w:hint="eastAsia" w:ascii="Times New Roman" w:hAnsi="Times New Roman" w:cs="Times New Roman"/>
          <w:color w:val="000000" w:themeColor="text1"/>
          <w:sz w:val="24"/>
          <w:szCs w:val="24"/>
          <w14:textFill>
            <w14:solidFill>
              <w14:schemeClr w14:val="tx1"/>
            </w14:solidFill>
          </w14:textFill>
        </w:rPr>
        <w:t>④</w:t>
      </w:r>
      <w:r>
        <w:rPr>
          <w:rFonts w:ascii="Times New Roman" w:hAnsi="Times New Roman" w:cs="Times New Roman"/>
          <w:color w:val="000000" w:themeColor="text1"/>
          <w:sz w:val="24"/>
          <w:szCs w:val="24"/>
          <w14:textFill>
            <w14:solidFill>
              <w14:schemeClr w14:val="tx1"/>
            </w14:solidFill>
          </w14:textFill>
        </w:rPr>
        <w:t>施工区及渣料场区采取工程及植物等水保措施。</w:t>
      </w:r>
    </w:p>
    <w:p>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上述环保措施实施实施后，很大程度上减免了工程兴建对环境的不利影响，已将环境损失造成的潜在经济损失减低到最低限度。</w: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7</w:t>
      </w:r>
      <w:r>
        <w:rPr>
          <w:color w:val="000000" w:themeColor="text1"/>
          <w14:textFill>
            <w14:solidFill>
              <w14:schemeClr w14:val="tx1"/>
            </w14:solidFill>
          </w14:textFill>
        </w:rPr>
        <w:t xml:space="preserve">.5.3 </w:t>
      </w:r>
      <w:r>
        <w:rPr>
          <w:rFonts w:hint="eastAsia"/>
          <w:color w:val="000000" w:themeColor="text1"/>
          <w14:textFill>
            <w14:solidFill>
              <w14:schemeClr w14:val="tx1"/>
            </w14:solidFill>
          </w14:textFill>
        </w:rPr>
        <w:t>调试</w:t>
      </w:r>
      <w:r>
        <w:rPr>
          <w:color w:val="000000" w:themeColor="text1"/>
          <w14:textFill>
            <w14:solidFill>
              <w14:schemeClr w14:val="tx1"/>
            </w14:solidFill>
          </w14:textFill>
        </w:rPr>
        <w:t>期</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在运营过程中，建设单位对工程区绿化工程，尤其是渣场的植被恢复很重视，投入了大量人力、物力，加强管理和养护使工程区大部分施工场地植被恢复良好，水土流失得到治理。</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综上所述，该工程建设过程中，较好的执行了建设项目环境保护“三同时”制度。</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sectPr>
          <w:pgSz w:w="11907" w:h="16840"/>
          <w:pgMar w:top="1531" w:right="1418" w:bottom="1531" w:left="1418" w:header="720" w:footer="720" w:gutter="0"/>
          <w:cols w:space="720" w:num="1"/>
          <w:docGrid w:linePitch="326" w:charSpace="0"/>
        </w:sectPr>
      </w:pPr>
    </w:p>
    <w:p>
      <w:pPr>
        <w:pStyle w:val="2"/>
        <w:rPr>
          <w:color w:val="000000" w:themeColor="text1"/>
          <w14:textFill>
            <w14:solidFill>
              <w14:schemeClr w14:val="tx1"/>
            </w14:solidFill>
          </w14:textFill>
        </w:rPr>
      </w:pPr>
      <w:bookmarkStart w:id="39" w:name="_Toc62202403"/>
      <w:r>
        <w:rPr>
          <w:color w:val="000000" w:themeColor="text1"/>
          <w14:textFill>
            <w14:solidFill>
              <w14:schemeClr w14:val="tx1"/>
            </w14:solidFill>
          </w14:textFill>
        </w:rPr>
        <w:t>8 公众意见调查</w:t>
      </w:r>
      <w:bookmarkEnd w:id="39"/>
    </w:p>
    <w:p>
      <w:pPr>
        <w:pStyle w:val="3"/>
        <w:rPr>
          <w:color w:val="000000" w:themeColor="text1"/>
          <w14:textFill>
            <w14:solidFill>
              <w14:schemeClr w14:val="tx1"/>
            </w14:solidFill>
          </w14:textFill>
        </w:rPr>
      </w:pPr>
      <w:bookmarkStart w:id="40" w:name="_Toc62202404"/>
      <w:r>
        <w:rPr>
          <w:rFonts w:hint="eastAsia"/>
          <w:color w:val="000000" w:themeColor="text1"/>
          <w14:textFill>
            <w14:solidFill>
              <w14:schemeClr w14:val="tx1"/>
            </w14:solidFill>
          </w14:textFill>
        </w:rPr>
        <w:t>8</w:t>
      </w:r>
      <w:r>
        <w:rPr>
          <w:color w:val="000000" w:themeColor="text1"/>
          <w14:textFill>
            <w14:solidFill>
              <w14:schemeClr w14:val="tx1"/>
            </w14:solidFill>
          </w14:textFill>
        </w:rPr>
        <w:t>.1 公众意见调查的目的</w:t>
      </w:r>
      <w:bookmarkEnd w:id="40"/>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 xml:space="preserve">根据《中华人民共和国环境影响评价法》（2018.12.29）、《环境影响评价公众参与办法》（2019.1.1）、《建设项目竣工环境保护验收技术规范 </w:t>
      </w:r>
      <w:r>
        <w:rPr>
          <w:rFonts w:ascii="Times New Roman" w:hAnsi="Times New Roman" w:cs="Times New Roman"/>
          <w:color w:val="000000" w:themeColor="text1"/>
          <w:sz w:val="24"/>
          <w:szCs w:val="24"/>
          <w14:textFill>
            <w14:solidFill>
              <w14:schemeClr w14:val="tx1"/>
            </w14:solidFill>
          </w14:textFill>
        </w:rPr>
        <w:t xml:space="preserve"> </w:t>
      </w:r>
      <w:r>
        <w:rPr>
          <w:rFonts w:hint="eastAsia" w:ascii="Times New Roman" w:hAnsi="Times New Roman" w:cs="Times New Roman"/>
          <w:color w:val="000000" w:themeColor="text1"/>
          <w:sz w:val="24"/>
          <w:szCs w:val="24"/>
          <w14:textFill>
            <w14:solidFill>
              <w14:schemeClr w14:val="tx1"/>
            </w14:solidFill>
          </w14:textFill>
        </w:rPr>
        <w:t>生态影响类》</w:t>
      </w:r>
      <w:r>
        <w:rPr>
          <w:rFonts w:hint="eastAsia" w:cs="Times New Roman" w:asciiTheme="minorEastAsia" w:hAnsiTheme="minorEastAsia"/>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HJ</w:t>
      </w:r>
      <w:r>
        <w:rPr>
          <w:rFonts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T</w:t>
      </w:r>
      <w:r>
        <w:rPr>
          <w:rFonts w:ascii="Times New Roman" w:hAnsi="Times New Roman" w:cs="Times New Roman"/>
          <w:color w:val="000000" w:themeColor="text1"/>
          <w:sz w:val="24"/>
          <w:szCs w:val="24"/>
          <w14:textFill>
            <w14:solidFill>
              <w14:schemeClr w14:val="tx1"/>
            </w14:solidFill>
          </w14:textFill>
        </w:rPr>
        <w:t xml:space="preserve"> 394</w:t>
      </w:r>
      <w:r>
        <w:rPr>
          <w:rFonts w:hint="eastAsia" w:ascii="Times New Roman" w:hAnsi="Times New Roman" w:cs="Times New Roman"/>
          <w:color w:val="000000" w:themeColor="text1"/>
          <w:sz w:val="24"/>
          <w:szCs w:val="24"/>
          <w14:textFill>
            <w14:solidFill>
              <w14:schemeClr w14:val="tx1"/>
            </w14:solidFill>
          </w14:textFill>
        </w:rPr>
        <w:t>-200</w:t>
      </w:r>
      <w:r>
        <w:rPr>
          <w:rFonts w:ascii="Times New Roman" w:hAnsi="Times New Roman" w:cs="Times New Roman"/>
          <w:color w:val="000000" w:themeColor="text1"/>
          <w:sz w:val="24"/>
          <w:szCs w:val="24"/>
          <w14:textFill>
            <w14:solidFill>
              <w14:schemeClr w14:val="tx1"/>
            </w14:solidFill>
          </w14:textFill>
        </w:rPr>
        <w:t>7</w:t>
      </w:r>
      <w:r>
        <w:rPr>
          <w:rFonts w:hint="eastAsia" w:cs="Times New Roman" w:asciiTheme="minorEastAsia" w:hAnsiTheme="minorEastAsia"/>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的有关要求，在本次业隆沟锂辉石矿采选尾工程（露天开采区及配套废石场）环境保护验收调查期间同步开展了公众意见调查工作，以全面、客观地调查项目施工期对区域自然环境、生态环境及社会环境带来的影响，了解公众对工程建设的意见和建议。因此，本次环境保护验收调查将公众参与作为一项重要工作内容，其主要目的在于：</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（1）了解公众对项目建设的一般性意见和基本态度。</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（2）了解工程施工期间是否发生过环境污染事件或扰民事件。</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（3）调查公众最关注的环境问题，提出整改意见及要求。</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（4）调查公众对建设项目环境保护工作的总体评价。</w:t>
      </w:r>
    </w:p>
    <w:p>
      <w:pPr>
        <w:pStyle w:val="3"/>
        <w:rPr>
          <w:color w:val="000000" w:themeColor="text1"/>
          <w14:textFill>
            <w14:solidFill>
              <w14:schemeClr w14:val="tx1"/>
            </w14:solidFill>
          </w14:textFill>
        </w:rPr>
      </w:pPr>
      <w:bookmarkStart w:id="41" w:name="_Toc62202405"/>
      <w:r>
        <w:rPr>
          <w:rFonts w:hint="eastAsia"/>
          <w:color w:val="000000" w:themeColor="text1"/>
          <w14:textFill>
            <w14:solidFill>
              <w14:schemeClr w14:val="tx1"/>
            </w14:solidFill>
          </w14:textFill>
        </w:rPr>
        <w:t>8</w:t>
      </w:r>
      <w:r>
        <w:rPr>
          <w:color w:val="000000" w:themeColor="text1"/>
          <w14:textFill>
            <w14:solidFill>
              <w14:schemeClr w14:val="tx1"/>
            </w14:solidFill>
          </w14:textFill>
        </w:rPr>
        <w:t>.2 调查对象和方法</w:t>
      </w:r>
      <w:bookmarkEnd w:id="41"/>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本次对公众意见调查的对象选择上，依照广泛性与针对性原则，以利益受损公众为主，调查对象主要为项目建设区及周边居民、工程移民、工程建设涉及的各级地方政府部门、主要行业部门、社会团体，此外也包括关心本工程建设和环境保护的社会人士。</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公众意见调查主要采用走访、问卷调查等方法。问卷调查，即被调查对象按设定的表格采取划“√”的方式作回答；此外还有走访调查方式，即被调查者口头回答问题，从而了解公众对项目所采取环保措施的意见和建议。本次调查共发放调查表格</w:t>
      </w:r>
      <w:r>
        <w:rPr>
          <w:rFonts w:hint="eastAsia" w:ascii="Times New Roman" w:hAnsi="Times New Roman" w:cs="Times New Roman"/>
          <w:color w:val="000000" w:themeColor="text1"/>
          <w:sz w:val="24"/>
          <w:szCs w:val="24"/>
          <w:lang w:val="en-US" w:eastAsia="zh-CN"/>
          <w14:textFill>
            <w14:solidFill>
              <w14:schemeClr w14:val="tx1"/>
            </w14:solidFill>
          </w14:textFill>
        </w:rPr>
        <w:t>11</w:t>
      </w:r>
      <w:r>
        <w:rPr>
          <w:rFonts w:hint="eastAsia" w:ascii="Times New Roman" w:hAnsi="Times New Roman" w:cs="Times New Roman"/>
          <w:color w:val="000000" w:themeColor="text1"/>
          <w:sz w:val="24"/>
          <w:szCs w:val="24"/>
          <w14:textFill>
            <w14:solidFill>
              <w14:schemeClr w14:val="tx1"/>
            </w14:solidFill>
          </w14:textFill>
        </w:rPr>
        <w:t>份，收回有效调查答卷</w:t>
      </w:r>
      <w:r>
        <w:rPr>
          <w:rFonts w:ascii="Times New Roman" w:hAnsi="Times New Roman" w:cs="Times New Roman"/>
          <w:color w:val="000000" w:themeColor="text1"/>
          <w:sz w:val="24"/>
          <w:szCs w:val="24"/>
          <w14:textFill>
            <w14:solidFill>
              <w14:schemeClr w14:val="tx1"/>
            </w14:solidFill>
          </w14:textFill>
        </w:rPr>
        <w:t>1</w:t>
      </w:r>
      <w:r>
        <w:rPr>
          <w:rFonts w:hint="eastAsia" w:ascii="Times New Roman" w:hAnsi="Times New Roman" w:cs="Times New Roman"/>
          <w:color w:val="000000" w:themeColor="text1"/>
          <w:sz w:val="24"/>
          <w:szCs w:val="24"/>
          <w:lang w:val="en-US" w:eastAsia="zh-CN"/>
          <w14:textFill>
            <w14:solidFill>
              <w14:schemeClr w14:val="tx1"/>
            </w14:solidFill>
          </w14:textFill>
        </w:rPr>
        <w:t>1</w:t>
      </w:r>
      <w:r>
        <w:rPr>
          <w:rFonts w:hint="eastAsia" w:ascii="Times New Roman" w:hAnsi="Times New Roman" w:cs="Times New Roman"/>
          <w:color w:val="000000" w:themeColor="text1"/>
          <w:sz w:val="24"/>
          <w:szCs w:val="24"/>
          <w14:textFill>
            <w14:solidFill>
              <w14:schemeClr w14:val="tx1"/>
            </w14:solidFill>
          </w14:textFill>
        </w:rPr>
        <w:t>份，其中个人调查表</w:t>
      </w:r>
      <w:r>
        <w:rPr>
          <w:rFonts w:hint="eastAsia" w:ascii="Times New Roman" w:hAnsi="Times New Roman" w:cs="Times New Roman"/>
          <w:color w:val="000000" w:themeColor="text1"/>
          <w:sz w:val="24"/>
          <w:szCs w:val="24"/>
          <w:lang w:val="en-US" w:eastAsia="zh-CN"/>
          <w14:textFill>
            <w14:solidFill>
              <w14:schemeClr w14:val="tx1"/>
            </w14:solidFill>
          </w14:textFill>
        </w:rPr>
        <w:t>10</w:t>
      </w:r>
      <w:r>
        <w:rPr>
          <w:rFonts w:hint="eastAsia" w:ascii="Times New Roman" w:hAnsi="Times New Roman" w:cs="Times New Roman"/>
          <w:color w:val="000000" w:themeColor="text1"/>
          <w:sz w:val="24"/>
          <w:szCs w:val="24"/>
          <w14:textFill>
            <w14:solidFill>
              <w14:schemeClr w14:val="tx1"/>
            </w14:solidFill>
          </w14:textFill>
        </w:rPr>
        <w:t>份，单位团体调查表</w:t>
      </w:r>
      <w:r>
        <w:rPr>
          <w:rFonts w:ascii="Times New Roman" w:hAnsi="Times New Roman" w:cs="Times New Roman"/>
          <w:color w:val="000000" w:themeColor="text1"/>
          <w:sz w:val="24"/>
          <w:szCs w:val="24"/>
          <w14:textFill>
            <w14:solidFill>
              <w14:schemeClr w14:val="tx1"/>
            </w14:solidFill>
          </w14:textFill>
        </w:rPr>
        <w:t>1</w:t>
      </w:r>
      <w:r>
        <w:rPr>
          <w:rFonts w:hint="eastAsia" w:ascii="Times New Roman" w:hAnsi="Times New Roman" w:cs="Times New Roman"/>
          <w:color w:val="000000" w:themeColor="text1"/>
          <w:sz w:val="24"/>
          <w:szCs w:val="24"/>
          <w14:textFill>
            <w14:solidFill>
              <w14:schemeClr w14:val="tx1"/>
            </w14:solidFill>
          </w14:textFill>
        </w:rPr>
        <w:t>份。</w:t>
      </w:r>
    </w:p>
    <w:p>
      <w:pPr>
        <w:pStyle w:val="3"/>
        <w:rPr>
          <w:color w:val="000000" w:themeColor="text1"/>
          <w14:textFill>
            <w14:solidFill>
              <w14:schemeClr w14:val="tx1"/>
            </w14:solidFill>
          </w14:textFill>
        </w:rPr>
      </w:pPr>
      <w:bookmarkStart w:id="42" w:name="_Toc62202406"/>
      <w:r>
        <w:rPr>
          <w:rFonts w:hint="eastAsia"/>
          <w:color w:val="000000" w:themeColor="text1"/>
          <w14:textFill>
            <w14:solidFill>
              <w14:schemeClr w14:val="tx1"/>
            </w14:solidFill>
          </w14:textFill>
        </w:rPr>
        <w:t>8</w:t>
      </w:r>
      <w:r>
        <w:rPr>
          <w:color w:val="000000" w:themeColor="text1"/>
          <w14:textFill>
            <w14:solidFill>
              <w14:schemeClr w14:val="tx1"/>
            </w14:solidFill>
          </w14:textFill>
        </w:rPr>
        <w:t>.3 公众意见调查结果分析</w:t>
      </w:r>
      <w:bookmarkEnd w:id="42"/>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8</w:t>
      </w:r>
      <w:r>
        <w:rPr>
          <w:color w:val="000000" w:themeColor="text1"/>
          <w14:textFill>
            <w14:solidFill>
              <w14:schemeClr w14:val="tx1"/>
            </w14:solidFill>
          </w14:textFill>
        </w:rPr>
        <w:t>.3.1 个人公众参与意见调查结果</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通过对工程涉及区域代表性的居民实地调查，对调查内容逐项分类统计，计算各类意向或意见的数量及比例，调查内容及结果见表</w:t>
      </w:r>
      <w:r>
        <w:rPr>
          <w:rFonts w:ascii="Times New Roman" w:hAnsi="Times New Roman" w:cs="Times New Roman"/>
          <w:color w:val="000000" w:themeColor="text1"/>
          <w:sz w:val="24"/>
          <w:szCs w:val="24"/>
          <w14:textFill>
            <w14:solidFill>
              <w14:schemeClr w14:val="tx1"/>
            </w14:solidFill>
          </w14:textFill>
        </w:rPr>
        <w:t>8.3</w:t>
      </w:r>
      <w:r>
        <w:rPr>
          <w:rFonts w:hint="eastAsia" w:ascii="Times New Roman" w:hAnsi="Times New Roman" w:cs="Times New Roman"/>
          <w:color w:val="000000" w:themeColor="text1"/>
          <w:sz w:val="24"/>
          <w:szCs w:val="24"/>
          <w14:textFill>
            <w14:solidFill>
              <w14:schemeClr w14:val="tx1"/>
            </w14:solidFill>
          </w14:textFill>
        </w:rPr>
        <w:t>-1、</w:t>
      </w:r>
      <w:r>
        <w:rPr>
          <w:rFonts w:ascii="Times New Roman" w:hAnsi="Times New Roman" w:cs="Times New Roman"/>
          <w:color w:val="000000" w:themeColor="text1"/>
          <w:sz w:val="24"/>
          <w:szCs w:val="24"/>
          <w14:textFill>
            <w14:solidFill>
              <w14:schemeClr w14:val="tx1"/>
            </w14:solidFill>
          </w14:textFill>
        </w:rPr>
        <w:t>8.3</w:t>
      </w:r>
      <w:r>
        <w:rPr>
          <w:rFonts w:hint="eastAsia" w:ascii="Times New Roman" w:hAnsi="Times New Roman" w:cs="Times New Roman"/>
          <w:color w:val="000000" w:themeColor="text1"/>
          <w:sz w:val="24"/>
          <w:szCs w:val="24"/>
          <w14:textFill>
            <w14:solidFill>
              <w14:schemeClr w14:val="tx1"/>
            </w14:solidFill>
          </w14:textFill>
        </w:rPr>
        <w:t>-2。</w:t>
      </w:r>
    </w:p>
    <w:p>
      <w:pPr>
        <w:rPr>
          <w:rFonts w:ascii="Times New Roman" w:hAnsi="Times New Roman" w:cs="Times New Roman"/>
          <w:b/>
          <w:color w:val="000000" w:themeColor="text1"/>
          <w:szCs w:val="24"/>
          <w14:textFill>
            <w14:solidFill>
              <w14:schemeClr w14:val="tx1"/>
            </w14:solidFill>
          </w14:textFill>
        </w:rPr>
      </w:pPr>
      <w:r>
        <w:rPr>
          <w:rFonts w:ascii="Times New Roman" w:hAnsi="Times New Roman" w:cs="Times New Roman"/>
          <w:b/>
          <w:color w:val="000000" w:themeColor="text1"/>
          <w:szCs w:val="24"/>
          <w14:textFill>
            <w14:solidFill>
              <w14:schemeClr w14:val="tx1"/>
            </w14:solidFill>
          </w14:textFill>
        </w:rPr>
        <w:br w:type="page"/>
      </w:r>
    </w:p>
    <w:p>
      <w:pPr>
        <w:spacing w:line="360" w:lineRule="auto"/>
        <w:jc w:val="center"/>
        <w:rPr>
          <w:rFonts w:ascii="Times New Roman" w:hAnsi="Times New Roman" w:cs="Times New Roman"/>
          <w:b/>
          <w:color w:val="000000" w:themeColor="text1"/>
          <w:szCs w:val="24"/>
          <w14:textFill>
            <w14:solidFill>
              <w14:schemeClr w14:val="tx1"/>
            </w14:solidFill>
          </w14:textFill>
        </w:rPr>
      </w:pPr>
      <w:r>
        <w:rPr>
          <w:rFonts w:ascii="Times New Roman" w:hAnsi="Times New Roman" w:cs="Times New Roman"/>
          <w:b/>
          <w:color w:val="000000" w:themeColor="text1"/>
          <w:szCs w:val="24"/>
          <w14:textFill>
            <w14:solidFill>
              <w14:schemeClr w14:val="tx1"/>
            </w14:solidFill>
          </w14:textFill>
        </w:rPr>
        <w:t>表</w:t>
      </w:r>
      <w:r>
        <w:rPr>
          <w:rFonts w:hint="eastAsia" w:ascii="Times New Roman" w:hAnsi="Times New Roman" w:cs="Times New Roman"/>
          <w:b/>
          <w:color w:val="000000" w:themeColor="text1"/>
          <w:szCs w:val="24"/>
          <w14:textFill>
            <w14:solidFill>
              <w14:schemeClr w14:val="tx1"/>
            </w14:solidFill>
          </w14:textFill>
        </w:rPr>
        <w:t>8</w:t>
      </w:r>
      <w:r>
        <w:rPr>
          <w:rFonts w:ascii="Times New Roman" w:hAnsi="Times New Roman" w:cs="Times New Roman"/>
          <w:b/>
          <w:color w:val="000000" w:themeColor="text1"/>
          <w:szCs w:val="24"/>
          <w14:textFill>
            <w14:solidFill>
              <w14:schemeClr w14:val="tx1"/>
            </w14:solidFill>
          </w14:textFill>
        </w:rPr>
        <w:t>.3</w:t>
      </w:r>
      <w:r>
        <w:rPr>
          <w:rFonts w:hint="eastAsia" w:ascii="Times New Roman" w:hAnsi="Times New Roman" w:cs="Times New Roman"/>
          <w:b/>
          <w:color w:val="000000" w:themeColor="text1"/>
          <w:szCs w:val="24"/>
          <w14:textFill>
            <w14:solidFill>
              <w14:schemeClr w14:val="tx1"/>
            </w14:solidFill>
          </w14:textFill>
        </w:rPr>
        <w:t>-</w:t>
      </w:r>
      <w:r>
        <w:rPr>
          <w:rFonts w:ascii="Times New Roman" w:hAnsi="Times New Roman" w:cs="Times New Roman"/>
          <w:b/>
          <w:color w:val="000000" w:themeColor="text1"/>
          <w:szCs w:val="24"/>
          <w14:textFill>
            <w14:solidFill>
              <w14:schemeClr w14:val="tx1"/>
            </w14:solidFill>
          </w14:textFill>
        </w:rPr>
        <w:t>1  公众参与调查对象统计表</w:t>
      </w:r>
      <w:r>
        <w:rPr>
          <w:rFonts w:hint="eastAsia" w:ascii="Times New Roman" w:hAnsi="Times New Roman" w:cs="Times New Roman"/>
          <w:b/>
          <w:color w:val="000000" w:themeColor="text1"/>
          <w:szCs w:val="24"/>
          <w14:textFill>
            <w14:solidFill>
              <w14:schemeClr w14:val="tx1"/>
            </w14:solidFill>
          </w14:textFill>
        </w:rPr>
        <w:t>（个人）</w:t>
      </w:r>
    </w:p>
    <w:tbl>
      <w:tblPr>
        <w:tblStyle w:val="28"/>
        <w:tblW w:w="9287"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99"/>
        <w:gridCol w:w="2966"/>
        <w:gridCol w:w="482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465" w:type="dxa"/>
            <w:gridSpan w:val="2"/>
            <w:vAlign w:val="center"/>
          </w:tcPr>
          <w:p>
            <w:pPr>
              <w:spacing w:line="300" w:lineRule="auto"/>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调查项目</w:t>
            </w:r>
          </w:p>
        </w:tc>
        <w:tc>
          <w:tcPr>
            <w:tcW w:w="4822" w:type="dxa"/>
            <w:vAlign w:val="center"/>
          </w:tcPr>
          <w:p>
            <w:pPr>
              <w:spacing w:line="300" w:lineRule="auto"/>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调查结果(占调查总数的百分比)(%)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499" w:type="dxa"/>
            <w:vMerge w:val="restart"/>
            <w:vAlign w:val="center"/>
          </w:tcPr>
          <w:p>
            <w:pPr>
              <w:spacing w:line="30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年龄</w:t>
            </w:r>
          </w:p>
        </w:tc>
        <w:tc>
          <w:tcPr>
            <w:tcW w:w="2966" w:type="dxa"/>
            <w:vAlign w:val="center"/>
          </w:tcPr>
          <w:p>
            <w:pPr>
              <w:spacing w:line="300" w:lineRule="auto"/>
              <w:jc w:val="center"/>
              <w:rPr>
                <w:rFonts w:ascii="Times New Roman" w:hAnsi="Times New Roman" w:cs="Times New Roman"/>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①</w:t>
            </w:r>
            <w:r>
              <w:rPr>
                <w:rFonts w:ascii="Times New Roman" w:hAnsi="Times New Roman" w:cs="Times New Roman"/>
                <w:color w:val="000000" w:themeColor="text1"/>
                <w:szCs w:val="21"/>
                <w14:textFill>
                  <w14:solidFill>
                    <w14:schemeClr w14:val="tx1"/>
                  </w14:solidFill>
                </w14:textFill>
              </w:rPr>
              <w:t>20岁以下</w:t>
            </w:r>
          </w:p>
        </w:tc>
        <w:tc>
          <w:tcPr>
            <w:tcW w:w="4822" w:type="dxa"/>
            <w:vAlign w:val="center"/>
          </w:tcPr>
          <w:p>
            <w:pPr>
              <w:spacing w:line="300" w:lineRule="auto"/>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499" w:type="dxa"/>
            <w:vMerge w:val="continue"/>
            <w:vAlign w:val="center"/>
          </w:tcPr>
          <w:p>
            <w:pPr>
              <w:spacing w:line="300" w:lineRule="auto"/>
              <w:jc w:val="center"/>
              <w:rPr>
                <w:rFonts w:ascii="Times New Roman" w:hAnsi="Times New Roman" w:cs="Times New Roman"/>
                <w:color w:val="000000" w:themeColor="text1"/>
                <w:szCs w:val="21"/>
                <w14:textFill>
                  <w14:solidFill>
                    <w14:schemeClr w14:val="tx1"/>
                  </w14:solidFill>
                </w14:textFill>
              </w:rPr>
            </w:pPr>
          </w:p>
        </w:tc>
        <w:tc>
          <w:tcPr>
            <w:tcW w:w="2966" w:type="dxa"/>
            <w:vAlign w:val="center"/>
          </w:tcPr>
          <w:p>
            <w:pPr>
              <w:spacing w:line="300" w:lineRule="auto"/>
              <w:jc w:val="center"/>
              <w:rPr>
                <w:rFonts w:ascii="Times New Roman" w:hAnsi="Times New Roman" w:cs="Times New Roman"/>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②2</w:t>
            </w:r>
            <w:r>
              <w:rPr>
                <w:rFonts w:ascii="Times New Roman" w:hAnsi="Times New Roman" w:cs="Times New Roman"/>
                <w:color w:val="000000" w:themeColor="text1"/>
                <w:szCs w:val="21"/>
                <w14:textFill>
                  <w14:solidFill>
                    <w14:schemeClr w14:val="tx1"/>
                  </w14:solidFill>
                </w14:textFill>
              </w:rPr>
              <w:t>0~40岁</w:t>
            </w:r>
          </w:p>
        </w:tc>
        <w:tc>
          <w:tcPr>
            <w:tcW w:w="4822" w:type="dxa"/>
            <w:vAlign w:val="center"/>
          </w:tcPr>
          <w:p>
            <w:pPr>
              <w:spacing w:line="300" w:lineRule="auto"/>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499" w:type="dxa"/>
            <w:vMerge w:val="continue"/>
            <w:vAlign w:val="center"/>
          </w:tcPr>
          <w:p>
            <w:pPr>
              <w:spacing w:line="300" w:lineRule="auto"/>
              <w:jc w:val="center"/>
              <w:rPr>
                <w:rFonts w:ascii="Times New Roman" w:hAnsi="Times New Roman" w:cs="Times New Roman"/>
                <w:color w:val="000000" w:themeColor="text1"/>
                <w:szCs w:val="21"/>
                <w14:textFill>
                  <w14:solidFill>
                    <w14:schemeClr w14:val="tx1"/>
                  </w14:solidFill>
                </w14:textFill>
              </w:rPr>
            </w:pPr>
          </w:p>
        </w:tc>
        <w:tc>
          <w:tcPr>
            <w:tcW w:w="2966" w:type="dxa"/>
            <w:vAlign w:val="center"/>
          </w:tcPr>
          <w:p>
            <w:pPr>
              <w:spacing w:line="300" w:lineRule="auto"/>
              <w:jc w:val="center"/>
              <w:rPr>
                <w:rFonts w:ascii="Times New Roman" w:hAnsi="Times New Roman" w:cs="Times New Roman"/>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③</w:t>
            </w:r>
            <w:r>
              <w:rPr>
                <w:rFonts w:ascii="Times New Roman" w:hAnsi="Times New Roman" w:cs="Times New Roman"/>
                <w:color w:val="000000" w:themeColor="text1"/>
                <w:szCs w:val="21"/>
                <w14:textFill>
                  <w14:solidFill>
                    <w14:schemeClr w14:val="tx1"/>
                  </w14:solidFill>
                </w14:textFill>
              </w:rPr>
              <w:t>40~60岁</w:t>
            </w:r>
          </w:p>
        </w:tc>
        <w:tc>
          <w:tcPr>
            <w:tcW w:w="4822" w:type="dxa"/>
            <w:vAlign w:val="center"/>
          </w:tcPr>
          <w:p>
            <w:pPr>
              <w:spacing w:line="300" w:lineRule="auto"/>
              <w:jc w:val="center"/>
              <w:rPr>
                <w:rFonts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499" w:type="dxa"/>
            <w:vMerge w:val="continue"/>
            <w:vAlign w:val="center"/>
          </w:tcPr>
          <w:p>
            <w:pPr>
              <w:spacing w:line="300" w:lineRule="auto"/>
              <w:jc w:val="center"/>
              <w:rPr>
                <w:rFonts w:ascii="Times New Roman" w:hAnsi="Times New Roman" w:cs="Times New Roman"/>
                <w:color w:val="000000" w:themeColor="text1"/>
                <w:szCs w:val="21"/>
                <w14:textFill>
                  <w14:solidFill>
                    <w14:schemeClr w14:val="tx1"/>
                  </w14:solidFill>
                </w14:textFill>
              </w:rPr>
            </w:pPr>
          </w:p>
        </w:tc>
        <w:tc>
          <w:tcPr>
            <w:tcW w:w="2966" w:type="dxa"/>
            <w:vAlign w:val="center"/>
          </w:tcPr>
          <w:p>
            <w:pPr>
              <w:spacing w:line="300" w:lineRule="auto"/>
              <w:jc w:val="center"/>
              <w:rPr>
                <w:rFonts w:ascii="Times New Roman" w:hAnsi="Times New Roman" w:cs="Times New Roman"/>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④</w:t>
            </w:r>
            <w:r>
              <w:rPr>
                <w:rFonts w:ascii="Times New Roman" w:hAnsi="Times New Roman" w:cs="Times New Roman"/>
                <w:color w:val="000000" w:themeColor="text1"/>
                <w:szCs w:val="21"/>
                <w14:textFill>
                  <w14:solidFill>
                    <w14:schemeClr w14:val="tx1"/>
                  </w14:solidFill>
                </w14:textFill>
              </w:rPr>
              <w:t>60岁以上</w:t>
            </w:r>
          </w:p>
        </w:tc>
        <w:tc>
          <w:tcPr>
            <w:tcW w:w="4822" w:type="dxa"/>
            <w:vAlign w:val="center"/>
          </w:tcPr>
          <w:p>
            <w:pPr>
              <w:spacing w:line="300" w:lineRule="auto"/>
              <w:jc w:val="center"/>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499" w:type="dxa"/>
            <w:vMerge w:val="restart"/>
            <w:vAlign w:val="center"/>
          </w:tcPr>
          <w:p>
            <w:pPr>
              <w:spacing w:line="30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民族</w:t>
            </w:r>
          </w:p>
        </w:tc>
        <w:tc>
          <w:tcPr>
            <w:tcW w:w="2966" w:type="dxa"/>
            <w:vAlign w:val="center"/>
          </w:tcPr>
          <w:p>
            <w:pPr>
              <w:spacing w:line="300" w:lineRule="auto"/>
              <w:jc w:val="center"/>
              <w:rPr>
                <w:rFonts w:ascii="Times New Roman" w:hAnsi="Times New Roman" w:cs="Times New Roman"/>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①</w:t>
            </w:r>
            <w:r>
              <w:rPr>
                <w:rFonts w:ascii="Times New Roman" w:hAnsi="Times New Roman" w:cs="Times New Roman"/>
                <w:color w:val="000000" w:themeColor="text1"/>
                <w:szCs w:val="21"/>
                <w14:textFill>
                  <w14:solidFill>
                    <w14:schemeClr w14:val="tx1"/>
                  </w14:solidFill>
                </w14:textFill>
              </w:rPr>
              <w:t>藏族</w:t>
            </w:r>
          </w:p>
        </w:tc>
        <w:tc>
          <w:tcPr>
            <w:tcW w:w="4822" w:type="dxa"/>
            <w:vAlign w:val="center"/>
          </w:tcPr>
          <w:p>
            <w:pPr>
              <w:spacing w:line="300" w:lineRule="auto"/>
              <w:jc w:val="center"/>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499" w:type="dxa"/>
            <w:vMerge w:val="continue"/>
            <w:vAlign w:val="center"/>
          </w:tcPr>
          <w:p>
            <w:pPr>
              <w:spacing w:line="300" w:lineRule="auto"/>
              <w:jc w:val="center"/>
              <w:rPr>
                <w:rFonts w:ascii="Times New Roman" w:hAnsi="Times New Roman" w:cs="Times New Roman"/>
                <w:color w:val="000000" w:themeColor="text1"/>
                <w:szCs w:val="21"/>
                <w14:textFill>
                  <w14:solidFill>
                    <w14:schemeClr w14:val="tx1"/>
                  </w14:solidFill>
                </w14:textFill>
              </w:rPr>
            </w:pPr>
          </w:p>
        </w:tc>
        <w:tc>
          <w:tcPr>
            <w:tcW w:w="2966" w:type="dxa"/>
            <w:vAlign w:val="center"/>
          </w:tcPr>
          <w:p>
            <w:pPr>
              <w:spacing w:line="300" w:lineRule="auto"/>
              <w:jc w:val="center"/>
              <w:rPr>
                <w:rFonts w:ascii="Times New Roman" w:hAnsi="Times New Roman" w:cs="Times New Roman"/>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②</w:t>
            </w:r>
            <w:r>
              <w:rPr>
                <w:rFonts w:ascii="Times New Roman" w:hAnsi="Times New Roman" w:cs="Times New Roman"/>
                <w:color w:val="000000" w:themeColor="text1"/>
                <w:szCs w:val="21"/>
                <w14:textFill>
                  <w14:solidFill>
                    <w14:schemeClr w14:val="tx1"/>
                  </w14:solidFill>
                </w14:textFill>
              </w:rPr>
              <w:t>汉族</w:t>
            </w:r>
          </w:p>
        </w:tc>
        <w:tc>
          <w:tcPr>
            <w:tcW w:w="4822" w:type="dxa"/>
            <w:vAlign w:val="center"/>
          </w:tcPr>
          <w:p>
            <w:pPr>
              <w:spacing w:line="300" w:lineRule="auto"/>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499" w:type="dxa"/>
            <w:vMerge w:val="continue"/>
            <w:vAlign w:val="center"/>
          </w:tcPr>
          <w:p>
            <w:pPr>
              <w:spacing w:line="300" w:lineRule="auto"/>
              <w:jc w:val="center"/>
              <w:rPr>
                <w:rFonts w:ascii="Times New Roman" w:hAnsi="Times New Roman" w:cs="Times New Roman"/>
                <w:color w:val="000000" w:themeColor="text1"/>
                <w:szCs w:val="21"/>
                <w14:textFill>
                  <w14:solidFill>
                    <w14:schemeClr w14:val="tx1"/>
                  </w14:solidFill>
                </w14:textFill>
              </w:rPr>
            </w:pPr>
          </w:p>
        </w:tc>
        <w:tc>
          <w:tcPr>
            <w:tcW w:w="2966" w:type="dxa"/>
            <w:vAlign w:val="center"/>
          </w:tcPr>
          <w:p>
            <w:pPr>
              <w:spacing w:line="300" w:lineRule="auto"/>
              <w:jc w:val="center"/>
              <w:rPr>
                <w:rFonts w:ascii="Times New Roman" w:hAnsi="Times New Roman" w:cs="Times New Roman"/>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③</w:t>
            </w:r>
            <w:r>
              <w:rPr>
                <w:rFonts w:ascii="Times New Roman" w:hAnsi="Times New Roman" w:cs="Times New Roman"/>
                <w:color w:val="000000" w:themeColor="text1"/>
                <w:szCs w:val="21"/>
                <w14:textFill>
                  <w14:solidFill>
                    <w14:schemeClr w14:val="tx1"/>
                  </w14:solidFill>
                </w14:textFill>
              </w:rPr>
              <w:t>回族</w:t>
            </w:r>
          </w:p>
        </w:tc>
        <w:tc>
          <w:tcPr>
            <w:tcW w:w="4822" w:type="dxa"/>
            <w:vAlign w:val="center"/>
          </w:tcPr>
          <w:p>
            <w:pPr>
              <w:spacing w:line="300" w:lineRule="auto"/>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499" w:type="dxa"/>
            <w:vMerge w:val="restart"/>
            <w:vAlign w:val="center"/>
          </w:tcPr>
          <w:p>
            <w:pPr>
              <w:spacing w:line="30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职业</w:t>
            </w:r>
          </w:p>
        </w:tc>
        <w:tc>
          <w:tcPr>
            <w:tcW w:w="2966" w:type="dxa"/>
            <w:vAlign w:val="center"/>
          </w:tcPr>
          <w:p>
            <w:pPr>
              <w:spacing w:line="300" w:lineRule="auto"/>
              <w:jc w:val="center"/>
              <w:rPr>
                <w:rFonts w:ascii="Times New Roman" w:hAnsi="Times New Roman" w:cs="Times New Roman"/>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①</w:t>
            </w:r>
            <w:r>
              <w:rPr>
                <w:rFonts w:ascii="Times New Roman" w:hAnsi="Times New Roman" w:cs="Times New Roman"/>
                <w:color w:val="000000" w:themeColor="text1"/>
                <w:szCs w:val="21"/>
                <w14:textFill>
                  <w14:solidFill>
                    <w14:schemeClr w14:val="tx1"/>
                  </w14:solidFill>
                </w14:textFill>
              </w:rPr>
              <w:t>干部</w:t>
            </w:r>
          </w:p>
        </w:tc>
        <w:tc>
          <w:tcPr>
            <w:tcW w:w="4822" w:type="dxa"/>
            <w:vAlign w:val="center"/>
          </w:tcPr>
          <w:p>
            <w:pPr>
              <w:spacing w:line="300" w:lineRule="auto"/>
              <w:jc w:val="center"/>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499" w:type="dxa"/>
            <w:vMerge w:val="continue"/>
            <w:vAlign w:val="center"/>
          </w:tcPr>
          <w:p>
            <w:pPr>
              <w:spacing w:line="300" w:lineRule="auto"/>
              <w:jc w:val="center"/>
              <w:rPr>
                <w:rFonts w:ascii="Times New Roman" w:hAnsi="Times New Roman" w:cs="Times New Roman"/>
                <w:color w:val="000000" w:themeColor="text1"/>
                <w:szCs w:val="21"/>
                <w14:textFill>
                  <w14:solidFill>
                    <w14:schemeClr w14:val="tx1"/>
                  </w14:solidFill>
                </w14:textFill>
              </w:rPr>
            </w:pPr>
          </w:p>
        </w:tc>
        <w:tc>
          <w:tcPr>
            <w:tcW w:w="2966" w:type="dxa"/>
            <w:vAlign w:val="center"/>
          </w:tcPr>
          <w:p>
            <w:pPr>
              <w:spacing w:line="300" w:lineRule="auto"/>
              <w:jc w:val="center"/>
              <w:rPr>
                <w:rFonts w:ascii="Times New Roman" w:hAnsi="Times New Roman" w:cs="Times New Roman"/>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②</w:t>
            </w:r>
            <w:r>
              <w:rPr>
                <w:rFonts w:ascii="Times New Roman" w:hAnsi="Times New Roman" w:cs="Times New Roman"/>
                <w:color w:val="000000" w:themeColor="text1"/>
                <w:szCs w:val="21"/>
                <w14:textFill>
                  <w14:solidFill>
                    <w14:schemeClr w14:val="tx1"/>
                  </w14:solidFill>
                </w14:textFill>
              </w:rPr>
              <w:t>农民</w:t>
            </w:r>
          </w:p>
        </w:tc>
        <w:tc>
          <w:tcPr>
            <w:tcW w:w="4822" w:type="dxa"/>
            <w:vAlign w:val="center"/>
          </w:tcPr>
          <w:p>
            <w:pPr>
              <w:spacing w:line="300" w:lineRule="auto"/>
              <w:jc w:val="center"/>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499" w:type="dxa"/>
            <w:vMerge w:val="continue"/>
            <w:vAlign w:val="center"/>
          </w:tcPr>
          <w:p>
            <w:pPr>
              <w:spacing w:line="300" w:lineRule="auto"/>
              <w:jc w:val="center"/>
              <w:rPr>
                <w:rFonts w:ascii="Times New Roman" w:hAnsi="Times New Roman" w:cs="Times New Roman"/>
                <w:color w:val="000000" w:themeColor="text1"/>
                <w:szCs w:val="21"/>
                <w14:textFill>
                  <w14:solidFill>
                    <w14:schemeClr w14:val="tx1"/>
                  </w14:solidFill>
                </w14:textFill>
              </w:rPr>
            </w:pPr>
          </w:p>
        </w:tc>
        <w:tc>
          <w:tcPr>
            <w:tcW w:w="2966" w:type="dxa"/>
            <w:vAlign w:val="center"/>
          </w:tcPr>
          <w:p>
            <w:pPr>
              <w:spacing w:line="300" w:lineRule="auto"/>
              <w:jc w:val="center"/>
              <w:rPr>
                <w:rFonts w:ascii="Times New Roman" w:hAnsi="Times New Roman" w:cs="Times New Roman"/>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③</w:t>
            </w:r>
            <w:r>
              <w:rPr>
                <w:rFonts w:ascii="Times New Roman" w:hAnsi="Times New Roman" w:cs="Times New Roman"/>
                <w:color w:val="000000" w:themeColor="text1"/>
                <w:szCs w:val="21"/>
                <w14:textFill>
                  <w14:solidFill>
                    <w14:schemeClr w14:val="tx1"/>
                  </w14:solidFill>
                </w14:textFill>
              </w:rPr>
              <w:t>工人</w:t>
            </w:r>
          </w:p>
        </w:tc>
        <w:tc>
          <w:tcPr>
            <w:tcW w:w="4822" w:type="dxa"/>
            <w:vAlign w:val="center"/>
          </w:tcPr>
          <w:p>
            <w:pPr>
              <w:spacing w:line="300" w:lineRule="auto"/>
              <w:jc w:val="center"/>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499" w:type="dxa"/>
            <w:vMerge w:val="continue"/>
            <w:vAlign w:val="center"/>
          </w:tcPr>
          <w:p>
            <w:pPr>
              <w:spacing w:line="300" w:lineRule="auto"/>
              <w:jc w:val="center"/>
              <w:rPr>
                <w:rFonts w:ascii="Times New Roman" w:hAnsi="Times New Roman" w:cs="Times New Roman"/>
                <w:color w:val="000000" w:themeColor="text1"/>
                <w:szCs w:val="21"/>
                <w14:textFill>
                  <w14:solidFill>
                    <w14:schemeClr w14:val="tx1"/>
                  </w14:solidFill>
                </w14:textFill>
              </w:rPr>
            </w:pPr>
          </w:p>
        </w:tc>
        <w:tc>
          <w:tcPr>
            <w:tcW w:w="2966" w:type="dxa"/>
            <w:vAlign w:val="center"/>
          </w:tcPr>
          <w:p>
            <w:pPr>
              <w:spacing w:line="300" w:lineRule="auto"/>
              <w:jc w:val="center"/>
              <w:rPr>
                <w:rFonts w:ascii="Times New Roman" w:hAnsi="Times New Roman" w:cs="Times New Roman"/>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④</w:t>
            </w:r>
            <w:r>
              <w:rPr>
                <w:rFonts w:ascii="Times New Roman" w:hAnsi="Times New Roman" w:cs="Times New Roman"/>
                <w:color w:val="000000" w:themeColor="text1"/>
                <w:szCs w:val="21"/>
                <w14:textFill>
                  <w14:solidFill>
                    <w14:schemeClr w14:val="tx1"/>
                  </w14:solidFill>
                </w14:textFill>
              </w:rPr>
              <w:t>自由职业者</w:t>
            </w:r>
          </w:p>
        </w:tc>
        <w:tc>
          <w:tcPr>
            <w:tcW w:w="4822" w:type="dxa"/>
            <w:vAlign w:val="center"/>
          </w:tcPr>
          <w:p>
            <w:pPr>
              <w:spacing w:line="300" w:lineRule="auto"/>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499" w:type="dxa"/>
            <w:vMerge w:val="restart"/>
            <w:vAlign w:val="center"/>
          </w:tcPr>
          <w:p>
            <w:pPr>
              <w:spacing w:line="30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文化程度</w:t>
            </w:r>
          </w:p>
        </w:tc>
        <w:tc>
          <w:tcPr>
            <w:tcW w:w="2966" w:type="dxa"/>
            <w:vAlign w:val="center"/>
          </w:tcPr>
          <w:p>
            <w:pPr>
              <w:spacing w:line="300" w:lineRule="auto"/>
              <w:jc w:val="center"/>
              <w:rPr>
                <w:rFonts w:ascii="Times New Roman" w:hAnsi="Times New Roman" w:cs="Times New Roman"/>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①</w:t>
            </w:r>
            <w:r>
              <w:rPr>
                <w:rFonts w:ascii="Times New Roman" w:hAnsi="Times New Roman" w:cs="Times New Roman"/>
                <w:color w:val="000000" w:themeColor="text1"/>
                <w:szCs w:val="21"/>
                <w14:textFill>
                  <w14:solidFill>
                    <w14:schemeClr w14:val="tx1"/>
                  </w14:solidFill>
                </w14:textFill>
              </w:rPr>
              <w:t>大、中专以上</w:t>
            </w:r>
          </w:p>
        </w:tc>
        <w:tc>
          <w:tcPr>
            <w:tcW w:w="4822" w:type="dxa"/>
            <w:vAlign w:val="center"/>
          </w:tcPr>
          <w:p>
            <w:pPr>
              <w:spacing w:line="300" w:lineRule="auto"/>
              <w:jc w:val="center"/>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499" w:type="dxa"/>
            <w:vMerge w:val="continue"/>
            <w:vAlign w:val="center"/>
          </w:tcPr>
          <w:p>
            <w:pPr>
              <w:spacing w:line="300" w:lineRule="auto"/>
              <w:jc w:val="center"/>
              <w:rPr>
                <w:rFonts w:ascii="Times New Roman" w:hAnsi="Times New Roman" w:cs="Times New Roman"/>
                <w:color w:val="000000" w:themeColor="text1"/>
                <w:szCs w:val="21"/>
                <w14:textFill>
                  <w14:solidFill>
                    <w14:schemeClr w14:val="tx1"/>
                  </w14:solidFill>
                </w14:textFill>
              </w:rPr>
            </w:pPr>
          </w:p>
        </w:tc>
        <w:tc>
          <w:tcPr>
            <w:tcW w:w="2966" w:type="dxa"/>
            <w:vAlign w:val="center"/>
          </w:tcPr>
          <w:p>
            <w:pPr>
              <w:spacing w:line="300" w:lineRule="auto"/>
              <w:jc w:val="center"/>
              <w:rPr>
                <w:rFonts w:ascii="Times New Roman" w:hAnsi="Times New Roman" w:cs="Times New Roman"/>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②</w:t>
            </w:r>
            <w:r>
              <w:rPr>
                <w:rFonts w:hint="eastAsia" w:ascii="Times New Roman" w:hAnsi="Times New Roman" w:cs="Times New Roman"/>
                <w:color w:val="000000" w:themeColor="text1"/>
                <w:szCs w:val="21"/>
                <w14:textFill>
                  <w14:solidFill>
                    <w14:schemeClr w14:val="tx1"/>
                  </w14:solidFill>
                </w14:textFill>
              </w:rPr>
              <w:t>中学</w:t>
            </w:r>
          </w:p>
        </w:tc>
        <w:tc>
          <w:tcPr>
            <w:tcW w:w="4822" w:type="dxa"/>
            <w:vAlign w:val="center"/>
          </w:tcPr>
          <w:p>
            <w:pPr>
              <w:spacing w:line="300" w:lineRule="auto"/>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499" w:type="dxa"/>
            <w:vMerge w:val="continue"/>
            <w:vAlign w:val="center"/>
          </w:tcPr>
          <w:p>
            <w:pPr>
              <w:spacing w:line="300" w:lineRule="auto"/>
              <w:jc w:val="center"/>
              <w:rPr>
                <w:rFonts w:ascii="Times New Roman" w:hAnsi="Times New Roman" w:cs="Times New Roman"/>
                <w:color w:val="000000" w:themeColor="text1"/>
                <w:szCs w:val="21"/>
                <w14:textFill>
                  <w14:solidFill>
                    <w14:schemeClr w14:val="tx1"/>
                  </w14:solidFill>
                </w14:textFill>
              </w:rPr>
            </w:pPr>
          </w:p>
        </w:tc>
        <w:tc>
          <w:tcPr>
            <w:tcW w:w="2966" w:type="dxa"/>
            <w:vAlign w:val="center"/>
          </w:tcPr>
          <w:p>
            <w:pPr>
              <w:spacing w:line="300" w:lineRule="auto"/>
              <w:jc w:val="center"/>
              <w:rPr>
                <w:rFonts w:ascii="Times New Roman" w:hAnsi="Times New Roman" w:cs="Times New Roman"/>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③</w:t>
            </w:r>
            <w:r>
              <w:rPr>
                <w:rFonts w:hint="eastAsia" w:ascii="Times New Roman" w:hAnsi="Times New Roman" w:cs="Times New Roman"/>
                <w:color w:val="000000" w:themeColor="text1"/>
                <w:szCs w:val="21"/>
                <w14:textFill>
                  <w14:solidFill>
                    <w14:schemeClr w14:val="tx1"/>
                  </w14:solidFill>
                </w14:textFill>
              </w:rPr>
              <w:t>小学</w:t>
            </w:r>
          </w:p>
        </w:tc>
        <w:tc>
          <w:tcPr>
            <w:tcW w:w="4822" w:type="dxa"/>
            <w:vAlign w:val="center"/>
          </w:tcPr>
          <w:p>
            <w:pPr>
              <w:spacing w:line="300" w:lineRule="auto"/>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20</w:t>
            </w:r>
          </w:p>
        </w:tc>
      </w:tr>
    </w:tbl>
    <w:p>
      <w:pPr>
        <w:spacing w:before="100" w:beforeAutospacing="1" w:line="360" w:lineRule="auto"/>
        <w:jc w:val="center"/>
        <w:rPr>
          <w:rFonts w:ascii="Times New Roman" w:hAnsi="Times New Roman" w:cs="Times New Roman"/>
          <w:b/>
          <w:color w:val="000000" w:themeColor="text1"/>
          <w:szCs w:val="24"/>
          <w14:textFill>
            <w14:solidFill>
              <w14:schemeClr w14:val="tx1"/>
            </w14:solidFill>
          </w14:textFill>
        </w:rPr>
      </w:pPr>
    </w:p>
    <w:p>
      <w:pPr>
        <w:spacing w:before="100" w:beforeAutospacing="1" w:line="360" w:lineRule="auto"/>
        <w:jc w:val="center"/>
        <w:rPr>
          <w:rFonts w:ascii="Times New Roman" w:hAnsi="Times New Roman" w:cs="Times New Roman"/>
          <w:b/>
          <w:color w:val="000000" w:themeColor="text1"/>
          <w:szCs w:val="24"/>
          <w14:textFill>
            <w14:solidFill>
              <w14:schemeClr w14:val="tx1"/>
            </w14:solidFill>
          </w14:textFill>
        </w:rPr>
      </w:pPr>
      <w:r>
        <w:rPr>
          <w:rFonts w:ascii="Times New Roman" w:hAnsi="Times New Roman" w:cs="Times New Roman"/>
          <w:b/>
          <w:color w:val="000000" w:themeColor="text1"/>
          <w:szCs w:val="24"/>
          <w14:textFill>
            <w14:solidFill>
              <w14:schemeClr w14:val="tx1"/>
            </w14:solidFill>
          </w14:textFill>
        </w:rPr>
        <w:t>表</w:t>
      </w:r>
      <w:r>
        <w:rPr>
          <w:rFonts w:hint="eastAsia" w:ascii="Times New Roman" w:hAnsi="Times New Roman" w:cs="Times New Roman"/>
          <w:b/>
          <w:color w:val="000000" w:themeColor="text1"/>
          <w:szCs w:val="24"/>
          <w14:textFill>
            <w14:solidFill>
              <w14:schemeClr w14:val="tx1"/>
            </w14:solidFill>
          </w14:textFill>
        </w:rPr>
        <w:t>8</w:t>
      </w:r>
      <w:r>
        <w:rPr>
          <w:rFonts w:ascii="Times New Roman" w:hAnsi="Times New Roman" w:cs="Times New Roman"/>
          <w:b/>
          <w:color w:val="000000" w:themeColor="text1"/>
          <w:szCs w:val="24"/>
          <w14:textFill>
            <w14:solidFill>
              <w14:schemeClr w14:val="tx1"/>
            </w14:solidFill>
          </w14:textFill>
        </w:rPr>
        <w:t>.3</w:t>
      </w:r>
      <w:r>
        <w:rPr>
          <w:rFonts w:hint="eastAsia" w:ascii="Times New Roman" w:hAnsi="Times New Roman" w:cs="Times New Roman"/>
          <w:b/>
          <w:color w:val="000000" w:themeColor="text1"/>
          <w:szCs w:val="24"/>
          <w14:textFill>
            <w14:solidFill>
              <w14:schemeClr w14:val="tx1"/>
            </w14:solidFill>
          </w14:textFill>
        </w:rPr>
        <w:t>-</w:t>
      </w:r>
      <w:r>
        <w:rPr>
          <w:rFonts w:ascii="Times New Roman" w:hAnsi="Times New Roman" w:cs="Times New Roman"/>
          <w:b/>
          <w:color w:val="000000" w:themeColor="text1"/>
          <w:szCs w:val="24"/>
          <w14:textFill>
            <w14:solidFill>
              <w14:schemeClr w14:val="tx1"/>
            </w14:solidFill>
          </w14:textFill>
        </w:rPr>
        <w:t>2  公众参与问卷调查结果表</w:t>
      </w:r>
      <w:r>
        <w:rPr>
          <w:rFonts w:hint="eastAsia" w:ascii="Times New Roman" w:hAnsi="Times New Roman" w:cs="Times New Roman"/>
          <w:b/>
          <w:color w:val="000000" w:themeColor="text1"/>
          <w:szCs w:val="24"/>
          <w14:textFill>
            <w14:solidFill>
              <w14:schemeClr w14:val="tx1"/>
            </w14:solidFill>
          </w14:textFill>
        </w:rPr>
        <w:t>（个人）</w:t>
      </w:r>
    </w:p>
    <w:tbl>
      <w:tblPr>
        <w:tblStyle w:val="28"/>
        <w:tblW w:w="9287"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25"/>
        <w:gridCol w:w="3416"/>
        <w:gridCol w:w="3758"/>
        <w:gridCol w:w="14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blHeader/>
        </w:trPr>
        <w:tc>
          <w:tcPr>
            <w:tcW w:w="625" w:type="dxa"/>
            <w:vAlign w:val="center"/>
          </w:tcPr>
          <w:p>
            <w:pPr>
              <w:spacing w:line="280" w:lineRule="exact"/>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序号</w:t>
            </w:r>
          </w:p>
        </w:tc>
        <w:tc>
          <w:tcPr>
            <w:tcW w:w="7174" w:type="dxa"/>
            <w:gridSpan w:val="2"/>
            <w:vAlign w:val="center"/>
          </w:tcPr>
          <w:p>
            <w:pPr>
              <w:spacing w:line="280" w:lineRule="exact"/>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调查项目</w:t>
            </w:r>
          </w:p>
        </w:tc>
        <w:tc>
          <w:tcPr>
            <w:tcW w:w="1488" w:type="dxa"/>
            <w:vAlign w:val="center"/>
          </w:tcPr>
          <w:p>
            <w:pPr>
              <w:spacing w:line="280" w:lineRule="exact"/>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百分比%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25" w:type="dxa"/>
            <w:vMerge w:val="restart"/>
            <w:vAlign w:val="center"/>
          </w:tcPr>
          <w:p>
            <w:pPr>
              <w:spacing w:line="28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w:t>
            </w:r>
          </w:p>
        </w:tc>
        <w:tc>
          <w:tcPr>
            <w:tcW w:w="3416" w:type="dxa"/>
            <w:vMerge w:val="restart"/>
            <w:vAlign w:val="center"/>
          </w:tcPr>
          <w:p>
            <w:pPr>
              <w:spacing w:line="280" w:lineRule="exact"/>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施工期噪声</w:t>
            </w:r>
            <w:r>
              <w:rPr>
                <w:rFonts w:ascii="Times New Roman" w:hAnsi="Times New Roman" w:cs="Times New Roman"/>
                <w:color w:val="000000" w:themeColor="text1"/>
                <w:szCs w:val="21"/>
                <w14:textFill>
                  <w14:solidFill>
                    <w14:schemeClr w14:val="tx1"/>
                  </w14:solidFill>
                </w14:textFill>
              </w:rPr>
              <w:t>对您的影响程度</w:t>
            </w:r>
          </w:p>
        </w:tc>
        <w:tc>
          <w:tcPr>
            <w:tcW w:w="3758" w:type="dxa"/>
            <w:vAlign w:val="center"/>
          </w:tcPr>
          <w:p>
            <w:pPr>
              <w:snapToGrid w:val="0"/>
              <w:spacing w:line="280" w:lineRule="exact"/>
              <w:rPr>
                <w:rFonts w:ascii="Times New Roman" w:hAnsi="Times New Roman" w:cs="Times New Roman"/>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①</w:t>
            </w:r>
            <w:r>
              <w:rPr>
                <w:rFonts w:ascii="Times New Roman" w:hAnsi="Times New Roman" w:cs="Times New Roman"/>
                <w:color w:val="000000" w:themeColor="text1"/>
                <w:szCs w:val="21"/>
                <w14:textFill>
                  <w14:solidFill>
                    <w14:schemeClr w14:val="tx1"/>
                  </w14:solidFill>
                </w14:textFill>
              </w:rPr>
              <w:t xml:space="preserve"> </w:t>
            </w:r>
            <w:r>
              <w:rPr>
                <w:rFonts w:hint="eastAsia" w:ascii="Times New Roman" w:hAnsi="Times New Roman" w:cs="Times New Roman"/>
                <w:color w:val="000000" w:themeColor="text1"/>
                <w:szCs w:val="21"/>
                <w14:textFill>
                  <w14:solidFill>
                    <w14:schemeClr w14:val="tx1"/>
                  </w14:solidFill>
                </w14:textFill>
              </w:rPr>
              <w:t>没有影响</w:t>
            </w:r>
          </w:p>
        </w:tc>
        <w:tc>
          <w:tcPr>
            <w:tcW w:w="1488" w:type="dxa"/>
            <w:vAlign w:val="bottom"/>
          </w:tcPr>
          <w:p>
            <w:pPr>
              <w:spacing w:line="280" w:lineRule="exact"/>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25" w:type="dxa"/>
            <w:vMerge w:val="continue"/>
            <w:vAlign w:val="center"/>
          </w:tcPr>
          <w:p>
            <w:pPr>
              <w:spacing w:line="280" w:lineRule="exact"/>
              <w:jc w:val="center"/>
              <w:rPr>
                <w:rFonts w:ascii="Times New Roman" w:hAnsi="Times New Roman" w:cs="Times New Roman"/>
                <w:color w:val="000000" w:themeColor="text1"/>
                <w:szCs w:val="21"/>
                <w14:textFill>
                  <w14:solidFill>
                    <w14:schemeClr w14:val="tx1"/>
                  </w14:solidFill>
                </w14:textFill>
              </w:rPr>
            </w:pPr>
          </w:p>
        </w:tc>
        <w:tc>
          <w:tcPr>
            <w:tcW w:w="3416" w:type="dxa"/>
            <w:vMerge w:val="continue"/>
            <w:vAlign w:val="center"/>
          </w:tcPr>
          <w:p>
            <w:pPr>
              <w:spacing w:line="280" w:lineRule="exact"/>
              <w:rPr>
                <w:rFonts w:ascii="Times New Roman" w:hAnsi="Times New Roman" w:cs="Times New Roman"/>
                <w:color w:val="000000" w:themeColor="text1"/>
                <w:szCs w:val="21"/>
                <w14:textFill>
                  <w14:solidFill>
                    <w14:schemeClr w14:val="tx1"/>
                  </w14:solidFill>
                </w14:textFill>
              </w:rPr>
            </w:pPr>
          </w:p>
        </w:tc>
        <w:tc>
          <w:tcPr>
            <w:tcW w:w="3758" w:type="dxa"/>
            <w:vAlign w:val="center"/>
          </w:tcPr>
          <w:p>
            <w:pPr>
              <w:snapToGrid w:val="0"/>
              <w:spacing w:line="280" w:lineRule="exact"/>
              <w:rPr>
                <w:rFonts w:ascii="Times New Roman" w:hAnsi="Times New Roman" w:cs="Times New Roman"/>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②</w:t>
            </w:r>
            <w:r>
              <w:rPr>
                <w:rFonts w:ascii="Times New Roman" w:hAnsi="Times New Roman" w:cs="Times New Roman"/>
                <w:color w:val="000000" w:themeColor="text1"/>
                <w:szCs w:val="21"/>
                <w14:textFill>
                  <w14:solidFill>
                    <w14:schemeClr w14:val="tx1"/>
                  </w14:solidFill>
                </w14:textFill>
              </w:rPr>
              <w:t xml:space="preserve"> </w:t>
            </w:r>
            <w:r>
              <w:rPr>
                <w:rFonts w:hint="eastAsia" w:ascii="Times New Roman" w:hAnsi="Times New Roman" w:cs="Times New Roman"/>
                <w:color w:val="000000" w:themeColor="text1"/>
                <w:szCs w:val="21"/>
                <w14:textFill>
                  <w14:solidFill>
                    <w14:schemeClr w14:val="tx1"/>
                  </w14:solidFill>
                </w14:textFill>
              </w:rPr>
              <w:t>影响较轻</w:t>
            </w:r>
          </w:p>
        </w:tc>
        <w:tc>
          <w:tcPr>
            <w:tcW w:w="1488" w:type="dxa"/>
            <w:vAlign w:val="bottom"/>
          </w:tcPr>
          <w:p>
            <w:pPr>
              <w:spacing w:line="280" w:lineRule="exact"/>
              <w:jc w:val="center"/>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25" w:type="dxa"/>
            <w:vMerge w:val="continue"/>
            <w:vAlign w:val="center"/>
          </w:tcPr>
          <w:p>
            <w:pPr>
              <w:spacing w:line="280" w:lineRule="exact"/>
              <w:jc w:val="center"/>
              <w:rPr>
                <w:rFonts w:ascii="Times New Roman" w:hAnsi="Times New Roman" w:cs="Times New Roman"/>
                <w:color w:val="000000" w:themeColor="text1"/>
                <w:szCs w:val="21"/>
                <w14:textFill>
                  <w14:solidFill>
                    <w14:schemeClr w14:val="tx1"/>
                  </w14:solidFill>
                </w14:textFill>
              </w:rPr>
            </w:pPr>
          </w:p>
        </w:tc>
        <w:tc>
          <w:tcPr>
            <w:tcW w:w="3416" w:type="dxa"/>
            <w:vMerge w:val="continue"/>
            <w:vAlign w:val="center"/>
          </w:tcPr>
          <w:p>
            <w:pPr>
              <w:spacing w:line="280" w:lineRule="exact"/>
              <w:rPr>
                <w:rFonts w:ascii="Times New Roman" w:hAnsi="Times New Roman" w:cs="Times New Roman"/>
                <w:color w:val="000000" w:themeColor="text1"/>
                <w:szCs w:val="21"/>
                <w14:textFill>
                  <w14:solidFill>
                    <w14:schemeClr w14:val="tx1"/>
                  </w14:solidFill>
                </w14:textFill>
              </w:rPr>
            </w:pPr>
          </w:p>
        </w:tc>
        <w:tc>
          <w:tcPr>
            <w:tcW w:w="3758" w:type="dxa"/>
            <w:vAlign w:val="center"/>
          </w:tcPr>
          <w:p>
            <w:pPr>
              <w:spacing w:line="280" w:lineRule="exact"/>
              <w:rPr>
                <w:rFonts w:ascii="Times New Roman" w:hAnsi="Times New Roman" w:cs="Times New Roman"/>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③</w:t>
            </w:r>
            <w:r>
              <w:rPr>
                <w:rFonts w:ascii="Times New Roman" w:hAnsi="Times New Roman" w:cs="Times New Roman"/>
                <w:color w:val="000000" w:themeColor="text1"/>
                <w:szCs w:val="21"/>
                <w14:textFill>
                  <w14:solidFill>
                    <w14:schemeClr w14:val="tx1"/>
                  </w14:solidFill>
                </w14:textFill>
              </w:rPr>
              <w:t xml:space="preserve"> </w:t>
            </w:r>
            <w:r>
              <w:rPr>
                <w:rFonts w:hint="eastAsia" w:ascii="Times New Roman" w:hAnsi="Times New Roman" w:cs="Times New Roman"/>
                <w:color w:val="000000" w:themeColor="text1"/>
                <w:szCs w:val="21"/>
                <w14:textFill>
                  <w14:solidFill>
                    <w14:schemeClr w14:val="tx1"/>
                  </w14:solidFill>
                </w14:textFill>
              </w:rPr>
              <w:t>影响</w:t>
            </w:r>
            <w:r>
              <w:rPr>
                <w:rFonts w:ascii="Times New Roman" w:hAnsi="Times New Roman" w:cs="Times New Roman"/>
                <w:color w:val="000000" w:themeColor="text1"/>
                <w:szCs w:val="21"/>
                <w14:textFill>
                  <w14:solidFill>
                    <w14:schemeClr w14:val="tx1"/>
                  </w14:solidFill>
                </w14:textFill>
              </w:rPr>
              <w:t>较重</w:t>
            </w:r>
          </w:p>
        </w:tc>
        <w:tc>
          <w:tcPr>
            <w:tcW w:w="1488" w:type="dxa"/>
            <w:vAlign w:val="bottom"/>
          </w:tcPr>
          <w:p>
            <w:pPr>
              <w:spacing w:line="280" w:lineRule="exact"/>
              <w:jc w:val="center"/>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25" w:type="dxa"/>
            <w:vMerge w:val="restart"/>
            <w:vAlign w:val="center"/>
          </w:tcPr>
          <w:p>
            <w:pPr>
              <w:spacing w:line="28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w:t>
            </w:r>
          </w:p>
        </w:tc>
        <w:tc>
          <w:tcPr>
            <w:tcW w:w="3416" w:type="dxa"/>
            <w:vMerge w:val="restart"/>
            <w:vAlign w:val="center"/>
          </w:tcPr>
          <w:p>
            <w:pPr>
              <w:spacing w:line="280" w:lineRule="exact"/>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施工期扬尘</w:t>
            </w:r>
            <w:r>
              <w:rPr>
                <w:rFonts w:ascii="Times New Roman" w:hAnsi="Times New Roman" w:cs="Times New Roman"/>
                <w:color w:val="000000" w:themeColor="text1"/>
                <w:szCs w:val="21"/>
                <w14:textFill>
                  <w14:solidFill>
                    <w14:schemeClr w14:val="tx1"/>
                  </w14:solidFill>
                </w14:textFill>
              </w:rPr>
              <w:t>对您的影响程度</w:t>
            </w:r>
          </w:p>
        </w:tc>
        <w:tc>
          <w:tcPr>
            <w:tcW w:w="3758" w:type="dxa"/>
            <w:vAlign w:val="center"/>
          </w:tcPr>
          <w:p>
            <w:pPr>
              <w:snapToGrid w:val="0"/>
              <w:spacing w:line="280" w:lineRule="exact"/>
              <w:rPr>
                <w:rFonts w:ascii="Times New Roman" w:hAnsi="Times New Roman" w:cs="Times New Roman"/>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①</w:t>
            </w:r>
            <w:r>
              <w:rPr>
                <w:rFonts w:ascii="Times New Roman" w:hAnsi="Times New Roman" w:cs="Times New Roman"/>
                <w:color w:val="000000" w:themeColor="text1"/>
                <w:szCs w:val="21"/>
                <w14:textFill>
                  <w14:solidFill>
                    <w14:schemeClr w14:val="tx1"/>
                  </w14:solidFill>
                </w14:textFill>
              </w:rPr>
              <w:t xml:space="preserve"> </w:t>
            </w:r>
            <w:r>
              <w:rPr>
                <w:rFonts w:hint="eastAsia" w:ascii="Times New Roman" w:hAnsi="Times New Roman" w:cs="Times New Roman"/>
                <w:color w:val="000000" w:themeColor="text1"/>
                <w:szCs w:val="21"/>
                <w14:textFill>
                  <w14:solidFill>
                    <w14:schemeClr w14:val="tx1"/>
                  </w14:solidFill>
                </w14:textFill>
              </w:rPr>
              <w:t>没有影响</w:t>
            </w:r>
          </w:p>
        </w:tc>
        <w:tc>
          <w:tcPr>
            <w:tcW w:w="1488" w:type="dxa"/>
            <w:vAlign w:val="bottom"/>
          </w:tcPr>
          <w:p>
            <w:pPr>
              <w:spacing w:line="280" w:lineRule="exact"/>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25" w:type="dxa"/>
            <w:vMerge w:val="continue"/>
            <w:vAlign w:val="center"/>
          </w:tcPr>
          <w:p>
            <w:pPr>
              <w:spacing w:line="280" w:lineRule="exact"/>
              <w:jc w:val="center"/>
              <w:rPr>
                <w:rFonts w:ascii="Times New Roman" w:hAnsi="Times New Roman" w:cs="Times New Roman"/>
                <w:color w:val="000000" w:themeColor="text1"/>
                <w:szCs w:val="21"/>
                <w14:textFill>
                  <w14:solidFill>
                    <w14:schemeClr w14:val="tx1"/>
                  </w14:solidFill>
                </w14:textFill>
              </w:rPr>
            </w:pPr>
          </w:p>
        </w:tc>
        <w:tc>
          <w:tcPr>
            <w:tcW w:w="3416" w:type="dxa"/>
            <w:vMerge w:val="continue"/>
            <w:vAlign w:val="center"/>
          </w:tcPr>
          <w:p>
            <w:pPr>
              <w:spacing w:line="280" w:lineRule="exact"/>
              <w:rPr>
                <w:rFonts w:ascii="Times New Roman" w:hAnsi="Times New Roman" w:cs="Times New Roman"/>
                <w:color w:val="000000" w:themeColor="text1"/>
                <w:szCs w:val="21"/>
                <w14:textFill>
                  <w14:solidFill>
                    <w14:schemeClr w14:val="tx1"/>
                  </w14:solidFill>
                </w14:textFill>
              </w:rPr>
            </w:pPr>
          </w:p>
        </w:tc>
        <w:tc>
          <w:tcPr>
            <w:tcW w:w="3758" w:type="dxa"/>
            <w:vAlign w:val="center"/>
          </w:tcPr>
          <w:p>
            <w:pPr>
              <w:snapToGrid w:val="0"/>
              <w:spacing w:line="280" w:lineRule="exact"/>
              <w:rPr>
                <w:rFonts w:ascii="Times New Roman" w:hAnsi="Times New Roman" w:cs="Times New Roman"/>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②</w:t>
            </w:r>
            <w:r>
              <w:rPr>
                <w:rFonts w:ascii="Times New Roman" w:hAnsi="Times New Roman" w:cs="Times New Roman"/>
                <w:color w:val="000000" w:themeColor="text1"/>
                <w:szCs w:val="21"/>
                <w14:textFill>
                  <w14:solidFill>
                    <w14:schemeClr w14:val="tx1"/>
                  </w14:solidFill>
                </w14:textFill>
              </w:rPr>
              <w:t xml:space="preserve"> </w:t>
            </w:r>
            <w:r>
              <w:rPr>
                <w:rFonts w:hint="eastAsia" w:ascii="Times New Roman" w:hAnsi="Times New Roman" w:cs="Times New Roman"/>
                <w:color w:val="000000" w:themeColor="text1"/>
                <w:szCs w:val="21"/>
                <w14:textFill>
                  <w14:solidFill>
                    <w14:schemeClr w14:val="tx1"/>
                  </w14:solidFill>
                </w14:textFill>
              </w:rPr>
              <w:t>影响较轻</w:t>
            </w:r>
          </w:p>
        </w:tc>
        <w:tc>
          <w:tcPr>
            <w:tcW w:w="1488" w:type="dxa"/>
            <w:vAlign w:val="bottom"/>
          </w:tcPr>
          <w:p>
            <w:pPr>
              <w:spacing w:line="280" w:lineRule="exact"/>
              <w:jc w:val="center"/>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25" w:type="dxa"/>
            <w:vMerge w:val="continue"/>
            <w:vAlign w:val="center"/>
          </w:tcPr>
          <w:p>
            <w:pPr>
              <w:spacing w:line="280" w:lineRule="exact"/>
              <w:jc w:val="center"/>
              <w:rPr>
                <w:rFonts w:ascii="Times New Roman" w:hAnsi="Times New Roman" w:cs="Times New Roman"/>
                <w:color w:val="000000" w:themeColor="text1"/>
                <w:szCs w:val="21"/>
                <w14:textFill>
                  <w14:solidFill>
                    <w14:schemeClr w14:val="tx1"/>
                  </w14:solidFill>
                </w14:textFill>
              </w:rPr>
            </w:pPr>
          </w:p>
        </w:tc>
        <w:tc>
          <w:tcPr>
            <w:tcW w:w="3416" w:type="dxa"/>
            <w:vMerge w:val="continue"/>
            <w:vAlign w:val="center"/>
          </w:tcPr>
          <w:p>
            <w:pPr>
              <w:spacing w:line="280" w:lineRule="exact"/>
              <w:rPr>
                <w:rFonts w:ascii="Times New Roman" w:hAnsi="Times New Roman" w:cs="Times New Roman"/>
                <w:color w:val="000000" w:themeColor="text1"/>
                <w:szCs w:val="21"/>
                <w14:textFill>
                  <w14:solidFill>
                    <w14:schemeClr w14:val="tx1"/>
                  </w14:solidFill>
                </w14:textFill>
              </w:rPr>
            </w:pPr>
          </w:p>
        </w:tc>
        <w:tc>
          <w:tcPr>
            <w:tcW w:w="3758" w:type="dxa"/>
            <w:vAlign w:val="center"/>
          </w:tcPr>
          <w:p>
            <w:pPr>
              <w:spacing w:line="280" w:lineRule="exact"/>
              <w:rPr>
                <w:rFonts w:ascii="Times New Roman" w:hAnsi="Times New Roman" w:cs="Times New Roman"/>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③</w:t>
            </w:r>
            <w:r>
              <w:rPr>
                <w:rFonts w:ascii="Times New Roman" w:hAnsi="Times New Roman" w:cs="Times New Roman"/>
                <w:color w:val="000000" w:themeColor="text1"/>
                <w:szCs w:val="21"/>
                <w14:textFill>
                  <w14:solidFill>
                    <w14:schemeClr w14:val="tx1"/>
                  </w14:solidFill>
                </w14:textFill>
              </w:rPr>
              <w:t xml:space="preserve"> </w:t>
            </w:r>
            <w:r>
              <w:rPr>
                <w:rFonts w:hint="eastAsia" w:ascii="Times New Roman" w:hAnsi="Times New Roman" w:cs="Times New Roman"/>
                <w:color w:val="000000" w:themeColor="text1"/>
                <w:szCs w:val="21"/>
                <w14:textFill>
                  <w14:solidFill>
                    <w14:schemeClr w14:val="tx1"/>
                  </w14:solidFill>
                </w14:textFill>
              </w:rPr>
              <w:t>影响</w:t>
            </w:r>
            <w:r>
              <w:rPr>
                <w:rFonts w:ascii="Times New Roman" w:hAnsi="Times New Roman" w:cs="Times New Roman"/>
                <w:color w:val="000000" w:themeColor="text1"/>
                <w:szCs w:val="21"/>
                <w14:textFill>
                  <w14:solidFill>
                    <w14:schemeClr w14:val="tx1"/>
                  </w14:solidFill>
                </w14:textFill>
              </w:rPr>
              <w:t>较重</w:t>
            </w:r>
          </w:p>
        </w:tc>
        <w:tc>
          <w:tcPr>
            <w:tcW w:w="1488" w:type="dxa"/>
            <w:vAlign w:val="bottom"/>
          </w:tcPr>
          <w:p>
            <w:pPr>
              <w:spacing w:line="280" w:lineRule="exact"/>
              <w:jc w:val="center"/>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25" w:type="dxa"/>
            <w:vMerge w:val="restart"/>
            <w:vAlign w:val="center"/>
          </w:tcPr>
          <w:p>
            <w:pPr>
              <w:spacing w:line="28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w:t>
            </w:r>
          </w:p>
        </w:tc>
        <w:tc>
          <w:tcPr>
            <w:tcW w:w="3416" w:type="dxa"/>
            <w:vMerge w:val="restart"/>
            <w:vAlign w:val="center"/>
          </w:tcPr>
          <w:p>
            <w:pPr>
              <w:spacing w:line="280" w:lineRule="exac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施工期废水对您的影响程度</w:t>
            </w:r>
          </w:p>
        </w:tc>
        <w:tc>
          <w:tcPr>
            <w:tcW w:w="3758" w:type="dxa"/>
            <w:vAlign w:val="center"/>
          </w:tcPr>
          <w:p>
            <w:pPr>
              <w:snapToGrid w:val="0"/>
              <w:spacing w:line="280" w:lineRule="exact"/>
              <w:rPr>
                <w:rFonts w:ascii="Times New Roman" w:hAnsi="Times New Roman" w:cs="Times New Roman"/>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①</w:t>
            </w:r>
            <w:r>
              <w:rPr>
                <w:rFonts w:ascii="Times New Roman" w:hAnsi="Times New Roman" w:cs="Times New Roman"/>
                <w:color w:val="000000" w:themeColor="text1"/>
                <w:szCs w:val="21"/>
                <w14:textFill>
                  <w14:solidFill>
                    <w14:schemeClr w14:val="tx1"/>
                  </w14:solidFill>
                </w14:textFill>
              </w:rPr>
              <w:t xml:space="preserve"> </w:t>
            </w:r>
            <w:r>
              <w:rPr>
                <w:rFonts w:hint="eastAsia" w:ascii="Times New Roman" w:hAnsi="Times New Roman" w:cs="Times New Roman"/>
                <w:color w:val="000000" w:themeColor="text1"/>
                <w:szCs w:val="21"/>
                <w14:textFill>
                  <w14:solidFill>
                    <w14:schemeClr w14:val="tx1"/>
                  </w14:solidFill>
                </w14:textFill>
              </w:rPr>
              <w:t>没有影响</w:t>
            </w:r>
          </w:p>
        </w:tc>
        <w:tc>
          <w:tcPr>
            <w:tcW w:w="1488" w:type="dxa"/>
            <w:vAlign w:val="center"/>
          </w:tcPr>
          <w:p>
            <w:pPr>
              <w:spacing w:line="280" w:lineRule="exact"/>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25" w:type="dxa"/>
            <w:vMerge w:val="continue"/>
            <w:vAlign w:val="center"/>
          </w:tcPr>
          <w:p>
            <w:pPr>
              <w:spacing w:line="280" w:lineRule="exact"/>
              <w:jc w:val="center"/>
              <w:rPr>
                <w:rFonts w:ascii="Times New Roman" w:hAnsi="Times New Roman" w:cs="Times New Roman"/>
                <w:color w:val="000000" w:themeColor="text1"/>
                <w:szCs w:val="21"/>
                <w14:textFill>
                  <w14:solidFill>
                    <w14:schemeClr w14:val="tx1"/>
                  </w14:solidFill>
                </w14:textFill>
              </w:rPr>
            </w:pPr>
          </w:p>
        </w:tc>
        <w:tc>
          <w:tcPr>
            <w:tcW w:w="3416" w:type="dxa"/>
            <w:vMerge w:val="continue"/>
            <w:vAlign w:val="center"/>
          </w:tcPr>
          <w:p>
            <w:pPr>
              <w:spacing w:line="280" w:lineRule="exact"/>
              <w:rPr>
                <w:rFonts w:ascii="Times New Roman" w:hAnsi="Times New Roman" w:cs="Times New Roman"/>
                <w:color w:val="000000" w:themeColor="text1"/>
                <w:szCs w:val="21"/>
                <w14:textFill>
                  <w14:solidFill>
                    <w14:schemeClr w14:val="tx1"/>
                  </w14:solidFill>
                </w14:textFill>
              </w:rPr>
            </w:pPr>
          </w:p>
        </w:tc>
        <w:tc>
          <w:tcPr>
            <w:tcW w:w="3758" w:type="dxa"/>
            <w:vAlign w:val="center"/>
          </w:tcPr>
          <w:p>
            <w:pPr>
              <w:snapToGrid w:val="0"/>
              <w:spacing w:line="280" w:lineRule="exact"/>
              <w:rPr>
                <w:rFonts w:ascii="Times New Roman" w:hAnsi="Times New Roman" w:cs="Times New Roman"/>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②</w:t>
            </w:r>
            <w:r>
              <w:rPr>
                <w:rFonts w:ascii="Times New Roman" w:hAnsi="Times New Roman" w:cs="Times New Roman"/>
                <w:color w:val="000000" w:themeColor="text1"/>
                <w:szCs w:val="21"/>
                <w14:textFill>
                  <w14:solidFill>
                    <w14:schemeClr w14:val="tx1"/>
                  </w14:solidFill>
                </w14:textFill>
              </w:rPr>
              <w:t xml:space="preserve"> </w:t>
            </w:r>
            <w:r>
              <w:rPr>
                <w:rFonts w:hint="eastAsia" w:ascii="Times New Roman" w:hAnsi="Times New Roman" w:cs="Times New Roman"/>
                <w:color w:val="000000" w:themeColor="text1"/>
                <w:szCs w:val="21"/>
                <w14:textFill>
                  <w14:solidFill>
                    <w14:schemeClr w14:val="tx1"/>
                  </w14:solidFill>
                </w14:textFill>
              </w:rPr>
              <w:t>影响较轻</w:t>
            </w:r>
          </w:p>
        </w:tc>
        <w:tc>
          <w:tcPr>
            <w:tcW w:w="1488" w:type="dxa"/>
            <w:vAlign w:val="center"/>
          </w:tcPr>
          <w:p>
            <w:pPr>
              <w:spacing w:line="280" w:lineRule="exact"/>
              <w:jc w:val="center"/>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25" w:type="dxa"/>
            <w:vMerge w:val="continue"/>
            <w:vAlign w:val="center"/>
          </w:tcPr>
          <w:p>
            <w:pPr>
              <w:spacing w:line="280" w:lineRule="exact"/>
              <w:jc w:val="center"/>
              <w:rPr>
                <w:rFonts w:ascii="Times New Roman" w:hAnsi="Times New Roman" w:cs="Times New Roman"/>
                <w:color w:val="000000" w:themeColor="text1"/>
                <w:szCs w:val="21"/>
                <w14:textFill>
                  <w14:solidFill>
                    <w14:schemeClr w14:val="tx1"/>
                  </w14:solidFill>
                </w14:textFill>
              </w:rPr>
            </w:pPr>
          </w:p>
        </w:tc>
        <w:tc>
          <w:tcPr>
            <w:tcW w:w="3416" w:type="dxa"/>
            <w:vMerge w:val="continue"/>
            <w:vAlign w:val="center"/>
          </w:tcPr>
          <w:p>
            <w:pPr>
              <w:spacing w:line="280" w:lineRule="exact"/>
              <w:rPr>
                <w:rFonts w:ascii="Times New Roman" w:hAnsi="Times New Roman" w:cs="Times New Roman"/>
                <w:color w:val="000000" w:themeColor="text1"/>
                <w:szCs w:val="21"/>
                <w14:textFill>
                  <w14:solidFill>
                    <w14:schemeClr w14:val="tx1"/>
                  </w14:solidFill>
                </w14:textFill>
              </w:rPr>
            </w:pPr>
          </w:p>
        </w:tc>
        <w:tc>
          <w:tcPr>
            <w:tcW w:w="3758" w:type="dxa"/>
            <w:vAlign w:val="center"/>
          </w:tcPr>
          <w:p>
            <w:pPr>
              <w:spacing w:line="280" w:lineRule="exact"/>
              <w:rPr>
                <w:rFonts w:ascii="Times New Roman" w:hAnsi="Times New Roman" w:cs="Times New Roman"/>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③</w:t>
            </w:r>
            <w:r>
              <w:rPr>
                <w:rFonts w:ascii="Times New Roman" w:hAnsi="Times New Roman" w:cs="Times New Roman"/>
                <w:color w:val="000000" w:themeColor="text1"/>
                <w:szCs w:val="21"/>
                <w14:textFill>
                  <w14:solidFill>
                    <w14:schemeClr w14:val="tx1"/>
                  </w14:solidFill>
                </w14:textFill>
              </w:rPr>
              <w:t xml:space="preserve"> </w:t>
            </w:r>
            <w:r>
              <w:rPr>
                <w:rFonts w:hint="eastAsia" w:ascii="Times New Roman" w:hAnsi="Times New Roman" w:cs="Times New Roman"/>
                <w:color w:val="000000" w:themeColor="text1"/>
                <w:szCs w:val="21"/>
                <w14:textFill>
                  <w14:solidFill>
                    <w14:schemeClr w14:val="tx1"/>
                  </w14:solidFill>
                </w14:textFill>
              </w:rPr>
              <w:t>影响</w:t>
            </w:r>
            <w:r>
              <w:rPr>
                <w:rFonts w:ascii="Times New Roman" w:hAnsi="Times New Roman" w:cs="Times New Roman"/>
                <w:color w:val="000000" w:themeColor="text1"/>
                <w:szCs w:val="21"/>
                <w14:textFill>
                  <w14:solidFill>
                    <w14:schemeClr w14:val="tx1"/>
                  </w14:solidFill>
                </w14:textFill>
              </w:rPr>
              <w:t>较重</w:t>
            </w:r>
          </w:p>
        </w:tc>
        <w:tc>
          <w:tcPr>
            <w:tcW w:w="1488" w:type="dxa"/>
            <w:vAlign w:val="center"/>
          </w:tcPr>
          <w:p>
            <w:pPr>
              <w:spacing w:line="280" w:lineRule="exact"/>
              <w:jc w:val="center"/>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25" w:type="dxa"/>
            <w:vMerge w:val="restart"/>
            <w:vAlign w:val="center"/>
          </w:tcPr>
          <w:p>
            <w:pPr>
              <w:spacing w:line="280" w:lineRule="exact"/>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4</w:t>
            </w:r>
          </w:p>
        </w:tc>
        <w:tc>
          <w:tcPr>
            <w:tcW w:w="3416" w:type="dxa"/>
            <w:vMerge w:val="restart"/>
            <w:vAlign w:val="center"/>
          </w:tcPr>
          <w:p>
            <w:pPr>
              <w:spacing w:line="280" w:lineRule="exac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施工期固体废物储运及处理处置对您的影响程度</w:t>
            </w:r>
          </w:p>
        </w:tc>
        <w:tc>
          <w:tcPr>
            <w:tcW w:w="3758" w:type="dxa"/>
            <w:vAlign w:val="center"/>
          </w:tcPr>
          <w:p>
            <w:pPr>
              <w:snapToGrid w:val="0"/>
              <w:spacing w:line="280" w:lineRule="exact"/>
              <w:rPr>
                <w:rFonts w:ascii="Times New Roman" w:hAnsi="Times New Roman" w:cs="Times New Roman"/>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①</w:t>
            </w:r>
            <w:r>
              <w:rPr>
                <w:rFonts w:ascii="Times New Roman" w:hAnsi="Times New Roman" w:cs="Times New Roman"/>
                <w:color w:val="000000" w:themeColor="text1"/>
                <w:szCs w:val="21"/>
                <w14:textFill>
                  <w14:solidFill>
                    <w14:schemeClr w14:val="tx1"/>
                  </w14:solidFill>
                </w14:textFill>
              </w:rPr>
              <w:t xml:space="preserve"> </w:t>
            </w:r>
            <w:r>
              <w:rPr>
                <w:rFonts w:hint="eastAsia" w:ascii="Times New Roman" w:hAnsi="Times New Roman" w:cs="Times New Roman"/>
                <w:color w:val="000000" w:themeColor="text1"/>
                <w:szCs w:val="21"/>
                <w14:textFill>
                  <w14:solidFill>
                    <w14:schemeClr w14:val="tx1"/>
                  </w14:solidFill>
                </w14:textFill>
              </w:rPr>
              <w:t>没有影响</w:t>
            </w:r>
          </w:p>
        </w:tc>
        <w:tc>
          <w:tcPr>
            <w:tcW w:w="1488" w:type="dxa"/>
            <w:vAlign w:val="center"/>
          </w:tcPr>
          <w:p>
            <w:pPr>
              <w:spacing w:line="280" w:lineRule="exact"/>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25" w:type="dxa"/>
            <w:vMerge w:val="continue"/>
            <w:vAlign w:val="center"/>
          </w:tcPr>
          <w:p>
            <w:pPr>
              <w:spacing w:line="280" w:lineRule="exact"/>
              <w:jc w:val="center"/>
              <w:rPr>
                <w:rFonts w:ascii="Times New Roman" w:hAnsi="Times New Roman" w:cs="Times New Roman"/>
                <w:color w:val="000000" w:themeColor="text1"/>
                <w:szCs w:val="21"/>
                <w14:textFill>
                  <w14:solidFill>
                    <w14:schemeClr w14:val="tx1"/>
                  </w14:solidFill>
                </w14:textFill>
              </w:rPr>
            </w:pPr>
          </w:p>
        </w:tc>
        <w:tc>
          <w:tcPr>
            <w:tcW w:w="3416" w:type="dxa"/>
            <w:vMerge w:val="continue"/>
            <w:vAlign w:val="center"/>
          </w:tcPr>
          <w:p>
            <w:pPr>
              <w:spacing w:line="280" w:lineRule="exact"/>
              <w:rPr>
                <w:rFonts w:ascii="Times New Roman" w:hAnsi="Times New Roman" w:cs="Times New Roman"/>
                <w:color w:val="000000" w:themeColor="text1"/>
                <w:szCs w:val="21"/>
                <w14:textFill>
                  <w14:solidFill>
                    <w14:schemeClr w14:val="tx1"/>
                  </w14:solidFill>
                </w14:textFill>
              </w:rPr>
            </w:pPr>
          </w:p>
        </w:tc>
        <w:tc>
          <w:tcPr>
            <w:tcW w:w="3758" w:type="dxa"/>
            <w:vAlign w:val="center"/>
          </w:tcPr>
          <w:p>
            <w:pPr>
              <w:snapToGrid w:val="0"/>
              <w:spacing w:line="280" w:lineRule="exact"/>
              <w:rPr>
                <w:rFonts w:ascii="Times New Roman" w:hAnsi="Times New Roman" w:cs="Times New Roman"/>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②</w:t>
            </w:r>
            <w:r>
              <w:rPr>
                <w:rFonts w:ascii="Times New Roman" w:hAnsi="Times New Roman" w:cs="Times New Roman"/>
                <w:color w:val="000000" w:themeColor="text1"/>
                <w:szCs w:val="21"/>
                <w14:textFill>
                  <w14:solidFill>
                    <w14:schemeClr w14:val="tx1"/>
                  </w14:solidFill>
                </w14:textFill>
              </w:rPr>
              <w:t xml:space="preserve"> </w:t>
            </w:r>
            <w:r>
              <w:rPr>
                <w:rFonts w:hint="eastAsia" w:ascii="Times New Roman" w:hAnsi="Times New Roman" w:cs="Times New Roman"/>
                <w:color w:val="000000" w:themeColor="text1"/>
                <w:szCs w:val="21"/>
                <w14:textFill>
                  <w14:solidFill>
                    <w14:schemeClr w14:val="tx1"/>
                  </w14:solidFill>
                </w14:textFill>
              </w:rPr>
              <w:t>影响较轻</w:t>
            </w:r>
          </w:p>
        </w:tc>
        <w:tc>
          <w:tcPr>
            <w:tcW w:w="1488" w:type="dxa"/>
            <w:vAlign w:val="center"/>
          </w:tcPr>
          <w:p>
            <w:pPr>
              <w:spacing w:line="280" w:lineRule="exact"/>
              <w:jc w:val="center"/>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25" w:type="dxa"/>
            <w:vMerge w:val="continue"/>
            <w:vAlign w:val="center"/>
          </w:tcPr>
          <w:p>
            <w:pPr>
              <w:spacing w:line="280" w:lineRule="exact"/>
              <w:jc w:val="center"/>
              <w:rPr>
                <w:rFonts w:ascii="Times New Roman" w:hAnsi="Times New Roman" w:cs="Times New Roman"/>
                <w:color w:val="000000" w:themeColor="text1"/>
                <w:szCs w:val="21"/>
                <w14:textFill>
                  <w14:solidFill>
                    <w14:schemeClr w14:val="tx1"/>
                  </w14:solidFill>
                </w14:textFill>
              </w:rPr>
            </w:pPr>
          </w:p>
        </w:tc>
        <w:tc>
          <w:tcPr>
            <w:tcW w:w="3416" w:type="dxa"/>
            <w:vMerge w:val="continue"/>
            <w:vAlign w:val="center"/>
          </w:tcPr>
          <w:p>
            <w:pPr>
              <w:spacing w:line="280" w:lineRule="exact"/>
              <w:rPr>
                <w:rFonts w:ascii="Times New Roman" w:hAnsi="Times New Roman" w:cs="Times New Roman"/>
                <w:color w:val="000000" w:themeColor="text1"/>
                <w:szCs w:val="21"/>
                <w14:textFill>
                  <w14:solidFill>
                    <w14:schemeClr w14:val="tx1"/>
                  </w14:solidFill>
                </w14:textFill>
              </w:rPr>
            </w:pPr>
          </w:p>
        </w:tc>
        <w:tc>
          <w:tcPr>
            <w:tcW w:w="3758" w:type="dxa"/>
            <w:vAlign w:val="center"/>
          </w:tcPr>
          <w:p>
            <w:pPr>
              <w:spacing w:line="280" w:lineRule="exact"/>
              <w:rPr>
                <w:rFonts w:ascii="Times New Roman" w:hAnsi="Times New Roman" w:cs="Times New Roman"/>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③</w:t>
            </w:r>
            <w:r>
              <w:rPr>
                <w:rFonts w:ascii="Times New Roman" w:hAnsi="Times New Roman" w:cs="Times New Roman"/>
                <w:color w:val="000000" w:themeColor="text1"/>
                <w:szCs w:val="21"/>
                <w14:textFill>
                  <w14:solidFill>
                    <w14:schemeClr w14:val="tx1"/>
                  </w14:solidFill>
                </w14:textFill>
              </w:rPr>
              <w:t xml:space="preserve"> </w:t>
            </w:r>
            <w:r>
              <w:rPr>
                <w:rFonts w:hint="eastAsia" w:ascii="Times New Roman" w:hAnsi="Times New Roman" w:cs="Times New Roman"/>
                <w:color w:val="000000" w:themeColor="text1"/>
                <w:szCs w:val="21"/>
                <w14:textFill>
                  <w14:solidFill>
                    <w14:schemeClr w14:val="tx1"/>
                  </w14:solidFill>
                </w14:textFill>
              </w:rPr>
              <w:t>影响</w:t>
            </w:r>
            <w:r>
              <w:rPr>
                <w:rFonts w:ascii="Times New Roman" w:hAnsi="Times New Roman" w:cs="Times New Roman"/>
                <w:color w:val="000000" w:themeColor="text1"/>
                <w:szCs w:val="21"/>
                <w14:textFill>
                  <w14:solidFill>
                    <w14:schemeClr w14:val="tx1"/>
                  </w14:solidFill>
                </w14:textFill>
              </w:rPr>
              <w:t>较重</w:t>
            </w:r>
          </w:p>
        </w:tc>
        <w:tc>
          <w:tcPr>
            <w:tcW w:w="1488" w:type="dxa"/>
            <w:vAlign w:val="center"/>
          </w:tcPr>
          <w:p>
            <w:pPr>
              <w:spacing w:line="280" w:lineRule="exact"/>
              <w:jc w:val="center"/>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25" w:type="dxa"/>
            <w:vMerge w:val="restart"/>
            <w:vAlign w:val="center"/>
          </w:tcPr>
          <w:p>
            <w:pPr>
              <w:spacing w:line="28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5</w:t>
            </w:r>
          </w:p>
        </w:tc>
        <w:tc>
          <w:tcPr>
            <w:tcW w:w="3416" w:type="dxa"/>
            <w:vMerge w:val="restart"/>
            <w:vAlign w:val="center"/>
          </w:tcPr>
          <w:p>
            <w:pPr>
              <w:spacing w:line="280" w:lineRule="exac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施工期是否有扰民现象或纠纷</w:t>
            </w:r>
          </w:p>
        </w:tc>
        <w:tc>
          <w:tcPr>
            <w:tcW w:w="3758" w:type="dxa"/>
            <w:vAlign w:val="center"/>
          </w:tcPr>
          <w:p>
            <w:pPr>
              <w:snapToGrid w:val="0"/>
              <w:spacing w:line="280" w:lineRule="exact"/>
              <w:rPr>
                <w:rFonts w:ascii="Times New Roman" w:hAnsi="Times New Roman" w:cs="Times New Roman"/>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①</w:t>
            </w:r>
            <w:r>
              <w:rPr>
                <w:rFonts w:ascii="Times New Roman" w:hAnsi="Times New Roman" w:cs="Times New Roman"/>
                <w:color w:val="000000" w:themeColor="text1"/>
                <w:szCs w:val="21"/>
                <w14:textFill>
                  <w14:solidFill>
                    <w14:schemeClr w14:val="tx1"/>
                  </w14:solidFill>
                </w14:textFill>
              </w:rPr>
              <w:t xml:space="preserve"> </w:t>
            </w:r>
            <w:r>
              <w:rPr>
                <w:rFonts w:hint="eastAsia" w:ascii="Times New Roman" w:hAnsi="Times New Roman" w:cs="Times New Roman"/>
                <w:color w:val="000000" w:themeColor="text1"/>
                <w:szCs w:val="21"/>
                <w14:textFill>
                  <w14:solidFill>
                    <w14:schemeClr w14:val="tx1"/>
                  </w14:solidFill>
                </w14:textFill>
              </w:rPr>
              <w:t>有</w:t>
            </w:r>
          </w:p>
        </w:tc>
        <w:tc>
          <w:tcPr>
            <w:tcW w:w="1488" w:type="dxa"/>
            <w:vAlign w:val="center"/>
          </w:tcPr>
          <w:p>
            <w:pPr>
              <w:spacing w:line="280" w:lineRule="exact"/>
              <w:jc w:val="center"/>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25" w:type="dxa"/>
            <w:vMerge w:val="continue"/>
            <w:vAlign w:val="center"/>
          </w:tcPr>
          <w:p>
            <w:pPr>
              <w:spacing w:line="280" w:lineRule="exact"/>
              <w:jc w:val="center"/>
              <w:rPr>
                <w:rFonts w:ascii="Times New Roman" w:hAnsi="Times New Roman" w:cs="Times New Roman"/>
                <w:color w:val="000000" w:themeColor="text1"/>
                <w:szCs w:val="21"/>
                <w14:textFill>
                  <w14:solidFill>
                    <w14:schemeClr w14:val="tx1"/>
                  </w14:solidFill>
                </w14:textFill>
              </w:rPr>
            </w:pPr>
          </w:p>
        </w:tc>
        <w:tc>
          <w:tcPr>
            <w:tcW w:w="3416" w:type="dxa"/>
            <w:vMerge w:val="continue"/>
            <w:vAlign w:val="center"/>
          </w:tcPr>
          <w:p>
            <w:pPr>
              <w:spacing w:line="280" w:lineRule="exact"/>
              <w:rPr>
                <w:rFonts w:ascii="Times New Roman" w:hAnsi="Times New Roman" w:cs="Times New Roman"/>
                <w:color w:val="000000" w:themeColor="text1"/>
                <w:szCs w:val="21"/>
                <w14:textFill>
                  <w14:solidFill>
                    <w14:schemeClr w14:val="tx1"/>
                  </w14:solidFill>
                </w14:textFill>
              </w:rPr>
            </w:pPr>
          </w:p>
        </w:tc>
        <w:tc>
          <w:tcPr>
            <w:tcW w:w="3758" w:type="dxa"/>
            <w:vAlign w:val="center"/>
          </w:tcPr>
          <w:p>
            <w:pPr>
              <w:snapToGrid w:val="0"/>
              <w:spacing w:line="280" w:lineRule="exact"/>
              <w:rPr>
                <w:rFonts w:ascii="Times New Roman" w:hAnsi="Times New Roman" w:cs="Times New Roman"/>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②</w:t>
            </w:r>
            <w:r>
              <w:rPr>
                <w:rFonts w:ascii="Times New Roman" w:hAnsi="Times New Roman" w:cs="Times New Roman"/>
                <w:color w:val="000000" w:themeColor="text1"/>
                <w:szCs w:val="21"/>
                <w14:textFill>
                  <w14:solidFill>
                    <w14:schemeClr w14:val="tx1"/>
                  </w14:solidFill>
                </w14:textFill>
              </w:rPr>
              <w:t xml:space="preserve"> 没有</w:t>
            </w:r>
          </w:p>
        </w:tc>
        <w:tc>
          <w:tcPr>
            <w:tcW w:w="1488" w:type="dxa"/>
            <w:vAlign w:val="center"/>
          </w:tcPr>
          <w:p>
            <w:pPr>
              <w:spacing w:line="280" w:lineRule="exact"/>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25" w:type="dxa"/>
            <w:vMerge w:val="restart"/>
            <w:vAlign w:val="center"/>
          </w:tcPr>
          <w:p>
            <w:pPr>
              <w:spacing w:line="28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6</w:t>
            </w:r>
          </w:p>
        </w:tc>
        <w:tc>
          <w:tcPr>
            <w:tcW w:w="3416" w:type="dxa"/>
            <w:vMerge w:val="restart"/>
            <w:vAlign w:val="center"/>
          </w:tcPr>
          <w:p>
            <w:pPr>
              <w:spacing w:line="280" w:lineRule="exact"/>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营运期</w:t>
            </w:r>
            <w:r>
              <w:rPr>
                <w:rFonts w:ascii="Times New Roman" w:hAnsi="Times New Roman" w:cs="Times New Roman"/>
                <w:color w:val="000000" w:themeColor="text1"/>
                <w:szCs w:val="21"/>
                <w14:textFill>
                  <w14:solidFill>
                    <w14:schemeClr w14:val="tx1"/>
                  </w14:solidFill>
                </w14:textFill>
              </w:rPr>
              <w:t>废气对您的影响程度</w:t>
            </w:r>
          </w:p>
        </w:tc>
        <w:tc>
          <w:tcPr>
            <w:tcW w:w="3758" w:type="dxa"/>
            <w:vAlign w:val="center"/>
          </w:tcPr>
          <w:p>
            <w:pPr>
              <w:snapToGrid w:val="0"/>
              <w:spacing w:line="280" w:lineRule="exact"/>
              <w:rPr>
                <w:rFonts w:ascii="Times New Roman" w:hAnsi="Times New Roman" w:cs="Times New Roman"/>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①</w:t>
            </w:r>
            <w:r>
              <w:rPr>
                <w:rFonts w:ascii="Times New Roman" w:hAnsi="Times New Roman" w:cs="Times New Roman"/>
                <w:color w:val="000000" w:themeColor="text1"/>
                <w:szCs w:val="21"/>
                <w14:textFill>
                  <w14:solidFill>
                    <w14:schemeClr w14:val="tx1"/>
                  </w14:solidFill>
                </w14:textFill>
              </w:rPr>
              <w:t xml:space="preserve"> </w:t>
            </w:r>
            <w:r>
              <w:rPr>
                <w:rFonts w:hint="eastAsia" w:ascii="Times New Roman" w:hAnsi="Times New Roman" w:cs="Times New Roman"/>
                <w:color w:val="000000" w:themeColor="text1"/>
                <w:szCs w:val="21"/>
                <w14:textFill>
                  <w14:solidFill>
                    <w14:schemeClr w14:val="tx1"/>
                  </w14:solidFill>
                </w14:textFill>
              </w:rPr>
              <w:t>没有影响</w:t>
            </w:r>
          </w:p>
        </w:tc>
        <w:tc>
          <w:tcPr>
            <w:tcW w:w="1488" w:type="dxa"/>
            <w:vAlign w:val="center"/>
          </w:tcPr>
          <w:p>
            <w:pPr>
              <w:spacing w:line="280" w:lineRule="exact"/>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25" w:type="dxa"/>
            <w:vMerge w:val="continue"/>
            <w:vAlign w:val="center"/>
          </w:tcPr>
          <w:p>
            <w:pPr>
              <w:spacing w:line="280" w:lineRule="exact"/>
              <w:jc w:val="center"/>
              <w:rPr>
                <w:rFonts w:ascii="Times New Roman" w:hAnsi="Times New Roman" w:cs="Times New Roman"/>
                <w:color w:val="000000" w:themeColor="text1"/>
                <w:szCs w:val="21"/>
                <w14:textFill>
                  <w14:solidFill>
                    <w14:schemeClr w14:val="tx1"/>
                  </w14:solidFill>
                </w14:textFill>
              </w:rPr>
            </w:pPr>
          </w:p>
        </w:tc>
        <w:tc>
          <w:tcPr>
            <w:tcW w:w="3416" w:type="dxa"/>
            <w:vMerge w:val="continue"/>
            <w:vAlign w:val="center"/>
          </w:tcPr>
          <w:p>
            <w:pPr>
              <w:spacing w:line="280" w:lineRule="exact"/>
              <w:rPr>
                <w:rFonts w:ascii="Times New Roman" w:hAnsi="Times New Roman" w:cs="Times New Roman"/>
                <w:color w:val="000000" w:themeColor="text1"/>
                <w:szCs w:val="21"/>
                <w14:textFill>
                  <w14:solidFill>
                    <w14:schemeClr w14:val="tx1"/>
                  </w14:solidFill>
                </w14:textFill>
              </w:rPr>
            </w:pPr>
          </w:p>
        </w:tc>
        <w:tc>
          <w:tcPr>
            <w:tcW w:w="3758" w:type="dxa"/>
            <w:vAlign w:val="center"/>
          </w:tcPr>
          <w:p>
            <w:pPr>
              <w:snapToGrid w:val="0"/>
              <w:spacing w:line="280" w:lineRule="exact"/>
              <w:rPr>
                <w:rFonts w:ascii="Times New Roman" w:hAnsi="Times New Roman" w:cs="Times New Roman"/>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②</w:t>
            </w:r>
            <w:r>
              <w:rPr>
                <w:rFonts w:ascii="Times New Roman" w:hAnsi="Times New Roman" w:cs="Times New Roman"/>
                <w:color w:val="000000" w:themeColor="text1"/>
                <w:szCs w:val="21"/>
                <w14:textFill>
                  <w14:solidFill>
                    <w14:schemeClr w14:val="tx1"/>
                  </w14:solidFill>
                </w14:textFill>
              </w:rPr>
              <w:t xml:space="preserve"> </w:t>
            </w:r>
            <w:r>
              <w:rPr>
                <w:rFonts w:hint="eastAsia" w:ascii="Times New Roman" w:hAnsi="Times New Roman" w:cs="Times New Roman"/>
                <w:color w:val="000000" w:themeColor="text1"/>
                <w:szCs w:val="21"/>
                <w14:textFill>
                  <w14:solidFill>
                    <w14:schemeClr w14:val="tx1"/>
                  </w14:solidFill>
                </w14:textFill>
              </w:rPr>
              <w:t>影响较轻</w:t>
            </w:r>
          </w:p>
        </w:tc>
        <w:tc>
          <w:tcPr>
            <w:tcW w:w="1488" w:type="dxa"/>
            <w:vAlign w:val="center"/>
          </w:tcPr>
          <w:p>
            <w:pPr>
              <w:spacing w:line="280" w:lineRule="exact"/>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25" w:type="dxa"/>
            <w:vMerge w:val="continue"/>
            <w:vAlign w:val="center"/>
          </w:tcPr>
          <w:p>
            <w:pPr>
              <w:spacing w:line="280" w:lineRule="exact"/>
              <w:jc w:val="center"/>
              <w:rPr>
                <w:rFonts w:ascii="Times New Roman" w:hAnsi="Times New Roman" w:cs="Times New Roman"/>
                <w:color w:val="000000" w:themeColor="text1"/>
                <w:szCs w:val="21"/>
                <w14:textFill>
                  <w14:solidFill>
                    <w14:schemeClr w14:val="tx1"/>
                  </w14:solidFill>
                </w14:textFill>
              </w:rPr>
            </w:pPr>
          </w:p>
        </w:tc>
        <w:tc>
          <w:tcPr>
            <w:tcW w:w="3416" w:type="dxa"/>
            <w:vMerge w:val="continue"/>
            <w:vAlign w:val="center"/>
          </w:tcPr>
          <w:p>
            <w:pPr>
              <w:spacing w:line="280" w:lineRule="exact"/>
              <w:rPr>
                <w:rFonts w:ascii="Times New Roman" w:hAnsi="Times New Roman" w:cs="Times New Roman"/>
                <w:color w:val="000000" w:themeColor="text1"/>
                <w:szCs w:val="21"/>
                <w14:textFill>
                  <w14:solidFill>
                    <w14:schemeClr w14:val="tx1"/>
                  </w14:solidFill>
                </w14:textFill>
              </w:rPr>
            </w:pPr>
          </w:p>
        </w:tc>
        <w:tc>
          <w:tcPr>
            <w:tcW w:w="3758" w:type="dxa"/>
            <w:vAlign w:val="center"/>
          </w:tcPr>
          <w:p>
            <w:pPr>
              <w:spacing w:line="280" w:lineRule="exact"/>
              <w:rPr>
                <w:rFonts w:ascii="Times New Roman" w:hAnsi="Times New Roman" w:cs="Times New Roman"/>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③</w:t>
            </w:r>
            <w:r>
              <w:rPr>
                <w:rFonts w:ascii="Times New Roman" w:hAnsi="Times New Roman" w:cs="Times New Roman"/>
                <w:color w:val="000000" w:themeColor="text1"/>
                <w:szCs w:val="21"/>
                <w14:textFill>
                  <w14:solidFill>
                    <w14:schemeClr w14:val="tx1"/>
                  </w14:solidFill>
                </w14:textFill>
              </w:rPr>
              <w:t xml:space="preserve"> </w:t>
            </w:r>
            <w:r>
              <w:rPr>
                <w:rFonts w:hint="eastAsia" w:ascii="Times New Roman" w:hAnsi="Times New Roman" w:cs="Times New Roman"/>
                <w:color w:val="000000" w:themeColor="text1"/>
                <w:szCs w:val="21"/>
                <w14:textFill>
                  <w14:solidFill>
                    <w14:schemeClr w14:val="tx1"/>
                  </w14:solidFill>
                </w14:textFill>
              </w:rPr>
              <w:t>影响</w:t>
            </w:r>
            <w:r>
              <w:rPr>
                <w:rFonts w:ascii="Times New Roman" w:hAnsi="Times New Roman" w:cs="Times New Roman"/>
                <w:color w:val="000000" w:themeColor="text1"/>
                <w:szCs w:val="21"/>
                <w14:textFill>
                  <w14:solidFill>
                    <w14:schemeClr w14:val="tx1"/>
                  </w14:solidFill>
                </w14:textFill>
              </w:rPr>
              <w:t>较重</w:t>
            </w:r>
          </w:p>
        </w:tc>
        <w:tc>
          <w:tcPr>
            <w:tcW w:w="1488" w:type="dxa"/>
            <w:vAlign w:val="center"/>
          </w:tcPr>
          <w:p>
            <w:pPr>
              <w:spacing w:line="280" w:lineRule="exact"/>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25" w:type="dxa"/>
            <w:vMerge w:val="restart"/>
            <w:vAlign w:val="center"/>
          </w:tcPr>
          <w:p>
            <w:pPr>
              <w:spacing w:line="28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7</w:t>
            </w:r>
          </w:p>
        </w:tc>
        <w:tc>
          <w:tcPr>
            <w:tcW w:w="3416" w:type="dxa"/>
            <w:vMerge w:val="restart"/>
            <w:vAlign w:val="center"/>
          </w:tcPr>
          <w:p>
            <w:pPr>
              <w:spacing w:line="280" w:lineRule="exact"/>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营运期</w:t>
            </w:r>
            <w:r>
              <w:rPr>
                <w:rFonts w:ascii="Times New Roman" w:hAnsi="Times New Roman" w:cs="Times New Roman"/>
                <w:color w:val="000000" w:themeColor="text1"/>
                <w:szCs w:val="21"/>
                <w14:textFill>
                  <w14:solidFill>
                    <w14:schemeClr w14:val="tx1"/>
                  </w14:solidFill>
                </w14:textFill>
              </w:rPr>
              <w:t>废水对您的影响程度</w:t>
            </w:r>
          </w:p>
        </w:tc>
        <w:tc>
          <w:tcPr>
            <w:tcW w:w="3758" w:type="dxa"/>
            <w:vAlign w:val="center"/>
          </w:tcPr>
          <w:p>
            <w:pPr>
              <w:snapToGrid w:val="0"/>
              <w:spacing w:line="280" w:lineRule="exact"/>
              <w:rPr>
                <w:rFonts w:ascii="Times New Roman" w:hAnsi="Times New Roman" w:cs="Times New Roman"/>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①</w:t>
            </w:r>
            <w:r>
              <w:rPr>
                <w:rFonts w:ascii="Times New Roman" w:hAnsi="Times New Roman" w:cs="Times New Roman"/>
                <w:color w:val="000000" w:themeColor="text1"/>
                <w:szCs w:val="21"/>
                <w14:textFill>
                  <w14:solidFill>
                    <w14:schemeClr w14:val="tx1"/>
                  </w14:solidFill>
                </w14:textFill>
              </w:rPr>
              <w:t xml:space="preserve"> </w:t>
            </w:r>
            <w:r>
              <w:rPr>
                <w:rFonts w:hint="eastAsia" w:ascii="Times New Roman" w:hAnsi="Times New Roman" w:cs="Times New Roman"/>
                <w:color w:val="000000" w:themeColor="text1"/>
                <w:szCs w:val="21"/>
                <w14:textFill>
                  <w14:solidFill>
                    <w14:schemeClr w14:val="tx1"/>
                  </w14:solidFill>
                </w14:textFill>
              </w:rPr>
              <w:t>没有影响</w:t>
            </w:r>
          </w:p>
        </w:tc>
        <w:tc>
          <w:tcPr>
            <w:tcW w:w="1488" w:type="dxa"/>
            <w:vAlign w:val="center"/>
          </w:tcPr>
          <w:p>
            <w:pPr>
              <w:spacing w:line="280" w:lineRule="exact"/>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25" w:type="dxa"/>
            <w:vMerge w:val="continue"/>
            <w:vAlign w:val="center"/>
          </w:tcPr>
          <w:p>
            <w:pPr>
              <w:spacing w:line="280" w:lineRule="exact"/>
              <w:jc w:val="center"/>
              <w:rPr>
                <w:rFonts w:ascii="Times New Roman" w:hAnsi="Times New Roman" w:cs="Times New Roman"/>
                <w:color w:val="000000" w:themeColor="text1"/>
                <w:szCs w:val="21"/>
                <w14:textFill>
                  <w14:solidFill>
                    <w14:schemeClr w14:val="tx1"/>
                  </w14:solidFill>
                </w14:textFill>
              </w:rPr>
            </w:pPr>
          </w:p>
        </w:tc>
        <w:tc>
          <w:tcPr>
            <w:tcW w:w="3416" w:type="dxa"/>
            <w:vMerge w:val="continue"/>
            <w:vAlign w:val="center"/>
          </w:tcPr>
          <w:p>
            <w:pPr>
              <w:spacing w:line="280" w:lineRule="exact"/>
              <w:rPr>
                <w:rFonts w:ascii="Times New Roman" w:hAnsi="Times New Roman" w:cs="Times New Roman"/>
                <w:color w:val="000000" w:themeColor="text1"/>
                <w:szCs w:val="21"/>
                <w14:textFill>
                  <w14:solidFill>
                    <w14:schemeClr w14:val="tx1"/>
                  </w14:solidFill>
                </w14:textFill>
              </w:rPr>
            </w:pPr>
          </w:p>
        </w:tc>
        <w:tc>
          <w:tcPr>
            <w:tcW w:w="3758" w:type="dxa"/>
            <w:vAlign w:val="center"/>
          </w:tcPr>
          <w:p>
            <w:pPr>
              <w:snapToGrid w:val="0"/>
              <w:spacing w:line="280" w:lineRule="exact"/>
              <w:rPr>
                <w:rFonts w:ascii="Times New Roman" w:hAnsi="Times New Roman" w:cs="Times New Roman"/>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②</w:t>
            </w:r>
            <w:r>
              <w:rPr>
                <w:rFonts w:ascii="Times New Roman" w:hAnsi="Times New Roman" w:cs="Times New Roman"/>
                <w:color w:val="000000" w:themeColor="text1"/>
                <w:szCs w:val="21"/>
                <w14:textFill>
                  <w14:solidFill>
                    <w14:schemeClr w14:val="tx1"/>
                  </w14:solidFill>
                </w14:textFill>
              </w:rPr>
              <w:t xml:space="preserve"> </w:t>
            </w:r>
            <w:r>
              <w:rPr>
                <w:rFonts w:hint="eastAsia" w:ascii="Times New Roman" w:hAnsi="Times New Roman" w:cs="Times New Roman"/>
                <w:color w:val="000000" w:themeColor="text1"/>
                <w:szCs w:val="21"/>
                <w14:textFill>
                  <w14:solidFill>
                    <w14:schemeClr w14:val="tx1"/>
                  </w14:solidFill>
                </w14:textFill>
              </w:rPr>
              <w:t>影响较轻</w:t>
            </w:r>
          </w:p>
        </w:tc>
        <w:tc>
          <w:tcPr>
            <w:tcW w:w="1488" w:type="dxa"/>
            <w:vAlign w:val="center"/>
          </w:tcPr>
          <w:p>
            <w:pPr>
              <w:spacing w:line="280" w:lineRule="exact"/>
              <w:jc w:val="center"/>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25" w:type="dxa"/>
            <w:vMerge w:val="continue"/>
            <w:vAlign w:val="center"/>
          </w:tcPr>
          <w:p>
            <w:pPr>
              <w:spacing w:line="280" w:lineRule="exact"/>
              <w:jc w:val="center"/>
              <w:rPr>
                <w:rFonts w:ascii="Times New Roman" w:hAnsi="Times New Roman" w:cs="Times New Roman"/>
                <w:color w:val="000000" w:themeColor="text1"/>
                <w:szCs w:val="21"/>
                <w14:textFill>
                  <w14:solidFill>
                    <w14:schemeClr w14:val="tx1"/>
                  </w14:solidFill>
                </w14:textFill>
              </w:rPr>
            </w:pPr>
          </w:p>
        </w:tc>
        <w:tc>
          <w:tcPr>
            <w:tcW w:w="3416" w:type="dxa"/>
            <w:vMerge w:val="continue"/>
            <w:vAlign w:val="center"/>
          </w:tcPr>
          <w:p>
            <w:pPr>
              <w:spacing w:line="280" w:lineRule="exact"/>
              <w:rPr>
                <w:rFonts w:ascii="Times New Roman" w:hAnsi="Times New Roman" w:cs="Times New Roman"/>
                <w:color w:val="000000" w:themeColor="text1"/>
                <w:szCs w:val="21"/>
                <w14:textFill>
                  <w14:solidFill>
                    <w14:schemeClr w14:val="tx1"/>
                  </w14:solidFill>
                </w14:textFill>
              </w:rPr>
            </w:pPr>
          </w:p>
        </w:tc>
        <w:tc>
          <w:tcPr>
            <w:tcW w:w="3758" w:type="dxa"/>
            <w:vAlign w:val="center"/>
          </w:tcPr>
          <w:p>
            <w:pPr>
              <w:spacing w:line="280" w:lineRule="exact"/>
              <w:rPr>
                <w:rFonts w:ascii="Times New Roman" w:hAnsi="Times New Roman" w:cs="Times New Roman"/>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③</w:t>
            </w:r>
            <w:r>
              <w:rPr>
                <w:rFonts w:ascii="Times New Roman" w:hAnsi="Times New Roman" w:cs="Times New Roman"/>
                <w:color w:val="000000" w:themeColor="text1"/>
                <w:szCs w:val="21"/>
                <w14:textFill>
                  <w14:solidFill>
                    <w14:schemeClr w14:val="tx1"/>
                  </w14:solidFill>
                </w14:textFill>
              </w:rPr>
              <w:t xml:space="preserve"> </w:t>
            </w:r>
            <w:r>
              <w:rPr>
                <w:rFonts w:hint="eastAsia" w:ascii="Times New Roman" w:hAnsi="Times New Roman" w:cs="Times New Roman"/>
                <w:color w:val="000000" w:themeColor="text1"/>
                <w:szCs w:val="21"/>
                <w14:textFill>
                  <w14:solidFill>
                    <w14:schemeClr w14:val="tx1"/>
                  </w14:solidFill>
                </w14:textFill>
              </w:rPr>
              <w:t>影响</w:t>
            </w:r>
            <w:r>
              <w:rPr>
                <w:rFonts w:ascii="Times New Roman" w:hAnsi="Times New Roman" w:cs="Times New Roman"/>
                <w:color w:val="000000" w:themeColor="text1"/>
                <w:szCs w:val="21"/>
                <w14:textFill>
                  <w14:solidFill>
                    <w14:schemeClr w14:val="tx1"/>
                  </w14:solidFill>
                </w14:textFill>
              </w:rPr>
              <w:t>较重</w:t>
            </w:r>
          </w:p>
        </w:tc>
        <w:tc>
          <w:tcPr>
            <w:tcW w:w="1488" w:type="dxa"/>
            <w:vAlign w:val="center"/>
          </w:tcPr>
          <w:p>
            <w:pPr>
              <w:spacing w:line="280" w:lineRule="exact"/>
              <w:jc w:val="center"/>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25" w:type="dxa"/>
            <w:vMerge w:val="restart"/>
            <w:vAlign w:val="center"/>
          </w:tcPr>
          <w:p>
            <w:pPr>
              <w:spacing w:line="280" w:lineRule="exact"/>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8</w:t>
            </w:r>
          </w:p>
        </w:tc>
        <w:tc>
          <w:tcPr>
            <w:tcW w:w="3416" w:type="dxa"/>
            <w:vMerge w:val="restart"/>
            <w:vAlign w:val="center"/>
          </w:tcPr>
          <w:p>
            <w:pPr>
              <w:spacing w:line="280" w:lineRule="exact"/>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营运期噪声对您的影响程度</w:t>
            </w:r>
          </w:p>
        </w:tc>
        <w:tc>
          <w:tcPr>
            <w:tcW w:w="3758" w:type="dxa"/>
            <w:vAlign w:val="center"/>
          </w:tcPr>
          <w:p>
            <w:pPr>
              <w:snapToGrid w:val="0"/>
              <w:spacing w:line="280" w:lineRule="exact"/>
              <w:rPr>
                <w:rFonts w:ascii="Times New Roman" w:hAnsi="Times New Roman" w:cs="Times New Roman"/>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①</w:t>
            </w:r>
            <w:r>
              <w:rPr>
                <w:rFonts w:ascii="Times New Roman" w:hAnsi="Times New Roman" w:cs="Times New Roman"/>
                <w:color w:val="000000" w:themeColor="text1"/>
                <w:szCs w:val="21"/>
                <w14:textFill>
                  <w14:solidFill>
                    <w14:schemeClr w14:val="tx1"/>
                  </w14:solidFill>
                </w14:textFill>
              </w:rPr>
              <w:t xml:space="preserve"> </w:t>
            </w:r>
            <w:r>
              <w:rPr>
                <w:rFonts w:hint="eastAsia" w:ascii="Times New Roman" w:hAnsi="Times New Roman" w:cs="Times New Roman"/>
                <w:color w:val="000000" w:themeColor="text1"/>
                <w:szCs w:val="21"/>
                <w14:textFill>
                  <w14:solidFill>
                    <w14:schemeClr w14:val="tx1"/>
                  </w14:solidFill>
                </w14:textFill>
              </w:rPr>
              <w:t>没有影响</w:t>
            </w:r>
          </w:p>
        </w:tc>
        <w:tc>
          <w:tcPr>
            <w:tcW w:w="1488" w:type="dxa"/>
            <w:vAlign w:val="center"/>
          </w:tcPr>
          <w:p>
            <w:pPr>
              <w:spacing w:line="280" w:lineRule="exact"/>
              <w:jc w:val="center"/>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25" w:type="dxa"/>
            <w:vMerge w:val="continue"/>
            <w:vAlign w:val="center"/>
          </w:tcPr>
          <w:p>
            <w:pPr>
              <w:spacing w:line="280" w:lineRule="exact"/>
              <w:jc w:val="center"/>
              <w:rPr>
                <w:rFonts w:ascii="Times New Roman" w:hAnsi="Times New Roman" w:cs="Times New Roman"/>
                <w:color w:val="000000" w:themeColor="text1"/>
                <w:szCs w:val="21"/>
                <w14:textFill>
                  <w14:solidFill>
                    <w14:schemeClr w14:val="tx1"/>
                  </w14:solidFill>
                </w14:textFill>
              </w:rPr>
            </w:pPr>
          </w:p>
        </w:tc>
        <w:tc>
          <w:tcPr>
            <w:tcW w:w="3416" w:type="dxa"/>
            <w:vMerge w:val="continue"/>
            <w:vAlign w:val="center"/>
          </w:tcPr>
          <w:p>
            <w:pPr>
              <w:spacing w:line="280" w:lineRule="exact"/>
              <w:rPr>
                <w:rFonts w:ascii="Times New Roman" w:hAnsi="Times New Roman" w:cs="Times New Roman"/>
                <w:color w:val="000000" w:themeColor="text1"/>
                <w:szCs w:val="21"/>
                <w14:textFill>
                  <w14:solidFill>
                    <w14:schemeClr w14:val="tx1"/>
                  </w14:solidFill>
                </w14:textFill>
              </w:rPr>
            </w:pPr>
          </w:p>
        </w:tc>
        <w:tc>
          <w:tcPr>
            <w:tcW w:w="3758" w:type="dxa"/>
            <w:vAlign w:val="center"/>
          </w:tcPr>
          <w:p>
            <w:pPr>
              <w:snapToGrid w:val="0"/>
              <w:spacing w:line="280" w:lineRule="exact"/>
              <w:rPr>
                <w:rFonts w:ascii="Times New Roman" w:hAnsi="Times New Roman" w:cs="Times New Roman"/>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②</w:t>
            </w:r>
            <w:r>
              <w:rPr>
                <w:rFonts w:ascii="Times New Roman" w:hAnsi="Times New Roman" w:cs="Times New Roman"/>
                <w:color w:val="000000" w:themeColor="text1"/>
                <w:szCs w:val="21"/>
                <w14:textFill>
                  <w14:solidFill>
                    <w14:schemeClr w14:val="tx1"/>
                  </w14:solidFill>
                </w14:textFill>
              </w:rPr>
              <w:t xml:space="preserve"> </w:t>
            </w:r>
            <w:r>
              <w:rPr>
                <w:rFonts w:hint="eastAsia" w:ascii="Times New Roman" w:hAnsi="Times New Roman" w:cs="Times New Roman"/>
                <w:color w:val="000000" w:themeColor="text1"/>
                <w:szCs w:val="21"/>
                <w14:textFill>
                  <w14:solidFill>
                    <w14:schemeClr w14:val="tx1"/>
                  </w14:solidFill>
                </w14:textFill>
              </w:rPr>
              <w:t>影响较轻</w:t>
            </w:r>
          </w:p>
        </w:tc>
        <w:tc>
          <w:tcPr>
            <w:tcW w:w="1488" w:type="dxa"/>
            <w:vAlign w:val="center"/>
          </w:tcPr>
          <w:p>
            <w:pPr>
              <w:spacing w:line="280" w:lineRule="exact"/>
              <w:jc w:val="center"/>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25" w:type="dxa"/>
            <w:vMerge w:val="continue"/>
            <w:vAlign w:val="center"/>
          </w:tcPr>
          <w:p>
            <w:pPr>
              <w:spacing w:line="280" w:lineRule="exact"/>
              <w:jc w:val="center"/>
              <w:rPr>
                <w:rFonts w:ascii="Times New Roman" w:hAnsi="Times New Roman" w:cs="Times New Roman"/>
                <w:color w:val="000000" w:themeColor="text1"/>
                <w:szCs w:val="21"/>
                <w14:textFill>
                  <w14:solidFill>
                    <w14:schemeClr w14:val="tx1"/>
                  </w14:solidFill>
                </w14:textFill>
              </w:rPr>
            </w:pPr>
          </w:p>
        </w:tc>
        <w:tc>
          <w:tcPr>
            <w:tcW w:w="3416" w:type="dxa"/>
            <w:vMerge w:val="continue"/>
            <w:vAlign w:val="center"/>
          </w:tcPr>
          <w:p>
            <w:pPr>
              <w:spacing w:line="280" w:lineRule="exact"/>
              <w:rPr>
                <w:rFonts w:ascii="Times New Roman" w:hAnsi="Times New Roman" w:cs="Times New Roman"/>
                <w:color w:val="000000" w:themeColor="text1"/>
                <w:szCs w:val="21"/>
                <w14:textFill>
                  <w14:solidFill>
                    <w14:schemeClr w14:val="tx1"/>
                  </w14:solidFill>
                </w14:textFill>
              </w:rPr>
            </w:pPr>
          </w:p>
        </w:tc>
        <w:tc>
          <w:tcPr>
            <w:tcW w:w="3758" w:type="dxa"/>
            <w:vAlign w:val="center"/>
          </w:tcPr>
          <w:p>
            <w:pPr>
              <w:spacing w:line="280" w:lineRule="exact"/>
              <w:rPr>
                <w:rFonts w:ascii="Times New Roman" w:hAnsi="Times New Roman" w:cs="Times New Roman"/>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③</w:t>
            </w:r>
            <w:r>
              <w:rPr>
                <w:rFonts w:ascii="Times New Roman" w:hAnsi="Times New Roman" w:cs="Times New Roman"/>
                <w:color w:val="000000" w:themeColor="text1"/>
                <w:szCs w:val="21"/>
                <w14:textFill>
                  <w14:solidFill>
                    <w14:schemeClr w14:val="tx1"/>
                  </w14:solidFill>
                </w14:textFill>
              </w:rPr>
              <w:t xml:space="preserve"> </w:t>
            </w:r>
            <w:r>
              <w:rPr>
                <w:rFonts w:hint="eastAsia" w:ascii="Times New Roman" w:hAnsi="Times New Roman" w:cs="Times New Roman"/>
                <w:color w:val="000000" w:themeColor="text1"/>
                <w:szCs w:val="21"/>
                <w14:textFill>
                  <w14:solidFill>
                    <w14:schemeClr w14:val="tx1"/>
                  </w14:solidFill>
                </w14:textFill>
              </w:rPr>
              <w:t>影响</w:t>
            </w:r>
            <w:r>
              <w:rPr>
                <w:rFonts w:ascii="Times New Roman" w:hAnsi="Times New Roman" w:cs="Times New Roman"/>
                <w:color w:val="000000" w:themeColor="text1"/>
                <w:szCs w:val="21"/>
                <w14:textFill>
                  <w14:solidFill>
                    <w14:schemeClr w14:val="tx1"/>
                  </w14:solidFill>
                </w14:textFill>
              </w:rPr>
              <w:t>较重</w:t>
            </w:r>
          </w:p>
        </w:tc>
        <w:tc>
          <w:tcPr>
            <w:tcW w:w="1488" w:type="dxa"/>
            <w:vAlign w:val="center"/>
          </w:tcPr>
          <w:p>
            <w:pPr>
              <w:spacing w:line="280" w:lineRule="exact"/>
              <w:jc w:val="center"/>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25" w:type="dxa"/>
            <w:vMerge w:val="restart"/>
            <w:vAlign w:val="center"/>
          </w:tcPr>
          <w:p>
            <w:pPr>
              <w:spacing w:line="280" w:lineRule="exact"/>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9</w:t>
            </w:r>
          </w:p>
        </w:tc>
        <w:tc>
          <w:tcPr>
            <w:tcW w:w="3416" w:type="dxa"/>
            <w:vMerge w:val="restart"/>
            <w:vAlign w:val="center"/>
          </w:tcPr>
          <w:p>
            <w:pPr>
              <w:spacing w:line="280" w:lineRule="exac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营运期固体废物储存及处理处置对您的影响程度</w:t>
            </w:r>
          </w:p>
        </w:tc>
        <w:tc>
          <w:tcPr>
            <w:tcW w:w="3758" w:type="dxa"/>
            <w:vAlign w:val="center"/>
          </w:tcPr>
          <w:p>
            <w:pPr>
              <w:snapToGrid w:val="0"/>
              <w:spacing w:line="280" w:lineRule="exact"/>
              <w:rPr>
                <w:rFonts w:ascii="Times New Roman" w:hAnsi="Times New Roman" w:cs="Times New Roman"/>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①</w:t>
            </w:r>
            <w:r>
              <w:rPr>
                <w:rFonts w:ascii="Times New Roman" w:hAnsi="Times New Roman" w:cs="Times New Roman"/>
                <w:color w:val="000000" w:themeColor="text1"/>
                <w:szCs w:val="21"/>
                <w14:textFill>
                  <w14:solidFill>
                    <w14:schemeClr w14:val="tx1"/>
                  </w14:solidFill>
                </w14:textFill>
              </w:rPr>
              <w:t xml:space="preserve"> </w:t>
            </w:r>
            <w:r>
              <w:rPr>
                <w:rFonts w:hint="eastAsia" w:ascii="Times New Roman" w:hAnsi="Times New Roman" w:cs="Times New Roman"/>
                <w:color w:val="000000" w:themeColor="text1"/>
                <w:szCs w:val="21"/>
                <w14:textFill>
                  <w14:solidFill>
                    <w14:schemeClr w14:val="tx1"/>
                  </w14:solidFill>
                </w14:textFill>
              </w:rPr>
              <w:t>没有影响</w:t>
            </w:r>
          </w:p>
        </w:tc>
        <w:tc>
          <w:tcPr>
            <w:tcW w:w="1488" w:type="dxa"/>
            <w:vAlign w:val="center"/>
          </w:tcPr>
          <w:p>
            <w:pPr>
              <w:spacing w:line="280" w:lineRule="exact"/>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25" w:type="dxa"/>
            <w:vMerge w:val="continue"/>
            <w:vAlign w:val="center"/>
          </w:tcPr>
          <w:p>
            <w:pPr>
              <w:spacing w:line="280" w:lineRule="exact"/>
              <w:jc w:val="center"/>
              <w:rPr>
                <w:rFonts w:ascii="Times New Roman" w:hAnsi="Times New Roman" w:cs="Times New Roman"/>
                <w:color w:val="000000" w:themeColor="text1"/>
                <w:szCs w:val="21"/>
                <w14:textFill>
                  <w14:solidFill>
                    <w14:schemeClr w14:val="tx1"/>
                  </w14:solidFill>
                </w14:textFill>
              </w:rPr>
            </w:pPr>
          </w:p>
        </w:tc>
        <w:tc>
          <w:tcPr>
            <w:tcW w:w="3416" w:type="dxa"/>
            <w:vMerge w:val="continue"/>
            <w:vAlign w:val="center"/>
          </w:tcPr>
          <w:p>
            <w:pPr>
              <w:spacing w:line="280" w:lineRule="exact"/>
              <w:rPr>
                <w:rFonts w:ascii="Times New Roman" w:hAnsi="Times New Roman" w:cs="Times New Roman"/>
                <w:color w:val="000000" w:themeColor="text1"/>
                <w:szCs w:val="21"/>
                <w14:textFill>
                  <w14:solidFill>
                    <w14:schemeClr w14:val="tx1"/>
                  </w14:solidFill>
                </w14:textFill>
              </w:rPr>
            </w:pPr>
          </w:p>
        </w:tc>
        <w:tc>
          <w:tcPr>
            <w:tcW w:w="3758" w:type="dxa"/>
            <w:vAlign w:val="center"/>
          </w:tcPr>
          <w:p>
            <w:pPr>
              <w:snapToGrid w:val="0"/>
              <w:spacing w:line="280" w:lineRule="exact"/>
              <w:rPr>
                <w:rFonts w:ascii="Times New Roman" w:hAnsi="Times New Roman" w:cs="Times New Roman"/>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②</w:t>
            </w:r>
            <w:r>
              <w:rPr>
                <w:rFonts w:ascii="Times New Roman" w:hAnsi="Times New Roman" w:cs="Times New Roman"/>
                <w:color w:val="000000" w:themeColor="text1"/>
                <w:szCs w:val="21"/>
                <w14:textFill>
                  <w14:solidFill>
                    <w14:schemeClr w14:val="tx1"/>
                  </w14:solidFill>
                </w14:textFill>
              </w:rPr>
              <w:t xml:space="preserve"> </w:t>
            </w:r>
            <w:r>
              <w:rPr>
                <w:rFonts w:hint="eastAsia" w:ascii="Times New Roman" w:hAnsi="Times New Roman" w:cs="Times New Roman"/>
                <w:color w:val="000000" w:themeColor="text1"/>
                <w:szCs w:val="21"/>
                <w14:textFill>
                  <w14:solidFill>
                    <w14:schemeClr w14:val="tx1"/>
                  </w14:solidFill>
                </w14:textFill>
              </w:rPr>
              <w:t>影响较轻</w:t>
            </w:r>
          </w:p>
        </w:tc>
        <w:tc>
          <w:tcPr>
            <w:tcW w:w="1488" w:type="dxa"/>
            <w:vAlign w:val="center"/>
          </w:tcPr>
          <w:p>
            <w:pPr>
              <w:spacing w:line="280" w:lineRule="exact"/>
              <w:jc w:val="center"/>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25" w:type="dxa"/>
            <w:vMerge w:val="continue"/>
            <w:vAlign w:val="center"/>
          </w:tcPr>
          <w:p>
            <w:pPr>
              <w:spacing w:line="280" w:lineRule="exact"/>
              <w:jc w:val="center"/>
              <w:rPr>
                <w:rFonts w:ascii="Times New Roman" w:hAnsi="Times New Roman" w:cs="Times New Roman"/>
                <w:color w:val="000000" w:themeColor="text1"/>
                <w:szCs w:val="21"/>
                <w14:textFill>
                  <w14:solidFill>
                    <w14:schemeClr w14:val="tx1"/>
                  </w14:solidFill>
                </w14:textFill>
              </w:rPr>
            </w:pPr>
          </w:p>
        </w:tc>
        <w:tc>
          <w:tcPr>
            <w:tcW w:w="3416" w:type="dxa"/>
            <w:vMerge w:val="continue"/>
            <w:vAlign w:val="center"/>
          </w:tcPr>
          <w:p>
            <w:pPr>
              <w:spacing w:line="280" w:lineRule="exact"/>
              <w:rPr>
                <w:rFonts w:ascii="Times New Roman" w:hAnsi="Times New Roman" w:cs="Times New Roman"/>
                <w:color w:val="000000" w:themeColor="text1"/>
                <w:szCs w:val="21"/>
                <w14:textFill>
                  <w14:solidFill>
                    <w14:schemeClr w14:val="tx1"/>
                  </w14:solidFill>
                </w14:textFill>
              </w:rPr>
            </w:pPr>
          </w:p>
        </w:tc>
        <w:tc>
          <w:tcPr>
            <w:tcW w:w="3758" w:type="dxa"/>
            <w:vAlign w:val="center"/>
          </w:tcPr>
          <w:p>
            <w:pPr>
              <w:spacing w:line="280" w:lineRule="exact"/>
              <w:rPr>
                <w:rFonts w:ascii="Times New Roman" w:hAnsi="Times New Roman" w:cs="Times New Roman"/>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③</w:t>
            </w:r>
            <w:r>
              <w:rPr>
                <w:rFonts w:ascii="Times New Roman" w:hAnsi="Times New Roman" w:cs="Times New Roman"/>
                <w:color w:val="000000" w:themeColor="text1"/>
                <w:szCs w:val="21"/>
                <w14:textFill>
                  <w14:solidFill>
                    <w14:schemeClr w14:val="tx1"/>
                  </w14:solidFill>
                </w14:textFill>
              </w:rPr>
              <w:t xml:space="preserve"> </w:t>
            </w:r>
            <w:r>
              <w:rPr>
                <w:rFonts w:hint="eastAsia" w:ascii="Times New Roman" w:hAnsi="Times New Roman" w:cs="Times New Roman"/>
                <w:color w:val="000000" w:themeColor="text1"/>
                <w:szCs w:val="21"/>
                <w14:textFill>
                  <w14:solidFill>
                    <w14:schemeClr w14:val="tx1"/>
                  </w14:solidFill>
                </w14:textFill>
              </w:rPr>
              <w:t>影响</w:t>
            </w:r>
            <w:r>
              <w:rPr>
                <w:rFonts w:ascii="Times New Roman" w:hAnsi="Times New Roman" w:cs="Times New Roman"/>
                <w:color w:val="000000" w:themeColor="text1"/>
                <w:szCs w:val="21"/>
                <w14:textFill>
                  <w14:solidFill>
                    <w14:schemeClr w14:val="tx1"/>
                  </w14:solidFill>
                </w14:textFill>
              </w:rPr>
              <w:t>较重</w:t>
            </w:r>
          </w:p>
        </w:tc>
        <w:tc>
          <w:tcPr>
            <w:tcW w:w="1488" w:type="dxa"/>
            <w:vAlign w:val="center"/>
          </w:tcPr>
          <w:p>
            <w:pPr>
              <w:spacing w:line="280" w:lineRule="exact"/>
              <w:jc w:val="center"/>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25" w:type="dxa"/>
            <w:vMerge w:val="restart"/>
            <w:vAlign w:val="center"/>
          </w:tcPr>
          <w:p>
            <w:pPr>
              <w:spacing w:line="280" w:lineRule="exact"/>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10</w:t>
            </w:r>
          </w:p>
        </w:tc>
        <w:tc>
          <w:tcPr>
            <w:tcW w:w="3416" w:type="dxa"/>
            <w:vMerge w:val="restart"/>
            <w:vAlign w:val="center"/>
          </w:tcPr>
          <w:p>
            <w:pPr>
              <w:spacing w:line="280" w:lineRule="exact"/>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是否</w:t>
            </w:r>
            <w:r>
              <w:rPr>
                <w:rFonts w:ascii="Times New Roman" w:hAnsi="Times New Roman" w:cs="Times New Roman"/>
                <w:color w:val="000000" w:themeColor="text1"/>
                <w:szCs w:val="21"/>
                <w14:textFill>
                  <w14:solidFill>
                    <w14:schemeClr w14:val="tx1"/>
                  </w14:solidFill>
                </w14:textFill>
              </w:rPr>
              <w:t>发生过环境污染事故或生态破坏事件</w:t>
            </w:r>
          </w:p>
        </w:tc>
        <w:tc>
          <w:tcPr>
            <w:tcW w:w="3758" w:type="dxa"/>
            <w:vAlign w:val="center"/>
          </w:tcPr>
          <w:p>
            <w:pPr>
              <w:snapToGrid w:val="0"/>
              <w:spacing w:line="280" w:lineRule="exact"/>
              <w:rPr>
                <w:rFonts w:ascii="Times New Roman" w:hAnsi="Times New Roman" w:cs="Times New Roman"/>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①</w:t>
            </w:r>
            <w:r>
              <w:rPr>
                <w:rFonts w:ascii="Times New Roman" w:hAnsi="Times New Roman" w:cs="Times New Roman"/>
                <w:color w:val="000000" w:themeColor="text1"/>
                <w:szCs w:val="21"/>
                <w14:textFill>
                  <w14:solidFill>
                    <w14:schemeClr w14:val="tx1"/>
                  </w14:solidFill>
                </w14:textFill>
              </w:rPr>
              <w:t xml:space="preserve"> 有</w:t>
            </w:r>
          </w:p>
        </w:tc>
        <w:tc>
          <w:tcPr>
            <w:tcW w:w="1488" w:type="dxa"/>
            <w:vAlign w:val="center"/>
          </w:tcPr>
          <w:p>
            <w:pPr>
              <w:spacing w:line="280" w:lineRule="exact"/>
              <w:jc w:val="center"/>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25" w:type="dxa"/>
            <w:vMerge w:val="continue"/>
            <w:vAlign w:val="center"/>
          </w:tcPr>
          <w:p>
            <w:pPr>
              <w:spacing w:line="280" w:lineRule="exact"/>
              <w:jc w:val="center"/>
              <w:rPr>
                <w:rFonts w:ascii="Times New Roman" w:hAnsi="Times New Roman" w:cs="Times New Roman"/>
                <w:color w:val="000000" w:themeColor="text1"/>
                <w:szCs w:val="21"/>
                <w14:textFill>
                  <w14:solidFill>
                    <w14:schemeClr w14:val="tx1"/>
                  </w14:solidFill>
                </w14:textFill>
              </w:rPr>
            </w:pPr>
          </w:p>
        </w:tc>
        <w:tc>
          <w:tcPr>
            <w:tcW w:w="3416" w:type="dxa"/>
            <w:vMerge w:val="continue"/>
            <w:vAlign w:val="center"/>
          </w:tcPr>
          <w:p>
            <w:pPr>
              <w:spacing w:line="280" w:lineRule="exact"/>
              <w:rPr>
                <w:rFonts w:ascii="Times New Roman" w:hAnsi="Times New Roman" w:cs="Times New Roman"/>
                <w:color w:val="000000" w:themeColor="text1"/>
                <w:szCs w:val="21"/>
                <w14:textFill>
                  <w14:solidFill>
                    <w14:schemeClr w14:val="tx1"/>
                  </w14:solidFill>
                </w14:textFill>
              </w:rPr>
            </w:pPr>
          </w:p>
        </w:tc>
        <w:tc>
          <w:tcPr>
            <w:tcW w:w="3758" w:type="dxa"/>
            <w:vAlign w:val="center"/>
          </w:tcPr>
          <w:p>
            <w:pPr>
              <w:snapToGrid w:val="0"/>
              <w:spacing w:line="280" w:lineRule="exact"/>
              <w:rPr>
                <w:rFonts w:ascii="Times New Roman" w:hAnsi="Times New Roman" w:cs="Times New Roman"/>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②</w:t>
            </w:r>
            <w:r>
              <w:rPr>
                <w:rFonts w:ascii="Times New Roman" w:hAnsi="Times New Roman" w:cs="Times New Roman"/>
                <w:color w:val="000000" w:themeColor="text1"/>
                <w:szCs w:val="21"/>
                <w14:textFill>
                  <w14:solidFill>
                    <w14:schemeClr w14:val="tx1"/>
                  </w14:solidFill>
                </w14:textFill>
              </w:rPr>
              <w:t xml:space="preserve"> 没有</w:t>
            </w:r>
          </w:p>
        </w:tc>
        <w:tc>
          <w:tcPr>
            <w:tcW w:w="1488" w:type="dxa"/>
            <w:vAlign w:val="center"/>
          </w:tcPr>
          <w:p>
            <w:pPr>
              <w:spacing w:line="280" w:lineRule="exact"/>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25" w:type="dxa"/>
            <w:vMerge w:val="restart"/>
            <w:vAlign w:val="center"/>
          </w:tcPr>
          <w:p>
            <w:pPr>
              <w:spacing w:line="280" w:lineRule="exact"/>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11</w:t>
            </w:r>
          </w:p>
        </w:tc>
        <w:tc>
          <w:tcPr>
            <w:tcW w:w="3416" w:type="dxa"/>
            <w:vMerge w:val="restart"/>
            <w:vAlign w:val="center"/>
          </w:tcPr>
          <w:p>
            <w:pPr>
              <w:spacing w:line="280" w:lineRule="exact"/>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对</w:t>
            </w:r>
            <w:r>
              <w:rPr>
                <w:rFonts w:ascii="Times New Roman" w:hAnsi="Times New Roman" w:cs="Times New Roman"/>
                <w:color w:val="000000" w:themeColor="text1"/>
                <w:szCs w:val="21"/>
                <w14:textFill>
                  <w14:solidFill>
                    <w14:schemeClr w14:val="tx1"/>
                  </w14:solidFill>
                </w14:textFill>
              </w:rPr>
              <w:t>本项目采取的环境保护措施和生态保护措施满意程度</w:t>
            </w:r>
          </w:p>
        </w:tc>
        <w:tc>
          <w:tcPr>
            <w:tcW w:w="3758" w:type="dxa"/>
            <w:vAlign w:val="center"/>
          </w:tcPr>
          <w:p>
            <w:pPr>
              <w:snapToGrid w:val="0"/>
              <w:spacing w:line="280" w:lineRule="exact"/>
              <w:rPr>
                <w:rFonts w:ascii="Times New Roman" w:hAnsi="Times New Roman" w:cs="Times New Roman"/>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①</w:t>
            </w:r>
            <w:r>
              <w:rPr>
                <w:rFonts w:ascii="Times New Roman" w:hAnsi="Times New Roman" w:cs="Times New Roman"/>
                <w:color w:val="000000" w:themeColor="text1"/>
                <w:szCs w:val="21"/>
                <w14:textFill>
                  <w14:solidFill>
                    <w14:schemeClr w14:val="tx1"/>
                  </w14:solidFill>
                </w14:textFill>
              </w:rPr>
              <w:t xml:space="preserve"> </w:t>
            </w:r>
            <w:r>
              <w:rPr>
                <w:rFonts w:hint="eastAsia" w:ascii="Times New Roman" w:hAnsi="Times New Roman" w:cs="Times New Roman"/>
                <w:color w:val="000000" w:themeColor="text1"/>
                <w:szCs w:val="21"/>
                <w14:textFill>
                  <w14:solidFill>
                    <w14:schemeClr w14:val="tx1"/>
                  </w14:solidFill>
                </w14:textFill>
              </w:rPr>
              <w:t>满意</w:t>
            </w:r>
          </w:p>
        </w:tc>
        <w:tc>
          <w:tcPr>
            <w:tcW w:w="1488" w:type="dxa"/>
            <w:vAlign w:val="center"/>
          </w:tcPr>
          <w:p>
            <w:pPr>
              <w:spacing w:line="280" w:lineRule="exact"/>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25" w:type="dxa"/>
            <w:vMerge w:val="continue"/>
            <w:vAlign w:val="center"/>
          </w:tcPr>
          <w:p>
            <w:pPr>
              <w:spacing w:line="280" w:lineRule="exact"/>
              <w:jc w:val="center"/>
              <w:rPr>
                <w:rFonts w:ascii="Times New Roman" w:hAnsi="Times New Roman" w:cs="Times New Roman"/>
                <w:color w:val="000000" w:themeColor="text1"/>
                <w:szCs w:val="21"/>
                <w14:textFill>
                  <w14:solidFill>
                    <w14:schemeClr w14:val="tx1"/>
                  </w14:solidFill>
                </w14:textFill>
              </w:rPr>
            </w:pPr>
          </w:p>
        </w:tc>
        <w:tc>
          <w:tcPr>
            <w:tcW w:w="3416" w:type="dxa"/>
            <w:vMerge w:val="continue"/>
            <w:vAlign w:val="center"/>
          </w:tcPr>
          <w:p>
            <w:pPr>
              <w:spacing w:line="280" w:lineRule="exact"/>
              <w:rPr>
                <w:rFonts w:ascii="Times New Roman" w:hAnsi="Times New Roman" w:cs="Times New Roman"/>
                <w:color w:val="000000" w:themeColor="text1"/>
                <w:szCs w:val="21"/>
                <w14:textFill>
                  <w14:solidFill>
                    <w14:schemeClr w14:val="tx1"/>
                  </w14:solidFill>
                </w14:textFill>
              </w:rPr>
            </w:pPr>
          </w:p>
        </w:tc>
        <w:tc>
          <w:tcPr>
            <w:tcW w:w="3758" w:type="dxa"/>
            <w:vAlign w:val="center"/>
          </w:tcPr>
          <w:p>
            <w:pPr>
              <w:snapToGrid w:val="0"/>
              <w:spacing w:line="280" w:lineRule="exact"/>
              <w:rPr>
                <w:rFonts w:ascii="Times New Roman" w:hAnsi="Times New Roman" w:cs="Times New Roman"/>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②</w:t>
            </w:r>
            <w:r>
              <w:rPr>
                <w:rFonts w:ascii="Times New Roman" w:hAnsi="Times New Roman" w:cs="Times New Roman"/>
                <w:color w:val="000000" w:themeColor="text1"/>
                <w:szCs w:val="21"/>
                <w14:textFill>
                  <w14:solidFill>
                    <w14:schemeClr w14:val="tx1"/>
                  </w14:solidFill>
                </w14:textFill>
              </w:rPr>
              <w:t xml:space="preserve"> 较满意</w:t>
            </w:r>
          </w:p>
        </w:tc>
        <w:tc>
          <w:tcPr>
            <w:tcW w:w="1488" w:type="dxa"/>
            <w:vAlign w:val="center"/>
          </w:tcPr>
          <w:p>
            <w:pPr>
              <w:spacing w:line="280" w:lineRule="exact"/>
              <w:jc w:val="center"/>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25" w:type="dxa"/>
            <w:vMerge w:val="continue"/>
            <w:vAlign w:val="center"/>
          </w:tcPr>
          <w:p>
            <w:pPr>
              <w:spacing w:line="280" w:lineRule="exact"/>
              <w:jc w:val="center"/>
              <w:rPr>
                <w:rFonts w:ascii="Times New Roman" w:hAnsi="Times New Roman" w:cs="Times New Roman"/>
                <w:color w:val="000000" w:themeColor="text1"/>
                <w:szCs w:val="21"/>
                <w14:textFill>
                  <w14:solidFill>
                    <w14:schemeClr w14:val="tx1"/>
                  </w14:solidFill>
                </w14:textFill>
              </w:rPr>
            </w:pPr>
          </w:p>
        </w:tc>
        <w:tc>
          <w:tcPr>
            <w:tcW w:w="3416" w:type="dxa"/>
            <w:vMerge w:val="continue"/>
            <w:vAlign w:val="center"/>
          </w:tcPr>
          <w:p>
            <w:pPr>
              <w:spacing w:line="280" w:lineRule="exact"/>
              <w:rPr>
                <w:rFonts w:ascii="Times New Roman" w:hAnsi="Times New Roman" w:cs="Times New Roman"/>
                <w:color w:val="000000" w:themeColor="text1"/>
                <w:szCs w:val="21"/>
                <w14:textFill>
                  <w14:solidFill>
                    <w14:schemeClr w14:val="tx1"/>
                  </w14:solidFill>
                </w14:textFill>
              </w:rPr>
            </w:pPr>
          </w:p>
        </w:tc>
        <w:tc>
          <w:tcPr>
            <w:tcW w:w="3758" w:type="dxa"/>
            <w:vAlign w:val="center"/>
          </w:tcPr>
          <w:p>
            <w:pPr>
              <w:snapToGrid w:val="0"/>
              <w:spacing w:line="280" w:lineRule="exact"/>
              <w:rPr>
                <w:rFonts w:ascii="Times New Roman" w:hAnsi="Times New Roman" w:cs="Times New Roman"/>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③</w:t>
            </w:r>
            <w:r>
              <w:rPr>
                <w:rFonts w:ascii="Times New Roman" w:hAnsi="Times New Roman" w:cs="Times New Roman"/>
                <w:color w:val="000000" w:themeColor="text1"/>
                <w:szCs w:val="21"/>
                <w14:textFill>
                  <w14:solidFill>
                    <w14:schemeClr w14:val="tx1"/>
                  </w14:solidFill>
                </w14:textFill>
              </w:rPr>
              <w:t xml:space="preserve"> 不满意</w:t>
            </w:r>
          </w:p>
        </w:tc>
        <w:tc>
          <w:tcPr>
            <w:tcW w:w="1488" w:type="dxa"/>
            <w:vAlign w:val="center"/>
          </w:tcPr>
          <w:p>
            <w:pPr>
              <w:spacing w:line="280" w:lineRule="exact"/>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25" w:type="dxa"/>
            <w:vMerge w:val="restart"/>
            <w:vAlign w:val="center"/>
          </w:tcPr>
          <w:p>
            <w:pPr>
              <w:spacing w:line="280" w:lineRule="exact"/>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12</w:t>
            </w:r>
          </w:p>
        </w:tc>
        <w:tc>
          <w:tcPr>
            <w:tcW w:w="3416" w:type="dxa"/>
            <w:vMerge w:val="restart"/>
            <w:vAlign w:val="center"/>
          </w:tcPr>
          <w:p>
            <w:pPr>
              <w:spacing w:line="280" w:lineRule="exact"/>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对</w:t>
            </w:r>
            <w:r>
              <w:rPr>
                <w:rFonts w:ascii="Times New Roman" w:hAnsi="Times New Roman" w:cs="Times New Roman"/>
                <w:color w:val="000000" w:themeColor="text1"/>
                <w:szCs w:val="21"/>
                <w14:textFill>
                  <w14:solidFill>
                    <w14:schemeClr w14:val="tx1"/>
                  </w14:solidFill>
                </w14:textFill>
              </w:rPr>
              <w:t>本项目环境保护工作满意程度</w:t>
            </w:r>
          </w:p>
        </w:tc>
        <w:tc>
          <w:tcPr>
            <w:tcW w:w="3758" w:type="dxa"/>
            <w:vAlign w:val="center"/>
          </w:tcPr>
          <w:p>
            <w:pPr>
              <w:snapToGrid w:val="0"/>
              <w:spacing w:line="280" w:lineRule="exac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①</w:t>
            </w:r>
            <w:r>
              <w:rPr>
                <w:rFonts w:ascii="Times New Roman" w:hAnsi="Times New Roman" w:cs="Times New Roman"/>
                <w:color w:val="000000" w:themeColor="text1"/>
                <w:szCs w:val="21"/>
                <w14:textFill>
                  <w14:solidFill>
                    <w14:schemeClr w14:val="tx1"/>
                  </w14:solidFill>
                </w14:textFill>
              </w:rPr>
              <w:t xml:space="preserve"> </w:t>
            </w:r>
            <w:r>
              <w:rPr>
                <w:rFonts w:hint="eastAsia" w:ascii="Times New Roman" w:hAnsi="Times New Roman" w:cs="Times New Roman"/>
                <w:color w:val="000000" w:themeColor="text1"/>
                <w:szCs w:val="21"/>
                <w14:textFill>
                  <w14:solidFill>
                    <w14:schemeClr w14:val="tx1"/>
                  </w14:solidFill>
                </w14:textFill>
              </w:rPr>
              <w:t>满意</w:t>
            </w:r>
          </w:p>
        </w:tc>
        <w:tc>
          <w:tcPr>
            <w:tcW w:w="1488" w:type="dxa"/>
            <w:vAlign w:val="center"/>
          </w:tcPr>
          <w:p>
            <w:pPr>
              <w:spacing w:line="280" w:lineRule="exact"/>
              <w:jc w:val="center"/>
              <w:rPr>
                <w:rFonts w:hint="eastAsia"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25" w:type="dxa"/>
            <w:vMerge w:val="continue"/>
            <w:vAlign w:val="center"/>
          </w:tcPr>
          <w:p>
            <w:pPr>
              <w:spacing w:line="280" w:lineRule="exact"/>
              <w:rPr>
                <w:rFonts w:ascii="Times New Roman" w:hAnsi="Times New Roman" w:cs="Times New Roman"/>
                <w:color w:val="000000" w:themeColor="text1"/>
                <w:szCs w:val="21"/>
                <w14:textFill>
                  <w14:solidFill>
                    <w14:schemeClr w14:val="tx1"/>
                  </w14:solidFill>
                </w14:textFill>
              </w:rPr>
            </w:pPr>
          </w:p>
        </w:tc>
        <w:tc>
          <w:tcPr>
            <w:tcW w:w="3416" w:type="dxa"/>
            <w:vMerge w:val="continue"/>
            <w:vAlign w:val="center"/>
          </w:tcPr>
          <w:p>
            <w:pPr>
              <w:spacing w:line="280" w:lineRule="exact"/>
              <w:rPr>
                <w:rFonts w:ascii="Times New Roman" w:hAnsi="Times New Roman" w:cs="Times New Roman"/>
                <w:color w:val="000000" w:themeColor="text1"/>
                <w:szCs w:val="21"/>
                <w14:textFill>
                  <w14:solidFill>
                    <w14:schemeClr w14:val="tx1"/>
                  </w14:solidFill>
                </w14:textFill>
              </w:rPr>
            </w:pPr>
          </w:p>
        </w:tc>
        <w:tc>
          <w:tcPr>
            <w:tcW w:w="3758" w:type="dxa"/>
            <w:vAlign w:val="center"/>
          </w:tcPr>
          <w:p>
            <w:pPr>
              <w:snapToGrid w:val="0"/>
              <w:spacing w:line="280" w:lineRule="exac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②</w:t>
            </w:r>
            <w:r>
              <w:rPr>
                <w:rFonts w:ascii="Times New Roman" w:hAnsi="Times New Roman" w:cs="Times New Roman"/>
                <w:color w:val="000000" w:themeColor="text1"/>
                <w:szCs w:val="21"/>
                <w14:textFill>
                  <w14:solidFill>
                    <w14:schemeClr w14:val="tx1"/>
                  </w14:solidFill>
                </w14:textFill>
              </w:rPr>
              <w:t xml:space="preserve"> 较满意</w:t>
            </w:r>
          </w:p>
        </w:tc>
        <w:tc>
          <w:tcPr>
            <w:tcW w:w="1488" w:type="dxa"/>
            <w:vAlign w:val="center"/>
          </w:tcPr>
          <w:p>
            <w:pPr>
              <w:spacing w:line="280" w:lineRule="exact"/>
              <w:jc w:val="center"/>
              <w:rPr>
                <w:rFonts w:hint="eastAsia"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25" w:type="dxa"/>
            <w:vMerge w:val="continue"/>
            <w:vAlign w:val="center"/>
          </w:tcPr>
          <w:p>
            <w:pPr>
              <w:spacing w:line="280" w:lineRule="exact"/>
              <w:rPr>
                <w:rFonts w:ascii="Times New Roman" w:hAnsi="Times New Roman" w:cs="Times New Roman"/>
                <w:color w:val="000000" w:themeColor="text1"/>
                <w:szCs w:val="21"/>
                <w14:textFill>
                  <w14:solidFill>
                    <w14:schemeClr w14:val="tx1"/>
                  </w14:solidFill>
                </w14:textFill>
              </w:rPr>
            </w:pPr>
          </w:p>
        </w:tc>
        <w:tc>
          <w:tcPr>
            <w:tcW w:w="3416" w:type="dxa"/>
            <w:vMerge w:val="continue"/>
            <w:vAlign w:val="center"/>
          </w:tcPr>
          <w:p>
            <w:pPr>
              <w:spacing w:line="280" w:lineRule="exact"/>
              <w:rPr>
                <w:rFonts w:ascii="Times New Roman" w:hAnsi="Times New Roman" w:cs="Times New Roman"/>
                <w:color w:val="000000" w:themeColor="text1"/>
                <w:szCs w:val="21"/>
                <w14:textFill>
                  <w14:solidFill>
                    <w14:schemeClr w14:val="tx1"/>
                  </w14:solidFill>
                </w14:textFill>
              </w:rPr>
            </w:pPr>
          </w:p>
        </w:tc>
        <w:tc>
          <w:tcPr>
            <w:tcW w:w="3758" w:type="dxa"/>
            <w:vAlign w:val="center"/>
          </w:tcPr>
          <w:p>
            <w:pPr>
              <w:snapToGrid w:val="0"/>
              <w:spacing w:line="280" w:lineRule="exac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③</w:t>
            </w:r>
            <w:r>
              <w:rPr>
                <w:rFonts w:ascii="Times New Roman" w:hAnsi="Times New Roman" w:cs="Times New Roman"/>
                <w:color w:val="000000" w:themeColor="text1"/>
                <w:szCs w:val="21"/>
                <w14:textFill>
                  <w14:solidFill>
                    <w14:schemeClr w14:val="tx1"/>
                  </w14:solidFill>
                </w14:textFill>
              </w:rPr>
              <w:t xml:space="preserve"> 不满意</w:t>
            </w:r>
          </w:p>
        </w:tc>
        <w:tc>
          <w:tcPr>
            <w:tcW w:w="1488" w:type="dxa"/>
            <w:vAlign w:val="center"/>
          </w:tcPr>
          <w:p>
            <w:pPr>
              <w:spacing w:line="280" w:lineRule="exact"/>
              <w:jc w:val="center"/>
              <w:rPr>
                <w:rFonts w:hint="eastAsia"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0</w:t>
            </w:r>
          </w:p>
        </w:tc>
      </w:tr>
    </w:tbl>
    <w:p>
      <w:pPr>
        <w:spacing w:before="100" w:beforeAutospacing="1"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经过对本次公众意见调查的结果统计分析可知：在施工期间除噪声外，废水、固废、扬尘等方面未有人员反馈施工影响生活的现象。生产调试期间，所有被调查者均表示项目运行产生的废水、噪声等因素未对其生活造成影响。项目从施工到运营未出现过环境污染事故和生态破坏事件。被调查者对项目采取的环境保护措施、环境保护工作方案表示满意。</w: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8</w:t>
      </w:r>
      <w:r>
        <w:rPr>
          <w:color w:val="000000" w:themeColor="text1"/>
          <w14:textFill>
            <w14:solidFill>
              <w14:schemeClr w14:val="tx1"/>
            </w14:solidFill>
          </w14:textFill>
        </w:rPr>
        <w:t>.3.2 公众参与团体调查结果</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本次公众参与团体调查主要针对工程直接相关的金川县集沐乡业隆沟村民委员会进行访谈、调查。</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访谈、调查结果显示，被调查单位对项目所采取的环境保护措施均表示满意，认为本工程建设利大于弊。</w:t>
      </w:r>
    </w:p>
    <w:p>
      <w:pPr>
        <w:pStyle w:val="3"/>
        <w:rPr>
          <w:color w:val="000000" w:themeColor="text1"/>
          <w14:textFill>
            <w14:solidFill>
              <w14:schemeClr w14:val="tx1"/>
            </w14:solidFill>
          </w14:textFill>
        </w:rPr>
      </w:pPr>
      <w:bookmarkStart w:id="43" w:name="_Toc62202407"/>
      <w:r>
        <w:rPr>
          <w:rFonts w:hint="eastAsia"/>
          <w:color w:val="000000" w:themeColor="text1"/>
          <w14:textFill>
            <w14:solidFill>
              <w14:schemeClr w14:val="tx1"/>
            </w14:solidFill>
          </w14:textFill>
        </w:rPr>
        <w:t>8</w:t>
      </w:r>
      <w:r>
        <w:rPr>
          <w:color w:val="000000" w:themeColor="text1"/>
          <w14:textFill>
            <w14:solidFill>
              <w14:schemeClr w14:val="tx1"/>
            </w14:solidFill>
          </w14:textFill>
        </w:rPr>
        <w:t>.4 公众意见调查结论</w:t>
      </w:r>
      <w:bookmarkEnd w:id="43"/>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本次竣工环境保护验收调查采取访谈、发放调查问卷并结合工作人员详细讲解的形式对工程所在地相关单位、团体和个人开展公众意见调查，调查表明：项目建设期和调试期未收到当地民众环境影响投诉事件，1</w:t>
      </w:r>
      <w:r>
        <w:rPr>
          <w:rFonts w:ascii="Times New Roman" w:hAnsi="Times New Roman" w:cs="Times New Roman"/>
          <w:color w:val="000000" w:themeColor="text1"/>
          <w:sz w:val="24"/>
          <w:szCs w:val="24"/>
          <w14:textFill>
            <w14:solidFill>
              <w14:schemeClr w14:val="tx1"/>
            </w14:solidFill>
          </w14:textFill>
        </w:rPr>
        <w:t>00</w:t>
      </w:r>
      <w:r>
        <w:rPr>
          <w:rFonts w:hint="eastAsia" w:ascii="Times New Roman" w:hAnsi="Times New Roman" w:cs="Times New Roman"/>
          <w:color w:val="000000" w:themeColor="text1"/>
          <w:sz w:val="24"/>
          <w:szCs w:val="24"/>
          <w14:textFill>
            <w14:solidFill>
              <w14:schemeClr w14:val="tx1"/>
            </w14:solidFill>
          </w14:textFill>
        </w:rPr>
        <w:t>%被调查的公众对工程建设所做的环境保护工作表示满意或基本满意，总体认为业隆沟锂辉石矿采选尾工程建设利大于弊。</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sectPr>
          <w:pgSz w:w="11907" w:h="16840"/>
          <w:pgMar w:top="1531" w:right="1418" w:bottom="1531" w:left="1418" w:header="720" w:footer="720" w:gutter="0"/>
          <w:cols w:space="720" w:num="1"/>
          <w:docGrid w:linePitch="326" w:charSpace="0"/>
        </w:sectPr>
      </w:pPr>
    </w:p>
    <w:p>
      <w:pPr>
        <w:pStyle w:val="2"/>
        <w:rPr>
          <w:color w:val="000000" w:themeColor="text1"/>
          <w14:textFill>
            <w14:solidFill>
              <w14:schemeClr w14:val="tx1"/>
            </w14:solidFill>
          </w14:textFill>
        </w:rPr>
      </w:pPr>
      <w:bookmarkStart w:id="44" w:name="_Toc62202408"/>
      <w:r>
        <w:rPr>
          <w:rFonts w:hint="eastAsia"/>
          <w:color w:val="000000" w:themeColor="text1"/>
          <w14:textFill>
            <w14:solidFill>
              <w14:schemeClr w14:val="tx1"/>
            </w14:solidFill>
          </w14:textFill>
        </w:rPr>
        <w:t>9</w:t>
      </w:r>
      <w:r>
        <w:rPr>
          <w:color w:val="000000" w:themeColor="text1"/>
          <w14:textFill>
            <w14:solidFill>
              <w14:schemeClr w14:val="tx1"/>
            </w14:solidFill>
          </w14:textFill>
        </w:rPr>
        <w:t xml:space="preserve"> 调查结论与建议</w:t>
      </w:r>
      <w:bookmarkEnd w:id="44"/>
    </w:p>
    <w:p>
      <w:pPr>
        <w:pStyle w:val="3"/>
        <w:rPr>
          <w:color w:val="000000" w:themeColor="text1"/>
          <w14:textFill>
            <w14:solidFill>
              <w14:schemeClr w14:val="tx1"/>
            </w14:solidFill>
          </w14:textFill>
        </w:rPr>
      </w:pPr>
      <w:bookmarkStart w:id="45" w:name="_Toc62202409"/>
      <w:r>
        <w:rPr>
          <w:rFonts w:hint="eastAsia"/>
          <w:color w:val="000000" w:themeColor="text1"/>
          <w14:textFill>
            <w14:solidFill>
              <w14:schemeClr w14:val="tx1"/>
            </w14:solidFill>
          </w14:textFill>
        </w:rPr>
        <w:t>9</w:t>
      </w:r>
      <w:r>
        <w:rPr>
          <w:color w:val="000000" w:themeColor="text1"/>
          <w14:textFill>
            <w14:solidFill>
              <w14:schemeClr w14:val="tx1"/>
            </w14:solidFill>
          </w14:textFill>
        </w:rPr>
        <w:t>.1 调查结论</w:t>
      </w:r>
      <w:bookmarkEnd w:id="45"/>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9</w:t>
      </w:r>
      <w:r>
        <w:rPr>
          <w:color w:val="000000" w:themeColor="text1"/>
          <w14:textFill>
            <w14:solidFill>
              <w14:schemeClr w14:val="tx1"/>
            </w14:solidFill>
          </w14:textFill>
        </w:rPr>
        <w:t>.1.1 工程建设概况</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金川奥伊诺矿业有限公司于</w:t>
      </w:r>
      <w:r>
        <w:rPr>
          <w:rFonts w:ascii="Times New Roman" w:hAnsi="Times New Roman" w:cs="Times New Roman"/>
          <w:color w:val="000000" w:themeColor="text1"/>
          <w:sz w:val="24"/>
          <w:szCs w:val="24"/>
          <w14:textFill>
            <w14:solidFill>
              <w14:schemeClr w14:val="tx1"/>
            </w14:solidFill>
          </w14:textFill>
        </w:rPr>
        <w:t>2018</w:t>
      </w:r>
      <w:r>
        <w:rPr>
          <w:rFonts w:hint="eastAsia" w:ascii="Times New Roman" w:hAnsi="Times New Roman" w:cs="Times New Roman"/>
          <w:color w:val="000000" w:themeColor="text1"/>
          <w:sz w:val="24"/>
          <w:szCs w:val="24"/>
          <w14:textFill>
            <w14:solidFill>
              <w14:schemeClr w14:val="tx1"/>
            </w14:solidFill>
          </w14:textFill>
        </w:rPr>
        <w:t>年</w:t>
      </w:r>
      <w:r>
        <w:rPr>
          <w:rFonts w:ascii="Times New Roman" w:hAnsi="Times New Roman" w:cs="Times New Roman"/>
          <w:color w:val="000000" w:themeColor="text1"/>
          <w:sz w:val="24"/>
          <w:szCs w:val="24"/>
          <w14:textFill>
            <w14:solidFill>
              <w14:schemeClr w14:val="tx1"/>
            </w14:solidFill>
          </w14:textFill>
        </w:rPr>
        <w:t>1</w:t>
      </w:r>
      <w:r>
        <w:rPr>
          <w:rFonts w:hint="eastAsia" w:ascii="Times New Roman" w:hAnsi="Times New Roman" w:cs="Times New Roman"/>
          <w:color w:val="000000" w:themeColor="text1"/>
          <w:sz w:val="24"/>
          <w:szCs w:val="24"/>
          <w14:textFill>
            <w14:solidFill>
              <w14:schemeClr w14:val="tx1"/>
            </w14:solidFill>
          </w14:textFill>
        </w:rPr>
        <w:t>月取得了四川省国土资源厅出具的业隆沟锂辉石矿划定矿区范围批复（川采矿区审字</w:t>
      </w:r>
      <w:r>
        <w:rPr>
          <w:rFonts w:ascii="Times New Roman" w:hAnsi="Times New Roman" w:cs="Times New Roman"/>
          <w:color w:val="000000" w:themeColor="text1"/>
          <w:sz w:val="24"/>
          <w:szCs w:val="24"/>
          <w14:textFill>
            <w14:solidFill>
              <w14:schemeClr w14:val="tx1"/>
            </w14:solidFill>
          </w14:textFill>
        </w:rPr>
        <w:t>[2018]002</w:t>
      </w:r>
      <w:r>
        <w:rPr>
          <w:rFonts w:hint="eastAsia" w:ascii="Times New Roman" w:hAnsi="Times New Roman" w:cs="Times New Roman"/>
          <w:color w:val="000000" w:themeColor="text1"/>
          <w:sz w:val="24"/>
          <w:szCs w:val="24"/>
          <w14:textFill>
            <w14:solidFill>
              <w14:schemeClr w14:val="tx1"/>
            </w14:solidFill>
          </w14:textFill>
        </w:rPr>
        <w:t>号）。其矿区开采深度由</w:t>
      </w:r>
      <w:r>
        <w:rPr>
          <w:rFonts w:ascii="Times New Roman" w:hAnsi="Times New Roman" w:cs="Times New Roman"/>
          <w:color w:val="000000" w:themeColor="text1"/>
          <w:sz w:val="24"/>
          <w:szCs w:val="24"/>
          <w14:textFill>
            <w14:solidFill>
              <w14:schemeClr w14:val="tx1"/>
            </w14:solidFill>
          </w14:textFill>
        </w:rPr>
        <w:t>4552m</w:t>
      </w:r>
      <w:r>
        <w:rPr>
          <w:rFonts w:hint="eastAsia" w:ascii="Times New Roman" w:hAnsi="Times New Roman" w:cs="Times New Roman"/>
          <w:color w:val="000000" w:themeColor="text1"/>
          <w:sz w:val="24"/>
          <w:szCs w:val="24"/>
          <w14:textFill>
            <w14:solidFill>
              <w14:schemeClr w14:val="tx1"/>
            </w14:solidFill>
          </w14:textFill>
        </w:rPr>
        <w:t>至</w:t>
      </w:r>
      <w:r>
        <w:rPr>
          <w:rFonts w:ascii="Times New Roman" w:hAnsi="Times New Roman" w:cs="Times New Roman"/>
          <w:color w:val="000000" w:themeColor="text1"/>
          <w:sz w:val="24"/>
          <w:szCs w:val="24"/>
          <w14:textFill>
            <w14:solidFill>
              <w14:schemeClr w14:val="tx1"/>
            </w14:solidFill>
          </w14:textFill>
        </w:rPr>
        <w:t>3884m</w:t>
      </w:r>
      <w:r>
        <w:rPr>
          <w:rFonts w:hint="eastAsia" w:ascii="Times New Roman" w:hAnsi="Times New Roman" w:cs="Times New Roman"/>
          <w:color w:val="000000" w:themeColor="text1"/>
          <w:sz w:val="24"/>
          <w:szCs w:val="24"/>
          <w14:textFill>
            <w14:solidFill>
              <w14:schemeClr w14:val="tx1"/>
            </w14:solidFill>
          </w14:textFill>
        </w:rPr>
        <w:t>标高，矿区面积约</w:t>
      </w:r>
      <w:r>
        <w:rPr>
          <w:rFonts w:ascii="Times New Roman" w:hAnsi="Times New Roman" w:cs="Times New Roman"/>
          <w:color w:val="000000" w:themeColor="text1"/>
          <w:sz w:val="24"/>
          <w:szCs w:val="24"/>
          <w14:textFill>
            <w14:solidFill>
              <w14:schemeClr w14:val="tx1"/>
            </w14:solidFill>
          </w14:textFill>
        </w:rPr>
        <w:t>4.37km</w:t>
      </w:r>
      <w:r>
        <w:rPr>
          <w:rFonts w:ascii="Times New Roman" w:hAnsi="Times New Roman" w:cs="Times New Roman"/>
          <w:color w:val="000000" w:themeColor="text1"/>
          <w:sz w:val="24"/>
          <w:szCs w:val="24"/>
          <w:vertAlign w:val="superscript"/>
          <w14:textFill>
            <w14:solidFill>
              <w14:schemeClr w14:val="tx1"/>
            </w14:solidFill>
          </w14:textFill>
        </w:rPr>
        <w:t>2</w:t>
      </w:r>
      <w:r>
        <w:rPr>
          <w:rFonts w:hint="eastAsia" w:ascii="Times New Roman" w:hAnsi="Times New Roman" w:cs="Times New Roman"/>
          <w:color w:val="000000" w:themeColor="text1"/>
          <w:sz w:val="24"/>
          <w:szCs w:val="24"/>
          <w14:textFill>
            <w14:solidFill>
              <w14:schemeClr w14:val="tx1"/>
            </w14:solidFill>
          </w14:textFill>
        </w:rPr>
        <w:t>。同年</w:t>
      </w:r>
      <w:r>
        <w:rPr>
          <w:rFonts w:ascii="Times New Roman" w:hAnsi="Times New Roman" w:cs="Times New Roman"/>
          <w:color w:val="000000" w:themeColor="text1"/>
          <w:sz w:val="24"/>
          <w:szCs w:val="24"/>
          <w14:textFill>
            <w14:solidFill>
              <w14:schemeClr w14:val="tx1"/>
            </w14:solidFill>
          </w14:textFill>
        </w:rPr>
        <w:t>3</w:t>
      </w:r>
      <w:r>
        <w:rPr>
          <w:rFonts w:hint="eastAsia" w:ascii="Times New Roman" w:hAnsi="Times New Roman" w:cs="Times New Roman"/>
          <w:color w:val="000000" w:themeColor="text1"/>
          <w:sz w:val="24"/>
          <w:szCs w:val="24"/>
          <w14:textFill>
            <w14:solidFill>
              <w14:schemeClr w14:val="tx1"/>
            </w14:solidFill>
          </w14:textFill>
        </w:rPr>
        <w:t>月，金川奥伊诺矿业有限公司上报的《业隆沟锂辉石矿矿产资源开发利用方案》经四川省国土资源厅以川国土资矿开备</w:t>
      </w:r>
      <w:r>
        <w:rPr>
          <w:rFonts w:ascii="Times New Roman" w:hAnsi="Times New Roman" w:cs="Times New Roman"/>
          <w:color w:val="000000" w:themeColor="text1"/>
          <w:sz w:val="24"/>
          <w:szCs w:val="24"/>
          <w14:textFill>
            <w14:solidFill>
              <w14:schemeClr w14:val="tx1"/>
            </w14:solidFill>
          </w14:textFill>
        </w:rPr>
        <w:t>[2018]4</w:t>
      </w:r>
      <w:r>
        <w:rPr>
          <w:rFonts w:hint="eastAsia" w:ascii="Times New Roman" w:hAnsi="Times New Roman" w:cs="Times New Roman"/>
          <w:color w:val="000000" w:themeColor="text1"/>
          <w:sz w:val="24"/>
          <w:szCs w:val="24"/>
          <w14:textFill>
            <w14:solidFill>
              <w14:schemeClr w14:val="tx1"/>
            </w14:solidFill>
          </w14:textFill>
        </w:rPr>
        <w:t>号文备案，矿山及配套选厂生产规模均为</w:t>
      </w:r>
      <w:r>
        <w:rPr>
          <w:rFonts w:ascii="Times New Roman" w:hAnsi="Times New Roman" w:cs="Times New Roman"/>
          <w:color w:val="000000" w:themeColor="text1"/>
          <w:sz w:val="24"/>
          <w:szCs w:val="24"/>
          <w14:textFill>
            <w14:solidFill>
              <w14:schemeClr w14:val="tx1"/>
            </w14:solidFill>
          </w14:textFill>
        </w:rPr>
        <w:t>40.5</w:t>
      </w:r>
      <w:r>
        <w:rPr>
          <w:rFonts w:hint="eastAsia" w:ascii="Times New Roman" w:hAnsi="Times New Roman" w:cs="Times New Roman"/>
          <w:color w:val="000000" w:themeColor="text1"/>
          <w:sz w:val="24"/>
          <w:szCs w:val="24"/>
          <w14:textFill>
            <w14:solidFill>
              <w14:schemeClr w14:val="tx1"/>
            </w14:solidFill>
          </w14:textFill>
        </w:rPr>
        <w:t>万</w:t>
      </w:r>
      <w:r>
        <w:rPr>
          <w:rFonts w:ascii="Times New Roman" w:hAnsi="Times New Roman" w:cs="Times New Roman"/>
          <w:color w:val="000000" w:themeColor="text1"/>
          <w:sz w:val="24"/>
          <w:szCs w:val="24"/>
          <w14:textFill>
            <w14:solidFill>
              <w14:schemeClr w14:val="tx1"/>
            </w14:solidFill>
          </w14:textFill>
        </w:rPr>
        <w:t>t/a</w:t>
      </w: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1500t/d</w:t>
      </w:r>
      <w:r>
        <w:rPr>
          <w:rFonts w:hint="eastAsia" w:ascii="Times New Roman" w:hAnsi="Times New Roman" w:cs="Times New Roman"/>
          <w:color w:val="000000" w:themeColor="text1"/>
          <w:sz w:val="24"/>
          <w:szCs w:val="24"/>
          <w14:textFill>
            <w14:solidFill>
              <w14:schemeClr w14:val="tx1"/>
            </w14:solidFill>
          </w14:textFill>
        </w:rPr>
        <w:t>）。服务年限为基建期</w:t>
      </w:r>
      <w:r>
        <w:rPr>
          <w:rFonts w:ascii="Times New Roman" w:hAnsi="Times New Roman" w:cs="Times New Roman"/>
          <w:color w:val="000000" w:themeColor="text1"/>
          <w:sz w:val="24"/>
          <w:szCs w:val="24"/>
          <w14:textFill>
            <w14:solidFill>
              <w14:schemeClr w14:val="tx1"/>
            </w14:solidFill>
          </w14:textFill>
        </w:rPr>
        <w:t>1</w:t>
      </w:r>
      <w:r>
        <w:rPr>
          <w:rFonts w:hint="eastAsia" w:ascii="Times New Roman" w:hAnsi="Times New Roman" w:cs="Times New Roman"/>
          <w:color w:val="000000" w:themeColor="text1"/>
          <w:sz w:val="24"/>
          <w:szCs w:val="24"/>
          <w14:textFill>
            <w14:solidFill>
              <w14:schemeClr w14:val="tx1"/>
            </w14:solidFill>
          </w14:textFill>
        </w:rPr>
        <w:t>年，生产期</w:t>
      </w:r>
      <w:r>
        <w:rPr>
          <w:rFonts w:ascii="Times New Roman" w:hAnsi="Times New Roman" w:cs="Times New Roman"/>
          <w:color w:val="000000" w:themeColor="text1"/>
          <w:sz w:val="24"/>
          <w:szCs w:val="24"/>
          <w14:textFill>
            <w14:solidFill>
              <w14:schemeClr w14:val="tx1"/>
            </w14:solidFill>
          </w14:textFill>
        </w:rPr>
        <w:t>17</w:t>
      </w:r>
      <w:r>
        <w:rPr>
          <w:rFonts w:hint="eastAsia" w:ascii="Times New Roman" w:hAnsi="Times New Roman" w:cs="Times New Roman"/>
          <w:color w:val="000000" w:themeColor="text1"/>
          <w:sz w:val="24"/>
          <w:szCs w:val="24"/>
          <w14:textFill>
            <w14:solidFill>
              <w14:schemeClr w14:val="tx1"/>
            </w14:solidFill>
          </w14:textFill>
        </w:rPr>
        <w:t>年。露天矿开采方法为台阶纵向采矿法。</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业隆沟锂辉石矿采选工程主要包括露天采区、地下采区、选厂、尾矿库、废石场、工业场地、油品存放点等。本次业隆沟锂辉石矿采选尾工程（露天开采区及配套废石场）环境保护验收区域为露天采区（一采区）、露天矿基建废石场和露天矿生产废石场。</w: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9</w:t>
      </w:r>
      <w:r>
        <w:rPr>
          <w:color w:val="000000" w:themeColor="text1"/>
          <w14:textFill>
            <w14:solidFill>
              <w14:schemeClr w14:val="tx1"/>
            </w14:solidFill>
          </w14:textFill>
        </w:rPr>
        <w:t>.1.2 环保</w:t>
      </w:r>
      <w:r>
        <w:rPr>
          <w:rFonts w:hint="eastAsia"/>
          <w:color w:val="000000" w:themeColor="text1"/>
          <w14:textFill>
            <w14:solidFill>
              <w14:schemeClr w14:val="tx1"/>
            </w14:solidFill>
          </w14:textFill>
        </w:rPr>
        <w:t>“三同时”执行情况</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本工程建设过程中，较好的执行了建设项目环境保护“三同时”制度。工程前期，建设单位按照国家和地方有关法律、法规的规定编制了环境影响报告书和水土保持方案报告书，并通过四川省环境保护厅和水利厅审批。</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项目实施过程中，按照审批的环境影响报告书、水土保持方案报告书及批复意见的要求，结合工程实际情况对生态、噪声、环境空气、水环境、水土流失等实施了系统的保护和恢复工作。按照国家有关环境保护的法律法规，该项目进行了环境影响评价，履行了建设项目环境影响审批手续。在水土流失防治责任范围区内的各类开挖面、弃土弃渣等得到了及时有效的治理。各渣场、施工迹地等进行了整地并采取了绿化或复耕措施。</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建设单位委托</w:t>
      </w:r>
      <w:r>
        <w:rPr>
          <w:rFonts w:hint="eastAsia" w:ascii="Times New Roman" w:hAnsi="Times New Roman" w:cs="Times New Roman"/>
          <w:color w:val="000000" w:themeColor="text1"/>
          <w:kern w:val="0"/>
          <w:sz w:val="24"/>
          <w:szCs w:val="24"/>
          <w14:textFill>
            <w14:solidFill>
              <w14:schemeClr w14:val="tx1"/>
            </w14:solidFill>
          </w14:textFill>
        </w:rPr>
        <w:t>四川爱欧特环保科技有限公司</w:t>
      </w:r>
      <w:r>
        <w:rPr>
          <w:rFonts w:hint="eastAsia" w:ascii="Times New Roman" w:hAnsi="Times New Roman" w:cs="Times New Roman"/>
          <w:color w:val="000000" w:themeColor="text1"/>
          <w:sz w:val="24"/>
          <w:szCs w:val="24"/>
          <w14:textFill>
            <w14:solidFill>
              <w14:schemeClr w14:val="tx1"/>
            </w14:solidFill>
          </w14:textFill>
        </w:rPr>
        <w:t>开展了环境监理工作确保了各项环保措施的有效落实。</w: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9</w:t>
      </w:r>
      <w:r>
        <w:rPr>
          <w:color w:val="000000" w:themeColor="text1"/>
          <w14:textFill>
            <w14:solidFill>
              <w14:schemeClr w14:val="tx1"/>
            </w14:solidFill>
          </w14:textFill>
        </w:rPr>
        <w:t>.1.3 环境影响调查结论</w:t>
      </w:r>
    </w:p>
    <w:p>
      <w:pPr>
        <w:spacing w:line="360" w:lineRule="auto"/>
        <w:rPr>
          <w:rFonts w:ascii="Times New Roman" w:hAnsi="Times New Roman" w:cs="Times New Roman"/>
          <w:b/>
          <w:color w:val="000000" w:themeColor="text1"/>
          <w:sz w:val="24"/>
          <w:szCs w:val="24"/>
          <w14:textFill>
            <w14:solidFill>
              <w14:schemeClr w14:val="tx1"/>
            </w14:solidFill>
          </w14:textFill>
        </w:rPr>
      </w:pPr>
      <w:r>
        <w:rPr>
          <w:rFonts w:hint="eastAsia" w:ascii="Times New Roman" w:hAnsi="Times New Roman" w:cs="Times New Roman"/>
          <w:b/>
          <w:color w:val="000000" w:themeColor="text1"/>
          <w:sz w:val="24"/>
          <w:szCs w:val="24"/>
          <w14:textFill>
            <w14:solidFill>
              <w14:schemeClr w14:val="tx1"/>
            </w14:solidFill>
          </w14:textFill>
        </w:rPr>
        <w:t>9</w:t>
      </w:r>
      <w:r>
        <w:rPr>
          <w:rFonts w:ascii="Times New Roman" w:hAnsi="Times New Roman" w:cs="Times New Roman"/>
          <w:b/>
          <w:color w:val="000000" w:themeColor="text1"/>
          <w:sz w:val="24"/>
          <w:szCs w:val="24"/>
          <w14:textFill>
            <w14:solidFill>
              <w14:schemeClr w14:val="tx1"/>
            </w14:solidFill>
          </w14:textFill>
        </w:rPr>
        <w:t>.1.3.1 施工期环境影响调查结论</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施工期建设单位对工程实施全过程管理，执行环评报告书及其批复中的有关环境保护措施，并将施工期的环保措施和要求写入招标合同中，明确了环境保护责任；合理安排施工计划和作业时间；对施工扬尘、噪声、废水、固体废物及土石方开挖造成的水土流失等进行了有效控制。对工程开挖产生的弃渣尽可能地进行了利用，使因工程施工造成的水土流失的影响程度减至最小。</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总体上，工程施工期不利环境影响得到了有效减免或控制，未接到群众投诉，施工期间未发生环境污染事故。</w:t>
      </w:r>
    </w:p>
    <w:p>
      <w:pPr>
        <w:spacing w:line="360" w:lineRule="auto"/>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 xml:space="preserve">9.1.3.2 </w:t>
      </w:r>
      <w:r>
        <w:rPr>
          <w:rFonts w:hint="eastAsia" w:ascii="Times New Roman" w:hAnsi="Times New Roman" w:cs="Times New Roman"/>
          <w:b/>
          <w:color w:val="000000" w:themeColor="text1"/>
          <w:sz w:val="24"/>
          <w:szCs w:val="24"/>
          <w14:textFill>
            <w14:solidFill>
              <w14:schemeClr w14:val="tx1"/>
            </w14:solidFill>
          </w14:textFill>
        </w:rPr>
        <w:t>调试</w:t>
      </w:r>
      <w:r>
        <w:rPr>
          <w:rFonts w:ascii="Times New Roman" w:hAnsi="Times New Roman" w:cs="Times New Roman"/>
          <w:b/>
          <w:color w:val="000000" w:themeColor="text1"/>
          <w:sz w:val="24"/>
          <w:szCs w:val="24"/>
          <w14:textFill>
            <w14:solidFill>
              <w14:schemeClr w14:val="tx1"/>
            </w14:solidFill>
          </w14:textFill>
        </w:rPr>
        <w:t>期环境影响调查结论</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通过调查和文件资料核实，环评中提出的调试期环保措施已基本落实并运行良好，调查主要结果如下：</w:t>
      </w:r>
    </w:p>
    <w:p>
      <w:pPr>
        <w:spacing w:line="360" w:lineRule="auto"/>
        <w:ind w:firstLine="480" w:firstLineChars="200"/>
        <w:rPr>
          <w:rFonts w:ascii="Times New Roman" w:hAnsi="Times New Roman" w:cs="Times New Roman"/>
          <w:color w:val="000000" w:themeColor="text1"/>
          <w:kern w:val="0"/>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1</w:t>
      </w:r>
      <w:r>
        <w:rPr>
          <w:rFonts w:hint="eastAsia"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kern w:val="0"/>
          <w:sz w:val="24"/>
          <w:szCs w:val="24"/>
          <w14:textFill>
            <w14:solidFill>
              <w14:schemeClr w14:val="tx1"/>
            </w14:solidFill>
          </w14:textFill>
        </w:rPr>
        <w:t>施工期生活污水采用旱厕收集处理，旱厕定期掏挖后用作周边林地施肥。调试期生活污水配备了生活污水处理系统，生活污水处理后用于生产；生产废水按照环境影响评价报告文件要求建设沉淀池，沉淀后的废水用于生产及降尘。通过以上措施，降低了对环境影响，本项目基本按照环评及批复要求落实了相应水环境保护措施。</w:t>
      </w:r>
    </w:p>
    <w:p>
      <w:pPr>
        <w:spacing w:line="360" w:lineRule="auto"/>
        <w:ind w:firstLine="480" w:firstLineChars="200"/>
        <w:rPr>
          <w:rFonts w:ascii="Times New Roman" w:hAnsi="Times New Roman" w:cs="Times New Roman"/>
          <w:color w:val="000000" w:themeColor="text1"/>
          <w:kern w:val="0"/>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2</w:t>
      </w:r>
      <w:r>
        <w:rPr>
          <w:rFonts w:hint="eastAsia"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kern w:val="0"/>
          <w:sz w:val="24"/>
          <w:szCs w:val="24"/>
          <w14:textFill>
            <w14:solidFill>
              <w14:schemeClr w14:val="tx1"/>
            </w14:solidFill>
          </w14:textFill>
        </w:rPr>
        <w:t>大气污染物包括：施工粉尘，燃油废气、食堂油烟以及交通运输等。穿孔设备配备除尘装置，优化爆破参数，减少爆破产生的废气量；场地内及道路用洒水车进行洒水降尘。调试期</w:t>
      </w:r>
      <w:r>
        <w:rPr>
          <w:rFonts w:hint="eastAsia" w:ascii="Times New Roman" w:hAnsi="Times New Roman" w:cs="Times New Roman"/>
          <w:color w:val="000000" w:themeColor="text1"/>
          <w:sz w:val="24"/>
          <w:szCs w:val="24"/>
          <w14:textFill>
            <w14:solidFill>
              <w14:schemeClr w14:val="tx1"/>
            </w14:solidFill>
          </w14:textFill>
        </w:rPr>
        <w:t>在灶头上方安装油烟捕集罩，油烟捕集罩将食堂油烟抽入油烟净化器净化，净化后的油烟经专用烟道引至屋顶排放。</w:t>
      </w:r>
    </w:p>
    <w:p>
      <w:pPr>
        <w:spacing w:line="360" w:lineRule="auto"/>
        <w:ind w:firstLine="480" w:firstLineChars="200"/>
        <w:rPr>
          <w:rFonts w:ascii="Times New Roman" w:hAnsi="Times New Roman" w:cs="Times New Roman"/>
          <w:color w:val="000000" w:themeColor="text1"/>
          <w:kern w:val="0"/>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3</w:t>
      </w:r>
      <w:r>
        <w:rPr>
          <w:rFonts w:hint="eastAsia"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kern w:val="0"/>
          <w:sz w:val="24"/>
          <w:szCs w:val="24"/>
          <w14:textFill>
            <w14:solidFill>
              <w14:schemeClr w14:val="tx1"/>
            </w14:solidFill>
          </w14:textFill>
        </w:rPr>
        <w:t>施工单位选用了符合国家有关标准的施工机械、施工工艺和运输工具；施工爆破中，采用微差爆破等先进爆破技术，避免放大炮和夜间爆破，严格控制爆破时间，并严格控制单孔装药量；施工期夜间车流量较少，在居民密集的路段设了置限速、限鸣笛的标志牌，夜间禁止鸣笛。</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4</w:t>
      </w:r>
      <w:r>
        <w:rPr>
          <w:rFonts w:hint="eastAsia"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kern w:val="0"/>
          <w:sz w:val="24"/>
          <w:szCs w:val="24"/>
          <w14:textFill>
            <w14:solidFill>
              <w14:schemeClr w14:val="tx1"/>
            </w14:solidFill>
          </w14:textFill>
        </w:rPr>
        <w:t>施工期在各个工区均设置了垃圾池、垃圾桶，定期清运生产、生活垃圾，垃圾经收集后统一运至金川县生活垃圾处理场进行处置；各施工场地划定了指定的区域堆放废铁、废钢筋、废木碎块等；建筑材料和垃圾运输车辆采取了遮盖，避免了砂石、土料以及生活垃圾等的沿途洒落；调试期产生的机械维修废油等危险废物均已委托有资质的单位进行统一收购和处理。</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（5）项目落实了生态环境保护及水土保持等措施要求，竣工验收期间，植被恢复良好，并未产生区域生态环境破坏的情况。</w: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9</w:t>
      </w:r>
      <w:r>
        <w:rPr>
          <w:color w:val="000000" w:themeColor="text1"/>
          <w14:textFill>
            <w14:solidFill>
              <w14:schemeClr w14:val="tx1"/>
            </w14:solidFill>
          </w14:textFill>
        </w:rPr>
        <w:t>.1.4 调查总体结论</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业隆沟锂辉石矿采选尾工程（露天开采区及配套废石场）工程性质、建设地点、生产工艺、环境保护措施均与经批准的环评文件基本一致。未导致环境影响显著变化，未造成不利环境影响加重。项目环保手续齐全，开展环境监理，按照建设项目环境保护管理“三同时”制度基本落实环评及批复文件提出的主要生态保护和污染防治措施，工程实际环境影响比预测结果有所减轻，主体工程及相关专项已具备验收条件，建议通过业隆沟锂辉石矿采选尾工程（露天开采区及配套废石场）竣工环境保护验收。</w:t>
      </w:r>
    </w:p>
    <w:p>
      <w:pPr>
        <w:pStyle w:val="3"/>
        <w:rPr>
          <w:color w:val="000000" w:themeColor="text1"/>
          <w14:textFill>
            <w14:solidFill>
              <w14:schemeClr w14:val="tx1"/>
            </w14:solidFill>
          </w14:textFill>
        </w:rPr>
      </w:pPr>
      <w:bookmarkStart w:id="46" w:name="_Toc62202410"/>
      <w:r>
        <w:rPr>
          <w:color w:val="000000" w:themeColor="text1"/>
          <w14:textFill>
            <w14:solidFill>
              <w14:schemeClr w14:val="tx1"/>
            </w14:solidFill>
          </w14:textFill>
        </w:rPr>
        <w:t>9.2</w:t>
      </w:r>
      <w:r>
        <w:rPr>
          <w:rFonts w:hint="eastAsia"/>
          <w:color w:val="000000" w:themeColor="text1"/>
          <w14:textFill>
            <w14:solidFill>
              <w14:schemeClr w14:val="tx1"/>
            </w14:solidFill>
          </w14:textFill>
        </w:rPr>
        <w:t xml:space="preserve"> 建议</w:t>
      </w:r>
      <w:bookmarkEnd w:id="46"/>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（1）项目雨水沟渠较多，在实际运行过程中应加强对雨水收集沟的管理和维护，定期疏浚，防止堵塞。</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（2）在雨水少的季节加大采区、废石场及运输道路洒水降尘频次，降低对周围环境的影响。</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p>
    <w:sectPr>
      <w:pgSz w:w="11907" w:h="16840"/>
      <w:pgMar w:top="1531" w:right="1418" w:bottom="1531" w:left="1418" w:header="720" w:footer="720" w:gutter="0"/>
      <w:cols w:space="720"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libri Light">
    <w:panose1 w:val="020F0302020204030204"/>
    <w:charset w:val="00"/>
    <w:family w:val="swiss"/>
    <w:pitch w:val="default"/>
    <w:sig w:usb0="E0002A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TimesNewRomanPSMT">
    <w:altName w:val="Times New Roman"/>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61732633"/>
    </w:sdtPr>
    <w:sdtEndPr>
      <w:rPr>
        <w:rFonts w:ascii="Times New Roman" w:hAnsi="Times New Roman" w:cs="Times New Roman"/>
      </w:rPr>
    </w:sdtEndPr>
    <w:sdtContent>
      <w:p>
        <w:pPr>
          <w:pStyle w:val="17"/>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II</w:t>
        </w:r>
        <w:r>
          <w:rPr>
            <w:rFonts w:ascii="Times New Roman" w:hAnsi="Times New Roman" w:cs="Times New Roman"/>
          </w:rPr>
          <w:fldChar w:fldCharType="end"/>
        </w:r>
      </w:p>
    </w:sdtContent>
  </w:sdt>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28698377"/>
    </w:sdtPr>
    <w:sdtEndPr>
      <w:rPr>
        <w:rFonts w:ascii="Times New Roman" w:hAnsi="Times New Roman" w:cs="Times New Roman"/>
      </w:rPr>
    </w:sdtEndPr>
    <w:sdtContent>
      <w:p>
        <w:pPr>
          <w:pStyle w:val="17"/>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iii</w:t>
        </w:r>
        <w:r>
          <w:rPr>
            <w:rFonts w:ascii="Times New Roman" w:hAnsi="Times New Roman" w:cs="Times New Roman"/>
          </w:rPr>
          <w:fldChar w:fldCharType="end"/>
        </w:r>
      </w:p>
    </w:sdtContent>
  </w:sdt>
  <w:p>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17590755"/>
    </w:sdtPr>
    <w:sdtEndPr>
      <w:rPr>
        <w:rFonts w:ascii="Times New Roman" w:hAnsi="Times New Roman" w:cs="Times New Roman"/>
      </w:rPr>
    </w:sdtEndPr>
    <w:sdtContent>
      <w:p>
        <w:pPr>
          <w:pStyle w:val="17"/>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61</w:t>
        </w:r>
        <w:r>
          <w:rPr>
            <w:rFonts w:ascii="Times New Roman" w:hAnsi="Times New Roman" w:cs="Times New Roman"/>
          </w:rPr>
          <w:fldChar w:fldCharType="end"/>
        </w:r>
      </w:p>
    </w:sdtContent>
  </w:sdt>
  <w:p>
    <w:pPr>
      <w:pStyle w:val="17"/>
    </w:pPr>
  </w:p>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margin" w:xAlign="center" w:y="1"/>
      <w:rPr>
        <w:rStyle w:val="31"/>
        <w:rFonts w:ascii="Times New Roman" w:hAnsi="Times New Roman" w:cs="Times New Roman"/>
      </w:rPr>
    </w:pPr>
    <w:r>
      <w:rPr>
        <w:rFonts w:ascii="Times New Roman" w:hAnsi="Times New Roman" w:cs="Times New Roman"/>
      </w:rPr>
      <w:fldChar w:fldCharType="begin"/>
    </w:r>
    <w:r>
      <w:rPr>
        <w:rStyle w:val="31"/>
        <w:rFonts w:ascii="Times New Roman" w:hAnsi="Times New Roman" w:cs="Times New Roman"/>
      </w:rPr>
      <w:instrText xml:space="preserve">PAGE  </w:instrText>
    </w:r>
    <w:r>
      <w:rPr>
        <w:rFonts w:ascii="Times New Roman" w:hAnsi="Times New Roman" w:cs="Times New Roman"/>
      </w:rPr>
      <w:fldChar w:fldCharType="separate"/>
    </w:r>
    <w:r>
      <w:rPr>
        <w:rStyle w:val="31"/>
        <w:rFonts w:ascii="Times New Roman" w:hAnsi="Times New Roman" w:cs="Times New Roman"/>
      </w:rPr>
      <w:t>79</w:t>
    </w:r>
    <w:r>
      <w:rPr>
        <w:rFonts w:ascii="Times New Roman" w:hAnsi="Times New Roman" w:cs="Times New Roman"/>
      </w:rPr>
      <w:fldChar w:fldCharType="end"/>
    </w:r>
  </w:p>
  <w:p>
    <w:pPr>
      <w:pStyle w:val="17"/>
      <w:ind w:left="48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rFonts w:ascii="Times New Roman" w:hAnsi="Times New Roman" w:cs="Times New Roman"/>
      </w:rPr>
    </w:pPr>
    <w:r>
      <w:rPr>
        <w:rFonts w:ascii="Times New Roman" w:hAnsi="Times New Roman" w:cs="Times New Roman"/>
      </w:rPr>
      <w:fldChar w:fldCharType="begin"/>
    </w:r>
    <w:r>
      <w:rPr>
        <w:rStyle w:val="31"/>
        <w:rFonts w:ascii="Times New Roman" w:hAnsi="Times New Roman" w:cs="Times New Roman"/>
      </w:rPr>
      <w:instrText xml:space="preserve"> PAGE </w:instrText>
    </w:r>
    <w:r>
      <w:rPr>
        <w:rFonts w:ascii="Times New Roman" w:hAnsi="Times New Roman" w:cs="Times New Roman"/>
      </w:rPr>
      <w:fldChar w:fldCharType="separate"/>
    </w:r>
    <w:r>
      <w:rPr>
        <w:rStyle w:val="31"/>
        <w:rFonts w:ascii="Times New Roman" w:hAnsi="Times New Roman" w:cs="Times New Roman"/>
      </w:rPr>
      <w:t>95</w:t>
    </w:r>
    <w:r>
      <w:rPr>
        <w:rFonts w:ascii="Times New Roman" w:hAnsi="Times New Roman" w:cs="Times New Roman"/>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FD0FC7"/>
    <w:multiLevelType w:val="singleLevel"/>
    <w:tmpl w:val="8AFD0FC7"/>
    <w:lvl w:ilvl="0" w:tentative="0">
      <w:start w:val="1"/>
      <w:numFmt w:val="decimal"/>
      <w:suff w:val="nothing"/>
      <w:lvlText w:val="%1、"/>
      <w:lvlJc w:val="left"/>
    </w:lvl>
  </w:abstractNum>
  <w:abstractNum w:abstractNumId="1">
    <w:nsid w:val="8B1EDDDA"/>
    <w:multiLevelType w:val="singleLevel"/>
    <w:tmpl w:val="8B1EDDDA"/>
    <w:lvl w:ilvl="0" w:tentative="0">
      <w:start w:val="1"/>
      <w:numFmt w:val="decimal"/>
      <w:suff w:val="nothing"/>
      <w:lvlText w:val="（%1）"/>
      <w:lvlJc w:val="left"/>
    </w:lvl>
  </w:abstractNum>
  <w:abstractNum w:abstractNumId="2">
    <w:nsid w:val="FFFFFF89"/>
    <w:multiLevelType w:val="singleLevel"/>
    <w:tmpl w:val="FFFFFF89"/>
    <w:lvl w:ilvl="0" w:tentative="0">
      <w:start w:val="1"/>
      <w:numFmt w:val="bullet"/>
      <w:pStyle w:val="8"/>
      <w:lvlText w:val=""/>
      <w:lvlJc w:val="left"/>
      <w:pPr>
        <w:tabs>
          <w:tab w:val="left" w:pos="360"/>
        </w:tabs>
        <w:ind w:left="360" w:hanging="360" w:hangingChars="200"/>
      </w:pPr>
      <w:rPr>
        <w:rFonts w:hint="default" w:ascii="Wingdings" w:hAnsi="Wingdings"/>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FiYjk5YTI3ZWNlNWYyZWIyODVjNjU4ZDg4ZjEyMDAifQ=="/>
  </w:docVars>
  <w:rsids>
    <w:rsidRoot w:val="000E0F41"/>
    <w:rsid w:val="000012AB"/>
    <w:rsid w:val="00004A57"/>
    <w:rsid w:val="000068D7"/>
    <w:rsid w:val="000101C5"/>
    <w:rsid w:val="00010425"/>
    <w:rsid w:val="0001088C"/>
    <w:rsid w:val="00010AA3"/>
    <w:rsid w:val="00015773"/>
    <w:rsid w:val="00016B49"/>
    <w:rsid w:val="00016C2F"/>
    <w:rsid w:val="00016E50"/>
    <w:rsid w:val="00017484"/>
    <w:rsid w:val="00022D03"/>
    <w:rsid w:val="00024479"/>
    <w:rsid w:val="000245AF"/>
    <w:rsid w:val="00025AC8"/>
    <w:rsid w:val="00025E2E"/>
    <w:rsid w:val="00027ED0"/>
    <w:rsid w:val="00031F2C"/>
    <w:rsid w:val="000327FF"/>
    <w:rsid w:val="00034D26"/>
    <w:rsid w:val="00034F17"/>
    <w:rsid w:val="00035299"/>
    <w:rsid w:val="00036B42"/>
    <w:rsid w:val="00036C47"/>
    <w:rsid w:val="00036DDA"/>
    <w:rsid w:val="00041A54"/>
    <w:rsid w:val="00042168"/>
    <w:rsid w:val="00045AEF"/>
    <w:rsid w:val="00053EC1"/>
    <w:rsid w:val="000549FF"/>
    <w:rsid w:val="000567B9"/>
    <w:rsid w:val="000569E0"/>
    <w:rsid w:val="00056AE5"/>
    <w:rsid w:val="000606A3"/>
    <w:rsid w:val="0006398B"/>
    <w:rsid w:val="000655B5"/>
    <w:rsid w:val="00067CF3"/>
    <w:rsid w:val="000718DE"/>
    <w:rsid w:val="000735F7"/>
    <w:rsid w:val="00073705"/>
    <w:rsid w:val="000738DF"/>
    <w:rsid w:val="000775C0"/>
    <w:rsid w:val="000801FE"/>
    <w:rsid w:val="00080979"/>
    <w:rsid w:val="00080D75"/>
    <w:rsid w:val="00080F09"/>
    <w:rsid w:val="00082A1E"/>
    <w:rsid w:val="00083D79"/>
    <w:rsid w:val="00083D7E"/>
    <w:rsid w:val="00084489"/>
    <w:rsid w:val="000849DF"/>
    <w:rsid w:val="00085A03"/>
    <w:rsid w:val="00085A1E"/>
    <w:rsid w:val="0008712D"/>
    <w:rsid w:val="00087FAE"/>
    <w:rsid w:val="00090935"/>
    <w:rsid w:val="00092C22"/>
    <w:rsid w:val="0009549A"/>
    <w:rsid w:val="000960F3"/>
    <w:rsid w:val="00096313"/>
    <w:rsid w:val="00096BA5"/>
    <w:rsid w:val="000970F7"/>
    <w:rsid w:val="0009730D"/>
    <w:rsid w:val="000A0E76"/>
    <w:rsid w:val="000A4999"/>
    <w:rsid w:val="000A7D72"/>
    <w:rsid w:val="000B0B7E"/>
    <w:rsid w:val="000B0C1C"/>
    <w:rsid w:val="000B2E12"/>
    <w:rsid w:val="000B3583"/>
    <w:rsid w:val="000B6899"/>
    <w:rsid w:val="000C176D"/>
    <w:rsid w:val="000C3F1D"/>
    <w:rsid w:val="000C56B7"/>
    <w:rsid w:val="000D03A9"/>
    <w:rsid w:val="000D1DE6"/>
    <w:rsid w:val="000D5188"/>
    <w:rsid w:val="000D6ACD"/>
    <w:rsid w:val="000D73A5"/>
    <w:rsid w:val="000E0F41"/>
    <w:rsid w:val="000E2492"/>
    <w:rsid w:val="000E252B"/>
    <w:rsid w:val="000E348E"/>
    <w:rsid w:val="000E5215"/>
    <w:rsid w:val="000E5F30"/>
    <w:rsid w:val="000F1308"/>
    <w:rsid w:val="000F173E"/>
    <w:rsid w:val="000F38B6"/>
    <w:rsid w:val="000F77AD"/>
    <w:rsid w:val="000F7BF4"/>
    <w:rsid w:val="00100E1A"/>
    <w:rsid w:val="00100F59"/>
    <w:rsid w:val="00101D68"/>
    <w:rsid w:val="00102F32"/>
    <w:rsid w:val="001030F7"/>
    <w:rsid w:val="00103C89"/>
    <w:rsid w:val="0010454A"/>
    <w:rsid w:val="0010649B"/>
    <w:rsid w:val="00107FEC"/>
    <w:rsid w:val="00112ECF"/>
    <w:rsid w:val="001139DA"/>
    <w:rsid w:val="00116DF6"/>
    <w:rsid w:val="00122FFF"/>
    <w:rsid w:val="00123AE2"/>
    <w:rsid w:val="0012488D"/>
    <w:rsid w:val="00126FBB"/>
    <w:rsid w:val="00127452"/>
    <w:rsid w:val="00133D6E"/>
    <w:rsid w:val="001343A3"/>
    <w:rsid w:val="00134868"/>
    <w:rsid w:val="00136685"/>
    <w:rsid w:val="00136FEC"/>
    <w:rsid w:val="00137E5F"/>
    <w:rsid w:val="00137F06"/>
    <w:rsid w:val="001412D8"/>
    <w:rsid w:val="00141777"/>
    <w:rsid w:val="001442C9"/>
    <w:rsid w:val="001445E2"/>
    <w:rsid w:val="0014468D"/>
    <w:rsid w:val="00145AAC"/>
    <w:rsid w:val="00145D8C"/>
    <w:rsid w:val="00146846"/>
    <w:rsid w:val="001468F8"/>
    <w:rsid w:val="00146B91"/>
    <w:rsid w:val="00147696"/>
    <w:rsid w:val="00147DF6"/>
    <w:rsid w:val="001539D1"/>
    <w:rsid w:val="001543A4"/>
    <w:rsid w:val="00161923"/>
    <w:rsid w:val="00161A97"/>
    <w:rsid w:val="00161CA4"/>
    <w:rsid w:val="0016229C"/>
    <w:rsid w:val="0016399F"/>
    <w:rsid w:val="00163BE9"/>
    <w:rsid w:val="0016499F"/>
    <w:rsid w:val="00165A48"/>
    <w:rsid w:val="0016612C"/>
    <w:rsid w:val="001679F3"/>
    <w:rsid w:val="001714C1"/>
    <w:rsid w:val="00171729"/>
    <w:rsid w:val="0017529A"/>
    <w:rsid w:val="0017535E"/>
    <w:rsid w:val="00175DAB"/>
    <w:rsid w:val="001763F9"/>
    <w:rsid w:val="00177B37"/>
    <w:rsid w:val="001834F5"/>
    <w:rsid w:val="00184582"/>
    <w:rsid w:val="001849EF"/>
    <w:rsid w:val="00184C0F"/>
    <w:rsid w:val="001856BD"/>
    <w:rsid w:val="001856ED"/>
    <w:rsid w:val="00185BC0"/>
    <w:rsid w:val="00186118"/>
    <w:rsid w:val="00187970"/>
    <w:rsid w:val="001901EB"/>
    <w:rsid w:val="001906F8"/>
    <w:rsid w:val="001909FB"/>
    <w:rsid w:val="00190ADA"/>
    <w:rsid w:val="0019114F"/>
    <w:rsid w:val="00192020"/>
    <w:rsid w:val="001941C8"/>
    <w:rsid w:val="001941EC"/>
    <w:rsid w:val="00194D42"/>
    <w:rsid w:val="0019566D"/>
    <w:rsid w:val="0019604B"/>
    <w:rsid w:val="001A0ACE"/>
    <w:rsid w:val="001A1177"/>
    <w:rsid w:val="001A21BE"/>
    <w:rsid w:val="001A5210"/>
    <w:rsid w:val="001A600E"/>
    <w:rsid w:val="001A7803"/>
    <w:rsid w:val="001A7EB3"/>
    <w:rsid w:val="001B0B29"/>
    <w:rsid w:val="001B11AA"/>
    <w:rsid w:val="001B391B"/>
    <w:rsid w:val="001B40C5"/>
    <w:rsid w:val="001B414D"/>
    <w:rsid w:val="001B4435"/>
    <w:rsid w:val="001B69D0"/>
    <w:rsid w:val="001B7AF7"/>
    <w:rsid w:val="001B7C44"/>
    <w:rsid w:val="001B7CC5"/>
    <w:rsid w:val="001B7F80"/>
    <w:rsid w:val="001C0212"/>
    <w:rsid w:val="001C1901"/>
    <w:rsid w:val="001C3357"/>
    <w:rsid w:val="001C48B3"/>
    <w:rsid w:val="001C7731"/>
    <w:rsid w:val="001D50D7"/>
    <w:rsid w:val="001D528D"/>
    <w:rsid w:val="001D6501"/>
    <w:rsid w:val="001E1BD9"/>
    <w:rsid w:val="001E1E44"/>
    <w:rsid w:val="001E330E"/>
    <w:rsid w:val="001E45C1"/>
    <w:rsid w:val="001E6D03"/>
    <w:rsid w:val="001F18D8"/>
    <w:rsid w:val="001F290E"/>
    <w:rsid w:val="001F2E2B"/>
    <w:rsid w:val="001F35E3"/>
    <w:rsid w:val="001F584B"/>
    <w:rsid w:val="001F5F7E"/>
    <w:rsid w:val="001F6EFD"/>
    <w:rsid w:val="00200685"/>
    <w:rsid w:val="00200E14"/>
    <w:rsid w:val="00202534"/>
    <w:rsid w:val="00202F0D"/>
    <w:rsid w:val="0021146A"/>
    <w:rsid w:val="002148C6"/>
    <w:rsid w:val="00214B2B"/>
    <w:rsid w:val="00217A0B"/>
    <w:rsid w:val="002209CC"/>
    <w:rsid w:val="002225B5"/>
    <w:rsid w:val="002235F9"/>
    <w:rsid w:val="00225F35"/>
    <w:rsid w:val="002261FA"/>
    <w:rsid w:val="00227490"/>
    <w:rsid w:val="002309B1"/>
    <w:rsid w:val="00230BC9"/>
    <w:rsid w:val="00231ECB"/>
    <w:rsid w:val="002326DD"/>
    <w:rsid w:val="00233ECE"/>
    <w:rsid w:val="002361FB"/>
    <w:rsid w:val="002415F2"/>
    <w:rsid w:val="00245779"/>
    <w:rsid w:val="00245E10"/>
    <w:rsid w:val="00245E94"/>
    <w:rsid w:val="0025326A"/>
    <w:rsid w:val="00253D93"/>
    <w:rsid w:val="002540AC"/>
    <w:rsid w:val="00254A0E"/>
    <w:rsid w:val="00256610"/>
    <w:rsid w:val="00257BFD"/>
    <w:rsid w:val="00257E8C"/>
    <w:rsid w:val="00257FD1"/>
    <w:rsid w:val="00260E76"/>
    <w:rsid w:val="00261CB1"/>
    <w:rsid w:val="002652A7"/>
    <w:rsid w:val="002663F3"/>
    <w:rsid w:val="00271E37"/>
    <w:rsid w:val="00273341"/>
    <w:rsid w:val="00277631"/>
    <w:rsid w:val="00280A17"/>
    <w:rsid w:val="00283483"/>
    <w:rsid w:val="00283DDF"/>
    <w:rsid w:val="00284D11"/>
    <w:rsid w:val="002867F8"/>
    <w:rsid w:val="00290F67"/>
    <w:rsid w:val="00291908"/>
    <w:rsid w:val="00292029"/>
    <w:rsid w:val="00292483"/>
    <w:rsid w:val="0029258C"/>
    <w:rsid w:val="002937E0"/>
    <w:rsid w:val="0029486A"/>
    <w:rsid w:val="00294DB6"/>
    <w:rsid w:val="00297D4C"/>
    <w:rsid w:val="002A0EA9"/>
    <w:rsid w:val="002A58F4"/>
    <w:rsid w:val="002B1B85"/>
    <w:rsid w:val="002B347D"/>
    <w:rsid w:val="002B3F57"/>
    <w:rsid w:val="002B42A3"/>
    <w:rsid w:val="002B5C90"/>
    <w:rsid w:val="002B64BF"/>
    <w:rsid w:val="002C06C1"/>
    <w:rsid w:val="002C1E16"/>
    <w:rsid w:val="002C4620"/>
    <w:rsid w:val="002C4EDC"/>
    <w:rsid w:val="002C5099"/>
    <w:rsid w:val="002C55B2"/>
    <w:rsid w:val="002D20F2"/>
    <w:rsid w:val="002D24B1"/>
    <w:rsid w:val="002D43D7"/>
    <w:rsid w:val="002D4503"/>
    <w:rsid w:val="002D4BAE"/>
    <w:rsid w:val="002D51C4"/>
    <w:rsid w:val="002D5622"/>
    <w:rsid w:val="002D681D"/>
    <w:rsid w:val="002D70D0"/>
    <w:rsid w:val="002E1D32"/>
    <w:rsid w:val="002E2EC9"/>
    <w:rsid w:val="002E4A0A"/>
    <w:rsid w:val="002E524D"/>
    <w:rsid w:val="002E5399"/>
    <w:rsid w:val="002E54CD"/>
    <w:rsid w:val="002E6C19"/>
    <w:rsid w:val="002E71FF"/>
    <w:rsid w:val="002F1D1D"/>
    <w:rsid w:val="002F25D3"/>
    <w:rsid w:val="002F2742"/>
    <w:rsid w:val="002F2ABB"/>
    <w:rsid w:val="002F4779"/>
    <w:rsid w:val="002F50B8"/>
    <w:rsid w:val="002F5540"/>
    <w:rsid w:val="002F578B"/>
    <w:rsid w:val="002F5B56"/>
    <w:rsid w:val="002F67E1"/>
    <w:rsid w:val="002F752D"/>
    <w:rsid w:val="003013D6"/>
    <w:rsid w:val="00303B8B"/>
    <w:rsid w:val="00304F8D"/>
    <w:rsid w:val="0030727D"/>
    <w:rsid w:val="00313061"/>
    <w:rsid w:val="00313633"/>
    <w:rsid w:val="0031410E"/>
    <w:rsid w:val="00314FE4"/>
    <w:rsid w:val="0031504A"/>
    <w:rsid w:val="003155F6"/>
    <w:rsid w:val="00317727"/>
    <w:rsid w:val="00317EFB"/>
    <w:rsid w:val="003224B6"/>
    <w:rsid w:val="00324427"/>
    <w:rsid w:val="003268FE"/>
    <w:rsid w:val="00326F07"/>
    <w:rsid w:val="003314D5"/>
    <w:rsid w:val="003326FD"/>
    <w:rsid w:val="00332E64"/>
    <w:rsid w:val="00333801"/>
    <w:rsid w:val="00334567"/>
    <w:rsid w:val="00335FB2"/>
    <w:rsid w:val="00336324"/>
    <w:rsid w:val="00340093"/>
    <w:rsid w:val="003401D3"/>
    <w:rsid w:val="00340219"/>
    <w:rsid w:val="0034054E"/>
    <w:rsid w:val="00340E8B"/>
    <w:rsid w:val="00343B05"/>
    <w:rsid w:val="00344A08"/>
    <w:rsid w:val="003456C8"/>
    <w:rsid w:val="00347CBB"/>
    <w:rsid w:val="00350ABA"/>
    <w:rsid w:val="00353466"/>
    <w:rsid w:val="0035520F"/>
    <w:rsid w:val="00357635"/>
    <w:rsid w:val="003606A3"/>
    <w:rsid w:val="00361756"/>
    <w:rsid w:val="00363E4E"/>
    <w:rsid w:val="00365EEC"/>
    <w:rsid w:val="003666CE"/>
    <w:rsid w:val="00372016"/>
    <w:rsid w:val="00373049"/>
    <w:rsid w:val="0037692B"/>
    <w:rsid w:val="003777AA"/>
    <w:rsid w:val="00377C44"/>
    <w:rsid w:val="003800B1"/>
    <w:rsid w:val="0038140A"/>
    <w:rsid w:val="0038483B"/>
    <w:rsid w:val="00384FBA"/>
    <w:rsid w:val="00385710"/>
    <w:rsid w:val="00385E52"/>
    <w:rsid w:val="00391181"/>
    <w:rsid w:val="003916BF"/>
    <w:rsid w:val="0039183E"/>
    <w:rsid w:val="00394BB8"/>
    <w:rsid w:val="00394BCC"/>
    <w:rsid w:val="003950C0"/>
    <w:rsid w:val="00397B8B"/>
    <w:rsid w:val="003A1242"/>
    <w:rsid w:val="003A1820"/>
    <w:rsid w:val="003A2003"/>
    <w:rsid w:val="003A76A1"/>
    <w:rsid w:val="003B39E0"/>
    <w:rsid w:val="003B3B0D"/>
    <w:rsid w:val="003B6623"/>
    <w:rsid w:val="003C1201"/>
    <w:rsid w:val="003C128D"/>
    <w:rsid w:val="003C1511"/>
    <w:rsid w:val="003C2845"/>
    <w:rsid w:val="003C2E6E"/>
    <w:rsid w:val="003C44B7"/>
    <w:rsid w:val="003C554C"/>
    <w:rsid w:val="003C7AD1"/>
    <w:rsid w:val="003C7BB0"/>
    <w:rsid w:val="003D0D69"/>
    <w:rsid w:val="003D1711"/>
    <w:rsid w:val="003D1E47"/>
    <w:rsid w:val="003D2289"/>
    <w:rsid w:val="003D2857"/>
    <w:rsid w:val="003D28AB"/>
    <w:rsid w:val="003D4626"/>
    <w:rsid w:val="003D6595"/>
    <w:rsid w:val="003D70B3"/>
    <w:rsid w:val="003E4689"/>
    <w:rsid w:val="003E4E73"/>
    <w:rsid w:val="003F091F"/>
    <w:rsid w:val="003F0DB9"/>
    <w:rsid w:val="003F2530"/>
    <w:rsid w:val="003F3B7C"/>
    <w:rsid w:val="003F4A79"/>
    <w:rsid w:val="003F648D"/>
    <w:rsid w:val="003F7120"/>
    <w:rsid w:val="004009B6"/>
    <w:rsid w:val="00401351"/>
    <w:rsid w:val="00402391"/>
    <w:rsid w:val="00402B51"/>
    <w:rsid w:val="00402B94"/>
    <w:rsid w:val="00402ECE"/>
    <w:rsid w:val="00404928"/>
    <w:rsid w:val="00404E32"/>
    <w:rsid w:val="00406DFE"/>
    <w:rsid w:val="00407AFA"/>
    <w:rsid w:val="00412213"/>
    <w:rsid w:val="00413EA9"/>
    <w:rsid w:val="00413FA1"/>
    <w:rsid w:val="00414A5E"/>
    <w:rsid w:val="00414DE6"/>
    <w:rsid w:val="00415D32"/>
    <w:rsid w:val="004160A8"/>
    <w:rsid w:val="004173E7"/>
    <w:rsid w:val="0042217F"/>
    <w:rsid w:val="00423854"/>
    <w:rsid w:val="00423DC0"/>
    <w:rsid w:val="00424F56"/>
    <w:rsid w:val="00426E3D"/>
    <w:rsid w:val="0042735F"/>
    <w:rsid w:val="00433CAF"/>
    <w:rsid w:val="0044130D"/>
    <w:rsid w:val="00443B07"/>
    <w:rsid w:val="00444FD2"/>
    <w:rsid w:val="0044655E"/>
    <w:rsid w:val="004473B4"/>
    <w:rsid w:val="00453FEA"/>
    <w:rsid w:val="004557FA"/>
    <w:rsid w:val="00455E42"/>
    <w:rsid w:val="00456343"/>
    <w:rsid w:val="00457E8E"/>
    <w:rsid w:val="00460AB3"/>
    <w:rsid w:val="00461C3C"/>
    <w:rsid w:val="00461DE4"/>
    <w:rsid w:val="00461DFD"/>
    <w:rsid w:val="00463797"/>
    <w:rsid w:val="0046422F"/>
    <w:rsid w:val="00465371"/>
    <w:rsid w:val="00465978"/>
    <w:rsid w:val="004704DE"/>
    <w:rsid w:val="0047103C"/>
    <w:rsid w:val="00471C0C"/>
    <w:rsid w:val="00475A66"/>
    <w:rsid w:val="00477165"/>
    <w:rsid w:val="0047725F"/>
    <w:rsid w:val="00480AF8"/>
    <w:rsid w:val="004812D9"/>
    <w:rsid w:val="00481640"/>
    <w:rsid w:val="0048212A"/>
    <w:rsid w:val="004840C8"/>
    <w:rsid w:val="00490067"/>
    <w:rsid w:val="00491CCD"/>
    <w:rsid w:val="0049474D"/>
    <w:rsid w:val="00494925"/>
    <w:rsid w:val="00494A2B"/>
    <w:rsid w:val="00495B40"/>
    <w:rsid w:val="00496177"/>
    <w:rsid w:val="00497DC9"/>
    <w:rsid w:val="004A2395"/>
    <w:rsid w:val="004A4454"/>
    <w:rsid w:val="004A5100"/>
    <w:rsid w:val="004A5883"/>
    <w:rsid w:val="004A6468"/>
    <w:rsid w:val="004A6A3F"/>
    <w:rsid w:val="004A7A1B"/>
    <w:rsid w:val="004B0111"/>
    <w:rsid w:val="004B02AF"/>
    <w:rsid w:val="004B0879"/>
    <w:rsid w:val="004B0C5E"/>
    <w:rsid w:val="004B0D91"/>
    <w:rsid w:val="004B2C91"/>
    <w:rsid w:val="004B3FA3"/>
    <w:rsid w:val="004C04E0"/>
    <w:rsid w:val="004C0A6E"/>
    <w:rsid w:val="004C0F5C"/>
    <w:rsid w:val="004C1D99"/>
    <w:rsid w:val="004C3184"/>
    <w:rsid w:val="004C3B40"/>
    <w:rsid w:val="004C3EE5"/>
    <w:rsid w:val="004C6381"/>
    <w:rsid w:val="004D1404"/>
    <w:rsid w:val="004D145B"/>
    <w:rsid w:val="004D3527"/>
    <w:rsid w:val="004D3A14"/>
    <w:rsid w:val="004D455E"/>
    <w:rsid w:val="004D6002"/>
    <w:rsid w:val="004D6031"/>
    <w:rsid w:val="004D6242"/>
    <w:rsid w:val="004D6298"/>
    <w:rsid w:val="004E49F3"/>
    <w:rsid w:val="004E4B9B"/>
    <w:rsid w:val="004E67BD"/>
    <w:rsid w:val="004E7B13"/>
    <w:rsid w:val="004E7B4E"/>
    <w:rsid w:val="004F0C9A"/>
    <w:rsid w:val="004F2B89"/>
    <w:rsid w:val="004F3560"/>
    <w:rsid w:val="004F54F8"/>
    <w:rsid w:val="00500DAD"/>
    <w:rsid w:val="0050234B"/>
    <w:rsid w:val="00502787"/>
    <w:rsid w:val="00503505"/>
    <w:rsid w:val="00504F50"/>
    <w:rsid w:val="005058A5"/>
    <w:rsid w:val="00505A59"/>
    <w:rsid w:val="00507275"/>
    <w:rsid w:val="005101C4"/>
    <w:rsid w:val="0051332B"/>
    <w:rsid w:val="00517B55"/>
    <w:rsid w:val="00517B7A"/>
    <w:rsid w:val="00517EC2"/>
    <w:rsid w:val="0052075E"/>
    <w:rsid w:val="00521A78"/>
    <w:rsid w:val="00521B9F"/>
    <w:rsid w:val="005230D2"/>
    <w:rsid w:val="00523196"/>
    <w:rsid w:val="00523962"/>
    <w:rsid w:val="00523EA9"/>
    <w:rsid w:val="00525E1F"/>
    <w:rsid w:val="00525FD3"/>
    <w:rsid w:val="005267AA"/>
    <w:rsid w:val="00526D15"/>
    <w:rsid w:val="00527371"/>
    <w:rsid w:val="00531C21"/>
    <w:rsid w:val="005358AD"/>
    <w:rsid w:val="00536EC7"/>
    <w:rsid w:val="005377D4"/>
    <w:rsid w:val="005419DD"/>
    <w:rsid w:val="0054271F"/>
    <w:rsid w:val="0054477F"/>
    <w:rsid w:val="00544B49"/>
    <w:rsid w:val="00545531"/>
    <w:rsid w:val="00546BDC"/>
    <w:rsid w:val="005500E3"/>
    <w:rsid w:val="005508D2"/>
    <w:rsid w:val="00551870"/>
    <w:rsid w:val="00551E34"/>
    <w:rsid w:val="00554ACD"/>
    <w:rsid w:val="00556EFA"/>
    <w:rsid w:val="005615EB"/>
    <w:rsid w:val="00561F01"/>
    <w:rsid w:val="0056256C"/>
    <w:rsid w:val="00562DB4"/>
    <w:rsid w:val="00563F81"/>
    <w:rsid w:val="005648B2"/>
    <w:rsid w:val="00564918"/>
    <w:rsid w:val="00564AFC"/>
    <w:rsid w:val="00565A64"/>
    <w:rsid w:val="00566B77"/>
    <w:rsid w:val="00566DE2"/>
    <w:rsid w:val="00567113"/>
    <w:rsid w:val="0056724F"/>
    <w:rsid w:val="0057480B"/>
    <w:rsid w:val="00575A6B"/>
    <w:rsid w:val="00575D48"/>
    <w:rsid w:val="0057736F"/>
    <w:rsid w:val="005800A5"/>
    <w:rsid w:val="00582AB1"/>
    <w:rsid w:val="005845FB"/>
    <w:rsid w:val="00585A0F"/>
    <w:rsid w:val="00585FE5"/>
    <w:rsid w:val="00586139"/>
    <w:rsid w:val="005862CE"/>
    <w:rsid w:val="00586795"/>
    <w:rsid w:val="00587B8C"/>
    <w:rsid w:val="005924B5"/>
    <w:rsid w:val="005926E0"/>
    <w:rsid w:val="0059382B"/>
    <w:rsid w:val="00593A8A"/>
    <w:rsid w:val="00593DB7"/>
    <w:rsid w:val="005949B3"/>
    <w:rsid w:val="00594FC2"/>
    <w:rsid w:val="00595716"/>
    <w:rsid w:val="00595906"/>
    <w:rsid w:val="00595A23"/>
    <w:rsid w:val="005A103C"/>
    <w:rsid w:val="005A3E1D"/>
    <w:rsid w:val="005A5AD7"/>
    <w:rsid w:val="005A5AE2"/>
    <w:rsid w:val="005A78F4"/>
    <w:rsid w:val="005B0DBE"/>
    <w:rsid w:val="005B280B"/>
    <w:rsid w:val="005B2CDD"/>
    <w:rsid w:val="005B3736"/>
    <w:rsid w:val="005B490D"/>
    <w:rsid w:val="005B49C2"/>
    <w:rsid w:val="005B5490"/>
    <w:rsid w:val="005B59C7"/>
    <w:rsid w:val="005B770A"/>
    <w:rsid w:val="005B77DD"/>
    <w:rsid w:val="005C0D1D"/>
    <w:rsid w:val="005C45DD"/>
    <w:rsid w:val="005C4CE4"/>
    <w:rsid w:val="005C555F"/>
    <w:rsid w:val="005C5D19"/>
    <w:rsid w:val="005C6F03"/>
    <w:rsid w:val="005D1BD6"/>
    <w:rsid w:val="005D27EF"/>
    <w:rsid w:val="005D2BEA"/>
    <w:rsid w:val="005D479E"/>
    <w:rsid w:val="005D48E2"/>
    <w:rsid w:val="005E33B1"/>
    <w:rsid w:val="005E40E6"/>
    <w:rsid w:val="005E4400"/>
    <w:rsid w:val="005E5791"/>
    <w:rsid w:val="005E6E57"/>
    <w:rsid w:val="005E6F3A"/>
    <w:rsid w:val="005E7B22"/>
    <w:rsid w:val="005F07B9"/>
    <w:rsid w:val="005F3274"/>
    <w:rsid w:val="005F4F59"/>
    <w:rsid w:val="00601491"/>
    <w:rsid w:val="006019BD"/>
    <w:rsid w:val="006020D6"/>
    <w:rsid w:val="0060298D"/>
    <w:rsid w:val="00604B93"/>
    <w:rsid w:val="006059BF"/>
    <w:rsid w:val="00605CF8"/>
    <w:rsid w:val="0061482F"/>
    <w:rsid w:val="00620411"/>
    <w:rsid w:val="006216C0"/>
    <w:rsid w:val="006228FC"/>
    <w:rsid w:val="006234DE"/>
    <w:rsid w:val="006236B1"/>
    <w:rsid w:val="006262AB"/>
    <w:rsid w:val="00626F21"/>
    <w:rsid w:val="0063138E"/>
    <w:rsid w:val="006334E1"/>
    <w:rsid w:val="0063787A"/>
    <w:rsid w:val="00637905"/>
    <w:rsid w:val="00637ECC"/>
    <w:rsid w:val="006410BC"/>
    <w:rsid w:val="0064195E"/>
    <w:rsid w:val="006458B0"/>
    <w:rsid w:val="00650569"/>
    <w:rsid w:val="006516B8"/>
    <w:rsid w:val="00651C75"/>
    <w:rsid w:val="00652A93"/>
    <w:rsid w:val="006553B6"/>
    <w:rsid w:val="00655961"/>
    <w:rsid w:val="00656234"/>
    <w:rsid w:val="00657D6E"/>
    <w:rsid w:val="00661392"/>
    <w:rsid w:val="0066197C"/>
    <w:rsid w:val="00661B02"/>
    <w:rsid w:val="00661B51"/>
    <w:rsid w:val="00663E40"/>
    <w:rsid w:val="00665699"/>
    <w:rsid w:val="00665F82"/>
    <w:rsid w:val="006714FD"/>
    <w:rsid w:val="00671BE5"/>
    <w:rsid w:val="00674BCF"/>
    <w:rsid w:val="006756E1"/>
    <w:rsid w:val="00681752"/>
    <w:rsid w:val="00685DCA"/>
    <w:rsid w:val="006866E3"/>
    <w:rsid w:val="006874AF"/>
    <w:rsid w:val="006911F0"/>
    <w:rsid w:val="00691E54"/>
    <w:rsid w:val="00692063"/>
    <w:rsid w:val="006926B8"/>
    <w:rsid w:val="00692AD6"/>
    <w:rsid w:val="00696CF4"/>
    <w:rsid w:val="006977E2"/>
    <w:rsid w:val="006A064F"/>
    <w:rsid w:val="006A1EAF"/>
    <w:rsid w:val="006A4D71"/>
    <w:rsid w:val="006B0555"/>
    <w:rsid w:val="006B138E"/>
    <w:rsid w:val="006B1F82"/>
    <w:rsid w:val="006B223E"/>
    <w:rsid w:val="006B491A"/>
    <w:rsid w:val="006B63D4"/>
    <w:rsid w:val="006C47AC"/>
    <w:rsid w:val="006C5EEF"/>
    <w:rsid w:val="006C6D51"/>
    <w:rsid w:val="006D0748"/>
    <w:rsid w:val="006D429C"/>
    <w:rsid w:val="006D7077"/>
    <w:rsid w:val="006D7475"/>
    <w:rsid w:val="006E091D"/>
    <w:rsid w:val="006E103D"/>
    <w:rsid w:val="006E249A"/>
    <w:rsid w:val="006E62D7"/>
    <w:rsid w:val="006E65D3"/>
    <w:rsid w:val="006E6CDA"/>
    <w:rsid w:val="006E7071"/>
    <w:rsid w:val="006E73EA"/>
    <w:rsid w:val="006F3CEF"/>
    <w:rsid w:val="006F5065"/>
    <w:rsid w:val="006F507D"/>
    <w:rsid w:val="006F5F5B"/>
    <w:rsid w:val="006F601C"/>
    <w:rsid w:val="006F6150"/>
    <w:rsid w:val="006F629D"/>
    <w:rsid w:val="006F64E9"/>
    <w:rsid w:val="00701217"/>
    <w:rsid w:val="00703475"/>
    <w:rsid w:val="00704DC5"/>
    <w:rsid w:val="00704DDD"/>
    <w:rsid w:val="007065B0"/>
    <w:rsid w:val="007066D7"/>
    <w:rsid w:val="007139B1"/>
    <w:rsid w:val="00715492"/>
    <w:rsid w:val="0072058A"/>
    <w:rsid w:val="00722D2A"/>
    <w:rsid w:val="0072388A"/>
    <w:rsid w:val="007240C8"/>
    <w:rsid w:val="007255B3"/>
    <w:rsid w:val="00725AB9"/>
    <w:rsid w:val="00725CE5"/>
    <w:rsid w:val="00726FF0"/>
    <w:rsid w:val="00732C9D"/>
    <w:rsid w:val="00732E56"/>
    <w:rsid w:val="0073464E"/>
    <w:rsid w:val="00742782"/>
    <w:rsid w:val="00744926"/>
    <w:rsid w:val="00744C32"/>
    <w:rsid w:val="00744FA8"/>
    <w:rsid w:val="0074532F"/>
    <w:rsid w:val="00745899"/>
    <w:rsid w:val="00745DB7"/>
    <w:rsid w:val="00745DD3"/>
    <w:rsid w:val="00746AC8"/>
    <w:rsid w:val="0075187B"/>
    <w:rsid w:val="0076047F"/>
    <w:rsid w:val="00760B40"/>
    <w:rsid w:val="00761A7B"/>
    <w:rsid w:val="00762B0F"/>
    <w:rsid w:val="00766C45"/>
    <w:rsid w:val="007670D8"/>
    <w:rsid w:val="00767C0D"/>
    <w:rsid w:val="00770D9E"/>
    <w:rsid w:val="00772E94"/>
    <w:rsid w:val="0077729F"/>
    <w:rsid w:val="00782EF2"/>
    <w:rsid w:val="00784765"/>
    <w:rsid w:val="00784B35"/>
    <w:rsid w:val="007901EF"/>
    <w:rsid w:val="00790581"/>
    <w:rsid w:val="007912CA"/>
    <w:rsid w:val="00794809"/>
    <w:rsid w:val="00797A61"/>
    <w:rsid w:val="007A019B"/>
    <w:rsid w:val="007A04F5"/>
    <w:rsid w:val="007A321A"/>
    <w:rsid w:val="007A3D8F"/>
    <w:rsid w:val="007A5261"/>
    <w:rsid w:val="007B0221"/>
    <w:rsid w:val="007B1974"/>
    <w:rsid w:val="007B20FD"/>
    <w:rsid w:val="007B2AA8"/>
    <w:rsid w:val="007B6BEA"/>
    <w:rsid w:val="007B70FB"/>
    <w:rsid w:val="007C1B49"/>
    <w:rsid w:val="007C3B39"/>
    <w:rsid w:val="007D02BD"/>
    <w:rsid w:val="007D1ED8"/>
    <w:rsid w:val="007D4497"/>
    <w:rsid w:val="007D7824"/>
    <w:rsid w:val="007E1DDA"/>
    <w:rsid w:val="007E2EB1"/>
    <w:rsid w:val="007E6767"/>
    <w:rsid w:val="007F2847"/>
    <w:rsid w:val="007F2C53"/>
    <w:rsid w:val="007F412F"/>
    <w:rsid w:val="007F429E"/>
    <w:rsid w:val="007F4821"/>
    <w:rsid w:val="007F521E"/>
    <w:rsid w:val="007F64F3"/>
    <w:rsid w:val="007F74F1"/>
    <w:rsid w:val="00803DCA"/>
    <w:rsid w:val="00804690"/>
    <w:rsid w:val="008048A9"/>
    <w:rsid w:val="00804CF7"/>
    <w:rsid w:val="008056E2"/>
    <w:rsid w:val="00805719"/>
    <w:rsid w:val="008066FD"/>
    <w:rsid w:val="00810892"/>
    <w:rsid w:val="00810D26"/>
    <w:rsid w:val="00814546"/>
    <w:rsid w:val="00814BD3"/>
    <w:rsid w:val="0081754A"/>
    <w:rsid w:val="00817C20"/>
    <w:rsid w:val="008245DB"/>
    <w:rsid w:val="0082534C"/>
    <w:rsid w:val="00826D4E"/>
    <w:rsid w:val="00827BCD"/>
    <w:rsid w:val="008314DF"/>
    <w:rsid w:val="00831F67"/>
    <w:rsid w:val="0083465E"/>
    <w:rsid w:val="00835CD3"/>
    <w:rsid w:val="00837B51"/>
    <w:rsid w:val="00837B89"/>
    <w:rsid w:val="00837FFC"/>
    <w:rsid w:val="00840245"/>
    <w:rsid w:val="008415FA"/>
    <w:rsid w:val="00844E49"/>
    <w:rsid w:val="0084574A"/>
    <w:rsid w:val="0084640C"/>
    <w:rsid w:val="00847E67"/>
    <w:rsid w:val="00852C58"/>
    <w:rsid w:val="008548BB"/>
    <w:rsid w:val="00854CEB"/>
    <w:rsid w:val="0085590B"/>
    <w:rsid w:val="008574E8"/>
    <w:rsid w:val="00857EC6"/>
    <w:rsid w:val="008603D4"/>
    <w:rsid w:val="00860478"/>
    <w:rsid w:val="00861A5C"/>
    <w:rsid w:val="00861CED"/>
    <w:rsid w:val="00862583"/>
    <w:rsid w:val="0086299B"/>
    <w:rsid w:val="008661B3"/>
    <w:rsid w:val="008666C8"/>
    <w:rsid w:val="00866D2C"/>
    <w:rsid w:val="0087065D"/>
    <w:rsid w:val="00871D2A"/>
    <w:rsid w:val="00873CE5"/>
    <w:rsid w:val="00874B35"/>
    <w:rsid w:val="00874C2F"/>
    <w:rsid w:val="008752D0"/>
    <w:rsid w:val="00875663"/>
    <w:rsid w:val="00876B81"/>
    <w:rsid w:val="00880575"/>
    <w:rsid w:val="00880650"/>
    <w:rsid w:val="008823B6"/>
    <w:rsid w:val="0088293D"/>
    <w:rsid w:val="00882E7F"/>
    <w:rsid w:val="0088305E"/>
    <w:rsid w:val="00891173"/>
    <w:rsid w:val="0089187E"/>
    <w:rsid w:val="00891F6D"/>
    <w:rsid w:val="00892087"/>
    <w:rsid w:val="0089436A"/>
    <w:rsid w:val="008954E8"/>
    <w:rsid w:val="00896226"/>
    <w:rsid w:val="008A2DC2"/>
    <w:rsid w:val="008A4A3B"/>
    <w:rsid w:val="008B18E1"/>
    <w:rsid w:val="008B208A"/>
    <w:rsid w:val="008B4433"/>
    <w:rsid w:val="008C0A8C"/>
    <w:rsid w:val="008C3362"/>
    <w:rsid w:val="008C3ED8"/>
    <w:rsid w:val="008C5B86"/>
    <w:rsid w:val="008D0303"/>
    <w:rsid w:val="008D0AA6"/>
    <w:rsid w:val="008D15C2"/>
    <w:rsid w:val="008D1FB2"/>
    <w:rsid w:val="008D353C"/>
    <w:rsid w:val="008D4807"/>
    <w:rsid w:val="008D63AB"/>
    <w:rsid w:val="008D76D9"/>
    <w:rsid w:val="008D7D7D"/>
    <w:rsid w:val="008E054D"/>
    <w:rsid w:val="008E0828"/>
    <w:rsid w:val="008E38C6"/>
    <w:rsid w:val="008E5C1A"/>
    <w:rsid w:val="008E627E"/>
    <w:rsid w:val="008E7BA8"/>
    <w:rsid w:val="008F5F36"/>
    <w:rsid w:val="008F6301"/>
    <w:rsid w:val="008F6383"/>
    <w:rsid w:val="008F752D"/>
    <w:rsid w:val="008F7806"/>
    <w:rsid w:val="0090071E"/>
    <w:rsid w:val="00900993"/>
    <w:rsid w:val="0090710C"/>
    <w:rsid w:val="0091019F"/>
    <w:rsid w:val="00910B59"/>
    <w:rsid w:val="00911E27"/>
    <w:rsid w:val="00912854"/>
    <w:rsid w:val="0091475A"/>
    <w:rsid w:val="00916AA8"/>
    <w:rsid w:val="00916F80"/>
    <w:rsid w:val="00923226"/>
    <w:rsid w:val="009244AD"/>
    <w:rsid w:val="009304C7"/>
    <w:rsid w:val="00931ABC"/>
    <w:rsid w:val="00931ED7"/>
    <w:rsid w:val="009334C5"/>
    <w:rsid w:val="00934002"/>
    <w:rsid w:val="00936CFD"/>
    <w:rsid w:val="00936EE8"/>
    <w:rsid w:val="00940794"/>
    <w:rsid w:val="00941C7E"/>
    <w:rsid w:val="00942481"/>
    <w:rsid w:val="00944382"/>
    <w:rsid w:val="00944A63"/>
    <w:rsid w:val="009506D0"/>
    <w:rsid w:val="009515F8"/>
    <w:rsid w:val="00951FDD"/>
    <w:rsid w:val="0095365B"/>
    <w:rsid w:val="00953E93"/>
    <w:rsid w:val="00954194"/>
    <w:rsid w:val="00954772"/>
    <w:rsid w:val="00955387"/>
    <w:rsid w:val="0095615C"/>
    <w:rsid w:val="009561CE"/>
    <w:rsid w:val="009615F2"/>
    <w:rsid w:val="00964D6E"/>
    <w:rsid w:val="009651B9"/>
    <w:rsid w:val="0097038D"/>
    <w:rsid w:val="00974317"/>
    <w:rsid w:val="0097587C"/>
    <w:rsid w:val="009758DC"/>
    <w:rsid w:val="00975966"/>
    <w:rsid w:val="009778C1"/>
    <w:rsid w:val="00977E94"/>
    <w:rsid w:val="00980E05"/>
    <w:rsid w:val="00980EA3"/>
    <w:rsid w:val="00981F02"/>
    <w:rsid w:val="00984263"/>
    <w:rsid w:val="00984288"/>
    <w:rsid w:val="009850F9"/>
    <w:rsid w:val="00990144"/>
    <w:rsid w:val="00991C3D"/>
    <w:rsid w:val="0099430C"/>
    <w:rsid w:val="0099578B"/>
    <w:rsid w:val="009966B1"/>
    <w:rsid w:val="00996ED1"/>
    <w:rsid w:val="00996F06"/>
    <w:rsid w:val="00997B20"/>
    <w:rsid w:val="009A0A1C"/>
    <w:rsid w:val="009A0C71"/>
    <w:rsid w:val="009A20B2"/>
    <w:rsid w:val="009A384B"/>
    <w:rsid w:val="009A3C2D"/>
    <w:rsid w:val="009A5BFB"/>
    <w:rsid w:val="009A5C4F"/>
    <w:rsid w:val="009A6CE3"/>
    <w:rsid w:val="009A7803"/>
    <w:rsid w:val="009A786D"/>
    <w:rsid w:val="009A7965"/>
    <w:rsid w:val="009B1078"/>
    <w:rsid w:val="009B28A5"/>
    <w:rsid w:val="009B44C1"/>
    <w:rsid w:val="009B6083"/>
    <w:rsid w:val="009B6C8C"/>
    <w:rsid w:val="009B7ADE"/>
    <w:rsid w:val="009C123B"/>
    <w:rsid w:val="009C50B3"/>
    <w:rsid w:val="009C6D1D"/>
    <w:rsid w:val="009C6D56"/>
    <w:rsid w:val="009C7C7A"/>
    <w:rsid w:val="009D0A27"/>
    <w:rsid w:val="009D1C39"/>
    <w:rsid w:val="009D2544"/>
    <w:rsid w:val="009D5123"/>
    <w:rsid w:val="009D6CCB"/>
    <w:rsid w:val="009E1CB8"/>
    <w:rsid w:val="009E4AC9"/>
    <w:rsid w:val="009E4F3C"/>
    <w:rsid w:val="009E52BE"/>
    <w:rsid w:val="009E5A11"/>
    <w:rsid w:val="009F0551"/>
    <w:rsid w:val="009F1BAB"/>
    <w:rsid w:val="009F1D1E"/>
    <w:rsid w:val="009F45D8"/>
    <w:rsid w:val="009F4823"/>
    <w:rsid w:val="009F6DB1"/>
    <w:rsid w:val="00A03D20"/>
    <w:rsid w:val="00A062A9"/>
    <w:rsid w:val="00A07079"/>
    <w:rsid w:val="00A078E1"/>
    <w:rsid w:val="00A1008E"/>
    <w:rsid w:val="00A108D5"/>
    <w:rsid w:val="00A1393F"/>
    <w:rsid w:val="00A1573C"/>
    <w:rsid w:val="00A21019"/>
    <w:rsid w:val="00A2347C"/>
    <w:rsid w:val="00A23E60"/>
    <w:rsid w:val="00A25757"/>
    <w:rsid w:val="00A26264"/>
    <w:rsid w:val="00A31CA7"/>
    <w:rsid w:val="00A32AF5"/>
    <w:rsid w:val="00A34D4C"/>
    <w:rsid w:val="00A36F3E"/>
    <w:rsid w:val="00A37DCE"/>
    <w:rsid w:val="00A40ABA"/>
    <w:rsid w:val="00A415B2"/>
    <w:rsid w:val="00A43C5D"/>
    <w:rsid w:val="00A45137"/>
    <w:rsid w:val="00A4764E"/>
    <w:rsid w:val="00A47FF6"/>
    <w:rsid w:val="00A51287"/>
    <w:rsid w:val="00A5370E"/>
    <w:rsid w:val="00A54853"/>
    <w:rsid w:val="00A564B9"/>
    <w:rsid w:val="00A56A5E"/>
    <w:rsid w:val="00A56D17"/>
    <w:rsid w:val="00A57EC9"/>
    <w:rsid w:val="00A612B9"/>
    <w:rsid w:val="00A619EE"/>
    <w:rsid w:val="00A619FA"/>
    <w:rsid w:val="00A61CFC"/>
    <w:rsid w:val="00A733C0"/>
    <w:rsid w:val="00A74094"/>
    <w:rsid w:val="00A749B7"/>
    <w:rsid w:val="00A765D1"/>
    <w:rsid w:val="00A76F1B"/>
    <w:rsid w:val="00A8325A"/>
    <w:rsid w:val="00A83BA5"/>
    <w:rsid w:val="00A84161"/>
    <w:rsid w:val="00A84B53"/>
    <w:rsid w:val="00A84EB7"/>
    <w:rsid w:val="00A861E2"/>
    <w:rsid w:val="00A87641"/>
    <w:rsid w:val="00A878D8"/>
    <w:rsid w:val="00A9110A"/>
    <w:rsid w:val="00A91489"/>
    <w:rsid w:val="00A95890"/>
    <w:rsid w:val="00A95ADD"/>
    <w:rsid w:val="00A966C3"/>
    <w:rsid w:val="00A9717C"/>
    <w:rsid w:val="00AA0EDD"/>
    <w:rsid w:val="00AB1DBC"/>
    <w:rsid w:val="00AB2B1C"/>
    <w:rsid w:val="00AB301E"/>
    <w:rsid w:val="00AB3401"/>
    <w:rsid w:val="00AB3685"/>
    <w:rsid w:val="00AB465D"/>
    <w:rsid w:val="00AB5380"/>
    <w:rsid w:val="00AB59CF"/>
    <w:rsid w:val="00AB6CF9"/>
    <w:rsid w:val="00AC6861"/>
    <w:rsid w:val="00AC73EA"/>
    <w:rsid w:val="00AC794E"/>
    <w:rsid w:val="00AD1B82"/>
    <w:rsid w:val="00AD2293"/>
    <w:rsid w:val="00AD2C8D"/>
    <w:rsid w:val="00AD365D"/>
    <w:rsid w:val="00AD4427"/>
    <w:rsid w:val="00AD5FF8"/>
    <w:rsid w:val="00AD62A1"/>
    <w:rsid w:val="00AD6AC3"/>
    <w:rsid w:val="00AD6C93"/>
    <w:rsid w:val="00AD7266"/>
    <w:rsid w:val="00AD7C36"/>
    <w:rsid w:val="00AE01E4"/>
    <w:rsid w:val="00AE0833"/>
    <w:rsid w:val="00AE1634"/>
    <w:rsid w:val="00AE1895"/>
    <w:rsid w:val="00AE1F27"/>
    <w:rsid w:val="00AE3433"/>
    <w:rsid w:val="00AE3CE0"/>
    <w:rsid w:val="00AE4221"/>
    <w:rsid w:val="00AE54E7"/>
    <w:rsid w:val="00AE5821"/>
    <w:rsid w:val="00AE62FC"/>
    <w:rsid w:val="00AE68AD"/>
    <w:rsid w:val="00AF06EE"/>
    <w:rsid w:val="00AF0EAE"/>
    <w:rsid w:val="00AF1F59"/>
    <w:rsid w:val="00AF376A"/>
    <w:rsid w:val="00AF6243"/>
    <w:rsid w:val="00AF6955"/>
    <w:rsid w:val="00B011E2"/>
    <w:rsid w:val="00B04E36"/>
    <w:rsid w:val="00B078AD"/>
    <w:rsid w:val="00B1070B"/>
    <w:rsid w:val="00B21014"/>
    <w:rsid w:val="00B233F0"/>
    <w:rsid w:val="00B23949"/>
    <w:rsid w:val="00B24100"/>
    <w:rsid w:val="00B24C3F"/>
    <w:rsid w:val="00B26941"/>
    <w:rsid w:val="00B270AC"/>
    <w:rsid w:val="00B2763C"/>
    <w:rsid w:val="00B328C3"/>
    <w:rsid w:val="00B32CE4"/>
    <w:rsid w:val="00B344CA"/>
    <w:rsid w:val="00B34B25"/>
    <w:rsid w:val="00B37128"/>
    <w:rsid w:val="00B41485"/>
    <w:rsid w:val="00B41773"/>
    <w:rsid w:val="00B41F58"/>
    <w:rsid w:val="00B4448E"/>
    <w:rsid w:val="00B44D7A"/>
    <w:rsid w:val="00B4553F"/>
    <w:rsid w:val="00B46B0B"/>
    <w:rsid w:val="00B51476"/>
    <w:rsid w:val="00B531BD"/>
    <w:rsid w:val="00B57589"/>
    <w:rsid w:val="00B60244"/>
    <w:rsid w:val="00B62451"/>
    <w:rsid w:val="00B63326"/>
    <w:rsid w:val="00B6368E"/>
    <w:rsid w:val="00B64ADA"/>
    <w:rsid w:val="00B6607F"/>
    <w:rsid w:val="00B67017"/>
    <w:rsid w:val="00B671A3"/>
    <w:rsid w:val="00B70F70"/>
    <w:rsid w:val="00B73C70"/>
    <w:rsid w:val="00B761A4"/>
    <w:rsid w:val="00B76AF8"/>
    <w:rsid w:val="00B82AB6"/>
    <w:rsid w:val="00B84BF9"/>
    <w:rsid w:val="00B95282"/>
    <w:rsid w:val="00BA0067"/>
    <w:rsid w:val="00BA082C"/>
    <w:rsid w:val="00BA2071"/>
    <w:rsid w:val="00BA3F42"/>
    <w:rsid w:val="00BA424D"/>
    <w:rsid w:val="00BA60E0"/>
    <w:rsid w:val="00BB0643"/>
    <w:rsid w:val="00BB1A0E"/>
    <w:rsid w:val="00BB2CAE"/>
    <w:rsid w:val="00BB3AF7"/>
    <w:rsid w:val="00BB54F5"/>
    <w:rsid w:val="00BB5944"/>
    <w:rsid w:val="00BB652C"/>
    <w:rsid w:val="00BB6984"/>
    <w:rsid w:val="00BC0EEF"/>
    <w:rsid w:val="00BC1C92"/>
    <w:rsid w:val="00BC748C"/>
    <w:rsid w:val="00BD051C"/>
    <w:rsid w:val="00BD0CFD"/>
    <w:rsid w:val="00BD5278"/>
    <w:rsid w:val="00BD625B"/>
    <w:rsid w:val="00BD7B76"/>
    <w:rsid w:val="00BE1358"/>
    <w:rsid w:val="00BE22D9"/>
    <w:rsid w:val="00BE2941"/>
    <w:rsid w:val="00BE6161"/>
    <w:rsid w:val="00BE72A0"/>
    <w:rsid w:val="00BE7626"/>
    <w:rsid w:val="00BF4208"/>
    <w:rsid w:val="00BF4589"/>
    <w:rsid w:val="00BF490F"/>
    <w:rsid w:val="00BF49DB"/>
    <w:rsid w:val="00BF5E8E"/>
    <w:rsid w:val="00BF7522"/>
    <w:rsid w:val="00C001A2"/>
    <w:rsid w:val="00C00906"/>
    <w:rsid w:val="00C017D2"/>
    <w:rsid w:val="00C02489"/>
    <w:rsid w:val="00C02E23"/>
    <w:rsid w:val="00C05870"/>
    <w:rsid w:val="00C1167F"/>
    <w:rsid w:val="00C118CE"/>
    <w:rsid w:val="00C16460"/>
    <w:rsid w:val="00C168B5"/>
    <w:rsid w:val="00C169EB"/>
    <w:rsid w:val="00C201D3"/>
    <w:rsid w:val="00C21B0E"/>
    <w:rsid w:val="00C23383"/>
    <w:rsid w:val="00C30E8F"/>
    <w:rsid w:val="00C314CA"/>
    <w:rsid w:val="00C3181F"/>
    <w:rsid w:val="00C31BB2"/>
    <w:rsid w:val="00C3336D"/>
    <w:rsid w:val="00C33633"/>
    <w:rsid w:val="00C34D3F"/>
    <w:rsid w:val="00C35E9D"/>
    <w:rsid w:val="00C360B6"/>
    <w:rsid w:val="00C3795B"/>
    <w:rsid w:val="00C37D06"/>
    <w:rsid w:val="00C40C50"/>
    <w:rsid w:val="00C41133"/>
    <w:rsid w:val="00C4484E"/>
    <w:rsid w:val="00C457ED"/>
    <w:rsid w:val="00C536E4"/>
    <w:rsid w:val="00C56909"/>
    <w:rsid w:val="00C608C3"/>
    <w:rsid w:val="00C60F0A"/>
    <w:rsid w:val="00C629DE"/>
    <w:rsid w:val="00C652BA"/>
    <w:rsid w:val="00C65563"/>
    <w:rsid w:val="00C656F9"/>
    <w:rsid w:val="00C65D27"/>
    <w:rsid w:val="00C665F5"/>
    <w:rsid w:val="00C66AF9"/>
    <w:rsid w:val="00C70DAD"/>
    <w:rsid w:val="00C70F09"/>
    <w:rsid w:val="00C719DE"/>
    <w:rsid w:val="00C741A2"/>
    <w:rsid w:val="00C7438F"/>
    <w:rsid w:val="00C759B5"/>
    <w:rsid w:val="00C81042"/>
    <w:rsid w:val="00C822B8"/>
    <w:rsid w:val="00C824A0"/>
    <w:rsid w:val="00C83098"/>
    <w:rsid w:val="00C8380B"/>
    <w:rsid w:val="00C85C1F"/>
    <w:rsid w:val="00C86933"/>
    <w:rsid w:val="00C90920"/>
    <w:rsid w:val="00C90CEF"/>
    <w:rsid w:val="00C90CF3"/>
    <w:rsid w:val="00C92105"/>
    <w:rsid w:val="00C925DB"/>
    <w:rsid w:val="00C9473A"/>
    <w:rsid w:val="00C94E74"/>
    <w:rsid w:val="00C96DF5"/>
    <w:rsid w:val="00C978A7"/>
    <w:rsid w:val="00CA160A"/>
    <w:rsid w:val="00CA4DFD"/>
    <w:rsid w:val="00CB3706"/>
    <w:rsid w:val="00CB476D"/>
    <w:rsid w:val="00CB72CB"/>
    <w:rsid w:val="00CC1B0E"/>
    <w:rsid w:val="00CC216B"/>
    <w:rsid w:val="00CC2EAD"/>
    <w:rsid w:val="00CC2FD6"/>
    <w:rsid w:val="00CC4306"/>
    <w:rsid w:val="00CC523D"/>
    <w:rsid w:val="00CC6302"/>
    <w:rsid w:val="00CD09EE"/>
    <w:rsid w:val="00CD7AC4"/>
    <w:rsid w:val="00CD7F89"/>
    <w:rsid w:val="00CE6D87"/>
    <w:rsid w:val="00CE7347"/>
    <w:rsid w:val="00CF1B02"/>
    <w:rsid w:val="00CF5560"/>
    <w:rsid w:val="00CF75B8"/>
    <w:rsid w:val="00D00901"/>
    <w:rsid w:val="00D00ACC"/>
    <w:rsid w:val="00D011A2"/>
    <w:rsid w:val="00D01B0E"/>
    <w:rsid w:val="00D02495"/>
    <w:rsid w:val="00D032A9"/>
    <w:rsid w:val="00D03E49"/>
    <w:rsid w:val="00D043B6"/>
    <w:rsid w:val="00D04FF3"/>
    <w:rsid w:val="00D07EF8"/>
    <w:rsid w:val="00D12D0F"/>
    <w:rsid w:val="00D1516D"/>
    <w:rsid w:val="00D1645C"/>
    <w:rsid w:val="00D220EA"/>
    <w:rsid w:val="00D23566"/>
    <w:rsid w:val="00D2435C"/>
    <w:rsid w:val="00D27249"/>
    <w:rsid w:val="00D300F5"/>
    <w:rsid w:val="00D30643"/>
    <w:rsid w:val="00D31228"/>
    <w:rsid w:val="00D31969"/>
    <w:rsid w:val="00D31AB3"/>
    <w:rsid w:val="00D33B1F"/>
    <w:rsid w:val="00D3484E"/>
    <w:rsid w:val="00D35D3F"/>
    <w:rsid w:val="00D377DF"/>
    <w:rsid w:val="00D4042A"/>
    <w:rsid w:val="00D40F49"/>
    <w:rsid w:val="00D40F9D"/>
    <w:rsid w:val="00D41678"/>
    <w:rsid w:val="00D445E8"/>
    <w:rsid w:val="00D4522F"/>
    <w:rsid w:val="00D4710C"/>
    <w:rsid w:val="00D547FF"/>
    <w:rsid w:val="00D57330"/>
    <w:rsid w:val="00D575DD"/>
    <w:rsid w:val="00D60DE9"/>
    <w:rsid w:val="00D6217A"/>
    <w:rsid w:val="00D627B3"/>
    <w:rsid w:val="00D648BA"/>
    <w:rsid w:val="00D65616"/>
    <w:rsid w:val="00D65649"/>
    <w:rsid w:val="00D6586C"/>
    <w:rsid w:val="00D673A7"/>
    <w:rsid w:val="00D67500"/>
    <w:rsid w:val="00D71115"/>
    <w:rsid w:val="00D711CB"/>
    <w:rsid w:val="00D729D3"/>
    <w:rsid w:val="00D768C1"/>
    <w:rsid w:val="00D76C31"/>
    <w:rsid w:val="00D77CB9"/>
    <w:rsid w:val="00D8018E"/>
    <w:rsid w:val="00D806F9"/>
    <w:rsid w:val="00D83775"/>
    <w:rsid w:val="00D84D76"/>
    <w:rsid w:val="00D8570A"/>
    <w:rsid w:val="00D86311"/>
    <w:rsid w:val="00D9068F"/>
    <w:rsid w:val="00D90A7A"/>
    <w:rsid w:val="00D95C5B"/>
    <w:rsid w:val="00D97236"/>
    <w:rsid w:val="00D974D7"/>
    <w:rsid w:val="00D97AA9"/>
    <w:rsid w:val="00DA02ED"/>
    <w:rsid w:val="00DA0ED7"/>
    <w:rsid w:val="00DA1161"/>
    <w:rsid w:val="00DA20A1"/>
    <w:rsid w:val="00DA70F4"/>
    <w:rsid w:val="00DB0278"/>
    <w:rsid w:val="00DB04F8"/>
    <w:rsid w:val="00DB0C40"/>
    <w:rsid w:val="00DB272E"/>
    <w:rsid w:val="00DB63F3"/>
    <w:rsid w:val="00DB737B"/>
    <w:rsid w:val="00DC3D2D"/>
    <w:rsid w:val="00DC528D"/>
    <w:rsid w:val="00DC5985"/>
    <w:rsid w:val="00DD399E"/>
    <w:rsid w:val="00DD39DA"/>
    <w:rsid w:val="00DD467A"/>
    <w:rsid w:val="00DD6103"/>
    <w:rsid w:val="00DE1DAA"/>
    <w:rsid w:val="00DE3EFB"/>
    <w:rsid w:val="00DE4274"/>
    <w:rsid w:val="00DE69C7"/>
    <w:rsid w:val="00DF366F"/>
    <w:rsid w:val="00DF372D"/>
    <w:rsid w:val="00E0062A"/>
    <w:rsid w:val="00E03187"/>
    <w:rsid w:val="00E065F0"/>
    <w:rsid w:val="00E10FA5"/>
    <w:rsid w:val="00E114B1"/>
    <w:rsid w:val="00E12C59"/>
    <w:rsid w:val="00E12E08"/>
    <w:rsid w:val="00E20DE8"/>
    <w:rsid w:val="00E244D5"/>
    <w:rsid w:val="00E312A1"/>
    <w:rsid w:val="00E3154C"/>
    <w:rsid w:val="00E34E0A"/>
    <w:rsid w:val="00E35278"/>
    <w:rsid w:val="00E35AAF"/>
    <w:rsid w:val="00E361DA"/>
    <w:rsid w:val="00E36C84"/>
    <w:rsid w:val="00E43192"/>
    <w:rsid w:val="00E432DD"/>
    <w:rsid w:val="00E43545"/>
    <w:rsid w:val="00E460FA"/>
    <w:rsid w:val="00E47D94"/>
    <w:rsid w:val="00E50C6B"/>
    <w:rsid w:val="00E51A5F"/>
    <w:rsid w:val="00E53551"/>
    <w:rsid w:val="00E60D0B"/>
    <w:rsid w:val="00E63071"/>
    <w:rsid w:val="00E65011"/>
    <w:rsid w:val="00E70224"/>
    <w:rsid w:val="00E7604A"/>
    <w:rsid w:val="00E76082"/>
    <w:rsid w:val="00E76B69"/>
    <w:rsid w:val="00E83CEA"/>
    <w:rsid w:val="00E84453"/>
    <w:rsid w:val="00E8504F"/>
    <w:rsid w:val="00E8799F"/>
    <w:rsid w:val="00E91CCC"/>
    <w:rsid w:val="00E92156"/>
    <w:rsid w:val="00E928A7"/>
    <w:rsid w:val="00E93E6F"/>
    <w:rsid w:val="00E94352"/>
    <w:rsid w:val="00E94A66"/>
    <w:rsid w:val="00E94C65"/>
    <w:rsid w:val="00E951F2"/>
    <w:rsid w:val="00E967CE"/>
    <w:rsid w:val="00E97D2F"/>
    <w:rsid w:val="00EA1F73"/>
    <w:rsid w:val="00EA2A67"/>
    <w:rsid w:val="00EA31BB"/>
    <w:rsid w:val="00EA6489"/>
    <w:rsid w:val="00EA6AD4"/>
    <w:rsid w:val="00EB163F"/>
    <w:rsid w:val="00EB23A1"/>
    <w:rsid w:val="00EB35ED"/>
    <w:rsid w:val="00EB3AE1"/>
    <w:rsid w:val="00EB5B45"/>
    <w:rsid w:val="00EB5C6E"/>
    <w:rsid w:val="00EC1209"/>
    <w:rsid w:val="00EC4237"/>
    <w:rsid w:val="00ED1AD7"/>
    <w:rsid w:val="00ED23B6"/>
    <w:rsid w:val="00ED2932"/>
    <w:rsid w:val="00ED325F"/>
    <w:rsid w:val="00ED438E"/>
    <w:rsid w:val="00ED45F8"/>
    <w:rsid w:val="00ED4CAC"/>
    <w:rsid w:val="00ED5CDC"/>
    <w:rsid w:val="00ED67FD"/>
    <w:rsid w:val="00ED6AD5"/>
    <w:rsid w:val="00EE0D26"/>
    <w:rsid w:val="00EE1A86"/>
    <w:rsid w:val="00EE1D96"/>
    <w:rsid w:val="00EE3C36"/>
    <w:rsid w:val="00EE3DFC"/>
    <w:rsid w:val="00EE4644"/>
    <w:rsid w:val="00EE51C8"/>
    <w:rsid w:val="00F000A8"/>
    <w:rsid w:val="00F01435"/>
    <w:rsid w:val="00F029C0"/>
    <w:rsid w:val="00F0666F"/>
    <w:rsid w:val="00F073F6"/>
    <w:rsid w:val="00F07453"/>
    <w:rsid w:val="00F10CC6"/>
    <w:rsid w:val="00F1348F"/>
    <w:rsid w:val="00F1472C"/>
    <w:rsid w:val="00F2015B"/>
    <w:rsid w:val="00F20D68"/>
    <w:rsid w:val="00F219E6"/>
    <w:rsid w:val="00F21B0A"/>
    <w:rsid w:val="00F24F98"/>
    <w:rsid w:val="00F27D51"/>
    <w:rsid w:val="00F30415"/>
    <w:rsid w:val="00F30723"/>
    <w:rsid w:val="00F308BA"/>
    <w:rsid w:val="00F31304"/>
    <w:rsid w:val="00F31A7D"/>
    <w:rsid w:val="00F322B9"/>
    <w:rsid w:val="00F3234C"/>
    <w:rsid w:val="00F33E60"/>
    <w:rsid w:val="00F34CEF"/>
    <w:rsid w:val="00F35EA2"/>
    <w:rsid w:val="00F37489"/>
    <w:rsid w:val="00F40461"/>
    <w:rsid w:val="00F40B72"/>
    <w:rsid w:val="00F41A58"/>
    <w:rsid w:val="00F41F1E"/>
    <w:rsid w:val="00F476C4"/>
    <w:rsid w:val="00F5204F"/>
    <w:rsid w:val="00F54227"/>
    <w:rsid w:val="00F54D9E"/>
    <w:rsid w:val="00F55051"/>
    <w:rsid w:val="00F60870"/>
    <w:rsid w:val="00F61BA4"/>
    <w:rsid w:val="00F61E0F"/>
    <w:rsid w:val="00F64D33"/>
    <w:rsid w:val="00F6622A"/>
    <w:rsid w:val="00F67A6E"/>
    <w:rsid w:val="00F704E6"/>
    <w:rsid w:val="00F70596"/>
    <w:rsid w:val="00F71CE3"/>
    <w:rsid w:val="00F7281E"/>
    <w:rsid w:val="00F730BE"/>
    <w:rsid w:val="00F732EF"/>
    <w:rsid w:val="00F74B90"/>
    <w:rsid w:val="00F75D96"/>
    <w:rsid w:val="00F8657C"/>
    <w:rsid w:val="00F94DA1"/>
    <w:rsid w:val="00F97CC4"/>
    <w:rsid w:val="00F97E13"/>
    <w:rsid w:val="00FA31EC"/>
    <w:rsid w:val="00FA3A67"/>
    <w:rsid w:val="00FA6BAC"/>
    <w:rsid w:val="00FA7F45"/>
    <w:rsid w:val="00FB07E1"/>
    <w:rsid w:val="00FB5EDE"/>
    <w:rsid w:val="00FB72A0"/>
    <w:rsid w:val="00FB7DC2"/>
    <w:rsid w:val="00FB7FDB"/>
    <w:rsid w:val="00FC0B08"/>
    <w:rsid w:val="00FC0C0B"/>
    <w:rsid w:val="00FC6ECA"/>
    <w:rsid w:val="00FD323C"/>
    <w:rsid w:val="00FD62C4"/>
    <w:rsid w:val="00FD7EDB"/>
    <w:rsid w:val="00FE0A38"/>
    <w:rsid w:val="00FE148A"/>
    <w:rsid w:val="00FE422A"/>
    <w:rsid w:val="00FE4AB0"/>
    <w:rsid w:val="00FE578A"/>
    <w:rsid w:val="00FF30AB"/>
    <w:rsid w:val="00FF38F1"/>
    <w:rsid w:val="00FF3B41"/>
    <w:rsid w:val="00FF5DBC"/>
    <w:rsid w:val="00FF67B1"/>
    <w:rsid w:val="00FF6E3F"/>
    <w:rsid w:val="06891E64"/>
    <w:rsid w:val="0AF537F7"/>
    <w:rsid w:val="0BED3C0C"/>
    <w:rsid w:val="0D3215F3"/>
    <w:rsid w:val="11865538"/>
    <w:rsid w:val="13293D54"/>
    <w:rsid w:val="167673B0"/>
    <w:rsid w:val="17B60E7C"/>
    <w:rsid w:val="197631A4"/>
    <w:rsid w:val="1A75014B"/>
    <w:rsid w:val="26460FDE"/>
    <w:rsid w:val="26E26B29"/>
    <w:rsid w:val="29975E6D"/>
    <w:rsid w:val="2F3E0AF0"/>
    <w:rsid w:val="30CC7A3D"/>
    <w:rsid w:val="35725B06"/>
    <w:rsid w:val="41DE0BB2"/>
    <w:rsid w:val="497A08F5"/>
    <w:rsid w:val="4EA87C08"/>
    <w:rsid w:val="52AA3B9E"/>
    <w:rsid w:val="52AD5392"/>
    <w:rsid w:val="54C5041E"/>
    <w:rsid w:val="55F247C2"/>
    <w:rsid w:val="5B5F7785"/>
    <w:rsid w:val="5FE745E7"/>
    <w:rsid w:val="68A252B7"/>
    <w:rsid w:val="6D675A56"/>
    <w:rsid w:val="6F644D37"/>
    <w:rsid w:val="776268BF"/>
    <w:rsid w:val="7A52276C"/>
    <w:rsid w:val="7AAB6D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iPriority="99"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6"/>
    <w:qFormat/>
    <w:uiPriority w:val="9"/>
    <w:pPr>
      <w:keepNext/>
      <w:keepLines/>
      <w:spacing w:before="340" w:after="330" w:line="360" w:lineRule="auto"/>
      <w:jc w:val="center"/>
      <w:outlineLvl w:val="0"/>
    </w:pPr>
    <w:rPr>
      <w:rFonts w:ascii="Times New Roman" w:hAnsi="Times New Roman"/>
      <w:b/>
      <w:bCs/>
      <w:kern w:val="44"/>
      <w:sz w:val="32"/>
      <w:szCs w:val="44"/>
    </w:rPr>
  </w:style>
  <w:style w:type="paragraph" w:styleId="3">
    <w:name w:val="heading 2"/>
    <w:basedOn w:val="1"/>
    <w:next w:val="1"/>
    <w:link w:val="37"/>
    <w:unhideWhenUsed/>
    <w:qFormat/>
    <w:uiPriority w:val="9"/>
    <w:pPr>
      <w:keepNext/>
      <w:keepLines/>
      <w:spacing w:line="360" w:lineRule="auto"/>
      <w:outlineLvl w:val="1"/>
    </w:pPr>
    <w:rPr>
      <w:rFonts w:ascii="Times New Roman" w:hAnsi="Times New Roman" w:eastAsiaTheme="majorEastAsia" w:cstheme="majorBidi"/>
      <w:b/>
      <w:bCs/>
      <w:sz w:val="30"/>
      <w:szCs w:val="32"/>
    </w:rPr>
  </w:style>
  <w:style w:type="paragraph" w:styleId="4">
    <w:name w:val="heading 3"/>
    <w:basedOn w:val="1"/>
    <w:next w:val="1"/>
    <w:link w:val="40"/>
    <w:unhideWhenUsed/>
    <w:qFormat/>
    <w:uiPriority w:val="9"/>
    <w:pPr>
      <w:keepNext/>
      <w:keepLines/>
      <w:spacing w:line="360" w:lineRule="auto"/>
      <w:outlineLvl w:val="2"/>
    </w:pPr>
    <w:rPr>
      <w:rFonts w:ascii="Times New Roman" w:hAnsi="Times New Roman"/>
      <w:b/>
      <w:bCs/>
      <w:sz w:val="28"/>
      <w:szCs w:val="32"/>
    </w:rPr>
  </w:style>
  <w:style w:type="paragraph" w:styleId="5">
    <w:name w:val="heading 4"/>
    <w:basedOn w:val="1"/>
    <w:next w:val="1"/>
    <w:link w:val="56"/>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unhideWhenUsed/>
    <w:qFormat/>
    <w:uiPriority w:val="39"/>
    <w:pPr>
      <w:ind w:left="2520" w:leftChars="1200"/>
    </w:pPr>
  </w:style>
  <w:style w:type="paragraph" w:styleId="7">
    <w:name w:val="Normal Indent"/>
    <w:basedOn w:val="1"/>
    <w:link w:val="57"/>
    <w:qFormat/>
    <w:uiPriority w:val="0"/>
    <w:pPr>
      <w:widowControl/>
      <w:spacing w:before="60" w:line="360" w:lineRule="auto"/>
      <w:ind w:firstLine="420" w:firstLineChars="200"/>
    </w:pPr>
    <w:rPr>
      <w:rFonts w:ascii="Times New Roman" w:hAnsi="Times New Roman" w:eastAsia="宋体" w:cs="Times New Roman"/>
      <w:kern w:val="0"/>
      <w:sz w:val="24"/>
      <w:szCs w:val="20"/>
    </w:rPr>
  </w:style>
  <w:style w:type="paragraph" w:styleId="8">
    <w:name w:val="List Bullet"/>
    <w:basedOn w:val="1"/>
    <w:unhideWhenUsed/>
    <w:qFormat/>
    <w:uiPriority w:val="99"/>
    <w:pPr>
      <w:numPr>
        <w:ilvl w:val="0"/>
        <w:numId w:val="1"/>
      </w:numPr>
      <w:contextualSpacing/>
    </w:pPr>
  </w:style>
  <w:style w:type="paragraph" w:styleId="9">
    <w:name w:val="annotation text"/>
    <w:basedOn w:val="1"/>
    <w:link w:val="72"/>
    <w:semiHidden/>
    <w:unhideWhenUsed/>
    <w:qFormat/>
    <w:uiPriority w:val="99"/>
    <w:pPr>
      <w:jc w:val="left"/>
    </w:pPr>
  </w:style>
  <w:style w:type="paragraph" w:styleId="10">
    <w:name w:val="Body Text 3"/>
    <w:basedOn w:val="1"/>
    <w:link w:val="42"/>
    <w:qFormat/>
    <w:uiPriority w:val="0"/>
    <w:pPr>
      <w:widowControl/>
      <w:spacing w:before="60" w:after="120" w:line="360" w:lineRule="auto"/>
    </w:pPr>
    <w:rPr>
      <w:rFonts w:ascii="Times New Roman" w:hAnsi="Times New Roman" w:eastAsia="宋体" w:cs="Times New Roman"/>
      <w:kern w:val="0"/>
      <w:sz w:val="16"/>
      <w:szCs w:val="16"/>
    </w:rPr>
  </w:style>
  <w:style w:type="paragraph" w:styleId="11">
    <w:name w:val="toc 5"/>
    <w:basedOn w:val="1"/>
    <w:next w:val="1"/>
    <w:unhideWhenUsed/>
    <w:qFormat/>
    <w:uiPriority w:val="39"/>
    <w:pPr>
      <w:ind w:left="1680" w:leftChars="800"/>
    </w:pPr>
  </w:style>
  <w:style w:type="paragraph" w:styleId="12">
    <w:name w:val="toc 3"/>
    <w:basedOn w:val="1"/>
    <w:next w:val="1"/>
    <w:unhideWhenUsed/>
    <w:qFormat/>
    <w:uiPriority w:val="39"/>
    <w:pPr>
      <w:ind w:left="840" w:leftChars="400"/>
    </w:pPr>
  </w:style>
  <w:style w:type="paragraph" w:styleId="13">
    <w:name w:val="Plain Text"/>
    <w:basedOn w:val="1"/>
    <w:link w:val="59"/>
    <w:qFormat/>
    <w:uiPriority w:val="0"/>
    <w:pPr>
      <w:widowControl/>
      <w:spacing w:before="60" w:line="360" w:lineRule="auto"/>
    </w:pPr>
    <w:rPr>
      <w:rFonts w:ascii="宋体" w:hAnsi="Courier New" w:eastAsia="宋体" w:cs="Courier New"/>
      <w:kern w:val="0"/>
      <w:szCs w:val="21"/>
    </w:rPr>
  </w:style>
  <w:style w:type="paragraph" w:styleId="14">
    <w:name w:val="toc 8"/>
    <w:basedOn w:val="1"/>
    <w:next w:val="1"/>
    <w:unhideWhenUsed/>
    <w:qFormat/>
    <w:uiPriority w:val="39"/>
    <w:pPr>
      <w:ind w:left="2940" w:leftChars="1400"/>
    </w:pPr>
  </w:style>
  <w:style w:type="paragraph" w:styleId="15">
    <w:name w:val="Body Text Indent 2"/>
    <w:basedOn w:val="1"/>
    <w:link w:val="58"/>
    <w:qFormat/>
    <w:uiPriority w:val="0"/>
    <w:pPr>
      <w:widowControl/>
      <w:spacing w:before="60" w:after="120" w:line="480" w:lineRule="auto"/>
      <w:ind w:left="420" w:leftChars="200"/>
    </w:pPr>
    <w:rPr>
      <w:rFonts w:ascii="Times New Roman" w:hAnsi="Times New Roman" w:eastAsia="宋体" w:cs="Times New Roman"/>
      <w:kern w:val="0"/>
      <w:sz w:val="24"/>
      <w:szCs w:val="20"/>
    </w:rPr>
  </w:style>
  <w:style w:type="paragraph" w:styleId="16">
    <w:name w:val="Balloon Text"/>
    <w:basedOn w:val="1"/>
    <w:link w:val="74"/>
    <w:semiHidden/>
    <w:unhideWhenUsed/>
    <w:qFormat/>
    <w:uiPriority w:val="99"/>
    <w:rPr>
      <w:sz w:val="18"/>
      <w:szCs w:val="18"/>
    </w:rPr>
  </w:style>
  <w:style w:type="paragraph" w:styleId="17">
    <w:name w:val="footer"/>
    <w:basedOn w:val="1"/>
    <w:link w:val="35"/>
    <w:unhideWhenUsed/>
    <w:qFormat/>
    <w:uiPriority w:val="99"/>
    <w:pPr>
      <w:tabs>
        <w:tab w:val="center" w:pos="4153"/>
        <w:tab w:val="right" w:pos="8306"/>
      </w:tabs>
      <w:snapToGrid w:val="0"/>
      <w:jc w:val="left"/>
    </w:pPr>
    <w:rPr>
      <w:sz w:val="18"/>
      <w:szCs w:val="18"/>
    </w:rPr>
  </w:style>
  <w:style w:type="paragraph" w:styleId="18">
    <w:name w:val="header"/>
    <w:basedOn w:val="1"/>
    <w:link w:val="34"/>
    <w:unhideWhenUsed/>
    <w:qFormat/>
    <w:uiPriority w:val="0"/>
    <w:pPr>
      <w:pBdr>
        <w:bottom w:val="single" w:color="auto" w:sz="6" w:space="1"/>
      </w:pBdr>
      <w:tabs>
        <w:tab w:val="center" w:pos="4153"/>
        <w:tab w:val="right" w:pos="8306"/>
      </w:tabs>
      <w:snapToGrid w:val="0"/>
      <w:jc w:val="center"/>
    </w:pPr>
    <w:rPr>
      <w:sz w:val="18"/>
      <w:szCs w:val="18"/>
    </w:rPr>
  </w:style>
  <w:style w:type="paragraph" w:styleId="19">
    <w:name w:val="toc 1"/>
    <w:basedOn w:val="1"/>
    <w:next w:val="1"/>
    <w:unhideWhenUsed/>
    <w:qFormat/>
    <w:uiPriority w:val="39"/>
  </w:style>
  <w:style w:type="paragraph" w:styleId="20">
    <w:name w:val="toc 4"/>
    <w:basedOn w:val="1"/>
    <w:next w:val="1"/>
    <w:unhideWhenUsed/>
    <w:qFormat/>
    <w:uiPriority w:val="39"/>
    <w:pPr>
      <w:ind w:left="1260" w:leftChars="600"/>
    </w:pPr>
  </w:style>
  <w:style w:type="paragraph" w:styleId="21">
    <w:name w:val="toc 6"/>
    <w:basedOn w:val="1"/>
    <w:next w:val="1"/>
    <w:unhideWhenUsed/>
    <w:qFormat/>
    <w:uiPriority w:val="39"/>
    <w:pPr>
      <w:ind w:left="2100" w:leftChars="1000"/>
    </w:pPr>
  </w:style>
  <w:style w:type="paragraph" w:styleId="22">
    <w:name w:val="toc 2"/>
    <w:basedOn w:val="1"/>
    <w:next w:val="1"/>
    <w:unhideWhenUsed/>
    <w:qFormat/>
    <w:uiPriority w:val="39"/>
    <w:pPr>
      <w:ind w:left="420" w:leftChars="200"/>
    </w:pPr>
  </w:style>
  <w:style w:type="paragraph" w:styleId="23">
    <w:name w:val="toc 9"/>
    <w:basedOn w:val="1"/>
    <w:next w:val="1"/>
    <w:unhideWhenUsed/>
    <w:qFormat/>
    <w:uiPriority w:val="39"/>
    <w:pPr>
      <w:ind w:left="3360" w:leftChars="1600"/>
    </w:pPr>
  </w:style>
  <w:style w:type="paragraph" w:styleId="24">
    <w:name w:val="Body Text 2"/>
    <w:basedOn w:val="1"/>
    <w:link w:val="44"/>
    <w:qFormat/>
    <w:uiPriority w:val="0"/>
    <w:pPr>
      <w:widowControl/>
      <w:spacing w:before="60" w:after="120" w:line="480" w:lineRule="auto"/>
    </w:pPr>
    <w:rPr>
      <w:rFonts w:ascii="Times New Roman" w:hAnsi="Times New Roman" w:eastAsia="宋体" w:cs="Times New Roman"/>
      <w:kern w:val="0"/>
      <w:sz w:val="24"/>
      <w:szCs w:val="20"/>
    </w:rPr>
  </w:style>
  <w:style w:type="paragraph" w:styleId="25">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26">
    <w:name w:val="Title"/>
    <w:basedOn w:val="1"/>
    <w:next w:val="1"/>
    <w:link w:val="38"/>
    <w:qFormat/>
    <w:uiPriority w:val="10"/>
    <w:pPr>
      <w:spacing w:before="100" w:beforeAutospacing="1" w:after="100" w:afterAutospacing="1" w:line="360" w:lineRule="auto"/>
      <w:outlineLvl w:val="0"/>
    </w:pPr>
    <w:rPr>
      <w:rFonts w:ascii="Times New Roman" w:hAnsi="Times New Roman" w:eastAsia="宋体" w:cstheme="majorBidi"/>
      <w:b/>
      <w:bCs/>
      <w:sz w:val="28"/>
      <w:szCs w:val="32"/>
    </w:rPr>
  </w:style>
  <w:style w:type="paragraph" w:styleId="27">
    <w:name w:val="annotation subject"/>
    <w:basedOn w:val="9"/>
    <w:next w:val="9"/>
    <w:link w:val="73"/>
    <w:semiHidden/>
    <w:unhideWhenUsed/>
    <w:qFormat/>
    <w:uiPriority w:val="99"/>
    <w:rPr>
      <w:b/>
      <w:bCs/>
    </w:rPr>
  </w:style>
  <w:style w:type="table" w:styleId="29">
    <w:name w:val="Table Grid"/>
    <w:basedOn w:val="28"/>
    <w:qFormat/>
    <w:uiPriority w:val="39"/>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page number"/>
    <w:qFormat/>
    <w:uiPriority w:val="0"/>
    <w:rPr>
      <w:sz w:val="21"/>
    </w:rPr>
  </w:style>
  <w:style w:type="character" w:styleId="32">
    <w:name w:val="Hyperlink"/>
    <w:basedOn w:val="30"/>
    <w:unhideWhenUsed/>
    <w:qFormat/>
    <w:uiPriority w:val="99"/>
    <w:rPr>
      <w:color w:val="0563C1" w:themeColor="hyperlink"/>
      <w:u w:val="single"/>
      <w14:textFill>
        <w14:solidFill>
          <w14:schemeClr w14:val="hlink"/>
        </w14:solidFill>
      </w14:textFill>
    </w:rPr>
  </w:style>
  <w:style w:type="character" w:styleId="33">
    <w:name w:val="annotation reference"/>
    <w:basedOn w:val="30"/>
    <w:semiHidden/>
    <w:unhideWhenUsed/>
    <w:qFormat/>
    <w:uiPriority w:val="99"/>
    <w:rPr>
      <w:sz w:val="21"/>
      <w:szCs w:val="21"/>
    </w:rPr>
  </w:style>
  <w:style w:type="character" w:customStyle="1" w:styleId="34">
    <w:name w:val="页眉 字符"/>
    <w:basedOn w:val="30"/>
    <w:link w:val="18"/>
    <w:qFormat/>
    <w:uiPriority w:val="99"/>
    <w:rPr>
      <w:sz w:val="18"/>
      <w:szCs w:val="18"/>
    </w:rPr>
  </w:style>
  <w:style w:type="character" w:customStyle="1" w:styleId="35">
    <w:name w:val="页脚 字符"/>
    <w:basedOn w:val="30"/>
    <w:link w:val="17"/>
    <w:qFormat/>
    <w:uiPriority w:val="99"/>
    <w:rPr>
      <w:sz w:val="18"/>
      <w:szCs w:val="18"/>
    </w:rPr>
  </w:style>
  <w:style w:type="character" w:customStyle="1" w:styleId="36">
    <w:name w:val="标题 1 字符"/>
    <w:basedOn w:val="30"/>
    <w:link w:val="2"/>
    <w:qFormat/>
    <w:uiPriority w:val="9"/>
    <w:rPr>
      <w:rFonts w:ascii="Times New Roman" w:hAnsi="Times New Roman"/>
      <w:b/>
      <w:bCs/>
      <w:kern w:val="44"/>
      <w:sz w:val="32"/>
      <w:szCs w:val="44"/>
    </w:rPr>
  </w:style>
  <w:style w:type="character" w:customStyle="1" w:styleId="37">
    <w:name w:val="标题 2 字符"/>
    <w:basedOn w:val="30"/>
    <w:link w:val="3"/>
    <w:qFormat/>
    <w:uiPriority w:val="9"/>
    <w:rPr>
      <w:rFonts w:ascii="Times New Roman" w:hAnsi="Times New Roman" w:eastAsiaTheme="majorEastAsia" w:cstheme="majorBidi"/>
      <w:b/>
      <w:bCs/>
      <w:sz w:val="30"/>
      <w:szCs w:val="32"/>
    </w:rPr>
  </w:style>
  <w:style w:type="character" w:customStyle="1" w:styleId="38">
    <w:name w:val="标题 字符"/>
    <w:basedOn w:val="30"/>
    <w:link w:val="26"/>
    <w:qFormat/>
    <w:uiPriority w:val="10"/>
    <w:rPr>
      <w:rFonts w:ascii="Times New Roman" w:hAnsi="Times New Roman" w:eastAsia="宋体" w:cstheme="majorBidi"/>
      <w:b/>
      <w:bCs/>
      <w:sz w:val="28"/>
      <w:szCs w:val="32"/>
    </w:rPr>
  </w:style>
  <w:style w:type="paragraph" w:customStyle="1" w:styleId="39">
    <w:name w:val="Char Char Char Char Char Char Char Char Char Char Char Char Char Char Char Char Char Char1 Char Char Char Char"/>
    <w:basedOn w:val="1"/>
    <w:qFormat/>
    <w:uiPriority w:val="0"/>
    <w:rPr>
      <w:rFonts w:ascii="Times New Roman" w:hAnsi="Times New Roman" w:eastAsia="宋体" w:cs="Times New Roman"/>
      <w:szCs w:val="24"/>
    </w:rPr>
  </w:style>
  <w:style w:type="character" w:customStyle="1" w:styleId="40">
    <w:name w:val="标题 3 字符"/>
    <w:basedOn w:val="30"/>
    <w:link w:val="4"/>
    <w:qFormat/>
    <w:uiPriority w:val="9"/>
    <w:rPr>
      <w:rFonts w:ascii="Times New Roman" w:hAnsi="Times New Roman"/>
      <w:b/>
      <w:bCs/>
      <w:sz w:val="28"/>
      <w:szCs w:val="32"/>
    </w:rPr>
  </w:style>
  <w:style w:type="character" w:customStyle="1" w:styleId="41">
    <w:name w:val="不明显强调1"/>
    <w:basedOn w:val="30"/>
    <w:qFormat/>
    <w:uiPriority w:val="19"/>
    <w:rPr>
      <w:i/>
      <w:iCs/>
      <w:color w:val="404040" w:themeColor="text1" w:themeTint="BF"/>
      <w14:textFill>
        <w14:solidFill>
          <w14:schemeClr w14:val="tx1">
            <w14:lumMod w14:val="75000"/>
            <w14:lumOff w14:val="25000"/>
          </w14:schemeClr>
        </w14:solidFill>
      </w14:textFill>
    </w:rPr>
  </w:style>
  <w:style w:type="character" w:customStyle="1" w:styleId="42">
    <w:name w:val="正文文本 3 字符"/>
    <w:link w:val="10"/>
    <w:qFormat/>
    <w:uiPriority w:val="0"/>
    <w:rPr>
      <w:rFonts w:ascii="Times New Roman" w:hAnsi="Times New Roman" w:eastAsia="宋体" w:cs="Times New Roman"/>
      <w:kern w:val="0"/>
      <w:sz w:val="16"/>
      <w:szCs w:val="16"/>
    </w:rPr>
  </w:style>
  <w:style w:type="character" w:customStyle="1" w:styleId="43">
    <w:name w:val="页眉 Char1"/>
    <w:qFormat/>
    <w:uiPriority w:val="0"/>
    <w:rPr>
      <w:rFonts w:ascii="Times New Roman" w:hAnsi="Times New Roman" w:eastAsia="宋体" w:cs="Times New Roman"/>
      <w:kern w:val="0"/>
      <w:sz w:val="18"/>
      <w:szCs w:val="18"/>
    </w:rPr>
  </w:style>
  <w:style w:type="character" w:customStyle="1" w:styleId="44">
    <w:name w:val="正文文本 2 字符"/>
    <w:link w:val="24"/>
    <w:qFormat/>
    <w:uiPriority w:val="0"/>
    <w:rPr>
      <w:rFonts w:ascii="Times New Roman" w:hAnsi="Times New Roman" w:eastAsia="宋体" w:cs="Times New Roman"/>
      <w:kern w:val="0"/>
      <w:sz w:val="24"/>
      <w:szCs w:val="20"/>
    </w:rPr>
  </w:style>
  <w:style w:type="character" w:customStyle="1" w:styleId="45">
    <w:name w:val="正文文本 2 Char1"/>
    <w:basedOn w:val="30"/>
    <w:semiHidden/>
    <w:qFormat/>
    <w:uiPriority w:val="99"/>
  </w:style>
  <w:style w:type="character" w:customStyle="1" w:styleId="46">
    <w:name w:val="正文文本 3 Char1"/>
    <w:basedOn w:val="30"/>
    <w:semiHidden/>
    <w:qFormat/>
    <w:uiPriority w:val="99"/>
    <w:rPr>
      <w:sz w:val="16"/>
      <w:szCs w:val="16"/>
    </w:rPr>
  </w:style>
  <w:style w:type="paragraph" w:customStyle="1" w:styleId="47">
    <w:name w:val="样式 样式24 +"/>
    <w:basedOn w:val="1"/>
    <w:qFormat/>
    <w:uiPriority w:val="0"/>
    <w:pPr>
      <w:spacing w:line="300" w:lineRule="exact"/>
      <w:ind w:left="-120" w:leftChars="-50" w:right="-120" w:rightChars="-50"/>
      <w:jc w:val="center"/>
    </w:pPr>
    <w:rPr>
      <w:rFonts w:ascii="Times New Roman" w:hAnsi="Times New Roman" w:eastAsia="华文中宋" w:cs="Times New Roman"/>
      <w:kern w:val="0"/>
      <w:szCs w:val="21"/>
    </w:rPr>
  </w:style>
  <w:style w:type="character" w:customStyle="1" w:styleId="48">
    <w:name w:val="表文 Char2"/>
    <w:basedOn w:val="30"/>
    <w:link w:val="49"/>
    <w:qFormat/>
    <w:uiPriority w:val="0"/>
    <w:rPr>
      <w:rFonts w:eastAsia="宋体"/>
      <w:snapToGrid w:val="0"/>
      <w:sz w:val="18"/>
      <w:szCs w:val="18"/>
    </w:rPr>
  </w:style>
  <w:style w:type="paragraph" w:customStyle="1" w:styleId="49">
    <w:name w:val="表文"/>
    <w:basedOn w:val="1"/>
    <w:link w:val="48"/>
    <w:qFormat/>
    <w:uiPriority w:val="0"/>
    <w:pPr>
      <w:adjustRightInd w:val="0"/>
      <w:snapToGrid w:val="0"/>
      <w:spacing w:before="93" w:beforeLines="30" w:after="31" w:afterLines="10"/>
      <w:jc w:val="center"/>
      <w:textAlignment w:val="baseline"/>
    </w:pPr>
    <w:rPr>
      <w:rFonts w:eastAsia="宋体"/>
      <w:snapToGrid w:val="0"/>
      <w:sz w:val="18"/>
      <w:szCs w:val="18"/>
    </w:rPr>
  </w:style>
  <w:style w:type="paragraph" w:customStyle="1" w:styleId="50">
    <w:name w:val="表文居中"/>
    <w:basedOn w:val="49"/>
    <w:qFormat/>
    <w:uiPriority w:val="0"/>
    <w:pPr>
      <w:overflowPunct w:val="0"/>
      <w:adjustRightInd/>
      <w:snapToGrid/>
      <w:spacing w:before="0" w:beforeLines="0" w:after="0" w:afterLines="0"/>
      <w:jc w:val="both"/>
    </w:pPr>
    <w:rPr>
      <w:snapToGrid/>
      <w:sz w:val="21"/>
      <w:szCs w:val="20"/>
    </w:rPr>
  </w:style>
  <w:style w:type="paragraph" w:customStyle="1" w:styleId="51">
    <w:name w:val="Char Char Char Char Char Char Char Char Char Char Char Char Char Char Char Char Char Char1 Char Char Char Char1"/>
    <w:basedOn w:val="1"/>
    <w:qFormat/>
    <w:uiPriority w:val="0"/>
    <w:rPr>
      <w:rFonts w:ascii="Times New Roman" w:hAnsi="Times New Roman" w:eastAsia="宋体" w:cs="Times New Roman"/>
      <w:szCs w:val="24"/>
    </w:rPr>
  </w:style>
  <w:style w:type="character" w:customStyle="1" w:styleId="52">
    <w:name w:val="正文文字1 Char Char"/>
    <w:link w:val="53"/>
    <w:qFormat/>
    <w:uiPriority w:val="0"/>
    <w:rPr>
      <w:rFonts w:eastAsia="华文中宋"/>
      <w:sz w:val="24"/>
      <w:szCs w:val="24"/>
    </w:rPr>
  </w:style>
  <w:style w:type="paragraph" w:customStyle="1" w:styleId="53">
    <w:name w:val="正文文字1"/>
    <w:basedOn w:val="1"/>
    <w:link w:val="52"/>
    <w:qFormat/>
    <w:uiPriority w:val="0"/>
    <w:pPr>
      <w:spacing w:line="300" w:lineRule="auto"/>
      <w:ind w:firstLine="480" w:firstLineChars="200"/>
    </w:pPr>
    <w:rPr>
      <w:rFonts w:eastAsia="华文中宋"/>
      <w:sz w:val="24"/>
      <w:szCs w:val="24"/>
    </w:rPr>
  </w:style>
  <w:style w:type="paragraph" w:customStyle="1" w:styleId="54">
    <w:name w:val="样式 样式 首行缩进:  2 字符 + 首行缩进:  2 字符"/>
    <w:basedOn w:val="1"/>
    <w:qFormat/>
    <w:uiPriority w:val="0"/>
    <w:pPr>
      <w:widowControl/>
      <w:spacing w:before="60" w:line="360" w:lineRule="auto"/>
      <w:ind w:firstLine="480" w:firstLineChars="200"/>
    </w:pPr>
    <w:rPr>
      <w:rFonts w:ascii="Times New Roman" w:hAnsi="Times New Roman" w:eastAsia="宋体" w:cs="宋体"/>
      <w:sz w:val="24"/>
      <w:szCs w:val="20"/>
    </w:rPr>
  </w:style>
  <w:style w:type="paragraph" w:customStyle="1" w:styleId="55">
    <w:name w:val="Char Char Char Char Char Char Char Char Char Char Char Char Char Char Char Char Char Char1 Char Char Char Char2"/>
    <w:basedOn w:val="1"/>
    <w:qFormat/>
    <w:uiPriority w:val="0"/>
    <w:rPr>
      <w:rFonts w:ascii="Times New Roman" w:hAnsi="Times New Roman" w:eastAsia="宋体" w:cs="Times New Roman"/>
      <w:szCs w:val="24"/>
    </w:rPr>
  </w:style>
  <w:style w:type="character" w:customStyle="1" w:styleId="56">
    <w:name w:val="标题 4 字符"/>
    <w:basedOn w:val="30"/>
    <w:link w:val="5"/>
    <w:semiHidden/>
    <w:qFormat/>
    <w:uiPriority w:val="9"/>
    <w:rPr>
      <w:rFonts w:asciiTheme="majorHAnsi" w:hAnsiTheme="majorHAnsi" w:eastAsiaTheme="majorEastAsia" w:cstheme="majorBidi"/>
      <w:b/>
      <w:bCs/>
      <w:sz w:val="28"/>
      <w:szCs w:val="28"/>
    </w:rPr>
  </w:style>
  <w:style w:type="character" w:customStyle="1" w:styleId="57">
    <w:name w:val="正文缩进 字符"/>
    <w:link w:val="7"/>
    <w:qFormat/>
    <w:uiPriority w:val="0"/>
    <w:rPr>
      <w:rFonts w:ascii="Times New Roman" w:hAnsi="Times New Roman" w:eastAsia="宋体" w:cs="Times New Roman"/>
      <w:kern w:val="0"/>
      <w:sz w:val="24"/>
      <w:szCs w:val="20"/>
    </w:rPr>
  </w:style>
  <w:style w:type="character" w:customStyle="1" w:styleId="58">
    <w:name w:val="正文文本缩进 2 字符"/>
    <w:link w:val="15"/>
    <w:qFormat/>
    <w:uiPriority w:val="0"/>
    <w:rPr>
      <w:rFonts w:ascii="Times New Roman" w:hAnsi="Times New Roman" w:eastAsia="宋体" w:cs="Times New Roman"/>
      <w:kern w:val="0"/>
      <w:sz w:val="24"/>
      <w:szCs w:val="20"/>
    </w:rPr>
  </w:style>
  <w:style w:type="character" w:customStyle="1" w:styleId="59">
    <w:name w:val="纯文本 字符"/>
    <w:link w:val="13"/>
    <w:qFormat/>
    <w:uiPriority w:val="0"/>
    <w:rPr>
      <w:rFonts w:ascii="宋体" w:hAnsi="Courier New" w:eastAsia="宋体" w:cs="Courier New"/>
      <w:kern w:val="0"/>
      <w:szCs w:val="21"/>
    </w:rPr>
  </w:style>
  <w:style w:type="character" w:customStyle="1" w:styleId="60">
    <w:name w:val="表格文字 Char"/>
    <w:link w:val="61"/>
    <w:qFormat/>
    <w:uiPriority w:val="0"/>
    <w:rPr>
      <w:rFonts w:ascii="Times New Roman" w:hAnsi="Times New Roman"/>
      <w:sz w:val="18"/>
      <w:lang w:val="en-US" w:eastAsia="zh-CN"/>
    </w:rPr>
  </w:style>
  <w:style w:type="paragraph" w:customStyle="1" w:styleId="61">
    <w:name w:val="表格文字"/>
    <w:link w:val="60"/>
    <w:qFormat/>
    <w:uiPriority w:val="0"/>
    <w:pPr>
      <w:spacing w:before="60" w:line="240" w:lineRule="exact"/>
      <w:jc w:val="center"/>
    </w:pPr>
    <w:rPr>
      <w:rFonts w:ascii="Times New Roman" w:hAnsi="Times New Roman" w:eastAsiaTheme="minorEastAsia" w:cstheme="minorBidi"/>
      <w:kern w:val="2"/>
      <w:sz w:val="18"/>
      <w:szCs w:val="22"/>
      <w:lang w:val="en-US" w:eastAsia="zh-CN" w:bidi="ar-SA"/>
    </w:rPr>
  </w:style>
  <w:style w:type="character" w:customStyle="1" w:styleId="62">
    <w:name w:val="表名 Char3"/>
    <w:link w:val="63"/>
    <w:qFormat/>
    <w:uiPriority w:val="0"/>
    <w:rPr>
      <w:rFonts w:ascii="Arial" w:hAnsi="Arial" w:eastAsia="黑体" w:cs="Times New Roman"/>
      <w:kern w:val="0"/>
      <w:szCs w:val="20"/>
    </w:rPr>
  </w:style>
  <w:style w:type="paragraph" w:customStyle="1" w:styleId="63">
    <w:name w:val="表名"/>
    <w:basedOn w:val="1"/>
    <w:link w:val="62"/>
    <w:qFormat/>
    <w:uiPriority w:val="0"/>
    <w:pPr>
      <w:widowControl/>
      <w:spacing w:before="163"/>
      <w:jc w:val="center"/>
    </w:pPr>
    <w:rPr>
      <w:rFonts w:ascii="Arial" w:hAnsi="Arial" w:eastAsia="黑体" w:cs="Times New Roman"/>
      <w:kern w:val="0"/>
      <w:szCs w:val="20"/>
    </w:rPr>
  </w:style>
  <w:style w:type="character" w:customStyle="1" w:styleId="64">
    <w:name w:val="纯文本 Char"/>
    <w:basedOn w:val="30"/>
    <w:semiHidden/>
    <w:qFormat/>
    <w:uiPriority w:val="99"/>
    <w:rPr>
      <w:rFonts w:ascii="宋体" w:hAnsi="Courier New" w:eastAsia="宋体" w:cs="Courier New"/>
      <w:szCs w:val="21"/>
    </w:rPr>
  </w:style>
  <w:style w:type="character" w:customStyle="1" w:styleId="65">
    <w:name w:val="正文文本缩进 2 Char1"/>
    <w:basedOn w:val="30"/>
    <w:semiHidden/>
    <w:qFormat/>
    <w:uiPriority w:val="99"/>
  </w:style>
  <w:style w:type="paragraph" w:customStyle="1" w:styleId="66">
    <w:name w:val="Char2 Char Char Char Char Char Char1 Char Char Char Char Char Char"/>
    <w:basedOn w:val="1"/>
    <w:qFormat/>
    <w:uiPriority w:val="0"/>
    <w:pPr>
      <w:widowControl/>
      <w:spacing w:before="60" w:line="360" w:lineRule="auto"/>
      <w:ind w:firstLine="200" w:firstLineChars="200"/>
    </w:pPr>
    <w:rPr>
      <w:rFonts w:ascii="宋体" w:hAnsi="宋体" w:eastAsia="宋体" w:cs="宋体"/>
      <w:sz w:val="24"/>
      <w:szCs w:val="24"/>
    </w:rPr>
  </w:style>
  <w:style w:type="paragraph" w:customStyle="1" w:styleId="67">
    <w:name w:val="表格（小）"/>
    <w:basedOn w:val="1"/>
    <w:qFormat/>
    <w:uiPriority w:val="0"/>
    <w:pPr>
      <w:widowControl/>
      <w:snapToGrid w:val="0"/>
      <w:spacing w:before="60"/>
    </w:pPr>
    <w:rPr>
      <w:rFonts w:ascii="Times New Roman" w:hAnsi="Times New Roman" w:eastAsia="宋体" w:cs="Times New Roman"/>
      <w:snapToGrid w:val="0"/>
      <w:kern w:val="0"/>
      <w:szCs w:val="24"/>
    </w:rPr>
  </w:style>
  <w:style w:type="paragraph" w:customStyle="1" w:styleId="68">
    <w:name w:val="列出段落1"/>
    <w:basedOn w:val="1"/>
    <w:qFormat/>
    <w:uiPriority w:val="0"/>
    <w:pPr>
      <w:widowControl/>
      <w:adjustRightInd w:val="0"/>
      <w:spacing w:line="300" w:lineRule="auto"/>
      <w:ind w:firstLine="420" w:firstLineChars="200"/>
      <w:jc w:val="left"/>
      <w:textAlignment w:val="baseline"/>
    </w:pPr>
    <w:rPr>
      <w:rFonts w:ascii="Times New Roman" w:hAnsi="Times New Roman" w:eastAsia="宋体" w:cs="Times New Roman"/>
      <w:sz w:val="24"/>
      <w:szCs w:val="20"/>
    </w:rPr>
  </w:style>
  <w:style w:type="paragraph" w:customStyle="1" w:styleId="69">
    <w:name w:val="Char Char Char Char Char Char Char Char Char Char Char Char Char Char Char Char Char Char1 Char Char Char Char3"/>
    <w:basedOn w:val="1"/>
    <w:qFormat/>
    <w:uiPriority w:val="0"/>
    <w:rPr>
      <w:rFonts w:ascii="Times New Roman" w:hAnsi="Times New Roman" w:eastAsia="宋体" w:cs="Times New Roman"/>
      <w:szCs w:val="24"/>
    </w:rPr>
  </w:style>
  <w:style w:type="paragraph" w:customStyle="1" w:styleId="70">
    <w:name w:val="Char Char Char Char Char Char Char Char Char Char Char Char Char Char Char Char Char Char1 Char Char Char Char4"/>
    <w:basedOn w:val="1"/>
    <w:qFormat/>
    <w:uiPriority w:val="0"/>
    <w:rPr>
      <w:rFonts w:ascii="Times New Roman" w:hAnsi="Times New Roman" w:eastAsia="宋体" w:cs="Times New Roman"/>
      <w:szCs w:val="24"/>
    </w:rPr>
  </w:style>
  <w:style w:type="paragraph" w:customStyle="1" w:styleId="71">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Cs w:val="32"/>
    </w:rPr>
  </w:style>
  <w:style w:type="character" w:customStyle="1" w:styleId="72">
    <w:name w:val="批注文字 字符"/>
    <w:basedOn w:val="30"/>
    <w:link w:val="9"/>
    <w:semiHidden/>
    <w:qFormat/>
    <w:uiPriority w:val="99"/>
  </w:style>
  <w:style w:type="character" w:customStyle="1" w:styleId="73">
    <w:name w:val="批注主题 字符"/>
    <w:basedOn w:val="72"/>
    <w:link w:val="27"/>
    <w:semiHidden/>
    <w:qFormat/>
    <w:uiPriority w:val="99"/>
    <w:rPr>
      <w:b/>
      <w:bCs/>
    </w:rPr>
  </w:style>
  <w:style w:type="character" w:customStyle="1" w:styleId="74">
    <w:name w:val="批注框文本 字符"/>
    <w:basedOn w:val="30"/>
    <w:link w:val="16"/>
    <w:semiHidden/>
    <w:qFormat/>
    <w:uiPriority w:val="99"/>
    <w:rPr>
      <w:sz w:val="18"/>
      <w:szCs w:val="18"/>
    </w:rPr>
  </w:style>
  <w:style w:type="paragraph" w:customStyle="1" w:styleId="75">
    <w:name w:val="样式 表头"/>
    <w:basedOn w:val="1"/>
    <w:qFormat/>
    <w:uiPriority w:val="0"/>
    <w:pPr>
      <w:adjustRightInd w:val="0"/>
      <w:snapToGrid w:val="0"/>
      <w:spacing w:before="240" w:line="300" w:lineRule="auto"/>
      <w:jc w:val="center"/>
    </w:pPr>
    <w:rPr>
      <w:rFonts w:ascii="Times New Roman" w:hAnsi="Times New Roman" w:eastAsia="黑体" w:cs="宋体"/>
      <w:szCs w:val="21"/>
    </w:rPr>
  </w:style>
  <w:style w:type="paragraph" w:customStyle="1" w:styleId="76">
    <w:name w:val="样式1"/>
    <w:basedOn w:val="1"/>
    <w:qFormat/>
    <w:uiPriority w:val="0"/>
    <w:pPr>
      <w:adjustRightInd w:val="0"/>
      <w:snapToGrid w:val="0"/>
      <w:spacing w:line="324" w:lineRule="auto"/>
      <w:ind w:firstLine="454"/>
    </w:pPr>
    <w:rPr>
      <w:rFonts w:ascii="Times New Roman" w:hAnsi="Times New Roman" w:eastAsia="宋体" w:cs="Times New Roman"/>
      <w:sz w:val="24"/>
      <w:szCs w:val="24"/>
      <w:lang w:val="zh-CN"/>
    </w:rPr>
  </w:style>
  <w:style w:type="paragraph" w:styleId="77">
    <w:name w:val="List Paragraph"/>
    <w:basedOn w:val="1"/>
    <w:qFormat/>
    <w:uiPriority w:val="34"/>
    <w:pPr>
      <w:ind w:firstLine="420" w:firstLineChars="200"/>
    </w:pPr>
  </w:style>
  <w:style w:type="character" w:customStyle="1" w:styleId="78">
    <w:name w:val="fontstyle01"/>
    <w:basedOn w:val="30"/>
    <w:qFormat/>
    <w:uiPriority w:val="0"/>
    <w:rPr>
      <w:rFonts w:ascii="TimesNewRomanPSMT" w:hAnsi="TimesNewRomanPSMT" w:eastAsia="TimesNewRomanPSMT" w:cs="TimesNewRomanPSMT"/>
      <w:color w:val="000000"/>
      <w:sz w:val="24"/>
      <w:szCs w:val="24"/>
    </w:rPr>
  </w:style>
  <w:style w:type="character" w:customStyle="1" w:styleId="79">
    <w:name w:val="fontstyle11"/>
    <w:basedOn w:val="30"/>
    <w:qFormat/>
    <w:uiPriority w:val="0"/>
    <w:rPr>
      <w:rFonts w:ascii="宋体" w:hAnsi="宋体" w:eastAsia="宋体" w:cs="宋体"/>
      <w:color w:val="000000"/>
      <w:sz w:val="24"/>
      <w:szCs w:val="24"/>
    </w:rPr>
  </w:style>
  <w:style w:type="character" w:customStyle="1" w:styleId="80">
    <w:name w:val="fontstyle21"/>
    <w:basedOn w:val="30"/>
    <w:qFormat/>
    <w:uiPriority w:val="0"/>
    <w:rPr>
      <w:rFonts w:hint="eastAsia" w:ascii="宋体" w:hAnsi="宋体" w:eastAsia="宋体"/>
      <w:color w:val="000000"/>
      <w:sz w:val="22"/>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367DD35-F565-4100-AE4B-3B4B3D9892AB}">
  <ds:schemaRefs/>
</ds:datastoreItem>
</file>

<file path=docProps/app.xml><?xml version="1.0" encoding="utf-8"?>
<Properties xmlns="http://schemas.openxmlformats.org/officeDocument/2006/extended-properties" xmlns:vt="http://schemas.openxmlformats.org/officeDocument/2006/docPropsVTypes">
  <Template>Normal</Template>
  <Pages>89</Pages>
  <Words>57994</Words>
  <Characters>64315</Characters>
  <Lines>488</Lines>
  <Paragraphs>137</Paragraphs>
  <TotalTime>12</TotalTime>
  <ScaleCrop>false</ScaleCrop>
  <LinksUpToDate>false</LinksUpToDate>
  <CharactersWithSpaces>64997</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2020-11-11T01:57:00Z</dcterms:created>
  <dc:creator>Answer</dc:creator>
  <cp:lastModifiedBy>Lulin</cp:lastModifiedBy>
  <cp:lastPrinted>2020-12-29T08:07:00Z</cp:lastPrinted>
  <dcterms:modified xsi:type="dcterms:W3CDTF">2022-11-03T05:10:33Z</dcterms:modified>
  <cp:revision>407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A7A4B79B1995426BBDCE9ED75D97262B</vt:lpwstr>
  </property>
</Properties>
</file>